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3E7430E">
      <w:pPr>
        <w:spacing w:before="3" w:line="240" w:lineRule="auto"/>
        <w:jc w:val="center"/>
        <w:rPr>
          <w:rFonts w:hint="default" w:ascii="Times New Roman" w:hAnsi="Times New Roman" w:eastAsia="宋体" w:cs="Times New Roman"/>
          <w:color w:val="0000FF"/>
          <w:sz w:val="17"/>
          <w:szCs w:val="17"/>
          <w:highlight w:val="none"/>
        </w:rPr>
      </w:pPr>
      <w:bookmarkStart w:id="0" w:name="_Toc2152"/>
    </w:p>
    <w:p w14:paraId="47FF26D1">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仿宋" w:hAnsi="仿宋" w:eastAsia="仿宋" w:cs="仿宋"/>
          <w:b/>
          <w:bCs/>
          <w:color w:val="auto"/>
          <w:sz w:val="72"/>
          <w:szCs w:val="72"/>
          <w:highlight w:val="none"/>
        </w:rPr>
      </w:pPr>
    </w:p>
    <w:p w14:paraId="7959714F">
      <w:pPr>
        <w:keepNext w:val="0"/>
        <w:keepLines w:val="0"/>
        <w:pageBreakBefore w:val="0"/>
        <w:widowControl w:val="0"/>
        <w:kinsoku/>
        <w:wordWrap/>
        <w:overflowPunct/>
        <w:topLinePunct w:val="0"/>
        <w:autoSpaceDE/>
        <w:autoSpaceDN/>
        <w:bidi w:val="0"/>
        <w:adjustRightInd/>
        <w:snapToGrid/>
        <w:spacing w:line="360" w:lineRule="auto"/>
        <w:ind w:left="0" w:right="0" w:firstLine="0" w:firstLineChars="0"/>
        <w:jc w:val="center"/>
        <w:textAlignment w:val="auto"/>
        <w:rPr>
          <w:rFonts w:hint="eastAsia" w:ascii="仿宋" w:hAnsi="仿宋" w:eastAsia="仿宋" w:cs="仿宋"/>
          <w:b/>
          <w:bCs/>
          <w:color w:val="auto"/>
          <w:sz w:val="72"/>
          <w:szCs w:val="72"/>
          <w:highlight w:val="none"/>
          <w:lang w:val="en-US" w:eastAsia="zh-CN"/>
        </w:rPr>
      </w:pPr>
      <w:r>
        <w:rPr>
          <w:rFonts w:hint="eastAsia" w:ascii="仿宋" w:hAnsi="仿宋" w:eastAsia="仿宋" w:cs="仿宋"/>
          <w:b/>
          <w:bCs/>
          <w:color w:val="auto"/>
          <w:sz w:val="72"/>
          <w:szCs w:val="72"/>
          <w:highlight w:val="none"/>
        </w:rPr>
        <w:t>建设项目环境影响报告表</w:t>
      </w:r>
    </w:p>
    <w:p w14:paraId="2570F832">
      <w:pPr>
        <w:keepNext w:val="0"/>
        <w:keepLines w:val="0"/>
        <w:pageBreakBefore w:val="0"/>
        <w:widowControl w:val="0"/>
        <w:kinsoku/>
        <w:wordWrap/>
        <w:overflowPunct/>
        <w:topLinePunct w:val="0"/>
        <w:autoSpaceDE/>
        <w:autoSpaceDN/>
        <w:bidi w:val="0"/>
        <w:adjustRightInd/>
        <w:snapToGrid/>
        <w:spacing w:line="360" w:lineRule="auto"/>
        <w:ind w:left="0" w:right="0" w:firstLine="0"/>
        <w:jc w:val="center"/>
        <w:textAlignment w:val="auto"/>
        <w:rPr>
          <w:rFonts w:hint="eastAsia" w:ascii="仿宋" w:hAnsi="仿宋" w:eastAsia="仿宋" w:cs="仿宋"/>
          <w:b/>
          <w:bCs/>
          <w:color w:val="auto"/>
          <w:sz w:val="48"/>
          <w:szCs w:val="48"/>
          <w:highlight w:val="none"/>
          <w:lang w:val="en-US" w:eastAsia="zh-CN"/>
        </w:rPr>
      </w:pPr>
      <w:r>
        <w:rPr>
          <w:rFonts w:hint="eastAsia" w:ascii="仿宋" w:hAnsi="仿宋" w:eastAsia="仿宋" w:cs="仿宋"/>
          <w:b/>
          <w:bCs/>
          <w:color w:val="auto"/>
          <w:sz w:val="48"/>
          <w:szCs w:val="48"/>
          <w:highlight w:val="none"/>
          <w:lang w:val="en-US" w:eastAsia="zh-CN"/>
        </w:rPr>
        <w:t>(污染影响类)</w:t>
      </w:r>
    </w:p>
    <w:p w14:paraId="309767E7">
      <w:pPr>
        <w:pStyle w:val="12"/>
        <w:rPr>
          <w:rFonts w:hint="eastAsia" w:ascii="仿宋" w:hAnsi="仿宋" w:eastAsia="仿宋" w:cs="仿宋"/>
          <w:color w:val="auto"/>
          <w:highlight w:val="none"/>
        </w:rPr>
      </w:pPr>
    </w:p>
    <w:p w14:paraId="5A91B460">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z w:val="48"/>
          <w:szCs w:val="48"/>
          <w:highlight w:val="none"/>
          <w:lang w:eastAsia="zh-CN"/>
        </w:rPr>
      </w:pPr>
    </w:p>
    <w:p w14:paraId="0408B224">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仿宋" w:hAnsi="仿宋" w:eastAsia="仿宋" w:cs="仿宋"/>
          <w:color w:val="auto"/>
          <w:sz w:val="48"/>
          <w:szCs w:val="48"/>
          <w:highlight w:val="none"/>
        </w:rPr>
      </w:pPr>
    </w:p>
    <w:p w14:paraId="48B522FB">
      <w:pPr>
        <w:pStyle w:val="44"/>
        <w:rPr>
          <w:rFonts w:hint="eastAsia"/>
          <w:color w:val="auto"/>
          <w:highlight w:val="none"/>
        </w:rPr>
      </w:pPr>
    </w:p>
    <w:p w14:paraId="34124231">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仿宋" w:hAnsi="仿宋" w:eastAsia="仿宋" w:cs="仿宋"/>
          <w:color w:val="auto"/>
          <w:sz w:val="48"/>
          <w:szCs w:val="48"/>
          <w:highlight w:val="none"/>
        </w:rPr>
      </w:pPr>
    </w:p>
    <w:p w14:paraId="005B6EC3">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仿宋" w:hAnsi="仿宋" w:eastAsia="仿宋" w:cs="仿宋"/>
          <w:color w:val="auto"/>
          <w:sz w:val="48"/>
          <w:szCs w:val="48"/>
          <w:highlight w:val="none"/>
        </w:rPr>
      </w:pPr>
    </w:p>
    <w:p w14:paraId="4065C589">
      <w:pPr>
        <w:keepNext w:val="0"/>
        <w:keepLines w:val="0"/>
        <w:pageBreakBefore w:val="0"/>
        <w:widowControl w:val="0"/>
        <w:kinsoku/>
        <w:wordWrap/>
        <w:overflowPunct/>
        <w:topLinePunct w:val="0"/>
        <w:autoSpaceDE/>
        <w:autoSpaceDN/>
        <w:bidi w:val="0"/>
        <w:adjustRightInd w:val="0"/>
        <w:snapToGrid w:val="0"/>
        <w:spacing w:line="288" w:lineRule="auto"/>
        <w:ind w:firstLine="361" w:firstLineChars="100"/>
        <w:jc w:val="both"/>
        <w:textAlignment w:val="auto"/>
        <w:rPr>
          <w:rFonts w:hint="default" w:ascii="仿宋_GB2312" w:eastAsia="仿宋_GB2312"/>
          <w:b/>
          <w:bCs/>
          <w:color w:val="auto"/>
          <w:sz w:val="36"/>
          <w:szCs w:val="36"/>
          <w:highlight w:val="none"/>
          <w:u w:val="single"/>
          <w:lang w:val="en-US" w:eastAsia="zh-CN"/>
        </w:rPr>
      </w:pPr>
      <w:r>
        <w:rPr>
          <w:rFonts w:hint="eastAsia" w:ascii="仿宋_GB2312" w:eastAsia="仿宋_GB2312"/>
          <w:b/>
          <w:bCs/>
          <w:color w:val="auto"/>
          <w:sz w:val="36"/>
          <w:szCs w:val="36"/>
          <w:highlight w:val="none"/>
        </w:rPr>
        <w:t>项目名称:</w:t>
      </w:r>
      <w:r>
        <w:rPr>
          <w:rFonts w:hint="eastAsia" w:ascii="仿宋_GB2312" w:eastAsia="仿宋_GB2312"/>
          <w:b/>
          <w:bCs/>
          <w:color w:val="auto"/>
          <w:sz w:val="36"/>
          <w:szCs w:val="36"/>
          <w:highlight w:val="none"/>
          <w:u w:val="single"/>
          <w:lang w:eastAsia="zh-CN"/>
        </w:rPr>
        <w:t>西安黄河机电有限公司环境实验室建设项目</w:t>
      </w:r>
      <w:r>
        <w:rPr>
          <w:rFonts w:hint="eastAsia" w:ascii="仿宋_GB2312" w:eastAsia="仿宋_GB2312"/>
          <w:b/>
          <w:bCs/>
          <w:color w:val="auto"/>
          <w:sz w:val="36"/>
          <w:szCs w:val="36"/>
          <w:highlight w:val="none"/>
          <w:u w:val="single"/>
          <w:lang w:val="en-US" w:eastAsia="zh-CN"/>
        </w:rPr>
        <w:t xml:space="preserve">   </w:t>
      </w:r>
    </w:p>
    <w:p w14:paraId="683CB8F8">
      <w:pPr>
        <w:keepNext w:val="0"/>
        <w:keepLines w:val="0"/>
        <w:pageBreakBefore w:val="0"/>
        <w:widowControl w:val="0"/>
        <w:kinsoku/>
        <w:wordWrap/>
        <w:overflowPunct/>
        <w:topLinePunct w:val="0"/>
        <w:autoSpaceDE/>
        <w:autoSpaceDN/>
        <w:bidi w:val="0"/>
        <w:adjustRightInd w:val="0"/>
        <w:snapToGrid w:val="0"/>
        <w:spacing w:line="288" w:lineRule="auto"/>
        <w:ind w:firstLine="361" w:firstLineChars="100"/>
        <w:jc w:val="both"/>
        <w:textAlignment w:val="auto"/>
        <w:rPr>
          <w:rFonts w:hint="default" w:ascii="仿宋_GB2312" w:eastAsia="仿宋_GB2312"/>
          <w:b/>
          <w:bCs/>
          <w:color w:val="auto"/>
          <w:sz w:val="36"/>
          <w:szCs w:val="36"/>
          <w:highlight w:val="none"/>
          <w:u w:val="single"/>
          <w:lang w:val="en-US" w:eastAsia="zh-CN"/>
        </w:rPr>
      </w:pPr>
      <w:r>
        <w:rPr>
          <w:rFonts w:hint="eastAsia" w:ascii="仿宋_GB2312" w:eastAsia="仿宋_GB2312"/>
          <w:b/>
          <w:bCs/>
          <w:color w:val="auto"/>
          <w:sz w:val="36"/>
          <w:szCs w:val="36"/>
          <w:highlight w:val="none"/>
        </w:rPr>
        <w:t>建设单</w:t>
      </w:r>
      <w:r>
        <w:rPr>
          <w:rFonts w:hint="eastAsia" w:ascii="仿宋_GB2312" w:hAnsi="Times New Roman" w:eastAsia="仿宋_GB2312" w:cs="Times New Roman"/>
          <w:b/>
          <w:bCs/>
          <w:color w:val="auto"/>
          <w:sz w:val="36"/>
          <w:szCs w:val="36"/>
          <w:highlight w:val="none"/>
        </w:rPr>
        <w:t>位（盖章）:</w:t>
      </w:r>
      <w:r>
        <w:rPr>
          <w:rFonts w:hint="eastAsia" w:ascii="仿宋_GB2312" w:eastAsia="仿宋_GB2312"/>
          <w:b/>
          <w:bCs/>
          <w:color w:val="auto"/>
          <w:sz w:val="36"/>
          <w:szCs w:val="36"/>
          <w:highlight w:val="none"/>
          <w:u w:val="single"/>
          <w:lang w:val="en-US" w:eastAsia="zh-CN"/>
        </w:rPr>
        <w:t xml:space="preserve">     </w:t>
      </w:r>
      <w:r>
        <w:rPr>
          <w:rFonts w:hint="eastAsia" w:ascii="仿宋_GB2312" w:eastAsia="仿宋_GB2312"/>
          <w:b/>
          <w:bCs/>
          <w:color w:val="auto"/>
          <w:sz w:val="36"/>
          <w:szCs w:val="36"/>
          <w:highlight w:val="none"/>
          <w:u w:val="single"/>
          <w:lang w:eastAsia="zh-CN"/>
        </w:rPr>
        <w:t>西安黄河机电有限公司</w:t>
      </w:r>
      <w:r>
        <w:rPr>
          <w:rFonts w:hint="eastAsia" w:ascii="仿宋_GB2312" w:eastAsia="仿宋_GB2312"/>
          <w:b/>
          <w:bCs/>
          <w:color w:val="auto"/>
          <w:sz w:val="36"/>
          <w:szCs w:val="36"/>
          <w:highlight w:val="none"/>
          <w:u w:val="single"/>
          <w:lang w:val="en-US" w:eastAsia="zh-CN"/>
        </w:rPr>
        <w:t xml:space="preserve">          </w:t>
      </w:r>
    </w:p>
    <w:p w14:paraId="0C00945B">
      <w:pPr>
        <w:keepNext w:val="0"/>
        <w:keepLines w:val="0"/>
        <w:pageBreakBefore w:val="0"/>
        <w:widowControl w:val="0"/>
        <w:kinsoku/>
        <w:wordWrap/>
        <w:overflowPunct/>
        <w:topLinePunct w:val="0"/>
        <w:autoSpaceDE/>
        <w:autoSpaceDN/>
        <w:bidi w:val="0"/>
        <w:adjustRightInd w:val="0"/>
        <w:snapToGrid w:val="0"/>
        <w:spacing w:line="288" w:lineRule="auto"/>
        <w:ind w:firstLine="361" w:firstLineChars="100"/>
        <w:jc w:val="both"/>
        <w:textAlignment w:val="auto"/>
        <w:rPr>
          <w:rFonts w:hint="default" w:ascii="仿宋_GB2312" w:eastAsia="仿宋_GB2312"/>
          <w:b/>
          <w:bCs/>
          <w:color w:val="auto"/>
          <w:sz w:val="36"/>
          <w:szCs w:val="36"/>
          <w:highlight w:val="none"/>
          <w:u w:val="single"/>
          <w:lang w:val="en-US"/>
        </w:rPr>
      </w:pPr>
      <w:r>
        <w:rPr>
          <w:rFonts w:hint="eastAsia" w:ascii="仿宋_GB2312" w:eastAsia="仿宋_GB2312"/>
          <w:b/>
          <w:bCs/>
          <w:color w:val="auto"/>
          <w:sz w:val="36"/>
          <w:szCs w:val="36"/>
          <w:highlight w:val="none"/>
        </w:rPr>
        <w:t xml:space="preserve">编制日期: </w:t>
      </w:r>
      <w:r>
        <w:rPr>
          <w:rFonts w:hint="eastAsia" w:ascii="仿宋_GB2312" w:eastAsia="仿宋_GB2312"/>
          <w:b/>
          <w:bCs/>
          <w:color w:val="auto"/>
          <w:sz w:val="36"/>
          <w:szCs w:val="36"/>
          <w:highlight w:val="none"/>
          <w:u w:val="single"/>
        </w:rPr>
        <w:t xml:space="preserve">        </w:t>
      </w:r>
      <w:r>
        <w:rPr>
          <w:rFonts w:hint="eastAsia" w:ascii="仿宋_GB2312" w:eastAsia="仿宋_GB2312"/>
          <w:b/>
          <w:bCs/>
          <w:color w:val="auto"/>
          <w:sz w:val="36"/>
          <w:szCs w:val="36"/>
          <w:highlight w:val="none"/>
          <w:u w:val="single"/>
          <w:lang w:val="en-US" w:eastAsia="zh-CN"/>
        </w:rPr>
        <w:t xml:space="preserve"> </w:t>
      </w:r>
      <w:r>
        <w:rPr>
          <w:rFonts w:hint="eastAsia" w:ascii="仿宋_GB2312" w:eastAsia="仿宋_GB2312"/>
          <w:b/>
          <w:bCs/>
          <w:color w:val="auto"/>
          <w:sz w:val="36"/>
          <w:szCs w:val="36"/>
          <w:highlight w:val="none"/>
          <w:u w:val="single"/>
        </w:rPr>
        <w:t xml:space="preserve"> </w:t>
      </w:r>
      <w:r>
        <w:rPr>
          <w:rFonts w:hint="eastAsia" w:ascii="仿宋_GB2312" w:eastAsia="仿宋_GB2312"/>
          <w:b/>
          <w:bCs/>
          <w:color w:val="auto"/>
          <w:sz w:val="36"/>
          <w:szCs w:val="36"/>
          <w:highlight w:val="none"/>
          <w:u w:val="single"/>
          <w:lang w:val="en-US" w:eastAsia="zh-CN"/>
        </w:rPr>
        <w:t xml:space="preserve">   </w:t>
      </w:r>
      <w:r>
        <w:rPr>
          <w:rFonts w:hint="eastAsia" w:ascii="仿宋_GB2312" w:eastAsia="仿宋_GB2312"/>
          <w:b/>
          <w:bCs/>
          <w:color w:val="auto"/>
          <w:sz w:val="36"/>
          <w:szCs w:val="36"/>
          <w:highlight w:val="none"/>
          <w:u w:val="single"/>
        </w:rPr>
        <w:t xml:space="preserve"> 二〇二</w:t>
      </w:r>
      <w:r>
        <w:rPr>
          <w:rFonts w:hint="eastAsia" w:ascii="仿宋_GB2312" w:eastAsia="仿宋_GB2312"/>
          <w:b/>
          <w:bCs/>
          <w:color w:val="auto"/>
          <w:sz w:val="36"/>
          <w:szCs w:val="36"/>
          <w:highlight w:val="none"/>
          <w:u w:val="single"/>
          <w:lang w:val="en-US" w:eastAsia="zh-CN"/>
        </w:rPr>
        <w:t>四</w:t>
      </w:r>
      <w:r>
        <w:rPr>
          <w:rFonts w:hint="eastAsia" w:ascii="仿宋_GB2312" w:eastAsia="仿宋_GB2312"/>
          <w:b/>
          <w:bCs/>
          <w:color w:val="auto"/>
          <w:sz w:val="36"/>
          <w:szCs w:val="36"/>
          <w:highlight w:val="none"/>
          <w:u w:val="single"/>
        </w:rPr>
        <w:t>年</w:t>
      </w:r>
      <w:r>
        <w:rPr>
          <w:rFonts w:hint="eastAsia" w:ascii="仿宋_GB2312" w:eastAsia="仿宋_GB2312"/>
          <w:b/>
          <w:bCs/>
          <w:color w:val="auto"/>
          <w:sz w:val="36"/>
          <w:szCs w:val="36"/>
          <w:highlight w:val="none"/>
          <w:u w:val="single"/>
          <w:lang w:val="en-US" w:eastAsia="zh-CN"/>
        </w:rPr>
        <w:t>七</w:t>
      </w:r>
      <w:r>
        <w:rPr>
          <w:rFonts w:hint="eastAsia" w:ascii="仿宋_GB2312" w:eastAsia="仿宋_GB2312"/>
          <w:b/>
          <w:bCs/>
          <w:color w:val="auto"/>
          <w:sz w:val="36"/>
          <w:szCs w:val="36"/>
          <w:highlight w:val="none"/>
          <w:u w:val="single"/>
        </w:rPr>
        <w:t xml:space="preserve">月     </w:t>
      </w:r>
      <w:r>
        <w:rPr>
          <w:rFonts w:hint="eastAsia" w:ascii="仿宋_GB2312" w:eastAsia="仿宋_GB2312"/>
          <w:b/>
          <w:bCs/>
          <w:color w:val="auto"/>
          <w:sz w:val="36"/>
          <w:szCs w:val="36"/>
          <w:highlight w:val="none"/>
          <w:u w:val="single"/>
          <w:lang w:val="en-US" w:eastAsia="zh-CN"/>
        </w:rPr>
        <w:t xml:space="preserve">   </w:t>
      </w:r>
      <w:r>
        <w:rPr>
          <w:rFonts w:hint="eastAsia" w:ascii="仿宋_GB2312" w:eastAsia="仿宋_GB2312"/>
          <w:color w:val="auto"/>
          <w:sz w:val="36"/>
          <w:szCs w:val="36"/>
          <w:highlight w:val="none"/>
          <w:u w:val="single"/>
          <w:lang w:val="en-US" w:eastAsia="zh-CN"/>
        </w:rPr>
        <w:t xml:space="preserve">    </w:t>
      </w:r>
    </w:p>
    <w:p w14:paraId="2BBACD37">
      <w:pPr>
        <w:keepNext w:val="0"/>
        <w:keepLines w:val="0"/>
        <w:pageBreakBefore w:val="0"/>
        <w:widowControl w:val="0"/>
        <w:kinsoku/>
        <w:wordWrap/>
        <w:overflowPunct/>
        <w:topLinePunct w:val="0"/>
        <w:autoSpaceDE/>
        <w:autoSpaceDN/>
        <w:bidi w:val="0"/>
        <w:adjustRightInd/>
        <w:snapToGrid/>
        <w:spacing w:before="0" w:line="483" w:lineRule="exact"/>
        <w:ind w:left="0" w:right="0" w:firstLine="1446" w:firstLineChars="400"/>
        <w:jc w:val="left"/>
        <w:textAlignment w:val="auto"/>
        <w:rPr>
          <w:rFonts w:hint="eastAsia" w:ascii="仿宋" w:hAnsi="仿宋" w:eastAsia="仿宋" w:cs="仿宋"/>
          <w:b/>
          <w:bCs/>
          <w:color w:val="auto"/>
          <w:sz w:val="36"/>
          <w:szCs w:val="36"/>
          <w:highlight w:val="none"/>
        </w:rPr>
      </w:pPr>
    </w:p>
    <w:p w14:paraId="0C650DBC">
      <w:pPr>
        <w:spacing w:before="0" w:line="483" w:lineRule="exact"/>
        <w:ind w:left="2192" w:right="0" w:firstLine="0"/>
        <w:jc w:val="left"/>
        <w:rPr>
          <w:rFonts w:hint="eastAsia" w:ascii="仿宋" w:hAnsi="仿宋" w:eastAsia="仿宋" w:cs="仿宋"/>
          <w:b/>
          <w:bCs/>
          <w:color w:val="auto"/>
          <w:sz w:val="36"/>
          <w:szCs w:val="36"/>
          <w:highlight w:val="none"/>
        </w:rPr>
      </w:pPr>
    </w:p>
    <w:p w14:paraId="0F1D00B1">
      <w:pPr>
        <w:spacing w:before="0" w:line="483" w:lineRule="exact"/>
        <w:ind w:left="0" w:leftChars="0" w:right="0" w:firstLine="0" w:firstLineChars="0"/>
        <w:jc w:val="center"/>
        <w:rPr>
          <w:rFonts w:hint="eastAsia" w:ascii="仿宋" w:hAnsi="仿宋" w:eastAsia="仿宋" w:cs="仿宋"/>
          <w:b/>
          <w:bCs/>
          <w:color w:val="auto"/>
          <w:sz w:val="36"/>
          <w:szCs w:val="36"/>
          <w:highlight w:val="none"/>
        </w:rPr>
      </w:pPr>
    </w:p>
    <w:p w14:paraId="4AEF2493">
      <w:pPr>
        <w:pStyle w:val="44"/>
        <w:rPr>
          <w:rFonts w:hint="eastAsia" w:ascii="仿宋" w:hAnsi="仿宋" w:eastAsia="仿宋" w:cs="仿宋"/>
          <w:b/>
          <w:bCs/>
          <w:color w:val="auto"/>
          <w:sz w:val="36"/>
          <w:szCs w:val="36"/>
          <w:highlight w:val="none"/>
        </w:rPr>
      </w:pPr>
    </w:p>
    <w:p w14:paraId="381CCB1A">
      <w:pPr>
        <w:rPr>
          <w:rFonts w:hint="eastAsia" w:ascii="仿宋" w:hAnsi="仿宋" w:eastAsia="仿宋" w:cs="仿宋"/>
          <w:b/>
          <w:bCs/>
          <w:color w:val="auto"/>
          <w:sz w:val="36"/>
          <w:szCs w:val="36"/>
          <w:highlight w:val="none"/>
        </w:rPr>
      </w:pPr>
    </w:p>
    <w:p w14:paraId="1A6EDF4A">
      <w:pPr>
        <w:pStyle w:val="44"/>
        <w:rPr>
          <w:rFonts w:hint="eastAsia" w:ascii="仿宋" w:hAnsi="仿宋" w:eastAsia="仿宋" w:cs="仿宋"/>
          <w:b/>
          <w:bCs/>
          <w:color w:val="auto"/>
          <w:sz w:val="36"/>
          <w:szCs w:val="36"/>
          <w:highlight w:val="none"/>
        </w:rPr>
      </w:pPr>
    </w:p>
    <w:p w14:paraId="1608EC5F">
      <w:pPr>
        <w:rPr>
          <w:rFonts w:hint="eastAsia"/>
          <w:color w:val="auto"/>
          <w:highlight w:val="none"/>
        </w:rPr>
      </w:pPr>
    </w:p>
    <w:p w14:paraId="719DB8AB">
      <w:pPr>
        <w:spacing w:before="0" w:line="483" w:lineRule="exact"/>
        <w:ind w:left="0" w:leftChars="0" w:right="0" w:firstLine="0" w:firstLineChars="0"/>
        <w:jc w:val="center"/>
        <w:rPr>
          <w:rFonts w:hint="eastAsia" w:ascii="仿宋" w:hAnsi="仿宋" w:eastAsia="仿宋" w:cs="仿宋"/>
          <w:b/>
          <w:bCs/>
          <w:color w:val="auto"/>
          <w:sz w:val="36"/>
          <w:szCs w:val="36"/>
          <w:highlight w:val="none"/>
        </w:rPr>
      </w:pPr>
    </w:p>
    <w:p w14:paraId="490E45FD">
      <w:pPr>
        <w:pStyle w:val="44"/>
        <w:rPr>
          <w:rFonts w:hint="eastAsia"/>
          <w:color w:val="auto"/>
          <w:highlight w:val="none"/>
        </w:rPr>
      </w:pPr>
    </w:p>
    <w:p w14:paraId="4A524E28">
      <w:pPr>
        <w:spacing w:before="0" w:line="483" w:lineRule="exact"/>
        <w:ind w:left="0" w:leftChars="0" w:right="0" w:firstLine="0" w:firstLineChars="0"/>
        <w:jc w:val="center"/>
        <w:rPr>
          <w:rFonts w:hint="eastAsia" w:ascii="仿宋" w:hAnsi="仿宋" w:eastAsia="仿宋" w:cs="仿宋"/>
          <w:b/>
          <w:bCs/>
          <w:color w:val="auto"/>
          <w:sz w:val="36"/>
          <w:szCs w:val="36"/>
          <w:highlight w:val="none"/>
        </w:rPr>
      </w:pPr>
    </w:p>
    <w:p w14:paraId="331EBA49">
      <w:pPr>
        <w:spacing w:before="0" w:line="483" w:lineRule="exact"/>
        <w:ind w:left="0" w:leftChars="0" w:right="0" w:firstLine="0" w:firstLineChars="0"/>
        <w:jc w:val="center"/>
        <w:rPr>
          <w:rFonts w:hint="eastAsia" w:ascii="仿宋" w:hAnsi="仿宋" w:eastAsia="仿宋" w:cs="仿宋"/>
          <w:color w:val="auto"/>
          <w:sz w:val="32"/>
          <w:szCs w:val="32"/>
          <w:highlight w:val="none"/>
        </w:rPr>
      </w:pPr>
      <w:r>
        <w:rPr>
          <w:rFonts w:hint="eastAsia" w:ascii="仿宋" w:hAnsi="仿宋" w:eastAsia="仿宋" w:cs="仿宋"/>
          <w:b/>
          <w:bCs/>
          <w:color w:val="auto"/>
          <w:sz w:val="36"/>
          <w:szCs w:val="36"/>
          <w:highlight w:val="none"/>
        </w:rPr>
        <w:t>中华人民共和国生态环境部制</w:t>
      </w:r>
    </w:p>
    <w:p w14:paraId="5A1650A8">
      <w:pPr>
        <w:spacing w:after="0" w:line="483" w:lineRule="exact"/>
        <w:jc w:val="left"/>
        <w:rPr>
          <w:rFonts w:hint="eastAsia" w:ascii="仿宋" w:hAnsi="仿宋" w:eastAsia="仿宋" w:cs="仿宋"/>
          <w:color w:val="auto"/>
          <w:sz w:val="36"/>
          <w:szCs w:val="36"/>
          <w:highlight w:val="none"/>
          <w:lang w:eastAsia="zh-CN"/>
        </w:rPr>
        <w:sectPr>
          <w:footerReference r:id="rId5" w:type="default"/>
          <w:footerReference r:id="rId6" w:type="even"/>
          <w:pgSz w:w="11910" w:h="16838"/>
          <w:pgMar w:top="1417" w:right="1417" w:bottom="1417" w:left="1417" w:header="720" w:footer="1043" w:gutter="0"/>
          <w:pgBorders>
            <w:top w:val="none" w:sz="0" w:space="0"/>
            <w:left w:val="none" w:sz="0" w:space="0"/>
            <w:bottom w:val="none" w:sz="0" w:space="0"/>
            <w:right w:val="none" w:sz="0" w:space="0"/>
          </w:pgBorders>
          <w:pgNumType w:fmt="numberInDash"/>
          <w:cols w:space="720" w:num="1"/>
          <w:rtlGutter w:val="0"/>
          <w:docGrid w:linePitch="1" w:charSpace="0"/>
        </w:sectPr>
      </w:pPr>
    </w:p>
    <w:p w14:paraId="639F490F">
      <w:pPr>
        <w:pStyle w:val="44"/>
        <w:rPr>
          <w:rFonts w:hint="eastAsia"/>
          <w:color w:val="auto"/>
          <w:highlight w:val="none"/>
        </w:rPr>
        <w:sectPr>
          <w:pgSz w:w="11910" w:h="16838"/>
          <w:pgMar w:top="1417" w:right="1417" w:bottom="1417" w:left="1417" w:header="720" w:footer="1043" w:gutter="0"/>
          <w:pgBorders>
            <w:top w:val="none" w:sz="0" w:space="0"/>
            <w:left w:val="none" w:sz="0" w:space="0"/>
            <w:bottom w:val="none" w:sz="0" w:space="0"/>
            <w:right w:val="none" w:sz="0" w:space="0"/>
          </w:pgBorders>
          <w:pgNumType w:fmt="numberInDash"/>
          <w:cols w:space="720" w:num="1"/>
          <w:rtlGutter w:val="0"/>
          <w:docGrid w:linePitch="1" w:charSpace="0"/>
        </w:sectPr>
      </w:pPr>
    </w:p>
    <w:p w14:paraId="599D070F">
      <w:pPr>
        <w:pStyle w:val="41"/>
        <w:spacing w:before="100" w:after="100" w:line="240" w:lineRule="auto"/>
        <w:jc w:val="center"/>
        <w:outlineLvl w:val="0"/>
        <w:rPr>
          <w:rFonts w:hint="eastAsia" w:ascii="黑体" w:hAnsi="黑体" w:eastAsia="黑体"/>
          <w:snapToGrid w:val="0"/>
          <w:color w:val="auto"/>
          <w:sz w:val="30"/>
          <w:szCs w:val="30"/>
          <w:highlight w:val="none"/>
        </w:rPr>
      </w:pPr>
      <w:r>
        <w:rPr>
          <w:rFonts w:hint="eastAsia" w:ascii="黑体" w:hAnsi="黑体" w:eastAsia="黑体"/>
          <w:snapToGrid w:val="0"/>
          <w:color w:val="auto"/>
          <w:sz w:val="30"/>
          <w:szCs w:val="30"/>
          <w:highlight w:val="none"/>
        </w:rPr>
        <w:t>一、</w:t>
      </w:r>
      <w:bookmarkEnd w:id="0"/>
      <w:r>
        <w:rPr>
          <w:rFonts w:hint="eastAsia" w:ascii="黑体" w:hAnsi="黑体" w:eastAsia="黑体"/>
          <w:snapToGrid w:val="0"/>
          <w:color w:val="auto"/>
          <w:sz w:val="30"/>
          <w:szCs w:val="30"/>
          <w:highlight w:val="none"/>
        </w:rPr>
        <w:t>建设项目基本情况</w:t>
      </w:r>
    </w:p>
    <w:tbl>
      <w:tblPr>
        <w:tblStyle w:val="45"/>
        <w:tblW w:w="4963"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705"/>
        <w:gridCol w:w="2613"/>
        <w:gridCol w:w="1470"/>
        <w:gridCol w:w="3244"/>
      </w:tblGrid>
      <w:tr w14:paraId="1FDB30B8">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3" w:type="pct"/>
            <w:tcBorders>
              <w:top w:val="single" w:color="auto" w:sz="8" w:space="0"/>
              <w:left w:val="single" w:color="auto" w:sz="8" w:space="0"/>
              <w:bottom w:val="single" w:color="auto" w:sz="4" w:space="0"/>
              <w:right w:val="single" w:color="auto" w:sz="4" w:space="0"/>
            </w:tcBorders>
            <w:tcMar>
              <w:top w:w="16" w:type="dxa"/>
              <w:left w:w="16" w:type="dxa"/>
              <w:bottom w:w="0" w:type="dxa"/>
              <w:right w:w="16" w:type="dxa"/>
            </w:tcMar>
            <w:vAlign w:val="center"/>
          </w:tcPr>
          <w:p w14:paraId="7FCC1D5D">
            <w:pPr>
              <w:keepNext w:val="0"/>
              <w:keepLines w:val="0"/>
              <w:pageBreakBefore w:val="0"/>
              <w:widowControl w:val="0"/>
              <w:kinsoku/>
              <w:wordWrap/>
              <w:overflowPunct/>
              <w:topLinePunct w:val="0"/>
              <w:bidi w:val="0"/>
              <w:adjustRightInd w:val="0"/>
              <w:snapToGrid w:val="0"/>
              <w:spacing w:line="240" w:lineRule="auto"/>
              <w:ind w:left="-72" w:leftChars="-30" w:right="-72" w:rightChars="-30"/>
              <w:jc w:val="center"/>
              <w:textAlignment w:val="auto"/>
              <w:rPr>
                <w:color w:val="auto"/>
                <w:szCs w:val="24"/>
                <w:highlight w:val="none"/>
              </w:rPr>
            </w:pPr>
            <w:r>
              <w:rPr>
                <w:rFonts w:hAnsi="宋体"/>
                <w:color w:val="auto"/>
                <w:szCs w:val="24"/>
                <w:highlight w:val="none"/>
              </w:rPr>
              <w:t>建设项目名称</w:t>
            </w:r>
          </w:p>
        </w:tc>
        <w:tc>
          <w:tcPr>
            <w:tcW w:w="4056" w:type="pct"/>
            <w:gridSpan w:val="3"/>
            <w:tcBorders>
              <w:top w:val="single" w:color="auto" w:sz="8" w:space="0"/>
              <w:left w:val="single" w:color="auto" w:sz="4" w:space="0"/>
              <w:bottom w:val="single" w:color="auto" w:sz="4" w:space="0"/>
              <w:right w:val="single" w:color="auto" w:sz="8" w:space="0"/>
            </w:tcBorders>
            <w:vAlign w:val="center"/>
          </w:tcPr>
          <w:p w14:paraId="585657B7">
            <w:pPr>
              <w:adjustRightInd w:val="0"/>
              <w:snapToGrid w:val="0"/>
              <w:spacing w:line="240" w:lineRule="auto"/>
              <w:jc w:val="center"/>
              <w:rPr>
                <w:rFonts w:hint="eastAsia" w:eastAsia="宋体"/>
                <w:color w:val="auto"/>
                <w:szCs w:val="24"/>
                <w:highlight w:val="none"/>
                <w:lang w:eastAsia="zh-CN"/>
              </w:rPr>
            </w:pPr>
            <w:r>
              <w:rPr>
                <w:rFonts w:hint="eastAsia" w:cs="Times New Roman"/>
                <w:color w:val="auto"/>
                <w:szCs w:val="24"/>
                <w:highlight w:val="none"/>
                <w:lang w:eastAsia="zh-CN"/>
              </w:rPr>
              <w:t>西安黄河机电有限公司环境实验室建设项目</w:t>
            </w:r>
          </w:p>
        </w:tc>
      </w:tr>
      <w:tr w14:paraId="77FE4746">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3"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14:paraId="1E260025">
            <w:pPr>
              <w:keepNext w:val="0"/>
              <w:keepLines w:val="0"/>
              <w:pageBreakBefore w:val="0"/>
              <w:widowControl w:val="0"/>
              <w:kinsoku/>
              <w:wordWrap/>
              <w:overflowPunct/>
              <w:topLinePunct w:val="0"/>
              <w:bidi w:val="0"/>
              <w:adjustRightInd w:val="0"/>
              <w:snapToGrid w:val="0"/>
              <w:spacing w:line="240" w:lineRule="auto"/>
              <w:ind w:left="-72" w:leftChars="-30" w:right="-72" w:rightChars="-30"/>
              <w:jc w:val="center"/>
              <w:textAlignment w:val="auto"/>
              <w:rPr>
                <w:color w:val="auto"/>
                <w:szCs w:val="24"/>
                <w:highlight w:val="none"/>
              </w:rPr>
            </w:pPr>
            <w:r>
              <w:rPr>
                <w:rFonts w:hAnsi="宋体"/>
                <w:color w:val="auto"/>
                <w:szCs w:val="24"/>
                <w:highlight w:val="none"/>
              </w:rPr>
              <w:t>项目代码</w:t>
            </w:r>
          </w:p>
        </w:tc>
        <w:tc>
          <w:tcPr>
            <w:tcW w:w="4056" w:type="pct"/>
            <w:gridSpan w:val="3"/>
            <w:tcBorders>
              <w:top w:val="single" w:color="auto" w:sz="4" w:space="0"/>
              <w:left w:val="single" w:color="auto" w:sz="4" w:space="0"/>
              <w:bottom w:val="single" w:color="auto" w:sz="4" w:space="0"/>
              <w:right w:val="single" w:color="auto" w:sz="8" w:space="0"/>
            </w:tcBorders>
            <w:vAlign w:val="center"/>
          </w:tcPr>
          <w:p w14:paraId="7731A997">
            <w:pPr>
              <w:adjustRightInd w:val="0"/>
              <w:snapToGrid w:val="0"/>
              <w:spacing w:line="240" w:lineRule="auto"/>
              <w:jc w:val="center"/>
              <w:rPr>
                <w:rFonts w:hint="default" w:eastAsia="宋体"/>
                <w:color w:val="auto"/>
                <w:szCs w:val="24"/>
                <w:highlight w:val="none"/>
                <w:lang w:val="en-US" w:eastAsia="zh-CN"/>
              </w:rPr>
            </w:pPr>
            <w:r>
              <w:rPr>
                <w:rFonts w:hint="eastAsia" w:cs="Times New Roman"/>
                <w:color w:val="auto"/>
                <w:szCs w:val="21"/>
                <w:highlight w:val="none"/>
                <w:lang w:eastAsia="zh-CN"/>
              </w:rPr>
              <w:t>2403-610102-04-01-546236</w:t>
            </w:r>
          </w:p>
        </w:tc>
      </w:tr>
      <w:tr w14:paraId="3F894067">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3"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14:paraId="6957E243">
            <w:pPr>
              <w:keepNext w:val="0"/>
              <w:keepLines w:val="0"/>
              <w:pageBreakBefore w:val="0"/>
              <w:widowControl w:val="0"/>
              <w:kinsoku/>
              <w:wordWrap/>
              <w:overflowPunct/>
              <w:topLinePunct w:val="0"/>
              <w:bidi w:val="0"/>
              <w:adjustRightInd w:val="0"/>
              <w:snapToGrid w:val="0"/>
              <w:spacing w:line="240" w:lineRule="auto"/>
              <w:ind w:left="-72" w:leftChars="-30" w:right="-72" w:rightChars="-30"/>
              <w:jc w:val="center"/>
              <w:textAlignment w:val="auto"/>
              <w:rPr>
                <w:color w:val="auto"/>
                <w:szCs w:val="24"/>
                <w:highlight w:val="none"/>
              </w:rPr>
            </w:pPr>
            <w:r>
              <w:rPr>
                <w:rFonts w:hAnsi="宋体"/>
                <w:color w:val="auto"/>
                <w:szCs w:val="24"/>
                <w:highlight w:val="none"/>
              </w:rPr>
              <w:t>建设单位联系人</w:t>
            </w:r>
          </w:p>
        </w:tc>
        <w:tc>
          <w:tcPr>
            <w:tcW w:w="1446" w:type="pct"/>
            <w:tcBorders>
              <w:top w:val="single" w:color="auto" w:sz="4" w:space="0"/>
              <w:left w:val="single" w:color="auto" w:sz="4" w:space="0"/>
              <w:bottom w:val="single" w:color="auto" w:sz="4" w:space="0"/>
              <w:right w:val="single" w:color="auto" w:sz="4" w:space="0"/>
            </w:tcBorders>
            <w:vAlign w:val="center"/>
          </w:tcPr>
          <w:p w14:paraId="484EA286">
            <w:pPr>
              <w:adjustRightInd w:val="0"/>
              <w:snapToGrid w:val="0"/>
              <w:spacing w:line="240" w:lineRule="auto"/>
              <w:jc w:val="center"/>
              <w:rPr>
                <w:rFonts w:hint="default"/>
                <w:b w:val="0"/>
                <w:bCs w:val="0"/>
                <w:color w:val="auto"/>
                <w:szCs w:val="24"/>
                <w:highlight w:val="none"/>
                <w:u w:val="none"/>
                <w:lang w:val="en-US" w:eastAsia="zh-CN"/>
              </w:rPr>
            </w:pPr>
            <w:r>
              <w:rPr>
                <w:rFonts w:hint="eastAsia"/>
                <w:b w:val="0"/>
                <w:bCs w:val="0"/>
                <w:color w:val="auto"/>
                <w:szCs w:val="24"/>
                <w:highlight w:val="none"/>
                <w:u w:val="none"/>
                <w:lang w:val="en-US" w:eastAsia="zh-CN"/>
              </w:rPr>
              <w:t>******</w:t>
            </w:r>
          </w:p>
        </w:tc>
        <w:tc>
          <w:tcPr>
            <w:tcW w:w="813" w:type="pct"/>
            <w:tcBorders>
              <w:top w:val="single" w:color="auto" w:sz="4" w:space="0"/>
              <w:left w:val="single" w:color="auto" w:sz="4" w:space="0"/>
              <w:bottom w:val="single" w:color="auto" w:sz="4" w:space="0"/>
              <w:right w:val="single" w:color="auto" w:sz="4" w:space="0"/>
            </w:tcBorders>
            <w:vAlign w:val="center"/>
          </w:tcPr>
          <w:p w14:paraId="2324D8C2">
            <w:pPr>
              <w:adjustRightInd w:val="0"/>
              <w:snapToGrid w:val="0"/>
              <w:spacing w:line="240" w:lineRule="auto"/>
              <w:jc w:val="center"/>
              <w:rPr>
                <w:rFonts w:hint="eastAsia"/>
                <w:b w:val="0"/>
                <w:bCs w:val="0"/>
                <w:color w:val="auto"/>
                <w:szCs w:val="24"/>
                <w:highlight w:val="none"/>
                <w:u w:val="none"/>
                <w:lang w:eastAsia="zh-CN"/>
              </w:rPr>
            </w:pPr>
            <w:r>
              <w:rPr>
                <w:rFonts w:hint="eastAsia"/>
                <w:b w:val="0"/>
                <w:bCs w:val="0"/>
                <w:color w:val="auto"/>
                <w:szCs w:val="24"/>
                <w:highlight w:val="none"/>
                <w:u w:val="none"/>
                <w:lang w:eastAsia="zh-CN"/>
              </w:rPr>
              <w:t>联系方式</w:t>
            </w:r>
          </w:p>
        </w:tc>
        <w:tc>
          <w:tcPr>
            <w:tcW w:w="1796" w:type="pct"/>
            <w:tcBorders>
              <w:top w:val="single" w:color="auto" w:sz="4" w:space="0"/>
              <w:left w:val="single" w:color="auto" w:sz="4" w:space="0"/>
              <w:bottom w:val="single" w:color="auto" w:sz="4" w:space="0"/>
              <w:right w:val="single" w:color="auto" w:sz="8" w:space="0"/>
            </w:tcBorders>
            <w:vAlign w:val="center"/>
          </w:tcPr>
          <w:p w14:paraId="71BF20BC">
            <w:pPr>
              <w:adjustRightInd w:val="0"/>
              <w:snapToGrid w:val="0"/>
              <w:spacing w:line="240" w:lineRule="auto"/>
              <w:jc w:val="center"/>
              <w:rPr>
                <w:rFonts w:hint="default" w:eastAsia="宋体"/>
                <w:color w:val="auto"/>
                <w:szCs w:val="24"/>
                <w:highlight w:val="none"/>
                <w:lang w:val="en-US" w:eastAsia="zh-CN"/>
              </w:rPr>
            </w:pPr>
            <w:r>
              <w:rPr>
                <w:rFonts w:hint="eastAsia"/>
                <w:b w:val="0"/>
                <w:bCs w:val="0"/>
                <w:color w:val="auto"/>
                <w:szCs w:val="24"/>
                <w:highlight w:val="none"/>
                <w:u w:val="none"/>
                <w:lang w:val="en-US" w:eastAsia="zh-CN"/>
              </w:rPr>
              <w:t>******</w:t>
            </w:r>
          </w:p>
        </w:tc>
      </w:tr>
      <w:tr w14:paraId="22F2CD98">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3"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14:paraId="39EFCF28">
            <w:pPr>
              <w:keepNext w:val="0"/>
              <w:keepLines w:val="0"/>
              <w:pageBreakBefore w:val="0"/>
              <w:widowControl w:val="0"/>
              <w:kinsoku/>
              <w:wordWrap/>
              <w:overflowPunct/>
              <w:topLinePunct w:val="0"/>
              <w:bidi w:val="0"/>
              <w:adjustRightInd w:val="0"/>
              <w:snapToGrid w:val="0"/>
              <w:spacing w:line="240" w:lineRule="auto"/>
              <w:ind w:left="-72" w:leftChars="-30" w:right="-72" w:rightChars="-30"/>
              <w:jc w:val="center"/>
              <w:textAlignment w:val="auto"/>
              <w:rPr>
                <w:color w:val="auto"/>
                <w:szCs w:val="24"/>
                <w:highlight w:val="none"/>
              </w:rPr>
            </w:pPr>
            <w:r>
              <w:rPr>
                <w:rFonts w:hAnsi="宋体"/>
                <w:color w:val="auto"/>
                <w:szCs w:val="24"/>
                <w:highlight w:val="none"/>
              </w:rPr>
              <w:t>建设地点</w:t>
            </w:r>
          </w:p>
        </w:tc>
        <w:tc>
          <w:tcPr>
            <w:tcW w:w="4056" w:type="pct"/>
            <w:gridSpan w:val="3"/>
            <w:tcBorders>
              <w:top w:val="single" w:color="auto" w:sz="4" w:space="0"/>
              <w:left w:val="single" w:color="auto" w:sz="4" w:space="0"/>
              <w:bottom w:val="single" w:color="auto" w:sz="4" w:space="0"/>
              <w:right w:val="single" w:color="auto" w:sz="8" w:space="0"/>
            </w:tcBorders>
            <w:vAlign w:val="center"/>
          </w:tcPr>
          <w:p w14:paraId="31C9A197">
            <w:pPr>
              <w:adjustRightInd w:val="0"/>
              <w:snapToGrid w:val="0"/>
              <w:spacing w:line="240" w:lineRule="auto"/>
              <w:jc w:val="center"/>
              <w:rPr>
                <w:rFonts w:hint="default" w:eastAsia="宋体"/>
                <w:color w:val="auto"/>
                <w:szCs w:val="24"/>
                <w:highlight w:val="none"/>
                <w:lang w:val="en-US" w:eastAsia="zh-CN"/>
              </w:rPr>
            </w:pPr>
            <w:r>
              <w:rPr>
                <w:rFonts w:hint="eastAsia"/>
                <w:b w:val="0"/>
                <w:bCs w:val="0"/>
                <w:color w:val="auto"/>
                <w:szCs w:val="24"/>
                <w:highlight w:val="none"/>
                <w:u w:val="none"/>
                <w:lang w:val="en-US" w:eastAsia="zh-CN"/>
              </w:rPr>
              <w:t>******</w:t>
            </w:r>
          </w:p>
        </w:tc>
      </w:tr>
      <w:tr w14:paraId="0D7BB5E5">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3"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14:paraId="4F22E03E">
            <w:pPr>
              <w:keepNext w:val="0"/>
              <w:keepLines w:val="0"/>
              <w:pageBreakBefore w:val="0"/>
              <w:widowControl w:val="0"/>
              <w:kinsoku/>
              <w:wordWrap/>
              <w:overflowPunct/>
              <w:topLinePunct w:val="0"/>
              <w:bidi w:val="0"/>
              <w:adjustRightInd w:val="0"/>
              <w:snapToGrid w:val="0"/>
              <w:spacing w:line="240" w:lineRule="auto"/>
              <w:ind w:left="-72" w:leftChars="-30" w:right="-72" w:rightChars="-30"/>
              <w:jc w:val="center"/>
              <w:textAlignment w:val="auto"/>
              <w:rPr>
                <w:color w:val="auto"/>
                <w:szCs w:val="24"/>
                <w:highlight w:val="none"/>
              </w:rPr>
            </w:pPr>
            <w:r>
              <w:rPr>
                <w:rFonts w:hAnsi="宋体"/>
                <w:color w:val="auto"/>
                <w:szCs w:val="24"/>
                <w:highlight w:val="none"/>
              </w:rPr>
              <w:t>地理坐标</w:t>
            </w:r>
          </w:p>
        </w:tc>
        <w:tc>
          <w:tcPr>
            <w:tcW w:w="4056" w:type="pct"/>
            <w:gridSpan w:val="3"/>
            <w:tcBorders>
              <w:top w:val="single" w:color="auto" w:sz="4" w:space="0"/>
              <w:left w:val="single" w:color="auto" w:sz="4" w:space="0"/>
              <w:bottom w:val="single" w:color="auto" w:sz="4" w:space="0"/>
              <w:right w:val="single" w:color="auto" w:sz="8" w:space="0"/>
            </w:tcBorders>
            <w:vAlign w:val="center"/>
          </w:tcPr>
          <w:p w14:paraId="71BE513D">
            <w:pPr>
              <w:adjustRightInd w:val="0"/>
              <w:snapToGrid w:val="0"/>
              <w:spacing w:line="240" w:lineRule="auto"/>
              <w:jc w:val="center"/>
              <w:rPr>
                <w:rFonts w:hint="eastAsia" w:eastAsia="宋体"/>
                <w:color w:val="auto"/>
                <w:szCs w:val="24"/>
                <w:highlight w:val="none"/>
                <w:lang w:eastAsia="zh-CN"/>
              </w:rPr>
            </w:pPr>
            <w:r>
              <w:rPr>
                <w:color w:val="auto"/>
                <w:szCs w:val="21"/>
                <w:highlight w:val="none"/>
              </w:rPr>
              <w:t>（</w:t>
            </w:r>
            <w:r>
              <w:rPr>
                <w:rFonts w:hint="eastAsia"/>
                <w:color w:val="auto"/>
                <w:szCs w:val="21"/>
                <w:highlight w:val="none"/>
                <w:lang w:val="en-US" w:eastAsia="zh-CN"/>
              </w:rPr>
              <w:t>经度：</w:t>
            </w:r>
            <w:r>
              <w:rPr>
                <w:rFonts w:hint="eastAsia"/>
                <w:color w:val="auto"/>
                <w:szCs w:val="21"/>
                <w:highlight w:val="none"/>
                <w:u w:val="single"/>
                <w:lang w:val="en-US" w:eastAsia="zh-CN"/>
              </w:rPr>
              <w:t>***</w:t>
            </w:r>
            <w:r>
              <w:rPr>
                <w:color w:val="auto"/>
                <w:szCs w:val="21"/>
                <w:highlight w:val="none"/>
              </w:rPr>
              <w:t>度</w:t>
            </w:r>
            <w:r>
              <w:rPr>
                <w:rFonts w:hint="eastAsia"/>
                <w:color w:val="auto"/>
                <w:szCs w:val="21"/>
                <w:highlight w:val="none"/>
                <w:u w:val="single"/>
                <w:lang w:val="en-US" w:eastAsia="zh-CN"/>
              </w:rPr>
              <w:t>***</w:t>
            </w:r>
            <w:r>
              <w:rPr>
                <w:color w:val="auto"/>
                <w:szCs w:val="21"/>
                <w:highlight w:val="none"/>
              </w:rPr>
              <w:t>分</w:t>
            </w:r>
            <w:r>
              <w:rPr>
                <w:rFonts w:hint="eastAsia"/>
                <w:color w:val="auto"/>
                <w:szCs w:val="21"/>
                <w:highlight w:val="none"/>
                <w:u w:val="single"/>
                <w:lang w:val="en-US" w:eastAsia="zh-CN"/>
              </w:rPr>
              <w:t>***</w:t>
            </w:r>
            <w:r>
              <w:rPr>
                <w:color w:val="auto"/>
                <w:szCs w:val="21"/>
                <w:highlight w:val="none"/>
              </w:rPr>
              <w:t>秒，</w:t>
            </w:r>
            <w:r>
              <w:rPr>
                <w:rFonts w:hint="eastAsia"/>
                <w:color w:val="auto"/>
                <w:szCs w:val="21"/>
                <w:highlight w:val="none"/>
                <w:u w:val="none"/>
                <w:lang w:val="en-US" w:eastAsia="zh-CN"/>
              </w:rPr>
              <w:t>纬度：</w:t>
            </w:r>
            <w:r>
              <w:rPr>
                <w:rFonts w:hint="eastAsia"/>
                <w:color w:val="auto"/>
                <w:szCs w:val="21"/>
                <w:highlight w:val="none"/>
                <w:u w:val="single"/>
                <w:lang w:val="en-US" w:eastAsia="zh-CN"/>
              </w:rPr>
              <w:t>***</w:t>
            </w:r>
            <w:r>
              <w:rPr>
                <w:color w:val="auto"/>
                <w:szCs w:val="21"/>
                <w:highlight w:val="none"/>
              </w:rPr>
              <w:t>度</w:t>
            </w:r>
            <w:r>
              <w:rPr>
                <w:rFonts w:hint="eastAsia"/>
                <w:color w:val="auto"/>
                <w:szCs w:val="21"/>
                <w:highlight w:val="none"/>
                <w:u w:val="single"/>
                <w:lang w:val="en-US" w:eastAsia="zh-CN"/>
              </w:rPr>
              <w:t>***</w:t>
            </w:r>
            <w:r>
              <w:rPr>
                <w:color w:val="auto"/>
                <w:szCs w:val="21"/>
                <w:highlight w:val="none"/>
              </w:rPr>
              <w:t>分</w:t>
            </w:r>
            <w:r>
              <w:rPr>
                <w:rFonts w:hint="eastAsia"/>
                <w:color w:val="auto"/>
                <w:szCs w:val="21"/>
                <w:highlight w:val="none"/>
                <w:u w:val="single"/>
                <w:lang w:val="en-US" w:eastAsia="zh-CN"/>
              </w:rPr>
              <w:t>***</w:t>
            </w:r>
            <w:r>
              <w:rPr>
                <w:color w:val="auto"/>
                <w:szCs w:val="21"/>
                <w:highlight w:val="none"/>
              </w:rPr>
              <w:t>秒</w:t>
            </w:r>
            <w:r>
              <w:rPr>
                <w:rFonts w:hint="eastAsia"/>
                <w:color w:val="auto"/>
                <w:szCs w:val="21"/>
                <w:highlight w:val="none"/>
                <w:lang w:eastAsia="zh-CN"/>
              </w:rPr>
              <w:t>）</w:t>
            </w:r>
          </w:p>
        </w:tc>
      </w:tr>
      <w:tr w14:paraId="6EB34710">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3"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14:paraId="667BBBE9">
            <w:pPr>
              <w:adjustRightInd w:val="0"/>
              <w:snapToGrid w:val="0"/>
              <w:spacing w:line="240" w:lineRule="auto"/>
              <w:jc w:val="center"/>
              <w:rPr>
                <w:rFonts w:hint="eastAsia" w:ascii="Calibri" w:hAnsi="Calibri" w:eastAsia="宋体" w:cs="Times New Roman"/>
                <w:color w:val="auto"/>
                <w:szCs w:val="21"/>
                <w:highlight w:val="none"/>
                <w:lang w:val="en-US" w:eastAsia="zh-CN"/>
              </w:rPr>
            </w:pPr>
            <w:r>
              <w:rPr>
                <w:rFonts w:hint="eastAsia" w:ascii="Calibri" w:hAnsi="Calibri" w:eastAsia="宋体" w:cs="Times New Roman"/>
                <w:color w:val="auto"/>
                <w:szCs w:val="21"/>
                <w:highlight w:val="none"/>
                <w:lang w:val="en-US" w:eastAsia="zh-CN"/>
              </w:rPr>
              <w:t>国民经济</w:t>
            </w:r>
          </w:p>
          <w:p w14:paraId="57C52B25">
            <w:pPr>
              <w:adjustRightInd w:val="0"/>
              <w:snapToGrid w:val="0"/>
              <w:spacing w:line="240" w:lineRule="auto"/>
              <w:jc w:val="center"/>
              <w:rPr>
                <w:rFonts w:hint="eastAsia" w:ascii="Calibri" w:hAnsi="Calibri" w:eastAsia="宋体" w:cs="Times New Roman"/>
                <w:color w:val="auto"/>
                <w:szCs w:val="21"/>
                <w:highlight w:val="none"/>
                <w:lang w:val="en-US" w:eastAsia="zh-CN"/>
              </w:rPr>
            </w:pPr>
            <w:r>
              <w:rPr>
                <w:rFonts w:hint="eastAsia" w:ascii="Calibri" w:hAnsi="Calibri" w:eastAsia="宋体" w:cs="Times New Roman"/>
                <w:color w:val="auto"/>
                <w:szCs w:val="21"/>
                <w:highlight w:val="none"/>
                <w:lang w:val="en-US" w:eastAsia="zh-CN"/>
              </w:rPr>
              <w:t>行业类别</w:t>
            </w:r>
          </w:p>
        </w:tc>
        <w:tc>
          <w:tcPr>
            <w:tcW w:w="1446" w:type="pct"/>
            <w:tcBorders>
              <w:top w:val="single" w:color="auto" w:sz="4" w:space="0"/>
              <w:left w:val="single" w:color="auto" w:sz="4" w:space="0"/>
              <w:bottom w:val="single" w:color="auto" w:sz="4" w:space="0"/>
              <w:right w:val="single" w:color="auto" w:sz="4" w:space="0"/>
            </w:tcBorders>
            <w:vAlign w:val="center"/>
          </w:tcPr>
          <w:p w14:paraId="40F4C84C">
            <w:pPr>
              <w:adjustRightInd w:val="0"/>
              <w:snapToGrid w:val="0"/>
              <w:spacing w:line="240" w:lineRule="auto"/>
              <w:jc w:val="center"/>
              <w:rPr>
                <w:rFonts w:hint="default" w:ascii="Calibri" w:hAnsi="Calibri" w:eastAsia="宋体" w:cs="Times New Roman"/>
                <w:color w:val="auto"/>
                <w:szCs w:val="21"/>
                <w:highlight w:val="none"/>
                <w:lang w:val="en-US" w:eastAsia="zh-CN"/>
              </w:rPr>
            </w:pPr>
            <w:r>
              <w:rPr>
                <w:rFonts w:hint="eastAsia"/>
                <w:b w:val="0"/>
                <w:bCs w:val="0"/>
                <w:color w:val="auto"/>
                <w:szCs w:val="24"/>
                <w:highlight w:val="none"/>
                <w:u w:val="none"/>
                <w:lang w:val="en-US" w:eastAsia="zh-CN"/>
              </w:rPr>
              <w:t>M7452 检测服务</w:t>
            </w:r>
          </w:p>
        </w:tc>
        <w:tc>
          <w:tcPr>
            <w:tcW w:w="813" w:type="pct"/>
            <w:tcBorders>
              <w:top w:val="single" w:color="auto" w:sz="4" w:space="0"/>
              <w:left w:val="single" w:color="auto" w:sz="4" w:space="0"/>
              <w:bottom w:val="single" w:color="auto" w:sz="4" w:space="0"/>
              <w:right w:val="single" w:color="auto" w:sz="4" w:space="0"/>
            </w:tcBorders>
            <w:vAlign w:val="center"/>
          </w:tcPr>
          <w:p w14:paraId="25822DF5">
            <w:pPr>
              <w:adjustRightInd w:val="0"/>
              <w:snapToGrid w:val="0"/>
              <w:spacing w:line="240" w:lineRule="auto"/>
              <w:jc w:val="center"/>
              <w:rPr>
                <w:rFonts w:hint="eastAsia" w:ascii="Calibri" w:hAnsi="Calibri" w:eastAsia="宋体" w:cs="Times New Roman"/>
                <w:color w:val="auto"/>
                <w:szCs w:val="21"/>
                <w:highlight w:val="none"/>
                <w:lang w:val="en-US" w:eastAsia="zh-CN"/>
              </w:rPr>
            </w:pPr>
            <w:r>
              <w:rPr>
                <w:rFonts w:hint="eastAsia" w:ascii="Calibri" w:hAnsi="Calibri" w:eastAsia="宋体" w:cs="Times New Roman"/>
                <w:color w:val="auto"/>
                <w:szCs w:val="21"/>
                <w:highlight w:val="none"/>
                <w:lang w:val="en-US" w:eastAsia="zh-CN"/>
              </w:rPr>
              <w:t>建设项目</w:t>
            </w:r>
          </w:p>
          <w:p w14:paraId="03826CEC">
            <w:pPr>
              <w:adjustRightInd w:val="0"/>
              <w:snapToGrid w:val="0"/>
              <w:spacing w:line="240" w:lineRule="auto"/>
              <w:jc w:val="center"/>
              <w:rPr>
                <w:rFonts w:hint="default" w:ascii="Calibri" w:hAnsi="Calibri" w:eastAsia="宋体" w:cs="Times New Roman"/>
                <w:color w:val="auto"/>
                <w:szCs w:val="21"/>
                <w:highlight w:val="none"/>
                <w:lang w:val="en-US" w:eastAsia="zh-CN"/>
              </w:rPr>
            </w:pPr>
            <w:r>
              <w:rPr>
                <w:rFonts w:hint="eastAsia" w:ascii="Calibri" w:hAnsi="Calibri" w:eastAsia="宋体" w:cs="Times New Roman"/>
                <w:color w:val="auto"/>
                <w:szCs w:val="21"/>
                <w:highlight w:val="none"/>
                <w:lang w:val="en-US" w:eastAsia="zh-CN"/>
              </w:rPr>
              <w:t>行业类别</w:t>
            </w:r>
          </w:p>
        </w:tc>
        <w:tc>
          <w:tcPr>
            <w:tcW w:w="1796" w:type="pct"/>
            <w:tcBorders>
              <w:top w:val="single" w:color="auto" w:sz="4" w:space="0"/>
              <w:left w:val="single" w:color="auto" w:sz="4" w:space="0"/>
              <w:bottom w:val="single" w:color="auto" w:sz="4" w:space="0"/>
              <w:right w:val="single" w:color="auto" w:sz="8" w:space="0"/>
            </w:tcBorders>
            <w:vAlign w:val="center"/>
          </w:tcPr>
          <w:p w14:paraId="1B03DF35">
            <w:pPr>
              <w:adjustRightInd w:val="0"/>
              <w:snapToGrid w:val="0"/>
              <w:spacing w:line="240" w:lineRule="auto"/>
              <w:jc w:val="center"/>
              <w:rPr>
                <w:rFonts w:hint="default" w:ascii="Calibri" w:hAnsi="Calibri" w:eastAsia="宋体" w:cs="Times New Roman"/>
                <w:color w:val="auto"/>
                <w:szCs w:val="21"/>
                <w:highlight w:val="none"/>
                <w:lang w:val="en-US" w:eastAsia="zh-CN"/>
              </w:rPr>
            </w:pPr>
            <w:r>
              <w:rPr>
                <w:rFonts w:hint="eastAsia" w:ascii="Calibri" w:hAnsi="Calibri" w:eastAsia="宋体" w:cs="Times New Roman"/>
                <w:color w:val="auto"/>
                <w:szCs w:val="21"/>
                <w:highlight w:val="none"/>
                <w:lang w:val="en-US" w:eastAsia="zh-CN"/>
              </w:rPr>
              <w:t>四十五、研究和试验发展；98、专业实验室、研发（试验）基地中的其他（不产生实验废气、废水、危险废物的除外）</w:t>
            </w:r>
          </w:p>
        </w:tc>
      </w:tr>
      <w:tr w14:paraId="447D950A">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3"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14:paraId="122193EB">
            <w:pPr>
              <w:keepNext w:val="0"/>
              <w:keepLines w:val="0"/>
              <w:pageBreakBefore w:val="0"/>
              <w:widowControl w:val="0"/>
              <w:kinsoku/>
              <w:wordWrap/>
              <w:overflowPunct/>
              <w:topLinePunct w:val="0"/>
              <w:bidi w:val="0"/>
              <w:adjustRightInd w:val="0"/>
              <w:snapToGrid w:val="0"/>
              <w:spacing w:line="240" w:lineRule="auto"/>
              <w:ind w:left="-72" w:leftChars="-30" w:right="-72" w:rightChars="-30"/>
              <w:jc w:val="center"/>
              <w:textAlignment w:val="auto"/>
              <w:rPr>
                <w:color w:val="auto"/>
                <w:szCs w:val="24"/>
                <w:highlight w:val="none"/>
              </w:rPr>
            </w:pPr>
            <w:r>
              <w:rPr>
                <w:rFonts w:hAnsi="宋体"/>
                <w:color w:val="auto"/>
                <w:szCs w:val="24"/>
                <w:highlight w:val="none"/>
              </w:rPr>
              <w:t>建设性质</w:t>
            </w:r>
          </w:p>
        </w:tc>
        <w:tc>
          <w:tcPr>
            <w:tcW w:w="1446" w:type="pct"/>
            <w:tcBorders>
              <w:top w:val="single" w:color="auto" w:sz="4" w:space="0"/>
              <w:left w:val="single" w:color="auto" w:sz="4" w:space="0"/>
              <w:bottom w:val="single" w:color="auto" w:sz="4" w:space="0"/>
              <w:right w:val="single" w:color="auto" w:sz="4" w:space="0"/>
            </w:tcBorders>
            <w:vAlign w:val="center"/>
          </w:tcPr>
          <w:p w14:paraId="016D4433">
            <w:pPr>
              <w:keepNext w:val="0"/>
              <w:keepLines w:val="0"/>
              <w:pageBreakBefore w:val="0"/>
              <w:widowControl w:val="0"/>
              <w:kinsoku/>
              <w:wordWrap/>
              <w:overflowPunct/>
              <w:topLinePunct w:val="0"/>
              <w:autoSpaceDE/>
              <w:autoSpaceDN/>
              <w:bidi w:val="0"/>
              <w:adjustRightInd/>
              <w:snapToGrid/>
              <w:spacing w:line="240" w:lineRule="auto"/>
              <w:ind w:left="120" w:leftChars="50"/>
              <w:textAlignment w:val="auto"/>
              <w:rPr>
                <w:rFonts w:hint="eastAsia" w:eastAsia="宋体"/>
                <w:color w:val="auto"/>
                <w:szCs w:val="24"/>
                <w:highlight w:val="none"/>
                <w:lang w:eastAsia="zh-CN"/>
              </w:rPr>
            </w:pPr>
            <w:r>
              <w:rPr>
                <w:rFonts w:hAnsi="宋体"/>
                <w:bCs/>
                <w:color w:val="auto"/>
                <w:szCs w:val="24"/>
                <w:highlight w:val="none"/>
              </w:rPr>
              <w:sym w:font="Wingdings" w:char="00FE"/>
            </w:r>
            <w:r>
              <w:rPr>
                <w:rFonts w:hAnsi="宋体"/>
                <w:color w:val="auto"/>
                <w:szCs w:val="24"/>
                <w:highlight w:val="none"/>
              </w:rPr>
              <w:t>新建</w:t>
            </w:r>
            <w:r>
              <w:rPr>
                <w:rFonts w:hint="eastAsia" w:hAnsi="宋体"/>
                <w:color w:val="auto"/>
                <w:szCs w:val="24"/>
                <w:highlight w:val="none"/>
                <w:lang w:eastAsia="zh-CN"/>
              </w:rPr>
              <w:t>(</w:t>
            </w:r>
            <w:r>
              <w:rPr>
                <w:rFonts w:hAnsi="宋体"/>
                <w:color w:val="auto"/>
                <w:szCs w:val="24"/>
                <w:highlight w:val="none"/>
              </w:rPr>
              <w:t>迁建</w:t>
            </w:r>
            <w:r>
              <w:rPr>
                <w:rFonts w:hint="eastAsia" w:hAnsi="宋体"/>
                <w:color w:val="auto"/>
                <w:szCs w:val="24"/>
                <w:highlight w:val="none"/>
                <w:lang w:eastAsia="zh-CN"/>
              </w:rPr>
              <w:t>)</w:t>
            </w:r>
          </w:p>
          <w:p w14:paraId="7A0932DD">
            <w:pPr>
              <w:keepNext w:val="0"/>
              <w:keepLines w:val="0"/>
              <w:pageBreakBefore w:val="0"/>
              <w:widowControl w:val="0"/>
              <w:kinsoku/>
              <w:wordWrap/>
              <w:overflowPunct/>
              <w:topLinePunct w:val="0"/>
              <w:autoSpaceDE/>
              <w:autoSpaceDN/>
              <w:bidi w:val="0"/>
              <w:adjustRightInd/>
              <w:snapToGrid/>
              <w:spacing w:line="240" w:lineRule="auto"/>
              <w:ind w:left="120" w:leftChars="50"/>
              <w:textAlignment w:val="auto"/>
              <w:rPr>
                <w:color w:val="auto"/>
                <w:szCs w:val="24"/>
                <w:highlight w:val="none"/>
              </w:rPr>
            </w:pPr>
            <w:r>
              <w:rPr>
                <w:rFonts w:hAnsi="宋体"/>
                <w:color w:val="auto"/>
                <w:szCs w:val="24"/>
                <w:highlight w:val="none"/>
              </w:rPr>
              <w:sym w:font="Wingdings" w:char="00A8"/>
            </w:r>
            <w:r>
              <w:rPr>
                <w:rFonts w:hAnsi="宋体"/>
                <w:color w:val="auto"/>
                <w:szCs w:val="24"/>
                <w:highlight w:val="none"/>
              </w:rPr>
              <w:t>改建</w:t>
            </w:r>
          </w:p>
          <w:p w14:paraId="3D1638A6">
            <w:pPr>
              <w:keepNext w:val="0"/>
              <w:keepLines w:val="0"/>
              <w:pageBreakBefore w:val="0"/>
              <w:widowControl w:val="0"/>
              <w:kinsoku/>
              <w:wordWrap/>
              <w:overflowPunct/>
              <w:topLinePunct w:val="0"/>
              <w:autoSpaceDE/>
              <w:autoSpaceDN/>
              <w:bidi w:val="0"/>
              <w:adjustRightInd/>
              <w:snapToGrid/>
              <w:spacing w:line="240" w:lineRule="auto"/>
              <w:ind w:left="120" w:leftChars="50"/>
              <w:textAlignment w:val="auto"/>
              <w:rPr>
                <w:color w:val="auto"/>
                <w:szCs w:val="24"/>
                <w:highlight w:val="none"/>
              </w:rPr>
            </w:pPr>
            <w:r>
              <w:rPr>
                <w:rFonts w:hAnsi="宋体"/>
                <w:bCs/>
                <w:color w:val="auto"/>
                <w:szCs w:val="24"/>
                <w:highlight w:val="none"/>
              </w:rPr>
              <w:sym w:font="Wingdings" w:char="00A8"/>
            </w:r>
            <w:r>
              <w:rPr>
                <w:rFonts w:hAnsi="宋体"/>
                <w:color w:val="auto"/>
                <w:szCs w:val="24"/>
                <w:highlight w:val="none"/>
              </w:rPr>
              <w:t>扩建</w:t>
            </w:r>
          </w:p>
          <w:p w14:paraId="37798609">
            <w:pPr>
              <w:keepNext w:val="0"/>
              <w:keepLines w:val="0"/>
              <w:pageBreakBefore w:val="0"/>
              <w:widowControl w:val="0"/>
              <w:kinsoku/>
              <w:wordWrap/>
              <w:overflowPunct/>
              <w:topLinePunct w:val="0"/>
              <w:autoSpaceDE/>
              <w:autoSpaceDN/>
              <w:bidi w:val="0"/>
              <w:adjustRightInd/>
              <w:snapToGrid/>
              <w:spacing w:line="240" w:lineRule="auto"/>
              <w:ind w:left="120" w:leftChars="50"/>
              <w:textAlignment w:val="auto"/>
              <w:rPr>
                <w:color w:val="auto"/>
                <w:szCs w:val="24"/>
                <w:highlight w:val="none"/>
              </w:rPr>
            </w:pPr>
            <w:r>
              <w:rPr>
                <w:rFonts w:hAnsi="宋体"/>
                <w:bCs/>
                <w:color w:val="auto"/>
                <w:szCs w:val="24"/>
                <w:highlight w:val="none"/>
              </w:rPr>
              <w:sym w:font="Wingdings" w:char="00A8"/>
            </w:r>
            <w:r>
              <w:rPr>
                <w:rFonts w:hAnsi="宋体"/>
                <w:color w:val="auto"/>
                <w:szCs w:val="24"/>
                <w:highlight w:val="none"/>
              </w:rPr>
              <w:t>技术改造</w:t>
            </w:r>
          </w:p>
        </w:tc>
        <w:tc>
          <w:tcPr>
            <w:tcW w:w="813" w:type="pct"/>
            <w:tcBorders>
              <w:top w:val="single" w:color="auto" w:sz="4" w:space="0"/>
              <w:left w:val="single" w:color="auto" w:sz="4" w:space="0"/>
              <w:bottom w:val="single" w:color="auto" w:sz="4" w:space="0"/>
              <w:right w:val="single" w:color="auto" w:sz="4" w:space="0"/>
            </w:tcBorders>
            <w:vAlign w:val="center"/>
          </w:tcPr>
          <w:p w14:paraId="40B6A981">
            <w:pPr>
              <w:adjustRightInd w:val="0"/>
              <w:snapToGrid w:val="0"/>
              <w:spacing w:line="240" w:lineRule="auto"/>
              <w:jc w:val="center"/>
              <w:rPr>
                <w:color w:val="auto"/>
                <w:szCs w:val="24"/>
                <w:highlight w:val="none"/>
              </w:rPr>
            </w:pPr>
            <w:r>
              <w:rPr>
                <w:rFonts w:hAnsi="宋体"/>
                <w:color w:val="auto"/>
                <w:szCs w:val="24"/>
                <w:highlight w:val="none"/>
              </w:rPr>
              <w:t>建设项目</w:t>
            </w:r>
          </w:p>
          <w:p w14:paraId="5F960B27">
            <w:pPr>
              <w:adjustRightInd w:val="0"/>
              <w:snapToGrid w:val="0"/>
              <w:spacing w:line="240" w:lineRule="auto"/>
              <w:jc w:val="center"/>
              <w:rPr>
                <w:color w:val="auto"/>
                <w:szCs w:val="24"/>
                <w:highlight w:val="none"/>
              </w:rPr>
            </w:pPr>
            <w:r>
              <w:rPr>
                <w:rFonts w:hAnsi="宋体"/>
                <w:color w:val="auto"/>
                <w:szCs w:val="24"/>
                <w:highlight w:val="none"/>
              </w:rPr>
              <w:t>申报情形</w:t>
            </w:r>
          </w:p>
        </w:tc>
        <w:tc>
          <w:tcPr>
            <w:tcW w:w="1796" w:type="pct"/>
            <w:tcBorders>
              <w:top w:val="single" w:color="auto" w:sz="4" w:space="0"/>
              <w:left w:val="single" w:color="auto" w:sz="4" w:space="0"/>
              <w:bottom w:val="single" w:color="auto" w:sz="4" w:space="0"/>
              <w:right w:val="single" w:color="auto" w:sz="8" w:space="0"/>
            </w:tcBorders>
            <w:vAlign w:val="center"/>
          </w:tcPr>
          <w:p w14:paraId="5CF5D062">
            <w:pPr>
              <w:keepNext w:val="0"/>
              <w:keepLines w:val="0"/>
              <w:pageBreakBefore w:val="0"/>
              <w:widowControl w:val="0"/>
              <w:kinsoku/>
              <w:wordWrap/>
              <w:overflowPunct/>
              <w:topLinePunct w:val="0"/>
              <w:autoSpaceDE/>
              <w:autoSpaceDN/>
              <w:bidi w:val="0"/>
              <w:adjustRightInd/>
              <w:snapToGrid/>
              <w:spacing w:line="240" w:lineRule="auto"/>
              <w:ind w:left="120" w:leftChars="50"/>
              <w:textAlignment w:val="auto"/>
              <w:rPr>
                <w:color w:val="auto"/>
                <w:szCs w:val="24"/>
                <w:highlight w:val="none"/>
              </w:rPr>
            </w:pPr>
            <w:r>
              <w:rPr>
                <w:rFonts w:hAnsi="宋体"/>
                <w:color w:val="auto"/>
                <w:szCs w:val="24"/>
                <w:highlight w:val="none"/>
              </w:rPr>
              <w:sym w:font="Wingdings" w:char="00FE"/>
            </w:r>
            <w:r>
              <w:rPr>
                <w:rFonts w:hAnsi="宋体"/>
                <w:color w:val="auto"/>
                <w:szCs w:val="24"/>
                <w:highlight w:val="none"/>
              </w:rPr>
              <w:t>首次申报项目</w:t>
            </w:r>
            <w:r>
              <w:rPr>
                <w:color w:val="auto"/>
                <w:szCs w:val="24"/>
                <w:highlight w:val="none"/>
              </w:rPr>
              <w:t xml:space="preserve">             </w:t>
            </w:r>
          </w:p>
          <w:p w14:paraId="7019F162">
            <w:pPr>
              <w:keepNext w:val="0"/>
              <w:keepLines w:val="0"/>
              <w:pageBreakBefore w:val="0"/>
              <w:widowControl w:val="0"/>
              <w:kinsoku/>
              <w:wordWrap/>
              <w:overflowPunct/>
              <w:topLinePunct w:val="0"/>
              <w:autoSpaceDE/>
              <w:autoSpaceDN/>
              <w:bidi w:val="0"/>
              <w:adjustRightInd/>
              <w:snapToGrid/>
              <w:spacing w:line="240" w:lineRule="auto"/>
              <w:ind w:left="120" w:leftChars="50"/>
              <w:textAlignment w:val="auto"/>
              <w:rPr>
                <w:color w:val="auto"/>
                <w:szCs w:val="24"/>
                <w:highlight w:val="none"/>
              </w:rPr>
            </w:pPr>
            <w:r>
              <w:rPr>
                <w:rFonts w:hAnsi="宋体"/>
                <w:color w:val="auto"/>
                <w:szCs w:val="24"/>
                <w:highlight w:val="none"/>
              </w:rPr>
              <w:sym w:font="Wingdings" w:char="00A8"/>
            </w:r>
            <w:r>
              <w:rPr>
                <w:rFonts w:hAnsi="宋体"/>
                <w:color w:val="auto"/>
                <w:szCs w:val="24"/>
                <w:highlight w:val="none"/>
              </w:rPr>
              <w:t>不予批准后再次申报项目</w:t>
            </w:r>
          </w:p>
          <w:p w14:paraId="358CF57E">
            <w:pPr>
              <w:keepNext w:val="0"/>
              <w:keepLines w:val="0"/>
              <w:pageBreakBefore w:val="0"/>
              <w:widowControl w:val="0"/>
              <w:kinsoku/>
              <w:wordWrap/>
              <w:overflowPunct/>
              <w:topLinePunct w:val="0"/>
              <w:autoSpaceDE/>
              <w:autoSpaceDN/>
              <w:bidi w:val="0"/>
              <w:adjustRightInd/>
              <w:snapToGrid/>
              <w:spacing w:line="240" w:lineRule="auto"/>
              <w:ind w:left="120" w:leftChars="50"/>
              <w:textAlignment w:val="auto"/>
              <w:rPr>
                <w:color w:val="auto"/>
                <w:szCs w:val="24"/>
                <w:highlight w:val="none"/>
              </w:rPr>
            </w:pPr>
            <w:r>
              <w:rPr>
                <w:rFonts w:hAnsi="宋体"/>
                <w:color w:val="auto"/>
                <w:szCs w:val="24"/>
                <w:highlight w:val="none"/>
              </w:rPr>
              <w:sym w:font="Wingdings" w:char="00A8"/>
            </w:r>
            <w:r>
              <w:rPr>
                <w:rFonts w:hAnsi="宋体"/>
                <w:color w:val="auto"/>
                <w:szCs w:val="24"/>
                <w:highlight w:val="none"/>
              </w:rPr>
              <w:t>超五年重新审核项目</w:t>
            </w:r>
            <w:r>
              <w:rPr>
                <w:color w:val="auto"/>
                <w:szCs w:val="24"/>
                <w:highlight w:val="none"/>
              </w:rPr>
              <w:t xml:space="preserve">     </w:t>
            </w:r>
          </w:p>
          <w:p w14:paraId="40823DD1">
            <w:pPr>
              <w:keepNext w:val="0"/>
              <w:keepLines w:val="0"/>
              <w:pageBreakBefore w:val="0"/>
              <w:widowControl w:val="0"/>
              <w:kinsoku/>
              <w:wordWrap/>
              <w:overflowPunct/>
              <w:topLinePunct w:val="0"/>
              <w:autoSpaceDE/>
              <w:autoSpaceDN/>
              <w:bidi w:val="0"/>
              <w:adjustRightInd/>
              <w:snapToGrid/>
              <w:spacing w:line="240" w:lineRule="auto"/>
              <w:ind w:left="120" w:leftChars="50"/>
              <w:textAlignment w:val="auto"/>
              <w:rPr>
                <w:color w:val="auto"/>
                <w:szCs w:val="24"/>
                <w:highlight w:val="none"/>
              </w:rPr>
            </w:pPr>
            <w:r>
              <w:rPr>
                <w:rFonts w:hAnsi="宋体"/>
                <w:color w:val="auto"/>
                <w:szCs w:val="24"/>
                <w:highlight w:val="none"/>
              </w:rPr>
              <w:sym w:font="Wingdings" w:char="00A8"/>
            </w:r>
            <w:r>
              <w:rPr>
                <w:rFonts w:hAnsi="宋体"/>
                <w:color w:val="auto"/>
                <w:szCs w:val="24"/>
                <w:highlight w:val="none"/>
              </w:rPr>
              <w:t>重大变动重新报批项目</w:t>
            </w:r>
          </w:p>
        </w:tc>
      </w:tr>
      <w:tr w14:paraId="0104ED08">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3"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14:paraId="46E5BD0B">
            <w:pPr>
              <w:adjustRightInd w:val="0"/>
              <w:snapToGrid w:val="0"/>
              <w:spacing w:line="240" w:lineRule="auto"/>
              <w:jc w:val="center"/>
              <w:rPr>
                <w:rFonts w:hint="eastAsia" w:ascii="Calibri" w:hAnsi="Calibri" w:cs="Times New Roman"/>
                <w:color w:val="auto"/>
                <w:szCs w:val="21"/>
                <w:highlight w:val="none"/>
                <w:lang w:val="en-US" w:eastAsia="zh-CN"/>
              </w:rPr>
            </w:pPr>
            <w:r>
              <w:rPr>
                <w:rFonts w:hint="eastAsia" w:ascii="Calibri" w:hAnsi="Calibri" w:cs="Times New Roman"/>
                <w:color w:val="auto"/>
                <w:szCs w:val="21"/>
                <w:highlight w:val="none"/>
                <w:lang w:val="en-US" w:eastAsia="zh-CN"/>
              </w:rPr>
              <w:t>项目审批部门</w:t>
            </w:r>
          </w:p>
          <w:p w14:paraId="440253A7">
            <w:pPr>
              <w:adjustRightInd w:val="0"/>
              <w:snapToGrid w:val="0"/>
              <w:spacing w:line="240" w:lineRule="auto"/>
              <w:jc w:val="center"/>
              <w:rPr>
                <w:rFonts w:hint="eastAsia" w:ascii="Calibri" w:hAnsi="Calibri" w:cs="Times New Roman"/>
                <w:color w:val="auto"/>
                <w:szCs w:val="21"/>
                <w:highlight w:val="none"/>
                <w:lang w:val="en-US" w:eastAsia="zh-CN"/>
              </w:rPr>
            </w:pPr>
            <w:r>
              <w:rPr>
                <w:rFonts w:hint="eastAsia" w:ascii="Calibri" w:hAnsi="Calibri" w:cs="Times New Roman"/>
                <w:color w:val="auto"/>
                <w:szCs w:val="21"/>
                <w:highlight w:val="none"/>
                <w:lang w:val="en-US" w:eastAsia="zh-CN"/>
              </w:rPr>
              <w:t>(核准/备案)</w:t>
            </w:r>
          </w:p>
        </w:tc>
        <w:tc>
          <w:tcPr>
            <w:tcW w:w="1446" w:type="pct"/>
            <w:tcBorders>
              <w:top w:val="single" w:color="auto" w:sz="4" w:space="0"/>
              <w:left w:val="single" w:color="auto" w:sz="4" w:space="0"/>
              <w:bottom w:val="single" w:color="auto" w:sz="4" w:space="0"/>
              <w:right w:val="single" w:color="auto" w:sz="4" w:space="0"/>
            </w:tcBorders>
            <w:vAlign w:val="center"/>
          </w:tcPr>
          <w:p w14:paraId="297605DC">
            <w:pPr>
              <w:adjustRightInd w:val="0"/>
              <w:snapToGrid w:val="0"/>
              <w:spacing w:line="240" w:lineRule="auto"/>
              <w:jc w:val="center"/>
              <w:rPr>
                <w:rFonts w:hint="default" w:ascii="Calibri" w:hAnsi="Calibri" w:cs="Times New Roman"/>
                <w:color w:val="auto"/>
                <w:szCs w:val="21"/>
                <w:highlight w:val="none"/>
                <w:lang w:val="en-US" w:eastAsia="zh-CN"/>
              </w:rPr>
            </w:pPr>
            <w:r>
              <w:rPr>
                <w:rFonts w:hint="eastAsia" w:ascii="Calibri" w:hAnsi="Calibri" w:cs="Times New Roman"/>
                <w:color w:val="auto"/>
                <w:szCs w:val="21"/>
                <w:highlight w:val="none"/>
                <w:lang w:val="en-US" w:eastAsia="zh-CN"/>
              </w:rPr>
              <w:t>西安市新城区发展和改革委员会</w:t>
            </w:r>
          </w:p>
        </w:tc>
        <w:tc>
          <w:tcPr>
            <w:tcW w:w="813" w:type="pct"/>
            <w:tcBorders>
              <w:top w:val="single" w:color="auto" w:sz="4" w:space="0"/>
              <w:left w:val="single" w:color="auto" w:sz="4" w:space="0"/>
              <w:bottom w:val="single" w:color="auto" w:sz="4" w:space="0"/>
              <w:right w:val="single" w:color="auto" w:sz="4" w:space="0"/>
            </w:tcBorders>
            <w:vAlign w:val="center"/>
          </w:tcPr>
          <w:p w14:paraId="153B002C">
            <w:pPr>
              <w:adjustRightInd w:val="0"/>
              <w:snapToGrid w:val="0"/>
              <w:spacing w:line="240" w:lineRule="auto"/>
              <w:jc w:val="center"/>
              <w:rPr>
                <w:rFonts w:hAnsi="宋体"/>
                <w:color w:val="auto"/>
                <w:szCs w:val="24"/>
                <w:highlight w:val="none"/>
              </w:rPr>
            </w:pPr>
            <w:r>
              <w:rPr>
                <w:rFonts w:hAnsi="宋体"/>
                <w:color w:val="auto"/>
                <w:szCs w:val="24"/>
                <w:highlight w:val="none"/>
              </w:rPr>
              <w:t>项目审批文号</w:t>
            </w:r>
          </w:p>
          <w:p w14:paraId="33073074">
            <w:pPr>
              <w:adjustRightInd w:val="0"/>
              <w:snapToGrid w:val="0"/>
              <w:spacing w:line="240" w:lineRule="auto"/>
              <w:jc w:val="center"/>
              <w:rPr>
                <w:rFonts w:hint="eastAsia" w:eastAsia="宋体"/>
                <w:color w:val="auto"/>
                <w:szCs w:val="24"/>
                <w:highlight w:val="none"/>
                <w:lang w:eastAsia="zh-CN"/>
              </w:rPr>
            </w:pPr>
            <w:r>
              <w:rPr>
                <w:rFonts w:hint="eastAsia" w:hAnsi="宋体"/>
                <w:color w:val="auto"/>
                <w:szCs w:val="24"/>
                <w:highlight w:val="none"/>
                <w:lang w:eastAsia="zh-CN"/>
              </w:rPr>
              <w:t>(</w:t>
            </w:r>
            <w:r>
              <w:rPr>
                <w:rFonts w:hAnsi="宋体"/>
                <w:color w:val="auto"/>
                <w:szCs w:val="24"/>
                <w:highlight w:val="none"/>
              </w:rPr>
              <w:t>核准</w:t>
            </w:r>
            <w:r>
              <w:rPr>
                <w:color w:val="auto"/>
                <w:szCs w:val="24"/>
                <w:highlight w:val="none"/>
              </w:rPr>
              <w:t>/</w:t>
            </w:r>
            <w:r>
              <w:rPr>
                <w:rFonts w:hAnsi="宋体"/>
                <w:color w:val="auto"/>
                <w:szCs w:val="24"/>
                <w:highlight w:val="none"/>
              </w:rPr>
              <w:t>备案</w:t>
            </w:r>
            <w:r>
              <w:rPr>
                <w:rFonts w:hint="eastAsia" w:hAnsi="宋体"/>
                <w:color w:val="auto"/>
                <w:szCs w:val="24"/>
                <w:highlight w:val="none"/>
                <w:lang w:eastAsia="zh-CN"/>
              </w:rPr>
              <w:t>)</w:t>
            </w:r>
          </w:p>
        </w:tc>
        <w:tc>
          <w:tcPr>
            <w:tcW w:w="1796" w:type="pct"/>
            <w:tcBorders>
              <w:top w:val="single" w:color="auto" w:sz="4" w:space="0"/>
              <w:left w:val="single" w:color="auto" w:sz="4" w:space="0"/>
              <w:bottom w:val="single" w:color="auto" w:sz="4" w:space="0"/>
              <w:right w:val="single" w:color="auto" w:sz="8" w:space="0"/>
            </w:tcBorders>
            <w:vAlign w:val="center"/>
          </w:tcPr>
          <w:p w14:paraId="36C9D6BA">
            <w:pPr>
              <w:adjustRightInd w:val="0"/>
              <w:snapToGrid w:val="0"/>
              <w:spacing w:line="240" w:lineRule="auto"/>
              <w:jc w:val="center"/>
              <w:rPr>
                <w:rFonts w:hint="default" w:eastAsia="宋体"/>
                <w:color w:val="auto"/>
                <w:szCs w:val="24"/>
                <w:highlight w:val="none"/>
                <w:lang w:val="en-US" w:eastAsia="zh-CN"/>
              </w:rPr>
            </w:pPr>
            <w:r>
              <w:rPr>
                <w:rFonts w:hint="eastAsia"/>
                <w:color w:val="auto"/>
                <w:szCs w:val="24"/>
                <w:highlight w:val="none"/>
                <w:lang w:val="en-US" w:eastAsia="zh-CN"/>
              </w:rPr>
              <w:t>/</w:t>
            </w:r>
          </w:p>
        </w:tc>
      </w:tr>
      <w:tr w14:paraId="2EA70828">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3"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14:paraId="189D2E63">
            <w:pPr>
              <w:keepNext w:val="0"/>
              <w:keepLines w:val="0"/>
              <w:pageBreakBefore w:val="0"/>
              <w:widowControl w:val="0"/>
              <w:kinsoku/>
              <w:wordWrap/>
              <w:overflowPunct/>
              <w:topLinePunct w:val="0"/>
              <w:bidi w:val="0"/>
              <w:adjustRightInd w:val="0"/>
              <w:snapToGrid w:val="0"/>
              <w:spacing w:line="240" w:lineRule="auto"/>
              <w:ind w:left="-72" w:leftChars="-30" w:right="-72" w:rightChars="-30"/>
              <w:jc w:val="center"/>
              <w:textAlignment w:val="auto"/>
              <w:rPr>
                <w:rFonts w:hint="eastAsia" w:eastAsia="宋体"/>
                <w:color w:val="auto"/>
                <w:szCs w:val="24"/>
                <w:highlight w:val="none"/>
                <w:lang w:eastAsia="zh-CN"/>
              </w:rPr>
            </w:pPr>
            <w:r>
              <w:rPr>
                <w:rFonts w:hAnsi="宋体"/>
                <w:color w:val="auto"/>
                <w:szCs w:val="24"/>
                <w:highlight w:val="none"/>
              </w:rPr>
              <w:t>总投资</w:t>
            </w:r>
            <w:r>
              <w:rPr>
                <w:rFonts w:hint="eastAsia" w:hAnsi="宋体"/>
                <w:color w:val="auto"/>
                <w:szCs w:val="24"/>
                <w:highlight w:val="none"/>
                <w:lang w:eastAsia="zh-CN"/>
              </w:rPr>
              <w:t>(</w:t>
            </w:r>
            <w:r>
              <w:rPr>
                <w:rFonts w:hAnsi="宋体"/>
                <w:color w:val="auto"/>
                <w:szCs w:val="24"/>
                <w:highlight w:val="none"/>
              </w:rPr>
              <w:t>万元</w:t>
            </w:r>
            <w:r>
              <w:rPr>
                <w:rFonts w:hint="eastAsia" w:hAnsi="宋体"/>
                <w:color w:val="auto"/>
                <w:szCs w:val="24"/>
                <w:highlight w:val="none"/>
                <w:lang w:eastAsia="zh-CN"/>
              </w:rPr>
              <w:t>)</w:t>
            </w:r>
          </w:p>
        </w:tc>
        <w:tc>
          <w:tcPr>
            <w:tcW w:w="1446" w:type="pct"/>
            <w:tcBorders>
              <w:top w:val="single" w:color="auto" w:sz="4" w:space="0"/>
              <w:left w:val="single" w:color="auto" w:sz="4" w:space="0"/>
              <w:bottom w:val="single" w:color="auto" w:sz="4" w:space="0"/>
              <w:right w:val="single" w:color="auto" w:sz="4" w:space="0"/>
            </w:tcBorders>
            <w:vAlign w:val="center"/>
          </w:tcPr>
          <w:p w14:paraId="47963F8F">
            <w:pPr>
              <w:adjustRightInd w:val="0"/>
              <w:snapToGrid w:val="0"/>
              <w:spacing w:line="240" w:lineRule="auto"/>
              <w:jc w:val="center"/>
              <w:rPr>
                <w:rFonts w:hint="default" w:eastAsia="宋体"/>
                <w:color w:val="auto"/>
                <w:szCs w:val="24"/>
                <w:highlight w:val="none"/>
                <w:lang w:val="en-US" w:eastAsia="zh-CN"/>
              </w:rPr>
            </w:pPr>
            <w:r>
              <w:rPr>
                <w:rFonts w:hint="eastAsia"/>
                <w:color w:val="auto"/>
                <w:szCs w:val="24"/>
                <w:highlight w:val="none"/>
                <w:lang w:val="en-US" w:eastAsia="zh-CN"/>
              </w:rPr>
              <w:t>60</w:t>
            </w:r>
          </w:p>
        </w:tc>
        <w:tc>
          <w:tcPr>
            <w:tcW w:w="813" w:type="pct"/>
            <w:tcBorders>
              <w:top w:val="single" w:color="auto" w:sz="4" w:space="0"/>
              <w:left w:val="single" w:color="auto" w:sz="4" w:space="0"/>
              <w:bottom w:val="single" w:color="auto" w:sz="4" w:space="0"/>
              <w:right w:val="single" w:color="auto" w:sz="4" w:space="0"/>
            </w:tcBorders>
            <w:shd w:val="clear" w:color="auto" w:fill="auto"/>
            <w:tcMar>
              <w:top w:w="16" w:type="dxa"/>
              <w:left w:w="16" w:type="dxa"/>
              <w:bottom w:w="0" w:type="dxa"/>
              <w:right w:w="16" w:type="dxa"/>
            </w:tcMar>
            <w:vAlign w:val="center"/>
          </w:tcPr>
          <w:p w14:paraId="7D83D3E6">
            <w:pPr>
              <w:adjustRightInd w:val="0"/>
              <w:snapToGrid w:val="0"/>
              <w:spacing w:line="240" w:lineRule="auto"/>
              <w:jc w:val="center"/>
              <w:rPr>
                <w:rFonts w:hAnsi="宋体"/>
                <w:color w:val="auto"/>
                <w:szCs w:val="24"/>
                <w:highlight w:val="none"/>
              </w:rPr>
            </w:pPr>
            <w:r>
              <w:rPr>
                <w:rFonts w:hAnsi="宋体"/>
                <w:color w:val="auto"/>
                <w:szCs w:val="24"/>
                <w:highlight w:val="none"/>
              </w:rPr>
              <w:t>环保投资</w:t>
            </w:r>
          </w:p>
          <w:p w14:paraId="79820FD6">
            <w:pPr>
              <w:adjustRightInd w:val="0"/>
              <w:snapToGrid w:val="0"/>
              <w:spacing w:line="240" w:lineRule="auto"/>
              <w:jc w:val="center"/>
              <w:rPr>
                <w:rFonts w:hint="eastAsia" w:eastAsia="宋体"/>
                <w:color w:val="auto"/>
                <w:szCs w:val="24"/>
                <w:highlight w:val="none"/>
                <w:lang w:eastAsia="zh-CN"/>
              </w:rPr>
            </w:pPr>
            <w:r>
              <w:rPr>
                <w:rFonts w:hint="eastAsia" w:hAnsi="宋体"/>
                <w:color w:val="auto"/>
                <w:szCs w:val="24"/>
                <w:highlight w:val="none"/>
                <w:lang w:eastAsia="zh-CN"/>
              </w:rPr>
              <w:t>(</w:t>
            </w:r>
            <w:r>
              <w:rPr>
                <w:rFonts w:hAnsi="宋体"/>
                <w:color w:val="auto"/>
                <w:szCs w:val="24"/>
                <w:highlight w:val="none"/>
              </w:rPr>
              <w:t>万元</w:t>
            </w:r>
            <w:r>
              <w:rPr>
                <w:rFonts w:hint="eastAsia" w:hAnsi="宋体"/>
                <w:color w:val="auto"/>
                <w:szCs w:val="24"/>
                <w:highlight w:val="none"/>
                <w:lang w:eastAsia="zh-CN"/>
              </w:rPr>
              <w:t>)</w:t>
            </w:r>
          </w:p>
        </w:tc>
        <w:tc>
          <w:tcPr>
            <w:tcW w:w="1796" w:type="pct"/>
            <w:tcBorders>
              <w:top w:val="single" w:color="auto" w:sz="4" w:space="0"/>
              <w:left w:val="single" w:color="auto" w:sz="4" w:space="0"/>
              <w:bottom w:val="single" w:color="auto" w:sz="4" w:space="0"/>
              <w:right w:val="single" w:color="auto" w:sz="8" w:space="0"/>
            </w:tcBorders>
            <w:shd w:val="clear" w:color="auto" w:fill="auto"/>
            <w:vAlign w:val="center"/>
          </w:tcPr>
          <w:p w14:paraId="1EE2003B">
            <w:pPr>
              <w:adjustRightInd w:val="0"/>
              <w:snapToGrid w:val="0"/>
              <w:spacing w:line="240" w:lineRule="auto"/>
              <w:jc w:val="center"/>
              <w:rPr>
                <w:rFonts w:hint="default" w:eastAsia="宋体"/>
                <w:color w:val="auto"/>
                <w:szCs w:val="24"/>
                <w:highlight w:val="none"/>
                <w:lang w:val="en-US" w:eastAsia="zh-CN"/>
              </w:rPr>
            </w:pPr>
            <w:r>
              <w:rPr>
                <w:rFonts w:hint="eastAsia"/>
                <w:color w:val="auto"/>
                <w:szCs w:val="24"/>
                <w:highlight w:val="none"/>
                <w:lang w:val="en-US" w:eastAsia="zh-CN"/>
              </w:rPr>
              <w:t>7.2</w:t>
            </w:r>
          </w:p>
        </w:tc>
      </w:tr>
      <w:tr w14:paraId="4B4CDAC4">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3"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14:paraId="27A566D3">
            <w:pPr>
              <w:keepNext w:val="0"/>
              <w:keepLines w:val="0"/>
              <w:pageBreakBefore w:val="0"/>
              <w:widowControl w:val="0"/>
              <w:kinsoku/>
              <w:wordWrap/>
              <w:overflowPunct/>
              <w:topLinePunct w:val="0"/>
              <w:bidi w:val="0"/>
              <w:adjustRightInd w:val="0"/>
              <w:snapToGrid w:val="0"/>
              <w:spacing w:line="240" w:lineRule="auto"/>
              <w:ind w:left="-72" w:leftChars="-30" w:right="-72" w:rightChars="-30"/>
              <w:jc w:val="center"/>
              <w:textAlignment w:val="auto"/>
              <w:rPr>
                <w:rFonts w:hAnsi="宋体"/>
                <w:color w:val="auto"/>
                <w:szCs w:val="24"/>
                <w:highlight w:val="none"/>
              </w:rPr>
            </w:pPr>
            <w:r>
              <w:rPr>
                <w:rFonts w:hAnsi="宋体"/>
                <w:color w:val="auto"/>
                <w:szCs w:val="24"/>
                <w:highlight w:val="none"/>
              </w:rPr>
              <w:t>环保投资占比</w:t>
            </w:r>
          </w:p>
          <w:p w14:paraId="25054A32">
            <w:pPr>
              <w:keepNext w:val="0"/>
              <w:keepLines w:val="0"/>
              <w:pageBreakBefore w:val="0"/>
              <w:widowControl w:val="0"/>
              <w:kinsoku/>
              <w:wordWrap/>
              <w:overflowPunct/>
              <w:topLinePunct w:val="0"/>
              <w:bidi w:val="0"/>
              <w:adjustRightInd w:val="0"/>
              <w:snapToGrid w:val="0"/>
              <w:spacing w:line="240" w:lineRule="auto"/>
              <w:ind w:left="-72" w:leftChars="-30" w:right="-72" w:rightChars="-30"/>
              <w:jc w:val="center"/>
              <w:textAlignment w:val="auto"/>
              <w:rPr>
                <w:rFonts w:hint="eastAsia" w:eastAsia="宋体"/>
                <w:color w:val="auto"/>
                <w:szCs w:val="24"/>
                <w:highlight w:val="none"/>
                <w:lang w:eastAsia="zh-CN"/>
              </w:rPr>
            </w:pPr>
            <w:r>
              <w:rPr>
                <w:rFonts w:hint="eastAsia" w:hAnsi="宋体"/>
                <w:color w:val="auto"/>
                <w:szCs w:val="24"/>
                <w:highlight w:val="none"/>
                <w:lang w:eastAsia="zh-CN"/>
              </w:rPr>
              <w:t>(</w:t>
            </w:r>
            <w:r>
              <w:rPr>
                <w:color w:val="auto"/>
                <w:szCs w:val="24"/>
                <w:highlight w:val="none"/>
              </w:rPr>
              <w:t>%</w:t>
            </w:r>
            <w:r>
              <w:rPr>
                <w:rFonts w:hint="eastAsia" w:hAnsi="宋体"/>
                <w:color w:val="auto"/>
                <w:szCs w:val="24"/>
                <w:highlight w:val="none"/>
                <w:lang w:eastAsia="zh-CN"/>
              </w:rPr>
              <w:t>)</w:t>
            </w:r>
          </w:p>
        </w:tc>
        <w:tc>
          <w:tcPr>
            <w:tcW w:w="1446" w:type="pct"/>
            <w:tcBorders>
              <w:top w:val="single" w:color="auto" w:sz="4" w:space="0"/>
              <w:left w:val="single" w:color="auto" w:sz="4" w:space="0"/>
              <w:bottom w:val="single" w:color="auto" w:sz="4" w:space="0"/>
              <w:right w:val="single" w:color="auto" w:sz="4" w:space="0"/>
            </w:tcBorders>
            <w:vAlign w:val="center"/>
          </w:tcPr>
          <w:p w14:paraId="4033B5D7">
            <w:pPr>
              <w:adjustRightInd w:val="0"/>
              <w:snapToGrid w:val="0"/>
              <w:spacing w:line="240" w:lineRule="auto"/>
              <w:jc w:val="center"/>
              <w:rPr>
                <w:rFonts w:hint="default" w:eastAsia="宋体"/>
                <w:color w:val="auto"/>
                <w:szCs w:val="24"/>
                <w:highlight w:val="none"/>
                <w:lang w:val="en-US" w:eastAsia="zh-CN"/>
              </w:rPr>
            </w:pPr>
            <w:r>
              <w:rPr>
                <w:rFonts w:hint="eastAsia"/>
                <w:color w:val="auto"/>
                <w:szCs w:val="24"/>
                <w:highlight w:val="none"/>
                <w:lang w:val="en-US" w:eastAsia="zh-CN"/>
              </w:rPr>
              <w:t>12.0</w:t>
            </w:r>
          </w:p>
        </w:tc>
        <w:tc>
          <w:tcPr>
            <w:tcW w:w="813" w:type="pct"/>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14:paraId="7F5B850B">
            <w:pPr>
              <w:adjustRightInd w:val="0"/>
              <w:snapToGrid w:val="0"/>
              <w:spacing w:line="240" w:lineRule="auto"/>
              <w:jc w:val="center"/>
              <w:rPr>
                <w:color w:val="auto"/>
                <w:szCs w:val="24"/>
                <w:highlight w:val="none"/>
              </w:rPr>
            </w:pPr>
            <w:r>
              <w:rPr>
                <w:rFonts w:hAnsi="宋体"/>
                <w:color w:val="auto"/>
                <w:szCs w:val="24"/>
                <w:highlight w:val="none"/>
              </w:rPr>
              <w:t>施工工期</w:t>
            </w:r>
          </w:p>
        </w:tc>
        <w:tc>
          <w:tcPr>
            <w:tcW w:w="1796" w:type="pct"/>
            <w:tcBorders>
              <w:top w:val="single" w:color="auto" w:sz="4" w:space="0"/>
              <w:left w:val="single" w:color="auto" w:sz="4" w:space="0"/>
              <w:bottom w:val="single" w:color="auto" w:sz="4" w:space="0"/>
              <w:right w:val="single" w:color="auto" w:sz="8" w:space="0"/>
            </w:tcBorders>
            <w:vAlign w:val="center"/>
          </w:tcPr>
          <w:p w14:paraId="62E228D1">
            <w:pPr>
              <w:adjustRightInd w:val="0"/>
              <w:snapToGrid w:val="0"/>
              <w:spacing w:line="240" w:lineRule="auto"/>
              <w:jc w:val="center"/>
              <w:rPr>
                <w:color w:val="auto"/>
                <w:szCs w:val="24"/>
                <w:highlight w:val="none"/>
              </w:rPr>
            </w:pPr>
            <w:r>
              <w:rPr>
                <w:rFonts w:hint="eastAsia"/>
                <w:color w:val="auto"/>
                <w:szCs w:val="24"/>
                <w:highlight w:val="none"/>
                <w:lang w:val="en-US" w:eastAsia="zh-CN"/>
              </w:rPr>
              <w:t>2个月</w:t>
            </w:r>
          </w:p>
        </w:tc>
      </w:tr>
      <w:tr w14:paraId="5936EB95">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3"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14:paraId="46E13F2C">
            <w:pPr>
              <w:keepNext w:val="0"/>
              <w:keepLines w:val="0"/>
              <w:pageBreakBefore w:val="0"/>
              <w:widowControl w:val="0"/>
              <w:kinsoku/>
              <w:wordWrap/>
              <w:overflowPunct/>
              <w:topLinePunct w:val="0"/>
              <w:bidi w:val="0"/>
              <w:adjustRightInd w:val="0"/>
              <w:snapToGrid w:val="0"/>
              <w:spacing w:line="240" w:lineRule="auto"/>
              <w:ind w:left="-72" w:leftChars="-30" w:right="-72" w:rightChars="-30"/>
              <w:jc w:val="center"/>
              <w:textAlignment w:val="auto"/>
              <w:rPr>
                <w:color w:val="auto"/>
                <w:szCs w:val="24"/>
                <w:highlight w:val="none"/>
              </w:rPr>
            </w:pPr>
            <w:r>
              <w:rPr>
                <w:rFonts w:hAnsi="宋体"/>
                <w:color w:val="auto"/>
                <w:szCs w:val="24"/>
                <w:highlight w:val="none"/>
              </w:rPr>
              <w:t>是否开工建设</w:t>
            </w:r>
          </w:p>
        </w:tc>
        <w:tc>
          <w:tcPr>
            <w:tcW w:w="1446" w:type="pct"/>
            <w:tcBorders>
              <w:top w:val="single" w:color="auto" w:sz="4" w:space="0"/>
              <w:left w:val="single" w:color="auto" w:sz="4" w:space="0"/>
              <w:bottom w:val="single" w:color="auto" w:sz="4" w:space="0"/>
              <w:right w:val="single" w:color="auto" w:sz="4" w:space="0"/>
            </w:tcBorders>
            <w:vAlign w:val="center"/>
          </w:tcPr>
          <w:p w14:paraId="683B491A">
            <w:pPr>
              <w:keepNext w:val="0"/>
              <w:keepLines w:val="0"/>
              <w:pageBreakBefore w:val="0"/>
              <w:widowControl w:val="0"/>
              <w:kinsoku/>
              <w:wordWrap/>
              <w:overflowPunct/>
              <w:topLinePunct w:val="0"/>
              <w:autoSpaceDE/>
              <w:autoSpaceDN/>
              <w:bidi w:val="0"/>
              <w:adjustRightInd/>
              <w:snapToGrid/>
              <w:spacing w:line="240" w:lineRule="auto"/>
              <w:ind w:left="120" w:leftChars="50"/>
              <w:textAlignment w:val="auto"/>
              <w:rPr>
                <w:color w:val="auto"/>
                <w:szCs w:val="24"/>
                <w:highlight w:val="none"/>
              </w:rPr>
            </w:pPr>
            <w:r>
              <w:rPr>
                <w:rFonts w:hAnsi="宋体"/>
                <w:bCs/>
                <w:color w:val="auto"/>
                <w:szCs w:val="24"/>
                <w:highlight w:val="none"/>
              </w:rPr>
              <w:sym w:font="Wingdings" w:char="00FE"/>
            </w:r>
            <w:r>
              <w:rPr>
                <w:rFonts w:hAnsi="宋体"/>
                <w:color w:val="auto"/>
                <w:szCs w:val="24"/>
                <w:highlight w:val="none"/>
              </w:rPr>
              <w:t>否</w:t>
            </w:r>
          </w:p>
          <w:p w14:paraId="46A1FDC4">
            <w:pPr>
              <w:keepNext w:val="0"/>
              <w:keepLines w:val="0"/>
              <w:pageBreakBefore w:val="0"/>
              <w:widowControl w:val="0"/>
              <w:kinsoku/>
              <w:wordWrap/>
              <w:overflowPunct/>
              <w:topLinePunct w:val="0"/>
              <w:autoSpaceDE/>
              <w:autoSpaceDN/>
              <w:bidi w:val="0"/>
              <w:adjustRightInd/>
              <w:snapToGrid/>
              <w:spacing w:line="240" w:lineRule="auto"/>
              <w:ind w:left="120" w:leftChars="50"/>
              <w:textAlignment w:val="auto"/>
              <w:rPr>
                <w:rFonts w:hint="eastAsia" w:eastAsia="宋体"/>
                <w:color w:val="auto"/>
                <w:szCs w:val="24"/>
                <w:highlight w:val="none"/>
                <w:lang w:eastAsia="zh-CN"/>
              </w:rPr>
            </w:pPr>
            <w:r>
              <w:rPr>
                <w:rFonts w:hAnsi="宋体"/>
                <w:bCs/>
                <w:color w:val="auto"/>
                <w:szCs w:val="24"/>
                <w:highlight w:val="none"/>
              </w:rPr>
              <w:sym w:font="Wingdings" w:char="00A8"/>
            </w:r>
            <w:r>
              <w:rPr>
                <w:rFonts w:hAnsi="宋体"/>
                <w:color w:val="auto"/>
                <w:szCs w:val="24"/>
                <w:highlight w:val="none"/>
              </w:rPr>
              <w:t>是</w:t>
            </w:r>
            <w:r>
              <w:rPr>
                <w:rFonts w:ascii="Times New Roman" w:hAnsi="Times New Roman" w:eastAsia="宋体" w:cs="Times New Roman"/>
                <w:color w:val="auto"/>
                <w:szCs w:val="24"/>
                <w:highlight w:val="none"/>
              </w:rPr>
              <w:t>：</w:t>
            </w:r>
            <w:r>
              <w:rPr>
                <w:rFonts w:hint="eastAsia" w:cs="Times New Roman"/>
                <w:color w:val="auto"/>
                <w:szCs w:val="24"/>
                <w:highlight w:val="none"/>
                <w:u w:val="single"/>
                <w:lang w:val="en-US" w:eastAsia="zh-CN"/>
              </w:rPr>
              <w:t xml:space="preserve">    </w:t>
            </w:r>
            <w:r>
              <w:rPr>
                <w:rFonts w:hint="eastAsia" w:ascii="Times New Roman" w:hAnsi="Times New Roman" w:eastAsia="宋体" w:cs="Times New Roman"/>
                <w:color w:val="auto"/>
                <w:szCs w:val="21"/>
                <w:highlight w:val="none"/>
                <w:lang w:eastAsia="zh-CN"/>
              </w:rPr>
              <w:t>。</w:t>
            </w:r>
          </w:p>
        </w:tc>
        <w:tc>
          <w:tcPr>
            <w:tcW w:w="813" w:type="pct"/>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14:paraId="52AD8DF2">
            <w:pPr>
              <w:adjustRightInd w:val="0"/>
              <w:snapToGrid w:val="0"/>
              <w:spacing w:line="240" w:lineRule="auto"/>
              <w:jc w:val="center"/>
              <w:rPr>
                <w:rFonts w:hint="eastAsia" w:eastAsia="宋体"/>
                <w:color w:val="auto"/>
                <w:spacing w:val="-6"/>
                <w:szCs w:val="24"/>
                <w:highlight w:val="none"/>
                <w:lang w:eastAsia="zh-CN"/>
              </w:rPr>
            </w:pPr>
            <w:r>
              <w:rPr>
                <w:rFonts w:hAnsi="宋体"/>
                <w:color w:val="auto"/>
                <w:spacing w:val="-6"/>
                <w:szCs w:val="24"/>
                <w:highlight w:val="none"/>
              </w:rPr>
              <w:t>用地</w:t>
            </w:r>
            <w:r>
              <w:rPr>
                <w:rFonts w:hint="eastAsia" w:hAnsi="宋体"/>
                <w:color w:val="auto"/>
                <w:spacing w:val="-6"/>
                <w:szCs w:val="24"/>
                <w:highlight w:val="none"/>
                <w:lang w:eastAsia="zh-CN"/>
              </w:rPr>
              <w:t>(</w:t>
            </w:r>
            <w:r>
              <w:rPr>
                <w:rFonts w:hAnsi="宋体"/>
                <w:color w:val="auto"/>
                <w:spacing w:val="-6"/>
                <w:szCs w:val="24"/>
                <w:highlight w:val="none"/>
              </w:rPr>
              <w:t>用海</w:t>
            </w:r>
            <w:r>
              <w:rPr>
                <w:rFonts w:hint="eastAsia" w:hAnsi="宋体"/>
                <w:color w:val="auto"/>
                <w:spacing w:val="-6"/>
                <w:szCs w:val="24"/>
                <w:highlight w:val="none"/>
                <w:lang w:eastAsia="zh-CN"/>
              </w:rPr>
              <w:t>)</w:t>
            </w:r>
          </w:p>
          <w:p w14:paraId="6304A036">
            <w:pPr>
              <w:adjustRightInd w:val="0"/>
              <w:snapToGrid w:val="0"/>
              <w:spacing w:line="240" w:lineRule="auto"/>
              <w:jc w:val="center"/>
              <w:rPr>
                <w:rFonts w:hint="eastAsia" w:eastAsia="宋体"/>
                <w:color w:val="auto"/>
                <w:szCs w:val="24"/>
                <w:highlight w:val="none"/>
                <w:lang w:eastAsia="zh-CN"/>
              </w:rPr>
            </w:pPr>
            <w:r>
              <w:rPr>
                <w:rFonts w:hAnsi="宋体"/>
                <w:color w:val="auto"/>
                <w:spacing w:val="-6"/>
                <w:szCs w:val="24"/>
                <w:highlight w:val="none"/>
              </w:rPr>
              <w:t>面积</w:t>
            </w:r>
            <w:r>
              <w:rPr>
                <w:rFonts w:hint="eastAsia" w:hAnsi="宋体"/>
                <w:color w:val="auto"/>
                <w:spacing w:val="-6"/>
                <w:szCs w:val="24"/>
                <w:highlight w:val="none"/>
                <w:lang w:eastAsia="zh-CN"/>
              </w:rPr>
              <w:t>(</w:t>
            </w:r>
            <w:r>
              <w:rPr>
                <w:color w:val="auto"/>
                <w:spacing w:val="-6"/>
                <w:szCs w:val="24"/>
                <w:highlight w:val="none"/>
              </w:rPr>
              <w:t>m</w:t>
            </w:r>
            <w:r>
              <w:rPr>
                <w:color w:val="auto"/>
                <w:spacing w:val="-6"/>
                <w:szCs w:val="24"/>
                <w:highlight w:val="none"/>
                <w:vertAlign w:val="superscript"/>
              </w:rPr>
              <w:t>2</w:t>
            </w:r>
            <w:r>
              <w:rPr>
                <w:rFonts w:hint="eastAsia" w:hAnsi="宋体"/>
                <w:color w:val="auto"/>
                <w:spacing w:val="-6"/>
                <w:szCs w:val="24"/>
                <w:highlight w:val="none"/>
                <w:lang w:eastAsia="zh-CN"/>
              </w:rPr>
              <w:t>)</w:t>
            </w:r>
          </w:p>
        </w:tc>
        <w:tc>
          <w:tcPr>
            <w:tcW w:w="1796" w:type="pct"/>
            <w:tcBorders>
              <w:top w:val="single" w:color="auto" w:sz="4" w:space="0"/>
              <w:left w:val="single" w:color="auto" w:sz="4" w:space="0"/>
              <w:bottom w:val="single" w:color="auto" w:sz="4" w:space="0"/>
              <w:right w:val="single" w:color="auto" w:sz="8" w:space="0"/>
            </w:tcBorders>
            <w:vAlign w:val="center"/>
          </w:tcPr>
          <w:p w14:paraId="3FEFD41E">
            <w:pPr>
              <w:adjustRightInd w:val="0"/>
              <w:snapToGrid w:val="0"/>
              <w:spacing w:line="240" w:lineRule="auto"/>
              <w:jc w:val="center"/>
              <w:rPr>
                <w:rFonts w:hint="default" w:eastAsia="宋体"/>
                <w:color w:val="auto"/>
                <w:szCs w:val="24"/>
                <w:highlight w:val="none"/>
                <w:lang w:val="en-US" w:eastAsia="zh-CN"/>
              </w:rPr>
            </w:pPr>
            <w:r>
              <w:rPr>
                <w:rFonts w:hint="eastAsia" w:cs="Times New Roman"/>
                <w:color w:val="auto"/>
                <w:szCs w:val="24"/>
                <w:highlight w:val="none"/>
                <w:lang w:val="en-US" w:eastAsia="zh-CN"/>
              </w:rPr>
              <w:t>44.4</w:t>
            </w:r>
          </w:p>
        </w:tc>
      </w:tr>
      <w:tr w14:paraId="7AD73C9D">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1" w:hRule="atLeast"/>
          <w:jc w:val="center"/>
        </w:trPr>
        <w:tc>
          <w:tcPr>
            <w:tcW w:w="943" w:type="pct"/>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14:paraId="54F137EB">
            <w:pPr>
              <w:keepNext w:val="0"/>
              <w:keepLines w:val="0"/>
              <w:pageBreakBefore w:val="0"/>
              <w:widowControl w:val="0"/>
              <w:kinsoku/>
              <w:wordWrap/>
              <w:overflowPunct/>
              <w:topLinePunct w:val="0"/>
              <w:autoSpaceDE w:val="0"/>
              <w:autoSpaceDN w:val="0"/>
              <w:bidi w:val="0"/>
              <w:adjustRightInd w:val="0"/>
              <w:snapToGrid w:val="0"/>
              <w:spacing w:line="240" w:lineRule="auto"/>
              <w:ind w:left="-72" w:leftChars="-30" w:right="-72" w:rightChars="-30"/>
              <w:jc w:val="center"/>
              <w:textAlignment w:val="auto"/>
              <w:rPr>
                <w:rFonts w:hAnsi="宋体"/>
                <w:color w:val="auto"/>
                <w:kern w:val="0"/>
                <w:szCs w:val="24"/>
                <w:highlight w:val="none"/>
              </w:rPr>
            </w:pPr>
            <w:r>
              <w:rPr>
                <w:rFonts w:hAnsi="宋体"/>
                <w:color w:val="auto"/>
                <w:kern w:val="0"/>
                <w:szCs w:val="24"/>
                <w:highlight w:val="none"/>
              </w:rPr>
              <w:t>专项评价</w:t>
            </w:r>
          </w:p>
          <w:p w14:paraId="4DC2CF35">
            <w:pPr>
              <w:keepNext w:val="0"/>
              <w:keepLines w:val="0"/>
              <w:pageBreakBefore w:val="0"/>
              <w:widowControl w:val="0"/>
              <w:kinsoku/>
              <w:wordWrap/>
              <w:overflowPunct/>
              <w:topLinePunct w:val="0"/>
              <w:autoSpaceDE w:val="0"/>
              <w:autoSpaceDN w:val="0"/>
              <w:bidi w:val="0"/>
              <w:adjustRightInd w:val="0"/>
              <w:snapToGrid w:val="0"/>
              <w:spacing w:line="240" w:lineRule="auto"/>
              <w:ind w:left="-72" w:leftChars="-30" w:right="-72" w:rightChars="-30"/>
              <w:jc w:val="center"/>
              <w:textAlignment w:val="auto"/>
              <w:rPr>
                <w:color w:val="auto"/>
                <w:kern w:val="0"/>
                <w:szCs w:val="24"/>
                <w:highlight w:val="none"/>
              </w:rPr>
            </w:pPr>
            <w:r>
              <w:rPr>
                <w:rFonts w:hAnsi="宋体"/>
                <w:color w:val="auto"/>
                <w:kern w:val="0"/>
                <w:szCs w:val="24"/>
                <w:highlight w:val="none"/>
              </w:rPr>
              <w:t>设置情况</w:t>
            </w:r>
          </w:p>
        </w:tc>
        <w:tc>
          <w:tcPr>
            <w:tcW w:w="4056" w:type="pct"/>
            <w:gridSpan w:val="3"/>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14:paraId="60DE40C5">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hAnsi="宋体" w:cs="Times New Roman"/>
                <w:color w:val="auto"/>
                <w:szCs w:val="24"/>
                <w:highlight w:val="none"/>
                <w:lang w:val="en-US" w:eastAsia="zh-CN"/>
              </w:rPr>
            </w:pPr>
          </w:p>
          <w:p w14:paraId="421678F4">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hAnsi="宋体" w:cs="Times New Roman"/>
                <w:color w:val="auto"/>
                <w:szCs w:val="24"/>
                <w:highlight w:val="none"/>
                <w:lang w:val="en-US" w:eastAsia="zh-CN"/>
              </w:rPr>
            </w:pPr>
            <w:r>
              <w:rPr>
                <w:rFonts w:hint="eastAsia" w:hAnsi="宋体" w:cs="Times New Roman"/>
                <w:color w:val="auto"/>
                <w:szCs w:val="24"/>
                <w:highlight w:val="none"/>
                <w:lang w:val="en-US" w:eastAsia="zh-CN"/>
              </w:rPr>
              <w:t>无</w:t>
            </w:r>
          </w:p>
          <w:p w14:paraId="2C9D9633">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lang w:val="en-US" w:eastAsia="zh-CN"/>
              </w:rPr>
            </w:pPr>
          </w:p>
        </w:tc>
      </w:tr>
      <w:tr w14:paraId="364DC745">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6" w:hRule="atLeast"/>
          <w:jc w:val="center"/>
        </w:trPr>
        <w:tc>
          <w:tcPr>
            <w:tcW w:w="943" w:type="pct"/>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14:paraId="6108B945">
            <w:pPr>
              <w:keepNext w:val="0"/>
              <w:keepLines w:val="0"/>
              <w:pageBreakBefore w:val="0"/>
              <w:widowControl w:val="0"/>
              <w:kinsoku/>
              <w:wordWrap/>
              <w:overflowPunct/>
              <w:topLinePunct w:val="0"/>
              <w:autoSpaceDE w:val="0"/>
              <w:autoSpaceDN w:val="0"/>
              <w:bidi w:val="0"/>
              <w:adjustRightInd w:val="0"/>
              <w:snapToGrid w:val="0"/>
              <w:spacing w:line="240" w:lineRule="auto"/>
              <w:ind w:left="-72" w:leftChars="-30" w:right="-72" w:rightChars="-30"/>
              <w:jc w:val="center"/>
              <w:textAlignment w:val="auto"/>
              <w:rPr>
                <w:color w:val="auto"/>
                <w:kern w:val="0"/>
                <w:szCs w:val="24"/>
                <w:highlight w:val="none"/>
              </w:rPr>
            </w:pPr>
            <w:r>
              <w:rPr>
                <w:rFonts w:hAnsi="宋体"/>
                <w:color w:val="auto"/>
                <w:szCs w:val="24"/>
                <w:highlight w:val="none"/>
              </w:rPr>
              <w:t>规划情况</w:t>
            </w:r>
          </w:p>
        </w:tc>
        <w:tc>
          <w:tcPr>
            <w:tcW w:w="4056" w:type="pct"/>
            <w:gridSpan w:val="3"/>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14:paraId="0118CAC0">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hAnsi="宋体" w:cs="Times New Roman"/>
                <w:color w:val="auto"/>
                <w:szCs w:val="24"/>
                <w:highlight w:val="none"/>
                <w:lang w:val="en-US" w:eastAsia="zh-CN"/>
              </w:rPr>
            </w:pPr>
          </w:p>
          <w:p w14:paraId="6FAAB11F">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hAnsi="宋体" w:cs="Times New Roman"/>
                <w:color w:val="auto"/>
                <w:szCs w:val="24"/>
                <w:highlight w:val="none"/>
                <w:lang w:val="en-US" w:eastAsia="zh-CN"/>
              </w:rPr>
            </w:pPr>
            <w:r>
              <w:rPr>
                <w:rFonts w:hint="eastAsia" w:hAnsi="宋体" w:cs="Times New Roman"/>
                <w:color w:val="auto"/>
                <w:szCs w:val="24"/>
                <w:highlight w:val="none"/>
                <w:lang w:val="en-US" w:eastAsia="zh-CN"/>
              </w:rPr>
              <w:t>无</w:t>
            </w:r>
          </w:p>
          <w:p w14:paraId="624981DE">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lang w:eastAsia="zh-CN"/>
              </w:rPr>
            </w:pPr>
          </w:p>
        </w:tc>
      </w:tr>
      <w:tr w14:paraId="37B2B392">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943" w:type="pct"/>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14:paraId="358288F0">
            <w:pPr>
              <w:keepNext w:val="0"/>
              <w:keepLines w:val="0"/>
              <w:pageBreakBefore w:val="0"/>
              <w:widowControl w:val="0"/>
              <w:kinsoku/>
              <w:wordWrap/>
              <w:overflowPunct/>
              <w:topLinePunct w:val="0"/>
              <w:bidi w:val="0"/>
              <w:adjustRightInd w:val="0"/>
              <w:snapToGrid w:val="0"/>
              <w:spacing w:line="240" w:lineRule="auto"/>
              <w:ind w:left="-72" w:leftChars="-30" w:right="-72" w:rightChars="-30"/>
              <w:jc w:val="center"/>
              <w:textAlignment w:val="auto"/>
              <w:rPr>
                <w:color w:val="auto"/>
                <w:szCs w:val="24"/>
                <w:highlight w:val="none"/>
              </w:rPr>
            </w:pPr>
            <w:r>
              <w:rPr>
                <w:rFonts w:hAnsi="宋体"/>
                <w:color w:val="auto"/>
                <w:szCs w:val="24"/>
                <w:highlight w:val="none"/>
              </w:rPr>
              <w:t>规划环境影响</w:t>
            </w:r>
          </w:p>
          <w:p w14:paraId="4773952A">
            <w:pPr>
              <w:keepNext w:val="0"/>
              <w:keepLines w:val="0"/>
              <w:pageBreakBefore w:val="0"/>
              <w:widowControl w:val="0"/>
              <w:kinsoku/>
              <w:wordWrap/>
              <w:overflowPunct/>
              <w:topLinePunct w:val="0"/>
              <w:bidi w:val="0"/>
              <w:adjustRightInd w:val="0"/>
              <w:snapToGrid w:val="0"/>
              <w:spacing w:line="240" w:lineRule="auto"/>
              <w:ind w:left="-72" w:leftChars="-30" w:right="-72" w:rightChars="-30"/>
              <w:jc w:val="center"/>
              <w:textAlignment w:val="auto"/>
              <w:rPr>
                <w:color w:val="auto"/>
                <w:kern w:val="0"/>
                <w:szCs w:val="24"/>
                <w:highlight w:val="none"/>
              </w:rPr>
            </w:pPr>
            <w:r>
              <w:rPr>
                <w:rFonts w:hAnsi="宋体"/>
                <w:color w:val="auto"/>
                <w:szCs w:val="24"/>
                <w:highlight w:val="none"/>
              </w:rPr>
              <w:t>评价情况</w:t>
            </w:r>
          </w:p>
        </w:tc>
        <w:tc>
          <w:tcPr>
            <w:tcW w:w="4056" w:type="pct"/>
            <w:gridSpan w:val="3"/>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14:paraId="3F257079">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hAnsi="宋体" w:cs="Times New Roman"/>
                <w:color w:val="auto"/>
                <w:szCs w:val="24"/>
                <w:highlight w:val="none"/>
                <w:lang w:val="en-US" w:eastAsia="zh-CN"/>
              </w:rPr>
            </w:pPr>
          </w:p>
          <w:p w14:paraId="54C49571">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hAnsi="宋体" w:cs="Times New Roman"/>
                <w:color w:val="auto"/>
                <w:szCs w:val="24"/>
                <w:highlight w:val="none"/>
                <w:lang w:val="en-US" w:eastAsia="zh-CN"/>
              </w:rPr>
            </w:pPr>
            <w:r>
              <w:rPr>
                <w:rFonts w:hint="eastAsia" w:hAnsi="宋体" w:cs="Times New Roman"/>
                <w:color w:val="auto"/>
                <w:szCs w:val="24"/>
                <w:highlight w:val="none"/>
                <w:lang w:val="en-US" w:eastAsia="zh-CN"/>
              </w:rPr>
              <w:t>无</w:t>
            </w:r>
          </w:p>
          <w:p w14:paraId="1586F200">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lang w:val="en-US"/>
              </w:rPr>
            </w:pPr>
          </w:p>
        </w:tc>
      </w:tr>
      <w:tr w14:paraId="74C0E6C4">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943" w:type="pct"/>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14:paraId="0C1662F3">
            <w:pPr>
              <w:keepNext w:val="0"/>
              <w:keepLines w:val="0"/>
              <w:pageBreakBefore w:val="0"/>
              <w:widowControl w:val="0"/>
              <w:kinsoku/>
              <w:wordWrap/>
              <w:overflowPunct/>
              <w:topLinePunct w:val="0"/>
              <w:autoSpaceDE w:val="0"/>
              <w:autoSpaceDN w:val="0"/>
              <w:bidi w:val="0"/>
              <w:adjustRightInd w:val="0"/>
              <w:snapToGrid w:val="0"/>
              <w:spacing w:line="240" w:lineRule="auto"/>
              <w:ind w:left="-72" w:leftChars="-30" w:right="-72" w:rightChars="-30"/>
              <w:jc w:val="center"/>
              <w:textAlignment w:val="auto"/>
              <w:rPr>
                <w:color w:val="auto"/>
                <w:kern w:val="0"/>
                <w:szCs w:val="24"/>
                <w:highlight w:val="none"/>
              </w:rPr>
            </w:pPr>
            <w:r>
              <w:rPr>
                <w:rFonts w:hAnsi="宋体"/>
                <w:color w:val="auto"/>
                <w:kern w:val="0"/>
                <w:szCs w:val="24"/>
                <w:highlight w:val="none"/>
              </w:rPr>
              <w:t>规划及规划环境影响评价符合性分析</w:t>
            </w:r>
          </w:p>
        </w:tc>
        <w:tc>
          <w:tcPr>
            <w:tcW w:w="4056" w:type="pct"/>
            <w:gridSpan w:val="3"/>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14:paraId="19D21FDA">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hAnsi="宋体" w:cs="Times New Roman"/>
                <w:color w:val="auto"/>
                <w:szCs w:val="24"/>
                <w:highlight w:val="none"/>
                <w:lang w:val="en-US" w:eastAsia="zh-CN"/>
              </w:rPr>
            </w:pPr>
          </w:p>
          <w:p w14:paraId="76C58209">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hAnsi="宋体" w:cs="Times New Roman"/>
                <w:color w:val="auto"/>
                <w:szCs w:val="24"/>
                <w:highlight w:val="none"/>
                <w:lang w:val="en-US" w:eastAsia="zh-CN"/>
              </w:rPr>
            </w:pPr>
          </w:p>
          <w:p w14:paraId="1945CB8E">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hAnsi="宋体" w:cs="Times New Roman"/>
                <w:color w:val="auto"/>
                <w:szCs w:val="24"/>
                <w:highlight w:val="none"/>
                <w:lang w:val="en-US" w:eastAsia="zh-CN"/>
              </w:rPr>
            </w:pPr>
            <w:r>
              <w:rPr>
                <w:rFonts w:hint="eastAsia" w:hAnsi="宋体" w:cs="Times New Roman"/>
                <w:color w:val="auto"/>
                <w:szCs w:val="24"/>
                <w:highlight w:val="none"/>
                <w:lang w:val="en-US" w:eastAsia="zh-CN"/>
              </w:rPr>
              <w:t>无</w:t>
            </w:r>
          </w:p>
          <w:p w14:paraId="58E16B91">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color w:val="auto"/>
                <w:highlight w:val="none"/>
                <w:lang w:eastAsia="zh-CN"/>
              </w:rPr>
            </w:pPr>
          </w:p>
        </w:tc>
      </w:tr>
      <w:tr w14:paraId="51650E5B">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597" w:hRule="atLeast"/>
          <w:jc w:val="center"/>
        </w:trPr>
        <w:tc>
          <w:tcPr>
            <w:tcW w:w="943" w:type="pct"/>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14:paraId="1ABDD10A">
            <w:pPr>
              <w:keepNext w:val="0"/>
              <w:keepLines w:val="0"/>
              <w:pageBreakBefore w:val="0"/>
              <w:widowControl w:val="0"/>
              <w:kinsoku/>
              <w:wordWrap/>
              <w:overflowPunct/>
              <w:topLinePunct w:val="0"/>
              <w:autoSpaceDE w:val="0"/>
              <w:autoSpaceDN w:val="0"/>
              <w:bidi w:val="0"/>
              <w:adjustRightInd w:val="0"/>
              <w:snapToGrid w:val="0"/>
              <w:spacing w:line="240" w:lineRule="auto"/>
              <w:ind w:left="-72" w:leftChars="-30" w:right="-72" w:rightChars="-30"/>
              <w:jc w:val="center"/>
              <w:textAlignment w:val="auto"/>
              <w:rPr>
                <w:rFonts w:hAnsi="宋体"/>
                <w:color w:val="auto"/>
                <w:kern w:val="0"/>
                <w:szCs w:val="24"/>
                <w:highlight w:val="none"/>
              </w:rPr>
            </w:pPr>
            <w:r>
              <w:rPr>
                <w:rFonts w:ascii="Times New Roman" w:hAnsi="宋体" w:eastAsia="宋体" w:cs="Times New Roman"/>
                <w:color w:val="auto"/>
                <w:kern w:val="0"/>
                <w:szCs w:val="24"/>
                <w:highlight w:val="none"/>
              </w:rPr>
              <w:t>其他</w:t>
            </w:r>
            <w:r>
              <w:rPr>
                <w:rFonts w:hAnsi="宋体"/>
                <w:color w:val="auto"/>
                <w:kern w:val="0"/>
                <w:szCs w:val="24"/>
                <w:highlight w:val="none"/>
              </w:rPr>
              <w:t>符合性</w:t>
            </w:r>
          </w:p>
          <w:p w14:paraId="0AD9D641">
            <w:pPr>
              <w:keepNext w:val="0"/>
              <w:keepLines w:val="0"/>
              <w:pageBreakBefore w:val="0"/>
              <w:widowControl w:val="0"/>
              <w:kinsoku/>
              <w:wordWrap/>
              <w:overflowPunct/>
              <w:topLinePunct w:val="0"/>
              <w:autoSpaceDE w:val="0"/>
              <w:autoSpaceDN w:val="0"/>
              <w:bidi w:val="0"/>
              <w:adjustRightInd w:val="0"/>
              <w:snapToGrid w:val="0"/>
              <w:spacing w:line="240" w:lineRule="auto"/>
              <w:ind w:left="-72" w:leftChars="-30" w:right="-72" w:rightChars="-30"/>
              <w:jc w:val="center"/>
              <w:textAlignment w:val="auto"/>
              <w:rPr>
                <w:color w:val="0000FF"/>
                <w:kern w:val="0"/>
                <w:szCs w:val="24"/>
                <w:highlight w:val="none"/>
              </w:rPr>
            </w:pPr>
            <w:r>
              <w:rPr>
                <w:rFonts w:hAnsi="宋体"/>
                <w:color w:val="auto"/>
                <w:kern w:val="0"/>
                <w:szCs w:val="24"/>
                <w:highlight w:val="none"/>
              </w:rPr>
              <w:t>分析</w:t>
            </w:r>
          </w:p>
        </w:tc>
        <w:tc>
          <w:tcPr>
            <w:tcW w:w="4056" w:type="pct"/>
            <w:gridSpan w:val="3"/>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14:paraId="241D7820">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lang w:val="en-US" w:eastAsia="zh-CN"/>
              </w:rPr>
              <w:t>产业政策符合性</w:t>
            </w:r>
          </w:p>
          <w:p w14:paraId="0F24F5A1">
            <w:pPr>
              <w:pStyle w:val="326"/>
              <w:ind w:firstLine="48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本项目为</w:t>
            </w:r>
            <w:r>
              <w:rPr>
                <w:rFonts w:hint="eastAsia" w:ascii="Times New Roman" w:hAnsi="Times New Roman" w:eastAsia="宋体" w:cs="Times New Roman"/>
                <w:color w:val="auto"/>
                <w:sz w:val="21"/>
                <w:szCs w:val="21"/>
                <w:highlight w:val="none"/>
                <w:lang w:val="en-US" w:eastAsia="zh-CN"/>
              </w:rPr>
              <w:t>检测服务</w:t>
            </w:r>
            <w:r>
              <w:rPr>
                <w:rFonts w:hint="default" w:ascii="Times New Roman" w:hAnsi="Times New Roman" w:eastAsia="宋体" w:cs="Times New Roman"/>
                <w:color w:val="auto"/>
                <w:sz w:val="21"/>
                <w:szCs w:val="21"/>
                <w:highlight w:val="none"/>
                <w:lang w:val="en-US" w:eastAsia="zh-CN"/>
              </w:rPr>
              <w:t>项目。根据《产业结构调整指导目录（2019年本）》可知，本项目</w:t>
            </w:r>
            <w:r>
              <w:rPr>
                <w:rFonts w:hint="eastAsia" w:ascii="Times New Roman" w:hAnsi="Times New Roman" w:eastAsia="宋体" w:cs="Times New Roman"/>
                <w:color w:val="auto"/>
                <w:sz w:val="21"/>
                <w:szCs w:val="21"/>
                <w:highlight w:val="none"/>
                <w:lang w:val="en-US" w:eastAsia="zh-CN"/>
              </w:rPr>
              <w:t>属于鼓励类“三十一、科技服务业 1、工业设计、气象、生物、新材料、新能源、节能、环保、测绘、海洋等专业科技服务，标准化服务、计量测试、质量认证和检验检测服务、科技普及”</w:t>
            </w:r>
            <w:r>
              <w:rPr>
                <w:rFonts w:hint="default" w:ascii="Times New Roman" w:hAnsi="Times New Roman" w:eastAsia="宋体" w:cs="Times New Roman"/>
                <w:color w:val="auto"/>
                <w:sz w:val="21"/>
                <w:szCs w:val="21"/>
                <w:highlight w:val="none"/>
                <w:lang w:val="en-US" w:eastAsia="zh-CN"/>
              </w:rPr>
              <w:t>；根据《陕西省限制投资类产业指导目录》（陕发改产业[2007]97号），本项目不属于目录中的十大限制投资类</w:t>
            </w:r>
            <w:r>
              <w:rPr>
                <w:rFonts w:hint="eastAsia" w:ascii="Times New Roman" w:hAnsi="Times New Roman" w:eastAsia="宋体" w:cs="Times New Roman"/>
                <w:color w:val="auto"/>
                <w:sz w:val="21"/>
                <w:szCs w:val="21"/>
                <w:highlight w:val="none"/>
                <w:lang w:val="en-US" w:eastAsia="zh-CN"/>
              </w:rPr>
              <w:t>；根据《市场准入负面清单（2022年版）》，本项目属于（十三）科学研究和技术服务业--78、未获得许可，不得从事检验、检测、认证业务，本项目正在办理检验检测机构资质认定，符合相应要求</w:t>
            </w:r>
            <w:r>
              <w:rPr>
                <w:rFonts w:hint="default" w:ascii="Times New Roman" w:hAnsi="Times New Roman" w:eastAsia="宋体" w:cs="Times New Roman"/>
                <w:color w:val="auto"/>
                <w:sz w:val="21"/>
                <w:szCs w:val="21"/>
                <w:highlight w:val="none"/>
                <w:lang w:val="en-US" w:eastAsia="zh-CN"/>
              </w:rPr>
              <w:t>。本项目已于202</w:t>
            </w:r>
            <w:r>
              <w:rPr>
                <w:rFonts w:hint="eastAsia" w:ascii="Times New Roman" w:hAnsi="Times New Roman" w:eastAsia="宋体"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lang w:val="en-US" w:eastAsia="zh-CN"/>
              </w:rPr>
              <w:t>年</w:t>
            </w:r>
            <w:r>
              <w:rPr>
                <w:rFonts w:hint="eastAsia" w:ascii="Times New Roman" w:hAnsi="Times New Roman" w:eastAsia="宋体"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lang w:val="en-US" w:eastAsia="zh-CN"/>
              </w:rPr>
              <w:t>月</w:t>
            </w:r>
            <w:r>
              <w:rPr>
                <w:rFonts w:hint="eastAsia" w:ascii="Times New Roman" w:hAnsi="Times New Roman" w:eastAsia="宋体" w:cs="Times New Roman"/>
                <w:color w:val="auto"/>
                <w:sz w:val="21"/>
                <w:szCs w:val="21"/>
                <w:highlight w:val="none"/>
                <w:lang w:val="en-US" w:eastAsia="zh-CN"/>
              </w:rPr>
              <w:t>11</w:t>
            </w:r>
            <w:r>
              <w:rPr>
                <w:rFonts w:hint="default" w:ascii="Times New Roman" w:hAnsi="Times New Roman" w:eastAsia="宋体" w:cs="Times New Roman"/>
                <w:color w:val="auto"/>
                <w:sz w:val="21"/>
                <w:szCs w:val="21"/>
                <w:highlight w:val="none"/>
                <w:lang w:val="en-US" w:eastAsia="zh-CN"/>
              </w:rPr>
              <w:t>日取得</w:t>
            </w:r>
            <w:r>
              <w:rPr>
                <w:rFonts w:hint="eastAsia" w:ascii="Times New Roman" w:hAnsi="Times New Roman" w:eastAsia="宋体" w:cs="Times New Roman"/>
                <w:color w:val="auto"/>
                <w:sz w:val="21"/>
                <w:szCs w:val="21"/>
                <w:highlight w:val="none"/>
                <w:lang w:val="en-US" w:eastAsia="zh-CN"/>
              </w:rPr>
              <w:t>西安市新城区发展和改革委员会</w:t>
            </w:r>
            <w:r>
              <w:rPr>
                <w:rFonts w:hint="default" w:ascii="Times New Roman" w:hAnsi="Times New Roman" w:eastAsia="宋体" w:cs="Times New Roman"/>
                <w:color w:val="auto"/>
                <w:sz w:val="21"/>
                <w:szCs w:val="21"/>
                <w:highlight w:val="none"/>
                <w:lang w:val="en-US" w:eastAsia="zh-CN"/>
              </w:rPr>
              <w:t>《</w:t>
            </w:r>
            <w:r>
              <w:rPr>
                <w:rFonts w:hint="eastAsia" w:ascii="Times New Roman" w:hAnsi="Times New Roman" w:eastAsia="宋体" w:cs="Times New Roman"/>
                <w:color w:val="auto"/>
                <w:sz w:val="21"/>
                <w:szCs w:val="21"/>
                <w:highlight w:val="none"/>
                <w:lang w:val="en-US" w:eastAsia="zh-CN"/>
              </w:rPr>
              <w:t>陕西省企业投资项目备案确认书</w:t>
            </w:r>
            <w:r>
              <w:rPr>
                <w:rFonts w:hint="default" w:ascii="Times New Roman" w:hAnsi="Times New Roman" w:eastAsia="宋体" w:cs="Times New Roman"/>
                <w:color w:val="auto"/>
                <w:sz w:val="21"/>
                <w:szCs w:val="21"/>
                <w:highlight w:val="none"/>
                <w:lang w:val="en-US" w:eastAsia="zh-CN"/>
              </w:rPr>
              <w:t>》（见附件）；项目代码：</w:t>
            </w:r>
            <w:r>
              <w:rPr>
                <w:rFonts w:hint="eastAsia" w:ascii="Times New Roman" w:hAnsi="Times New Roman" w:eastAsia="宋体" w:cs="Times New Roman"/>
                <w:color w:val="auto"/>
                <w:sz w:val="21"/>
                <w:szCs w:val="21"/>
                <w:highlight w:val="none"/>
                <w:lang w:val="en-US" w:eastAsia="zh-CN"/>
              </w:rPr>
              <w:t>2403-610102-04-01-546236</w:t>
            </w:r>
            <w:r>
              <w:rPr>
                <w:rFonts w:hint="default" w:ascii="Times New Roman" w:hAnsi="Times New Roman" w:eastAsia="宋体" w:cs="Times New Roman"/>
                <w:color w:val="auto"/>
                <w:sz w:val="21"/>
                <w:szCs w:val="21"/>
                <w:highlight w:val="none"/>
                <w:lang w:val="en-US" w:eastAsia="zh-CN"/>
              </w:rPr>
              <w:t>。</w:t>
            </w:r>
          </w:p>
          <w:p w14:paraId="726CEE2D">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GB" w:eastAsia="zh-CN"/>
              </w:rPr>
              <w:t>因此，项目建设符合国家及地方产业政策。</w:t>
            </w:r>
          </w:p>
          <w:p w14:paraId="5322486F">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2、项目与相关政策及方案的符合性分析</w:t>
            </w:r>
          </w:p>
          <w:p w14:paraId="1759EB8A">
            <w:pPr>
              <w:autoSpaceDE w:val="0"/>
              <w:autoSpaceDN w:val="0"/>
              <w:adjustRightInd w:val="0"/>
              <w:snapToGrid w:val="0"/>
              <w:spacing w:line="240" w:lineRule="auto"/>
              <w:jc w:val="center"/>
              <w:rPr>
                <w:rFonts w:hint="default" w:ascii="Times New Roman" w:hAnsi="Times New Roman" w:eastAsia="宋体" w:cs="Times New Roman"/>
                <w:b/>
                <w:bCs/>
                <w:color w:val="auto"/>
                <w:sz w:val="21"/>
                <w:szCs w:val="18"/>
                <w:highlight w:val="none"/>
              </w:rPr>
            </w:pPr>
            <w:r>
              <w:rPr>
                <w:rFonts w:hint="default" w:ascii="Times New Roman" w:hAnsi="Times New Roman" w:eastAsia="宋体" w:cs="Times New Roman"/>
                <w:b/>
                <w:bCs/>
                <w:color w:val="auto"/>
                <w:sz w:val="21"/>
                <w:szCs w:val="18"/>
                <w:highlight w:val="none"/>
              </w:rPr>
              <w:t>表</w:t>
            </w:r>
            <w:r>
              <w:rPr>
                <w:rFonts w:hint="eastAsia" w:cs="Times New Roman"/>
                <w:b/>
                <w:bCs/>
                <w:color w:val="auto"/>
                <w:sz w:val="21"/>
                <w:szCs w:val="18"/>
                <w:highlight w:val="none"/>
                <w:lang w:val="en-US" w:eastAsia="zh-CN"/>
              </w:rPr>
              <w:t>1</w:t>
            </w:r>
            <w:r>
              <w:rPr>
                <w:rFonts w:hint="default" w:ascii="Times New Roman" w:hAnsi="Times New Roman" w:eastAsia="宋体" w:cs="Times New Roman"/>
                <w:b/>
                <w:bCs/>
                <w:color w:val="auto"/>
                <w:sz w:val="21"/>
                <w:szCs w:val="18"/>
                <w:highlight w:val="none"/>
              </w:rPr>
              <w:t xml:space="preserve"> 与</w:t>
            </w:r>
            <w:r>
              <w:rPr>
                <w:rFonts w:hint="eastAsia" w:ascii="Times New Roman" w:hAnsi="Times New Roman" w:eastAsia="宋体" w:cs="Times New Roman"/>
                <w:b/>
                <w:bCs/>
                <w:color w:val="auto"/>
                <w:sz w:val="21"/>
                <w:szCs w:val="18"/>
                <w:highlight w:val="none"/>
                <w:lang w:val="en-US" w:eastAsia="zh-CN"/>
              </w:rPr>
              <w:t>国家相关政策及方案</w:t>
            </w:r>
            <w:r>
              <w:rPr>
                <w:rFonts w:hint="default" w:ascii="Times New Roman" w:hAnsi="Times New Roman" w:eastAsia="宋体" w:cs="Times New Roman"/>
                <w:b/>
                <w:bCs/>
                <w:color w:val="auto"/>
                <w:sz w:val="21"/>
                <w:szCs w:val="18"/>
                <w:highlight w:val="none"/>
              </w:rPr>
              <w:t>符合性分析</w:t>
            </w:r>
          </w:p>
          <w:tbl>
            <w:tblPr>
              <w:tblStyle w:val="46"/>
              <w:tblW w:w="499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3230"/>
              <w:gridCol w:w="2004"/>
              <w:gridCol w:w="658"/>
            </w:tblGrid>
            <w:tr w14:paraId="0AE3D7ED">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tcBorders>
                    <w:tl2br w:val="nil"/>
                    <w:tr2bl w:val="nil"/>
                  </w:tcBorders>
                  <w:noWrap w:val="0"/>
                  <w:vAlign w:val="center"/>
                </w:tcPr>
                <w:p w14:paraId="6B4A7002">
                  <w:pPr>
                    <w:keepNext w:val="0"/>
                    <w:keepLines w:val="0"/>
                    <w:pageBreakBefore w:val="0"/>
                    <w:widowControl w:val="0"/>
                    <w:kinsoku/>
                    <w:wordWrap/>
                    <w:overflowPunct/>
                    <w:topLinePunct w:val="0"/>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vertAlign w:val="baseline"/>
                      <w:lang w:val="en-US" w:eastAsia="zh-CN" w:bidi="ar-SA"/>
                    </w:rPr>
                  </w:pPr>
                  <w:r>
                    <w:rPr>
                      <w:rFonts w:hint="eastAsia" w:cs="Times New Roman"/>
                      <w:b/>
                      <w:color w:val="auto"/>
                      <w:sz w:val="21"/>
                      <w:szCs w:val="21"/>
                      <w:highlight w:val="none"/>
                      <w:lang w:eastAsia="zh-CN"/>
                    </w:rPr>
                    <w:t>类别</w:t>
                  </w:r>
                </w:p>
              </w:tc>
              <w:tc>
                <w:tcPr>
                  <w:tcW w:w="2275" w:type="pct"/>
                  <w:tcBorders>
                    <w:tl2br w:val="nil"/>
                    <w:tr2bl w:val="nil"/>
                  </w:tcBorders>
                  <w:noWrap w:val="0"/>
                  <w:vAlign w:val="center"/>
                </w:tcPr>
                <w:p w14:paraId="00235A4B">
                  <w:pPr>
                    <w:keepNext w:val="0"/>
                    <w:keepLines w:val="0"/>
                    <w:pageBreakBefore w:val="0"/>
                    <w:widowControl w:val="0"/>
                    <w:kinsoku/>
                    <w:wordWrap/>
                    <w:overflowPunct/>
                    <w:topLinePunct w:val="0"/>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b/>
                      <w:color w:val="auto"/>
                      <w:sz w:val="21"/>
                      <w:szCs w:val="21"/>
                      <w:highlight w:val="none"/>
                    </w:rPr>
                    <w:t>内容</w:t>
                  </w:r>
                </w:p>
              </w:tc>
              <w:tc>
                <w:tcPr>
                  <w:tcW w:w="1411" w:type="pct"/>
                  <w:tcBorders>
                    <w:tl2br w:val="nil"/>
                    <w:tr2bl w:val="nil"/>
                  </w:tcBorders>
                  <w:noWrap w:val="0"/>
                  <w:vAlign w:val="center"/>
                </w:tcPr>
                <w:p w14:paraId="7313E7F1">
                  <w:pPr>
                    <w:keepNext w:val="0"/>
                    <w:keepLines w:val="0"/>
                    <w:pageBreakBefore w:val="0"/>
                    <w:widowControl w:val="0"/>
                    <w:kinsoku/>
                    <w:wordWrap/>
                    <w:overflowPunct/>
                    <w:topLinePunct w:val="0"/>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b/>
                      <w:color w:val="auto"/>
                      <w:sz w:val="21"/>
                      <w:szCs w:val="21"/>
                      <w:highlight w:val="none"/>
                    </w:rPr>
                    <w:t>本项目情况</w:t>
                  </w:r>
                </w:p>
              </w:tc>
              <w:tc>
                <w:tcPr>
                  <w:tcW w:w="463" w:type="pct"/>
                  <w:tcBorders>
                    <w:tl2br w:val="nil"/>
                    <w:tr2bl w:val="nil"/>
                  </w:tcBorders>
                  <w:noWrap w:val="0"/>
                  <w:vAlign w:val="center"/>
                </w:tcPr>
                <w:p w14:paraId="3AC621BE">
                  <w:pPr>
                    <w:keepNext w:val="0"/>
                    <w:keepLines w:val="0"/>
                    <w:pageBreakBefore w:val="0"/>
                    <w:widowControl w:val="0"/>
                    <w:kinsoku/>
                    <w:wordWrap/>
                    <w:overflowPunct/>
                    <w:topLinePunct w:val="0"/>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b/>
                      <w:color w:val="auto"/>
                      <w:sz w:val="21"/>
                      <w:szCs w:val="21"/>
                      <w:highlight w:val="none"/>
                    </w:rPr>
                    <w:t>符合性</w:t>
                  </w:r>
                </w:p>
              </w:tc>
            </w:tr>
            <w:tr w14:paraId="75DB02E3">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tcBorders>
                    <w:tl2br w:val="nil"/>
                    <w:tr2bl w:val="nil"/>
                  </w:tcBorders>
                  <w:noWrap w:val="0"/>
                  <w:vAlign w:val="center"/>
                </w:tcPr>
                <w:p w14:paraId="392049B9">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《中华人民共和国大气污染防治法》</w:t>
                  </w:r>
                </w:p>
              </w:tc>
              <w:tc>
                <w:tcPr>
                  <w:tcW w:w="2275" w:type="pct"/>
                  <w:tcBorders>
                    <w:tl2br w:val="nil"/>
                    <w:tr2bl w:val="nil"/>
                  </w:tcBorders>
                  <w:noWrap w:val="0"/>
                  <w:vAlign w:val="center"/>
                </w:tcPr>
                <w:p w14:paraId="0E4AB7D3">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vertAlign w:val="baseline"/>
                      <w:lang w:val="zh-CN" w:eastAsia="zh-CN" w:bidi="ar-SA"/>
                    </w:rPr>
                    <w:t>产生含挥发性有机物废气的生产和服务活动，应当在密闭空间或者设备中进行，并按照规定安装、使用污染防治设施；无法密闭的，应当采取措施减少废气排放。</w:t>
                  </w:r>
                </w:p>
              </w:tc>
              <w:tc>
                <w:tcPr>
                  <w:tcW w:w="1411" w:type="pct"/>
                  <w:tcBorders>
                    <w:tl2br w:val="nil"/>
                    <w:tr2bl w:val="nil"/>
                  </w:tcBorders>
                  <w:noWrap w:val="0"/>
                  <w:vAlign w:val="center"/>
                </w:tcPr>
                <w:p w14:paraId="4F083A54">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sz w:val="21"/>
                      <w:szCs w:val="21"/>
                      <w:highlight w:val="none"/>
                    </w:rPr>
                    <w:t>本项目实验室整体密闭，有机废气经移动式集气罩+活性炭吸附+15m排气筒处理后达标排放。</w:t>
                  </w:r>
                </w:p>
              </w:tc>
              <w:tc>
                <w:tcPr>
                  <w:tcW w:w="463" w:type="pct"/>
                  <w:tcBorders>
                    <w:tl2br w:val="nil"/>
                    <w:tr2bl w:val="nil"/>
                  </w:tcBorders>
                  <w:noWrap w:val="0"/>
                  <w:vAlign w:val="center"/>
                </w:tcPr>
                <w:p w14:paraId="39F78488">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vertAlign w:val="baseline"/>
                      <w:lang w:val="en-US" w:eastAsia="zh-CN" w:bidi="ar-SA"/>
                    </w:rPr>
                  </w:pPr>
                  <w:r>
                    <w:rPr>
                      <w:rFonts w:hint="eastAsia" w:eastAsia="宋体"/>
                      <w:bCs/>
                      <w:color w:val="auto"/>
                      <w:sz w:val="21"/>
                      <w:szCs w:val="21"/>
                      <w:highlight w:val="none"/>
                    </w:rPr>
                    <w:t>符合</w:t>
                  </w:r>
                </w:p>
              </w:tc>
            </w:tr>
            <w:tr w14:paraId="206DD08E">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tcBorders>
                    <w:tl2br w:val="nil"/>
                    <w:tr2bl w:val="nil"/>
                  </w:tcBorders>
                  <w:noWrap w:val="0"/>
                  <w:vAlign w:val="center"/>
                </w:tcPr>
                <w:p w14:paraId="19CFB02C">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《大气污染防治行动计划》（国发〔2013〕37号）</w:t>
                  </w:r>
                </w:p>
              </w:tc>
              <w:tc>
                <w:tcPr>
                  <w:tcW w:w="2275" w:type="pct"/>
                  <w:tcBorders>
                    <w:tl2br w:val="nil"/>
                    <w:tr2bl w:val="nil"/>
                  </w:tcBorders>
                  <w:noWrap w:val="0"/>
                  <w:vAlign w:val="center"/>
                </w:tcPr>
                <w:p w14:paraId="104EC852">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ascii="Times New Roman" w:hAnsi="Times New Roman" w:eastAsia="宋体" w:cs="Times New Roman"/>
                      <w:color w:val="auto"/>
                      <w:kern w:val="2"/>
                      <w:sz w:val="21"/>
                      <w:szCs w:val="21"/>
                      <w:highlight w:val="none"/>
                      <w:vertAlign w:val="baseline"/>
                      <w:lang w:val="zh-CN" w:eastAsia="zh-CN" w:bidi="ar-SA"/>
                    </w:rPr>
                    <w:t>（二）深化面源污染治理。综合整治城市扬尘。加强施工扬尘监管，积极推进绿色施工，建设工程施工现场应全封闭设置围挡墙，严禁敞开式作业，施工现场道路应进行地面硬化。渣土运输车辆应采取密闭措施，并逐步安装卫星定位系统。推行道路机械化清扫等低尘作业方式。大型煤堆、料堆要实现封闭储存或建设防风抑尘设施。推进城市周边绿化和防风防沙林建设，扩大城市建成区绿地规模。</w:t>
                  </w:r>
                </w:p>
              </w:tc>
              <w:tc>
                <w:tcPr>
                  <w:tcW w:w="1411" w:type="pct"/>
                  <w:tcBorders>
                    <w:tl2br w:val="nil"/>
                    <w:tr2bl w:val="nil"/>
                  </w:tcBorders>
                  <w:noWrap w:val="0"/>
                  <w:vAlign w:val="center"/>
                </w:tcPr>
                <w:p w14:paraId="2B5B912B">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本项目施工期在室内进行，仅对室内进行装修和设备安装，不会扰动地表，无土石方工程，不会产生扬尘，施工期严格按照规范执行。</w:t>
                  </w:r>
                </w:p>
              </w:tc>
              <w:tc>
                <w:tcPr>
                  <w:tcW w:w="463" w:type="pct"/>
                  <w:tcBorders>
                    <w:tl2br w:val="nil"/>
                    <w:tr2bl w:val="nil"/>
                  </w:tcBorders>
                  <w:noWrap w:val="0"/>
                  <w:vAlign w:val="center"/>
                </w:tcPr>
                <w:p w14:paraId="74443520">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eastAsia="宋体"/>
                      <w:bCs/>
                      <w:color w:val="auto"/>
                      <w:sz w:val="21"/>
                      <w:szCs w:val="21"/>
                      <w:highlight w:val="none"/>
                      <w:lang w:val="en-US" w:eastAsia="zh-CN"/>
                    </w:rPr>
                  </w:pPr>
                  <w:r>
                    <w:rPr>
                      <w:rFonts w:hint="eastAsia"/>
                      <w:bCs/>
                      <w:color w:val="auto"/>
                      <w:sz w:val="21"/>
                      <w:szCs w:val="21"/>
                      <w:highlight w:val="none"/>
                      <w:lang w:val="en-US" w:eastAsia="zh-CN"/>
                    </w:rPr>
                    <w:t>符合</w:t>
                  </w:r>
                </w:p>
              </w:tc>
            </w:tr>
            <w:tr w14:paraId="6FF8CD8B">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tcBorders>
                    <w:tl2br w:val="nil"/>
                    <w:tr2bl w:val="nil"/>
                  </w:tcBorders>
                  <w:noWrap w:val="0"/>
                  <w:vAlign w:val="center"/>
                </w:tcPr>
                <w:p w14:paraId="09C76806">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《挥发性有机物（VOCs）污染防治技术政策》（公告2013年第31号）</w:t>
                  </w:r>
                </w:p>
              </w:tc>
              <w:tc>
                <w:tcPr>
                  <w:tcW w:w="2275" w:type="pct"/>
                  <w:tcBorders>
                    <w:tl2br w:val="nil"/>
                    <w:tr2bl w:val="nil"/>
                  </w:tcBorders>
                  <w:noWrap w:val="0"/>
                  <w:vAlign w:val="center"/>
                </w:tcPr>
                <w:p w14:paraId="2546674F">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ascii="Times New Roman" w:hAnsi="Times New Roman" w:eastAsia="宋体" w:cs="Times New Roman"/>
                      <w:color w:val="auto"/>
                      <w:kern w:val="2"/>
                      <w:sz w:val="21"/>
                      <w:szCs w:val="21"/>
                      <w:highlight w:val="none"/>
                      <w:vertAlign w:val="baseline"/>
                      <w:lang w:val="zh-CN" w:eastAsia="zh-CN" w:bidi="ar-SA"/>
                    </w:rPr>
                    <w:t>三、末端治理与综合利用</w:t>
                  </w:r>
                </w:p>
                <w:p w14:paraId="4196FF06">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ascii="Times New Roman" w:hAnsi="Times New Roman" w:eastAsia="宋体" w:cs="Times New Roman"/>
                      <w:color w:val="auto"/>
                      <w:kern w:val="2"/>
                      <w:sz w:val="21"/>
                      <w:szCs w:val="21"/>
                      <w:highlight w:val="none"/>
                      <w:vertAlign w:val="baseline"/>
                      <w:lang w:val="zh-CN" w:eastAsia="zh-CN" w:bidi="ar-SA"/>
                    </w:rPr>
                    <w:t>（十五）对于含低浓度VOCs的废气，有回收价值时可采用吸附技术、吸收技术对有机溶剂回收后达标排放；不宜回收时，可采用吸附浓缩燃烧技术、生物技术、吸收技术、等离子体技术或紫外光高级氧化技术等净化后达标排放。</w:t>
                  </w:r>
                </w:p>
                <w:p w14:paraId="6AEA55A4">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ascii="Times New Roman" w:hAnsi="Times New Roman" w:eastAsia="宋体" w:cs="Times New Roman"/>
                      <w:color w:val="auto"/>
                      <w:kern w:val="2"/>
                      <w:sz w:val="21"/>
                      <w:szCs w:val="21"/>
                      <w:highlight w:val="none"/>
                      <w:vertAlign w:val="baseline"/>
                      <w:lang w:val="zh-CN" w:eastAsia="zh-CN" w:bidi="ar-SA"/>
                    </w:rPr>
                    <w:t>（二十）对于不能再生的过滤材料、吸附剂及催化剂等净化材料，应按</w:t>
                  </w:r>
                </w:p>
                <w:p w14:paraId="58F29715">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ascii="Times New Roman" w:hAnsi="Times New Roman" w:eastAsia="宋体" w:cs="Times New Roman"/>
                      <w:color w:val="auto"/>
                      <w:kern w:val="2"/>
                      <w:sz w:val="21"/>
                      <w:szCs w:val="21"/>
                      <w:highlight w:val="none"/>
                      <w:vertAlign w:val="baseline"/>
                      <w:lang w:val="zh-CN" w:eastAsia="zh-CN" w:bidi="ar-SA"/>
                    </w:rPr>
                    <w:t>照国家固体废物管理的相关规定处理处置。</w:t>
                  </w:r>
                </w:p>
              </w:tc>
              <w:tc>
                <w:tcPr>
                  <w:tcW w:w="1411" w:type="pct"/>
                  <w:tcBorders>
                    <w:tl2br w:val="nil"/>
                    <w:tr2bl w:val="nil"/>
                  </w:tcBorders>
                  <w:noWrap w:val="0"/>
                  <w:vAlign w:val="center"/>
                </w:tcPr>
                <w:p w14:paraId="58583444">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本项目废气中VOCs浓度低，采用活性炭吸附装置处理后达标排放，废活性炭作为危废妥善处置。</w:t>
                  </w:r>
                </w:p>
              </w:tc>
              <w:tc>
                <w:tcPr>
                  <w:tcW w:w="463" w:type="pct"/>
                  <w:tcBorders>
                    <w:tl2br w:val="nil"/>
                    <w:tr2bl w:val="nil"/>
                  </w:tcBorders>
                  <w:noWrap w:val="0"/>
                  <w:vAlign w:val="center"/>
                </w:tcPr>
                <w:p w14:paraId="290BEBEF">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default"/>
                      <w:bCs/>
                      <w:color w:val="auto"/>
                      <w:sz w:val="21"/>
                      <w:szCs w:val="21"/>
                      <w:highlight w:val="none"/>
                      <w:lang w:val="en-US" w:eastAsia="zh-CN"/>
                    </w:rPr>
                  </w:pPr>
                  <w:r>
                    <w:rPr>
                      <w:rFonts w:hint="eastAsia"/>
                      <w:bCs/>
                      <w:color w:val="auto"/>
                      <w:sz w:val="21"/>
                      <w:szCs w:val="21"/>
                      <w:highlight w:val="none"/>
                      <w:lang w:val="en-US" w:eastAsia="zh-CN"/>
                    </w:rPr>
                    <w:t>符合</w:t>
                  </w:r>
                </w:p>
              </w:tc>
            </w:tr>
            <w:tr w14:paraId="53CAF6F4">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tcBorders>
                    <w:tl2br w:val="nil"/>
                    <w:tr2bl w:val="nil"/>
                  </w:tcBorders>
                  <w:noWrap w:val="0"/>
                  <w:vAlign w:val="center"/>
                </w:tcPr>
                <w:p w14:paraId="1C58AECC">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《陕西省生态环境厅关于进一步加强关中地区涉气重点行业项目环评</w:t>
                  </w:r>
                </w:p>
                <w:p w14:paraId="48208AB2">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管理的通知》（陕环环评函〔2023〕76号）</w:t>
                  </w:r>
                </w:p>
              </w:tc>
              <w:tc>
                <w:tcPr>
                  <w:tcW w:w="2275" w:type="pct"/>
                  <w:tcBorders>
                    <w:tl2br w:val="nil"/>
                    <w:tr2bl w:val="nil"/>
                  </w:tcBorders>
                  <w:noWrap w:val="0"/>
                  <w:vAlign w:val="center"/>
                </w:tcPr>
                <w:p w14:paraId="1209F254">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ascii="Times New Roman" w:hAnsi="Times New Roman" w:eastAsia="宋体" w:cs="Times New Roman"/>
                      <w:color w:val="auto"/>
                      <w:kern w:val="2"/>
                      <w:sz w:val="21"/>
                      <w:szCs w:val="21"/>
                      <w:highlight w:val="none"/>
                      <w:vertAlign w:val="baseline"/>
                      <w:lang w:val="zh-CN" w:eastAsia="zh-CN" w:bidi="ar-SA"/>
                    </w:rPr>
                    <w:t>一、关中地区涉气重点行业项目范围为生态环境部确定的39个重点行业</w:t>
                  </w:r>
                </w:p>
                <w:p w14:paraId="5FA01560">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ascii="Times New Roman" w:hAnsi="Times New Roman" w:eastAsia="宋体" w:cs="Times New Roman"/>
                      <w:color w:val="auto"/>
                      <w:kern w:val="2"/>
                      <w:sz w:val="21"/>
                      <w:szCs w:val="21"/>
                      <w:highlight w:val="none"/>
                      <w:vertAlign w:val="baseline"/>
                      <w:lang w:val="zh-CN" w:eastAsia="zh-CN" w:bidi="ar-SA"/>
                    </w:rPr>
                    <w:t>的新改扩建项目，涉及关中各市（区）辖区及开发区范围内的应达到环保绩效A级、绩效引领性水平要求，西安市、咸阳市、渭南市的其他区域应达到环保绩效B级及以上要求。</w:t>
                  </w:r>
                </w:p>
              </w:tc>
              <w:tc>
                <w:tcPr>
                  <w:tcW w:w="1411" w:type="pct"/>
                  <w:tcBorders>
                    <w:tl2br w:val="nil"/>
                    <w:tr2bl w:val="nil"/>
                  </w:tcBorders>
                  <w:noWrap w:val="0"/>
                  <w:vAlign w:val="center"/>
                </w:tcPr>
                <w:p w14:paraId="6D480EDC">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kern w:val="2"/>
                      <w:sz w:val="21"/>
                      <w:szCs w:val="21"/>
                      <w:highlight w:val="none"/>
                      <w:vertAlign w:val="baseline"/>
                      <w:lang w:val="zh-CN" w:eastAsia="zh-CN" w:bidi="ar-SA"/>
                    </w:rPr>
                    <w:t>本项目不属于生态环境部确定的39个重点行业，无需开展环境绩效评级。</w:t>
                  </w:r>
                </w:p>
              </w:tc>
              <w:tc>
                <w:tcPr>
                  <w:tcW w:w="463" w:type="pct"/>
                  <w:tcBorders>
                    <w:tl2br w:val="nil"/>
                    <w:tr2bl w:val="nil"/>
                  </w:tcBorders>
                  <w:noWrap w:val="0"/>
                  <w:vAlign w:val="center"/>
                </w:tcPr>
                <w:p w14:paraId="37022CCD">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default"/>
                      <w:bCs/>
                      <w:color w:val="auto"/>
                      <w:sz w:val="21"/>
                      <w:szCs w:val="21"/>
                      <w:highlight w:val="none"/>
                      <w:lang w:val="en-US" w:eastAsia="zh-CN"/>
                    </w:rPr>
                  </w:pPr>
                  <w:r>
                    <w:rPr>
                      <w:rFonts w:hint="eastAsia"/>
                      <w:bCs/>
                      <w:color w:val="auto"/>
                      <w:sz w:val="21"/>
                      <w:szCs w:val="21"/>
                      <w:highlight w:val="none"/>
                      <w:lang w:val="en-US" w:eastAsia="zh-CN"/>
                    </w:rPr>
                    <w:t>符合</w:t>
                  </w:r>
                </w:p>
              </w:tc>
            </w:tr>
            <w:tr w14:paraId="782282FD">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vMerge w:val="restart"/>
                  <w:tcBorders>
                    <w:tl2br w:val="nil"/>
                    <w:tr2bl w:val="nil"/>
                  </w:tcBorders>
                  <w:noWrap w:val="0"/>
                  <w:vAlign w:val="center"/>
                </w:tcPr>
                <w:p w14:paraId="31F40E25">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《陕西省大气污染防治条例》（2019年修正）</w:t>
                  </w:r>
                </w:p>
              </w:tc>
              <w:tc>
                <w:tcPr>
                  <w:tcW w:w="2275" w:type="pct"/>
                  <w:tcBorders>
                    <w:tl2br w:val="nil"/>
                    <w:tr2bl w:val="nil"/>
                  </w:tcBorders>
                  <w:noWrap w:val="0"/>
                  <w:vAlign w:val="center"/>
                </w:tcPr>
                <w:p w14:paraId="12E86E36">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ascii="Times New Roman" w:hAnsi="Times New Roman" w:eastAsia="宋体" w:cs="Times New Roman"/>
                      <w:color w:val="auto"/>
                      <w:kern w:val="2"/>
                      <w:sz w:val="21"/>
                      <w:szCs w:val="21"/>
                      <w:highlight w:val="none"/>
                      <w:vertAlign w:val="baseline"/>
                      <w:lang w:val="zh-CN" w:eastAsia="zh-CN" w:bidi="ar-SA"/>
                    </w:rPr>
                    <w:t>第三十七条 工业生产中产生的可燃性气体应当回用利用，不具备回用利用条件而向大气排放的，应当进行污染防治处理。</w:t>
                  </w:r>
                </w:p>
                <w:p w14:paraId="16CC152C">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ascii="Times New Roman" w:hAnsi="Times New Roman" w:eastAsia="宋体" w:cs="Times New Roman"/>
                      <w:color w:val="auto"/>
                      <w:kern w:val="2"/>
                      <w:sz w:val="21"/>
                      <w:szCs w:val="21"/>
                      <w:highlight w:val="none"/>
                      <w:vertAlign w:val="baseline"/>
                      <w:lang w:val="zh-CN" w:eastAsia="zh-CN" w:bidi="ar-SA"/>
                    </w:rPr>
                    <w:t>可燃性气体回收利用装置不能正常作业的，应当及时修复或者更新。在回收利用装置不能正常作业期间确需排放可燃性气体的，应当将排放的可燃性气体充分燃烧或者采取其他减轻大气污染的措施。</w:t>
                  </w:r>
                </w:p>
              </w:tc>
              <w:tc>
                <w:tcPr>
                  <w:tcW w:w="1411" w:type="pct"/>
                  <w:tcBorders>
                    <w:tl2br w:val="nil"/>
                    <w:tr2bl w:val="nil"/>
                  </w:tcBorders>
                  <w:noWrap w:val="0"/>
                  <w:vAlign w:val="center"/>
                </w:tcPr>
                <w:p w14:paraId="5B836F56">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ascii="Times New Roman" w:hAnsi="Times New Roman" w:eastAsia="宋体" w:cs="Times New Roman"/>
                      <w:color w:val="auto"/>
                      <w:kern w:val="2"/>
                      <w:sz w:val="21"/>
                      <w:szCs w:val="21"/>
                      <w:highlight w:val="none"/>
                      <w:vertAlign w:val="baseline"/>
                      <w:lang w:val="zh-CN" w:eastAsia="zh-CN" w:bidi="ar-SA"/>
                    </w:rPr>
                    <w:t>本项目实验室整体密闭，有机废气经移动式集气罩集气后由活性炭吸附+15m排气筒处理后达标排放。</w:t>
                  </w:r>
                </w:p>
              </w:tc>
              <w:tc>
                <w:tcPr>
                  <w:tcW w:w="463" w:type="pct"/>
                  <w:tcBorders>
                    <w:tl2br w:val="nil"/>
                    <w:tr2bl w:val="nil"/>
                  </w:tcBorders>
                  <w:noWrap w:val="0"/>
                  <w:vAlign w:val="center"/>
                </w:tcPr>
                <w:p w14:paraId="62133428">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default"/>
                      <w:bCs/>
                      <w:color w:val="auto"/>
                      <w:sz w:val="21"/>
                      <w:szCs w:val="21"/>
                      <w:highlight w:val="none"/>
                      <w:lang w:val="en-US" w:eastAsia="zh-CN"/>
                    </w:rPr>
                  </w:pPr>
                  <w:r>
                    <w:rPr>
                      <w:rFonts w:hint="eastAsia"/>
                      <w:bCs/>
                      <w:color w:val="auto"/>
                      <w:sz w:val="21"/>
                      <w:szCs w:val="21"/>
                      <w:highlight w:val="none"/>
                      <w:lang w:val="en-US" w:eastAsia="zh-CN"/>
                    </w:rPr>
                    <w:t>符合</w:t>
                  </w:r>
                </w:p>
              </w:tc>
            </w:tr>
            <w:tr w14:paraId="3A0ABD2B">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vMerge w:val="continue"/>
                  <w:tcBorders>
                    <w:tl2br w:val="nil"/>
                    <w:tr2bl w:val="nil"/>
                  </w:tcBorders>
                  <w:noWrap w:val="0"/>
                  <w:vAlign w:val="center"/>
                </w:tcPr>
                <w:p w14:paraId="3001D4DB">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p>
              </w:tc>
              <w:tc>
                <w:tcPr>
                  <w:tcW w:w="2275" w:type="pct"/>
                  <w:tcBorders>
                    <w:tl2br w:val="nil"/>
                    <w:tr2bl w:val="nil"/>
                  </w:tcBorders>
                  <w:noWrap w:val="0"/>
                  <w:vAlign w:val="center"/>
                </w:tcPr>
                <w:p w14:paraId="6376C4E0">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ascii="Times New Roman" w:hAnsi="Times New Roman" w:eastAsia="宋体" w:cs="Times New Roman"/>
                      <w:color w:val="auto"/>
                      <w:kern w:val="2"/>
                      <w:sz w:val="21"/>
                      <w:szCs w:val="21"/>
                      <w:highlight w:val="none"/>
                      <w:vertAlign w:val="baseline"/>
                      <w:lang w:val="zh-CN" w:eastAsia="zh-CN" w:bidi="ar-SA"/>
                    </w:rPr>
                    <w:t>第五十八条 施工单位应当按照工地扬尘污染防治方案的要求施工，在施工现场出入口公示扬尘污染控制措施、负责人、环保监督员、扬尘监管行政主管部门等有关信息，接受社会监督，并采取下列防尘措施：</w:t>
                  </w:r>
                </w:p>
                <w:p w14:paraId="4483F0EE">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ascii="Times New Roman" w:hAnsi="Times New Roman" w:eastAsia="宋体" w:cs="Times New Roman"/>
                      <w:color w:val="auto"/>
                      <w:kern w:val="2"/>
                      <w:sz w:val="21"/>
                      <w:szCs w:val="21"/>
                      <w:highlight w:val="none"/>
                      <w:vertAlign w:val="baseline"/>
                      <w:lang w:val="zh-CN" w:eastAsia="zh-CN" w:bidi="ar-SA"/>
                    </w:rPr>
                    <w:t>（一）城市市区施工工地周围应当设置硬质材料围挡，工地内暂未施工的区域应当覆盖、硬化或者绿化，暂未开工的建设用地，由土地使用权人负责对裸露地面进行覆盖，超过三个月的，应当进行绿化；</w:t>
                  </w:r>
                </w:p>
                <w:p w14:paraId="5197F5C1">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ascii="Times New Roman" w:hAnsi="Times New Roman" w:eastAsia="宋体" w:cs="Times New Roman"/>
                      <w:color w:val="auto"/>
                      <w:kern w:val="2"/>
                      <w:sz w:val="21"/>
                      <w:szCs w:val="21"/>
                      <w:highlight w:val="none"/>
                      <w:vertAlign w:val="baseline"/>
                      <w:lang w:val="zh-CN" w:eastAsia="zh-CN" w:bidi="ar-SA"/>
                    </w:rPr>
                    <w:t>（二）施工工地内堆放水泥、灰土、砂石等易产生扬尘污染物料和建筑</w:t>
                  </w:r>
                </w:p>
                <w:p w14:paraId="261C6A46">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ascii="Times New Roman" w:hAnsi="Times New Roman" w:eastAsia="宋体" w:cs="Times New Roman"/>
                      <w:color w:val="auto"/>
                      <w:kern w:val="2"/>
                      <w:sz w:val="21"/>
                      <w:szCs w:val="21"/>
                      <w:highlight w:val="none"/>
                      <w:vertAlign w:val="baseline"/>
                      <w:lang w:val="zh-CN" w:eastAsia="zh-CN" w:bidi="ar-SA"/>
                    </w:rPr>
                    <w:t>垃圾、工程渣土，应当遮盖或者在库房内存放；</w:t>
                  </w:r>
                </w:p>
                <w:p w14:paraId="7F35A2FA">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ascii="Times New Roman" w:hAnsi="Times New Roman" w:eastAsia="宋体" w:cs="Times New Roman"/>
                      <w:color w:val="auto"/>
                      <w:kern w:val="2"/>
                      <w:sz w:val="21"/>
                      <w:szCs w:val="21"/>
                      <w:highlight w:val="none"/>
                      <w:vertAlign w:val="baseline"/>
                      <w:lang w:val="zh-CN" w:eastAsia="zh-CN" w:bidi="ar-SA"/>
                    </w:rPr>
                    <w:t>（三）土方、拆除、洗刨工程作业时应当分段作业，采取洒水压尘措施，缩短起尘操作时间；气象预报风速达到四级以上或者出现重污染天气状况时，城市市区应当停止土石方作业、拆除工程以及其他可能产生扬尘污染的施工；</w:t>
                  </w:r>
                </w:p>
                <w:p w14:paraId="1C31B8DB">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ascii="Times New Roman" w:hAnsi="Times New Roman" w:eastAsia="宋体" w:cs="Times New Roman"/>
                      <w:color w:val="auto"/>
                      <w:kern w:val="2"/>
                      <w:sz w:val="21"/>
                      <w:szCs w:val="21"/>
                      <w:highlight w:val="none"/>
                      <w:vertAlign w:val="baseline"/>
                      <w:lang w:val="zh-CN" w:eastAsia="zh-CN" w:bidi="ar-SA"/>
                    </w:rPr>
                    <w:t>（四）建筑施工工地进出口处应当设置车辆清洗设施及配套的排水、泥浆沉淀设施，运送建筑物料的车辆驶出工地应当进行冲洗，防止泥水溢流，周边一百米以内的道路应当保持清洁，不得存留建筑垃圾和泥土。</w:t>
                  </w:r>
                </w:p>
              </w:tc>
              <w:tc>
                <w:tcPr>
                  <w:tcW w:w="1411" w:type="pct"/>
                  <w:tcBorders>
                    <w:tl2br w:val="nil"/>
                    <w:tr2bl w:val="nil"/>
                  </w:tcBorders>
                  <w:noWrap w:val="0"/>
                  <w:vAlign w:val="center"/>
                </w:tcPr>
                <w:p w14:paraId="293F81BA">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ascii="Times New Roman" w:hAnsi="Times New Roman" w:eastAsia="宋体" w:cs="Times New Roman"/>
                      <w:color w:val="auto"/>
                      <w:kern w:val="2"/>
                      <w:sz w:val="21"/>
                      <w:szCs w:val="21"/>
                      <w:highlight w:val="none"/>
                      <w:vertAlign w:val="baseline"/>
                      <w:lang w:val="zh-CN" w:eastAsia="zh-CN" w:bidi="ar-SA"/>
                    </w:rPr>
                    <w:t>本项目施工周期短，仅在室内进行装修和设备安装，不涉及土石施工，产生的施工垃圾较少，得到了有效处置，施工扬尘在室内自然沉降，对周</w:t>
                  </w:r>
                </w:p>
                <w:p w14:paraId="00005FCD">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ascii="Times New Roman" w:hAnsi="Times New Roman" w:eastAsia="宋体" w:cs="Times New Roman"/>
                      <w:color w:val="auto"/>
                      <w:kern w:val="2"/>
                      <w:sz w:val="21"/>
                      <w:szCs w:val="21"/>
                      <w:highlight w:val="none"/>
                      <w:vertAlign w:val="baseline"/>
                      <w:lang w:val="zh-CN" w:eastAsia="zh-CN" w:bidi="ar-SA"/>
                    </w:rPr>
                    <w:t>边环境影响不大。</w:t>
                  </w:r>
                </w:p>
              </w:tc>
              <w:tc>
                <w:tcPr>
                  <w:tcW w:w="463" w:type="pct"/>
                  <w:tcBorders>
                    <w:tl2br w:val="nil"/>
                    <w:tr2bl w:val="nil"/>
                  </w:tcBorders>
                  <w:noWrap w:val="0"/>
                  <w:vAlign w:val="center"/>
                </w:tcPr>
                <w:p w14:paraId="08E57D78">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default"/>
                      <w:bCs/>
                      <w:color w:val="auto"/>
                      <w:sz w:val="21"/>
                      <w:szCs w:val="21"/>
                      <w:highlight w:val="none"/>
                      <w:lang w:val="en-US" w:eastAsia="zh-CN"/>
                    </w:rPr>
                  </w:pPr>
                  <w:r>
                    <w:rPr>
                      <w:rFonts w:hint="eastAsia"/>
                      <w:bCs/>
                      <w:color w:val="auto"/>
                      <w:sz w:val="21"/>
                      <w:szCs w:val="21"/>
                      <w:highlight w:val="none"/>
                      <w:lang w:val="en-US" w:eastAsia="zh-CN"/>
                    </w:rPr>
                    <w:t>符合</w:t>
                  </w:r>
                </w:p>
              </w:tc>
            </w:tr>
            <w:tr w14:paraId="664C3E6B">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tcBorders>
                    <w:tl2br w:val="nil"/>
                    <w:tr2bl w:val="nil"/>
                  </w:tcBorders>
                  <w:noWrap w:val="0"/>
                  <w:vAlign w:val="center"/>
                </w:tcPr>
                <w:p w14:paraId="6403575C">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《陕西省大气污染专项治理行动方案（2023-2027）》</w:t>
                  </w:r>
                </w:p>
              </w:tc>
              <w:tc>
                <w:tcPr>
                  <w:tcW w:w="2275" w:type="pct"/>
                  <w:tcBorders>
                    <w:tl2br w:val="nil"/>
                    <w:tr2bl w:val="nil"/>
                  </w:tcBorders>
                  <w:noWrap w:val="0"/>
                  <w:vAlign w:val="center"/>
                </w:tcPr>
                <w:p w14:paraId="24084EA2">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ascii="Times New Roman" w:hAnsi="Times New Roman" w:eastAsia="宋体" w:cs="Times New Roman"/>
                      <w:color w:val="auto"/>
                      <w:kern w:val="2"/>
                      <w:sz w:val="21"/>
                      <w:szCs w:val="21"/>
                      <w:highlight w:val="none"/>
                      <w:vertAlign w:val="baseline"/>
                      <w:lang w:val="zh-CN" w:eastAsia="zh-CN" w:bidi="ar-SA"/>
                    </w:rPr>
                    <w:t>三、重点任务 （三）开展四大行动 12、夏季臭氧应对行动。动态更新</w:t>
                  </w:r>
                </w:p>
                <w:p w14:paraId="19393125">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ascii="Times New Roman" w:hAnsi="Times New Roman" w:eastAsia="宋体" w:cs="Times New Roman"/>
                      <w:color w:val="auto"/>
                      <w:kern w:val="2"/>
                      <w:sz w:val="21"/>
                      <w:szCs w:val="21"/>
                      <w:highlight w:val="none"/>
                      <w:vertAlign w:val="baseline"/>
                      <w:lang w:val="zh-CN" w:eastAsia="zh-CN" w:bidi="ar-SA"/>
                    </w:rPr>
                    <w:t>挥发性有机物治理设施台账，开展简易低效挥发性有机物治理设施清理整治、涉活性炭挥发性有机物处理工艺专项整治行动，强化挥发性有机物无组织排放整治，确保达到相关标准要求。新建挥发性有机物治理设施不再采用低温等离子、光氧化、光催化等治理技术，非水溶性挥发性有机物废气不再采用喷淋吸收方式处理。</w:t>
                  </w:r>
                </w:p>
              </w:tc>
              <w:tc>
                <w:tcPr>
                  <w:tcW w:w="1411" w:type="pct"/>
                  <w:tcBorders>
                    <w:tl2br w:val="nil"/>
                    <w:tr2bl w:val="nil"/>
                  </w:tcBorders>
                  <w:noWrap w:val="0"/>
                  <w:vAlign w:val="center"/>
                </w:tcPr>
                <w:p w14:paraId="0010697E">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ascii="Times New Roman" w:hAnsi="Times New Roman" w:eastAsia="宋体" w:cs="Times New Roman"/>
                      <w:color w:val="auto"/>
                      <w:kern w:val="2"/>
                      <w:sz w:val="21"/>
                      <w:szCs w:val="21"/>
                      <w:highlight w:val="none"/>
                      <w:vertAlign w:val="baseline"/>
                      <w:lang w:val="zh-CN" w:eastAsia="zh-CN" w:bidi="ar-SA"/>
                    </w:rPr>
                    <w:t>本项目为</w:t>
                  </w:r>
                  <w:r>
                    <w:rPr>
                      <w:rFonts w:hint="eastAsia" w:cs="Times New Roman"/>
                      <w:color w:val="auto"/>
                      <w:kern w:val="2"/>
                      <w:sz w:val="21"/>
                      <w:szCs w:val="21"/>
                      <w:highlight w:val="none"/>
                      <w:vertAlign w:val="baseline"/>
                      <w:lang w:val="en-US" w:eastAsia="zh-CN" w:bidi="ar-SA"/>
                    </w:rPr>
                    <w:t>环境</w:t>
                  </w:r>
                  <w:r>
                    <w:rPr>
                      <w:rFonts w:hint="eastAsia" w:ascii="Times New Roman" w:hAnsi="Times New Roman" w:eastAsia="宋体" w:cs="Times New Roman"/>
                      <w:color w:val="auto"/>
                      <w:kern w:val="2"/>
                      <w:sz w:val="21"/>
                      <w:szCs w:val="21"/>
                      <w:highlight w:val="none"/>
                      <w:vertAlign w:val="baseline"/>
                      <w:lang w:val="zh-CN" w:eastAsia="zh-CN" w:bidi="ar-SA"/>
                    </w:rPr>
                    <w:t>检测实验室建设项目，挥发性有机物产生量很小，实验室整体密闭，有机废气经移动式集气罩+活性炭吸附+15m排气筒处理后达标排放。</w:t>
                  </w:r>
                </w:p>
              </w:tc>
              <w:tc>
                <w:tcPr>
                  <w:tcW w:w="463" w:type="pct"/>
                  <w:tcBorders>
                    <w:tl2br w:val="nil"/>
                    <w:tr2bl w:val="nil"/>
                  </w:tcBorders>
                  <w:noWrap w:val="0"/>
                  <w:vAlign w:val="center"/>
                </w:tcPr>
                <w:p w14:paraId="1312B121">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default"/>
                      <w:bCs/>
                      <w:color w:val="auto"/>
                      <w:sz w:val="21"/>
                      <w:szCs w:val="21"/>
                      <w:highlight w:val="none"/>
                      <w:lang w:val="en-US" w:eastAsia="zh-CN"/>
                    </w:rPr>
                  </w:pPr>
                  <w:r>
                    <w:rPr>
                      <w:rFonts w:hint="eastAsia"/>
                      <w:bCs/>
                      <w:color w:val="auto"/>
                      <w:sz w:val="21"/>
                      <w:szCs w:val="21"/>
                      <w:highlight w:val="none"/>
                      <w:lang w:val="en-US" w:eastAsia="zh-CN"/>
                    </w:rPr>
                    <w:t>符合</w:t>
                  </w:r>
                </w:p>
              </w:tc>
            </w:tr>
            <w:tr w14:paraId="3398EC8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tcBorders>
                    <w:tl2br w:val="nil"/>
                    <w:tr2bl w:val="nil"/>
                  </w:tcBorders>
                  <w:noWrap w:val="0"/>
                  <w:vAlign w:val="center"/>
                </w:tcPr>
                <w:p w14:paraId="53181C1F">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《陕西省“十四五”生态环境保护规划》</w:t>
                  </w:r>
                </w:p>
              </w:tc>
              <w:tc>
                <w:tcPr>
                  <w:tcW w:w="2275" w:type="pct"/>
                  <w:tcBorders>
                    <w:tl2br w:val="nil"/>
                    <w:tr2bl w:val="nil"/>
                  </w:tcBorders>
                  <w:noWrap w:val="0"/>
                  <w:vAlign w:val="center"/>
                </w:tcPr>
                <w:p w14:paraId="1E4A9641">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ascii="Times New Roman" w:hAnsi="Times New Roman" w:eastAsia="宋体" w:cs="Times New Roman"/>
                      <w:color w:val="auto"/>
                      <w:kern w:val="2"/>
                      <w:sz w:val="21"/>
                      <w:szCs w:val="21"/>
                      <w:highlight w:val="none"/>
                      <w:vertAlign w:val="baseline"/>
                      <w:lang w:val="zh-CN" w:eastAsia="zh-CN" w:bidi="ar-SA"/>
                    </w:rPr>
                    <w:t>重点行业大气污染治理工程</w:t>
                  </w:r>
                </w:p>
                <w:p w14:paraId="0A578AFC">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ascii="Times New Roman" w:hAnsi="Times New Roman" w:eastAsia="宋体" w:cs="Times New Roman"/>
                      <w:color w:val="auto"/>
                      <w:kern w:val="2"/>
                      <w:sz w:val="21"/>
                      <w:szCs w:val="21"/>
                      <w:highlight w:val="none"/>
                      <w:vertAlign w:val="baseline"/>
                      <w:lang w:val="zh-CN" w:eastAsia="zh-CN" w:bidi="ar-SA"/>
                    </w:rPr>
                    <w:t>（三）挥发性有机物综合整治工程。</w:t>
                  </w:r>
                </w:p>
                <w:p w14:paraId="23DAE155">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ascii="Times New Roman" w:hAnsi="Times New Roman" w:eastAsia="宋体" w:cs="Times New Roman"/>
                      <w:color w:val="auto"/>
                      <w:kern w:val="2"/>
                      <w:sz w:val="21"/>
                      <w:szCs w:val="21"/>
                      <w:highlight w:val="none"/>
                      <w:vertAlign w:val="baseline"/>
                      <w:lang w:val="zh-CN" w:eastAsia="zh-CN" w:bidi="ar-SA"/>
                    </w:rPr>
                    <w:t>针对储罐、装卸、敞开液面、动静密封点、废气收集治理、废气旁路、</w:t>
                  </w:r>
                </w:p>
                <w:p w14:paraId="3DDD82F9">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lang w:val="zh-CN" w:eastAsia="zh-CN"/>
                    </w:rPr>
                  </w:pPr>
                  <w:r>
                    <w:rPr>
                      <w:rFonts w:hint="eastAsia" w:ascii="Times New Roman" w:hAnsi="Times New Roman" w:eastAsia="宋体" w:cs="Times New Roman"/>
                      <w:color w:val="auto"/>
                      <w:kern w:val="2"/>
                      <w:sz w:val="21"/>
                      <w:szCs w:val="21"/>
                      <w:highlight w:val="none"/>
                      <w:vertAlign w:val="baseline"/>
                      <w:lang w:val="zh-CN" w:eastAsia="zh-CN" w:bidi="ar-SA"/>
                    </w:rPr>
                    <w:t>非正常工况等关键环节，对照相关行业排放标准及无组织排放控制要求，组织开展排查整治，确保稳定达标排放。实施低挥发性有机物含量的原辅材料源头替代、废气催化燃烧或回用处理，按照“一厂一策”方案，提升挥发性有机物综合治理水平。</w:t>
                  </w:r>
                </w:p>
              </w:tc>
              <w:tc>
                <w:tcPr>
                  <w:tcW w:w="1411" w:type="pct"/>
                  <w:tcBorders>
                    <w:tl2br w:val="nil"/>
                    <w:tr2bl w:val="nil"/>
                  </w:tcBorders>
                  <w:noWrap w:val="0"/>
                  <w:vAlign w:val="center"/>
                </w:tcPr>
                <w:p w14:paraId="40E27E9C">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ascii="Times New Roman" w:hAnsi="Times New Roman" w:eastAsia="宋体" w:cs="Times New Roman"/>
                      <w:color w:val="auto"/>
                      <w:kern w:val="2"/>
                      <w:sz w:val="21"/>
                      <w:szCs w:val="21"/>
                      <w:highlight w:val="none"/>
                      <w:vertAlign w:val="baseline"/>
                      <w:lang w:val="zh-CN" w:eastAsia="zh-CN" w:bidi="ar-SA"/>
                    </w:rPr>
                    <w:t>本项目试剂用量非常少，且试剂装在封闭试剂瓶中，只在试剂使用时短时间打开瓶子，随后立即封闭，实验室整体密闭，废气经移动式集气罩+活性炭吸附+15m排气筒处理后达标排放。</w:t>
                  </w:r>
                </w:p>
              </w:tc>
              <w:tc>
                <w:tcPr>
                  <w:tcW w:w="463" w:type="pct"/>
                  <w:tcBorders>
                    <w:tl2br w:val="nil"/>
                    <w:tr2bl w:val="nil"/>
                  </w:tcBorders>
                  <w:noWrap w:val="0"/>
                  <w:vAlign w:val="center"/>
                </w:tcPr>
                <w:p w14:paraId="2EB40B00">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default"/>
                      <w:bCs/>
                      <w:color w:val="auto"/>
                      <w:sz w:val="21"/>
                      <w:szCs w:val="21"/>
                      <w:highlight w:val="none"/>
                      <w:lang w:val="en-US" w:eastAsia="zh-CN"/>
                    </w:rPr>
                  </w:pPr>
                  <w:r>
                    <w:rPr>
                      <w:rFonts w:hint="eastAsia"/>
                      <w:bCs/>
                      <w:color w:val="auto"/>
                      <w:sz w:val="21"/>
                      <w:szCs w:val="21"/>
                      <w:highlight w:val="none"/>
                      <w:lang w:val="en-US" w:eastAsia="zh-CN"/>
                    </w:rPr>
                    <w:t>符合</w:t>
                  </w:r>
                </w:p>
              </w:tc>
            </w:tr>
            <w:tr w14:paraId="0F71DE03">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tcBorders>
                    <w:tl2br w:val="nil"/>
                    <w:tr2bl w:val="nil"/>
                  </w:tcBorders>
                  <w:noWrap w:val="0"/>
                  <w:vAlign w:val="center"/>
                </w:tcPr>
                <w:p w14:paraId="39DD6C0B">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《西安市大气污染防治条例》（2018）</w:t>
                  </w:r>
                </w:p>
              </w:tc>
              <w:tc>
                <w:tcPr>
                  <w:tcW w:w="2275" w:type="pct"/>
                  <w:tcBorders>
                    <w:tl2br w:val="nil"/>
                    <w:tr2bl w:val="nil"/>
                  </w:tcBorders>
                  <w:noWrap w:val="0"/>
                  <w:vAlign w:val="center"/>
                </w:tcPr>
                <w:p w14:paraId="26A7BD95">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ascii="Times New Roman" w:hAnsi="Times New Roman" w:eastAsia="宋体" w:cs="Times New Roman"/>
                      <w:color w:val="auto"/>
                      <w:kern w:val="2"/>
                      <w:sz w:val="21"/>
                      <w:szCs w:val="21"/>
                      <w:highlight w:val="none"/>
                      <w:vertAlign w:val="baseline"/>
                      <w:lang w:val="zh-CN" w:eastAsia="zh-CN" w:bidi="ar-SA"/>
                    </w:rPr>
                    <w:t>第四章 防治措施 第二节 工业污染防治</w:t>
                  </w:r>
                </w:p>
                <w:p w14:paraId="4C009504">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ascii="Times New Roman" w:hAnsi="Times New Roman" w:eastAsia="宋体" w:cs="Times New Roman"/>
                      <w:color w:val="auto"/>
                      <w:kern w:val="2"/>
                      <w:sz w:val="21"/>
                      <w:szCs w:val="21"/>
                      <w:highlight w:val="none"/>
                      <w:vertAlign w:val="baseline"/>
                      <w:lang w:val="zh-CN" w:eastAsia="zh-CN" w:bidi="ar-SA"/>
                    </w:rPr>
                    <w:t>第四十七条 产生含挥发性有机物废气的生产和服务活动，应当在密闭空间或者设备中进行，并按照规定安装、使用污染防治设施；无法密闭的，应当采取有效措施减少废气排放。</w:t>
                  </w:r>
                </w:p>
              </w:tc>
              <w:tc>
                <w:tcPr>
                  <w:tcW w:w="1411" w:type="pct"/>
                  <w:tcBorders>
                    <w:tl2br w:val="nil"/>
                    <w:tr2bl w:val="nil"/>
                  </w:tcBorders>
                  <w:noWrap w:val="0"/>
                  <w:vAlign w:val="center"/>
                </w:tcPr>
                <w:p w14:paraId="211A4859">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ascii="Times New Roman" w:hAnsi="Times New Roman" w:eastAsia="宋体" w:cs="Times New Roman"/>
                      <w:color w:val="auto"/>
                      <w:kern w:val="2"/>
                      <w:sz w:val="21"/>
                      <w:szCs w:val="21"/>
                      <w:highlight w:val="none"/>
                      <w:vertAlign w:val="baseline"/>
                      <w:lang w:val="zh-CN" w:eastAsia="zh-CN" w:bidi="ar-SA"/>
                    </w:rPr>
                    <w:t>本项目实验室整体处于封闭状态，挥发性有机物废气产生量较小，采用活性炭吸附装置处理后可达标排放。</w:t>
                  </w:r>
                </w:p>
              </w:tc>
              <w:tc>
                <w:tcPr>
                  <w:tcW w:w="463" w:type="pct"/>
                  <w:tcBorders>
                    <w:tl2br w:val="nil"/>
                    <w:tr2bl w:val="nil"/>
                  </w:tcBorders>
                  <w:noWrap w:val="0"/>
                  <w:vAlign w:val="center"/>
                </w:tcPr>
                <w:p w14:paraId="75630FB9">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default"/>
                      <w:bCs/>
                      <w:color w:val="auto"/>
                      <w:sz w:val="21"/>
                      <w:szCs w:val="21"/>
                      <w:highlight w:val="none"/>
                      <w:lang w:val="en-US" w:eastAsia="zh-CN"/>
                    </w:rPr>
                  </w:pPr>
                  <w:r>
                    <w:rPr>
                      <w:rFonts w:hint="eastAsia"/>
                      <w:bCs/>
                      <w:color w:val="auto"/>
                      <w:sz w:val="21"/>
                      <w:szCs w:val="21"/>
                      <w:highlight w:val="none"/>
                      <w:lang w:val="en-US" w:eastAsia="zh-CN"/>
                    </w:rPr>
                    <w:t>符合</w:t>
                  </w:r>
                </w:p>
              </w:tc>
            </w:tr>
            <w:tr w14:paraId="261FA33E">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tcBorders>
                    <w:tl2br w:val="nil"/>
                    <w:tr2bl w:val="nil"/>
                  </w:tcBorders>
                  <w:noWrap w:val="0"/>
                  <w:vAlign w:val="center"/>
                </w:tcPr>
                <w:p w14:paraId="161CD804">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b/>
                      <w:bCs/>
                      <w:color w:val="auto"/>
                      <w:kern w:val="2"/>
                      <w:sz w:val="21"/>
                      <w:szCs w:val="21"/>
                      <w:highlight w:val="none"/>
                      <w:lang w:val="en-US" w:eastAsia="zh-CN" w:bidi="ar-SA"/>
                    </w:rPr>
                  </w:pPr>
                  <w:r>
                    <w:rPr>
                      <w:color w:val="auto"/>
                      <w:sz w:val="21"/>
                      <w:szCs w:val="21"/>
                      <w:highlight w:val="none"/>
                    </w:rPr>
                    <w:t>《西安市“十四五”生态环境保护规划》市政发〔2021〕21号</w:t>
                  </w:r>
                </w:p>
              </w:tc>
              <w:tc>
                <w:tcPr>
                  <w:tcW w:w="2275" w:type="pct"/>
                  <w:tcBorders>
                    <w:tl2br w:val="nil"/>
                    <w:tr2bl w:val="nil"/>
                  </w:tcBorders>
                  <w:noWrap w:val="0"/>
                  <w:vAlign w:val="center"/>
                </w:tcPr>
                <w:p w14:paraId="5824705B">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ascii="Times New Roman" w:hAnsi="Times New Roman" w:eastAsia="宋体" w:cs="Times New Roman"/>
                      <w:color w:val="auto"/>
                      <w:kern w:val="2"/>
                      <w:sz w:val="21"/>
                      <w:szCs w:val="21"/>
                      <w:highlight w:val="none"/>
                      <w:vertAlign w:val="baseline"/>
                      <w:lang w:val="zh-CN" w:eastAsia="zh-CN" w:bidi="ar-SA"/>
                    </w:rPr>
                    <w:t>强化VOCs综合整治。将挥发性有机物纳入污染物排放总量控制体系，有效减少重点污染源、全社会挥发性有机物和NOx排放总量。以建材、有色等行业带动工业窑炉的综合整治，从源头上对氮氧化物和挥发性有机物进行控制。开展重点行业工业企业挥发性有机物无组织排放治理，以工业涂装、包装印刷、汽修和油品储运销等为重点领域，以工业园区、企业集群和重点企业为重点管控对象，全面加强对光化学反应活性强的VOCs物质控制。建立完善重点行业源头、过程和末端VOCs全过程控制体系，实施VOCs总量控制。严格落实产品强制标准中VOCs含量限值；全面落实《挥发性有机物无组织排放控制标准》要求，引导企业加强对含VOCs物料的存储、转移和输送等环节的全方位密闭管理，以及对设备与管线组件泄漏、敞开液面逸散以及工艺过程等方面的全过程精细化管控，实现VOCs排放量明显下降。坚持市场化引导，在连锁企业和企业集团内部探索建立集中式汽车喷涂中心。加强餐饮油烟污染整治，出台“西安排放限值”，实施餐饮油烟在线监测，实现排放油烟的饮食业单位全部安装油烟净化装置并达标排放。严格控制加油站总量，城墙内继续维持零加油站现状；三环内不再规划新建常规加油站，鼓励有条件的加油站增设新能源充电设施。</w:t>
                  </w:r>
                </w:p>
              </w:tc>
              <w:tc>
                <w:tcPr>
                  <w:tcW w:w="1411" w:type="pct"/>
                  <w:tcBorders>
                    <w:tl2br w:val="nil"/>
                    <w:tr2bl w:val="nil"/>
                  </w:tcBorders>
                  <w:noWrap w:val="0"/>
                  <w:vAlign w:val="center"/>
                </w:tcPr>
                <w:p w14:paraId="1090051E">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eastAsia="宋体" w:cs="Times New Roman"/>
                      <w:color w:val="auto"/>
                      <w:sz w:val="21"/>
                      <w:szCs w:val="21"/>
                      <w:highlight w:val="none"/>
                      <w:lang w:val="en-US"/>
                    </w:rPr>
                  </w:pPr>
                  <w:r>
                    <w:rPr>
                      <w:rFonts w:hint="default" w:ascii="Times New Roman" w:hAnsi="Times New Roman" w:eastAsia="宋体" w:cs="Times New Roman"/>
                      <w:color w:val="auto"/>
                      <w:sz w:val="21"/>
                      <w:szCs w:val="21"/>
                      <w:highlight w:val="none"/>
                    </w:rPr>
                    <w:t>本项目</w:t>
                  </w:r>
                  <w:r>
                    <w:rPr>
                      <w:rFonts w:hint="default" w:ascii="Times New Roman" w:hAnsi="Times New Roman" w:eastAsia="宋体" w:cs="Times New Roman"/>
                      <w:color w:val="auto"/>
                      <w:sz w:val="21"/>
                      <w:szCs w:val="21"/>
                      <w:highlight w:val="none"/>
                      <w:lang w:eastAsia="zh-CN"/>
                    </w:rPr>
                    <w:t>不属于重点行业高</w:t>
                  </w:r>
                  <w:r>
                    <w:rPr>
                      <w:rFonts w:hint="default" w:ascii="Times New Roman" w:hAnsi="Times New Roman" w:eastAsia="宋体" w:cs="Times New Roman"/>
                      <w:color w:val="auto"/>
                      <w:sz w:val="21"/>
                      <w:szCs w:val="21"/>
                      <w:highlight w:val="none"/>
                      <w:lang w:val="en-US" w:eastAsia="zh-CN"/>
                    </w:rPr>
                    <w:t>VOCs排放项目，</w:t>
                  </w:r>
                  <w:r>
                    <w:rPr>
                      <w:rFonts w:hint="eastAsia" w:ascii="Times New Roman" w:hAnsi="Times New Roman" w:eastAsia="宋体" w:cs="Times New Roman"/>
                      <w:color w:val="auto"/>
                      <w:kern w:val="2"/>
                      <w:sz w:val="21"/>
                      <w:szCs w:val="21"/>
                      <w:highlight w:val="none"/>
                      <w:vertAlign w:val="baseline"/>
                      <w:lang w:val="zh-CN" w:eastAsia="zh-CN" w:bidi="ar-SA"/>
                    </w:rPr>
                    <w:t>项目试剂用量非常少，且试剂装在封闭试剂瓶中，只在试剂使用时短时间打开瓶子，随后立即封闭，实验室整体密闭，废气经移动式集气罩+活性炭吸附+15m排气筒处理后达标排放。</w:t>
                  </w:r>
                </w:p>
              </w:tc>
              <w:tc>
                <w:tcPr>
                  <w:tcW w:w="463" w:type="pct"/>
                  <w:tcBorders>
                    <w:tl2br w:val="nil"/>
                    <w:tr2bl w:val="nil"/>
                  </w:tcBorders>
                  <w:noWrap w:val="0"/>
                  <w:vAlign w:val="center"/>
                </w:tcPr>
                <w:p w14:paraId="56029AF1">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eastAsia="宋体"/>
                      <w:bCs/>
                      <w:color w:val="auto"/>
                      <w:sz w:val="21"/>
                      <w:szCs w:val="21"/>
                      <w:highlight w:val="none"/>
                      <w:lang w:val="en-US" w:eastAsia="zh-CN"/>
                    </w:rPr>
                  </w:pPr>
                  <w:r>
                    <w:rPr>
                      <w:rFonts w:hint="eastAsia"/>
                      <w:bCs/>
                      <w:color w:val="auto"/>
                      <w:sz w:val="21"/>
                      <w:szCs w:val="21"/>
                      <w:highlight w:val="none"/>
                      <w:lang w:val="en-US" w:eastAsia="zh-CN"/>
                    </w:rPr>
                    <w:t>符合</w:t>
                  </w:r>
                </w:p>
              </w:tc>
            </w:tr>
            <w:tr w14:paraId="6852E23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tcBorders>
                    <w:tl2br w:val="nil"/>
                    <w:tr2bl w:val="nil"/>
                  </w:tcBorders>
                  <w:noWrap w:val="0"/>
                  <w:vAlign w:val="center"/>
                </w:tcPr>
                <w:p w14:paraId="54EBACD9">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w:t>
                  </w:r>
                  <w:r>
                    <w:rPr>
                      <w:rFonts w:hint="eastAsia" w:ascii="Times New Roman" w:hAnsi="Times New Roman" w:eastAsia="宋体" w:cs="Times New Roman"/>
                      <w:color w:val="auto"/>
                      <w:sz w:val="21"/>
                      <w:szCs w:val="21"/>
                      <w:highlight w:val="none"/>
                    </w:rPr>
                    <w:t>西安市生态环境局办公室关于加强涉气项目环境影响评价管理的通知</w:t>
                  </w:r>
                  <w:r>
                    <w:rPr>
                      <w:rFonts w:hint="eastAsia" w:ascii="Times New Roman" w:hAnsi="Times New Roman" w:eastAsia="宋体" w:cs="Times New Roman"/>
                      <w:color w:val="auto"/>
                      <w:sz w:val="21"/>
                      <w:szCs w:val="21"/>
                      <w:highlight w:val="none"/>
                      <w:lang w:val="en-US" w:eastAsia="zh-CN"/>
                    </w:rPr>
                    <w:t>》</w:t>
                  </w:r>
                </w:p>
              </w:tc>
              <w:tc>
                <w:tcPr>
                  <w:tcW w:w="2275" w:type="pct"/>
                  <w:tcBorders>
                    <w:tl2br w:val="nil"/>
                    <w:tr2bl w:val="nil"/>
                  </w:tcBorders>
                  <w:noWrap w:val="0"/>
                  <w:vAlign w:val="center"/>
                </w:tcPr>
                <w:p w14:paraId="3D67643B">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ascii="Times New Roman" w:hAnsi="Times New Roman" w:eastAsia="宋体" w:cs="Times New Roman"/>
                      <w:color w:val="auto"/>
                      <w:kern w:val="2"/>
                      <w:sz w:val="21"/>
                      <w:szCs w:val="21"/>
                      <w:highlight w:val="none"/>
                      <w:vertAlign w:val="baseline"/>
                      <w:lang w:val="zh-CN" w:eastAsia="zh-CN" w:bidi="ar-SA"/>
                    </w:rPr>
                    <w:t>全面提升涉气重点行业企业治污减排水平。各区(县)、开发区范围内新改扩建涉气重点行业项目应达到环保绩效A级、绩效引领性水平，周至县、蓝田县应达到环保绩效B级及以上水平。</w:t>
                  </w:r>
                </w:p>
                <w:p w14:paraId="74A53042">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ascii="Times New Roman" w:hAnsi="Times New Roman" w:eastAsia="宋体" w:cs="Times New Roman"/>
                      <w:color w:val="auto"/>
                      <w:kern w:val="2"/>
                      <w:sz w:val="21"/>
                      <w:szCs w:val="21"/>
                      <w:highlight w:val="none"/>
                      <w:vertAlign w:val="baseline"/>
                      <w:lang w:val="zh-CN" w:eastAsia="zh-CN" w:bidi="ar-SA"/>
                    </w:rPr>
                    <w:t>建设涉VOCs“绿岛”项目新建家具制造、4S汽车产业园区同步建设集中喷涂(钣喷)中心，实现VOCs集中高效治理。新建项目不再采用低温等离子、光氧化、光催化等单一处理方式，非水溶性挥发性有机物废气不再采用喷淋吸收方式处理。采用活性炭吸附技术的，其中颗粒碳碘吸附值不低于800mg/g或四氯化碳吸附率不低于60%，蜂窝活性炭碘吸附值不低于600mg/g或四氯化碳吸附率不低于30%，按设计要求足量添加、定期更换。</w:t>
                  </w:r>
                </w:p>
              </w:tc>
              <w:tc>
                <w:tcPr>
                  <w:tcW w:w="1411" w:type="pct"/>
                  <w:tcBorders>
                    <w:tl2br w:val="nil"/>
                    <w:tr2bl w:val="nil"/>
                  </w:tcBorders>
                  <w:noWrap w:val="0"/>
                  <w:vAlign w:val="center"/>
                </w:tcPr>
                <w:p w14:paraId="3FFA1600">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rPr>
                    <w:t>本项目为</w:t>
                  </w:r>
                  <w:r>
                    <w:rPr>
                      <w:rFonts w:hint="eastAsia" w:cs="Times New Roman"/>
                      <w:color w:val="auto"/>
                      <w:sz w:val="21"/>
                      <w:szCs w:val="21"/>
                      <w:highlight w:val="none"/>
                      <w:lang w:val="en-US" w:eastAsia="zh-CN"/>
                    </w:rPr>
                    <w:t>环境</w:t>
                  </w:r>
                  <w:r>
                    <w:rPr>
                      <w:rFonts w:hint="eastAsia" w:ascii="Times New Roman" w:hAnsi="Times New Roman" w:eastAsia="宋体" w:cs="Times New Roman"/>
                      <w:color w:val="auto"/>
                      <w:sz w:val="21"/>
                      <w:szCs w:val="21"/>
                      <w:highlight w:val="none"/>
                      <w:lang w:val="en-US" w:eastAsia="zh-CN"/>
                    </w:rPr>
                    <w:t>类</w:t>
                  </w:r>
                  <w:r>
                    <w:rPr>
                      <w:rFonts w:hint="eastAsia" w:cs="Times New Roman"/>
                      <w:color w:val="auto"/>
                      <w:sz w:val="21"/>
                      <w:szCs w:val="21"/>
                      <w:highlight w:val="none"/>
                      <w:lang w:val="en-US" w:eastAsia="zh-CN"/>
                    </w:rPr>
                    <w:t>实验室</w:t>
                  </w:r>
                  <w:r>
                    <w:rPr>
                      <w:rFonts w:hint="eastAsia" w:ascii="Times New Roman" w:hAnsi="Times New Roman" w:eastAsia="宋体" w:cs="Times New Roman"/>
                      <w:color w:val="auto"/>
                      <w:sz w:val="21"/>
                      <w:szCs w:val="21"/>
                      <w:highlight w:val="none"/>
                      <w:lang w:val="en-US" w:eastAsia="zh-CN"/>
                    </w:rPr>
                    <w:t>项目，不属于</w:t>
                  </w:r>
                  <w:r>
                    <w:rPr>
                      <w:rFonts w:hint="eastAsia" w:ascii="Times New Roman" w:hAnsi="Times New Roman" w:eastAsia="宋体" w:cs="Times New Roman"/>
                      <w:color w:val="auto"/>
                      <w:sz w:val="21"/>
                      <w:szCs w:val="21"/>
                      <w:highlight w:val="none"/>
                      <w:lang w:val="zh-CN" w:eastAsia="zh-CN"/>
                    </w:rPr>
                    <w:t>涉气重点行业，</w:t>
                  </w:r>
                  <w:r>
                    <w:rPr>
                      <w:rFonts w:hint="eastAsia" w:ascii="Times New Roman" w:hAnsi="Times New Roman" w:eastAsia="宋体" w:cs="Times New Roman"/>
                      <w:color w:val="auto"/>
                      <w:sz w:val="21"/>
                      <w:szCs w:val="21"/>
                      <w:highlight w:val="none"/>
                      <w:lang w:val="en-US" w:eastAsia="zh-CN"/>
                    </w:rPr>
                    <w:t>采用蜂窝活性炭作为吸附剂，其碘值为800mg/g，废活性炭定期更换并交由危废单位处置</w:t>
                  </w:r>
                </w:p>
              </w:tc>
              <w:tc>
                <w:tcPr>
                  <w:tcW w:w="463" w:type="pct"/>
                  <w:tcBorders>
                    <w:tl2br w:val="nil"/>
                    <w:tr2bl w:val="nil"/>
                  </w:tcBorders>
                  <w:noWrap w:val="0"/>
                  <w:vAlign w:val="center"/>
                </w:tcPr>
                <w:p w14:paraId="0660CBDB">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eastAsia="宋体"/>
                      <w:bCs/>
                      <w:color w:val="auto"/>
                      <w:sz w:val="21"/>
                      <w:szCs w:val="21"/>
                      <w:highlight w:val="none"/>
                      <w:lang w:val="en-US" w:eastAsia="zh-CN"/>
                    </w:rPr>
                  </w:pPr>
                  <w:r>
                    <w:rPr>
                      <w:rFonts w:hint="eastAsia"/>
                      <w:bCs/>
                      <w:color w:val="auto"/>
                      <w:sz w:val="21"/>
                      <w:szCs w:val="21"/>
                      <w:highlight w:val="none"/>
                      <w:lang w:val="en-US" w:eastAsia="zh-CN"/>
                    </w:rPr>
                    <w:t>符合</w:t>
                  </w:r>
                </w:p>
              </w:tc>
            </w:tr>
            <w:tr w14:paraId="632DB4A4">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vMerge w:val="restart"/>
                  <w:tcBorders>
                    <w:tl2br w:val="nil"/>
                    <w:tr2bl w:val="nil"/>
                  </w:tcBorders>
                  <w:noWrap w:val="0"/>
                  <w:vAlign w:val="center"/>
                </w:tcPr>
                <w:p w14:paraId="3ED14714">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《西安市生态环境局</w:t>
                  </w:r>
                </w:p>
                <w:p w14:paraId="7D4F2232">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关于加强挥发性有机物活性炭吸附处理设施运行管理工作的通知</w:t>
                  </w:r>
                </w:p>
                <w:p w14:paraId="38B1D2BF">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w:t>
                  </w:r>
                </w:p>
              </w:tc>
              <w:tc>
                <w:tcPr>
                  <w:tcW w:w="2275" w:type="pct"/>
                  <w:tcBorders>
                    <w:tl2br w:val="nil"/>
                    <w:tr2bl w:val="nil"/>
                  </w:tcBorders>
                  <w:noWrap w:val="0"/>
                  <w:vAlign w:val="center"/>
                </w:tcPr>
                <w:p w14:paraId="1DA42DAD">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cs="Times New Roman"/>
                      <w:color w:val="auto"/>
                      <w:kern w:val="2"/>
                      <w:sz w:val="21"/>
                      <w:szCs w:val="21"/>
                      <w:highlight w:val="none"/>
                      <w:lang w:val="en-US" w:eastAsia="zh-CN" w:bidi="ar-SA"/>
                    </w:rPr>
                    <w:t>（一）</w:t>
                  </w:r>
                  <w:r>
                    <w:rPr>
                      <w:rFonts w:hint="eastAsia" w:ascii="Times New Roman" w:hAnsi="Times New Roman" w:eastAsia="宋体" w:cs="Times New Roman"/>
                      <w:color w:val="auto"/>
                      <w:kern w:val="2"/>
                      <w:sz w:val="21"/>
                      <w:szCs w:val="21"/>
                      <w:highlight w:val="none"/>
                      <w:lang w:val="en-US" w:eastAsia="zh-CN" w:bidi="ar-SA"/>
                    </w:rPr>
                    <w:t>规范治理技术。涉气企业根据当前有关VOCs治理的法律法规、技术规范、政策文件等要求，选择合理的治理工艺。除恶臭异味治理外，淘汰单一使用低温等离子、光催化氧化、活性炭吸附棉、水喷淋等低效处理工艺或其组合工艺。原料</w:t>
                  </w:r>
                  <w:r>
                    <w:rPr>
                      <w:rFonts w:hint="eastAsia" w:cs="Times New Roman"/>
                      <w:color w:val="auto"/>
                      <w:kern w:val="2"/>
                      <w:sz w:val="21"/>
                      <w:szCs w:val="21"/>
                      <w:highlight w:val="none"/>
                      <w:lang w:val="en-US" w:eastAsia="zh-CN" w:bidi="ar-SA"/>
                    </w:rPr>
                    <w:t>VOCs</w:t>
                  </w:r>
                  <w:r>
                    <w:rPr>
                      <w:rFonts w:hint="eastAsia" w:ascii="Times New Roman" w:hAnsi="Times New Roman" w:eastAsia="宋体" w:cs="Times New Roman"/>
                      <w:color w:val="auto"/>
                      <w:kern w:val="2"/>
                      <w:sz w:val="21"/>
                      <w:szCs w:val="21"/>
                      <w:highlight w:val="none"/>
                      <w:lang w:val="en-US" w:eastAsia="zh-CN" w:bidi="ar-SA"/>
                    </w:rPr>
                    <w:t>浓度高、排放总量较大的生产工艺原则上采用RT</w:t>
                  </w:r>
                  <w:r>
                    <w:rPr>
                      <w:rFonts w:hint="eastAsia" w:cs="Times New Roman"/>
                      <w:color w:val="auto"/>
                      <w:kern w:val="2"/>
                      <w:sz w:val="21"/>
                      <w:szCs w:val="21"/>
                      <w:highlight w:val="none"/>
                      <w:lang w:val="en-US" w:eastAsia="zh-CN" w:bidi="ar-SA"/>
                    </w:rPr>
                    <w:t>O</w:t>
                  </w:r>
                  <w:r>
                    <w:rPr>
                      <w:rFonts w:hint="eastAsia" w:ascii="Times New Roman" w:hAnsi="Times New Roman" w:eastAsia="宋体" w:cs="Times New Roman"/>
                      <w:color w:val="auto"/>
                      <w:kern w:val="2"/>
                      <w:sz w:val="21"/>
                      <w:szCs w:val="21"/>
                      <w:highlight w:val="none"/>
                      <w:lang w:val="en-US" w:eastAsia="zh-CN" w:bidi="ar-SA"/>
                    </w:rPr>
                    <w:t>、RCO等高效处理技术。</w:t>
                  </w:r>
                </w:p>
              </w:tc>
              <w:tc>
                <w:tcPr>
                  <w:tcW w:w="1411" w:type="pct"/>
                  <w:tcBorders>
                    <w:tl2br w:val="nil"/>
                    <w:tr2bl w:val="nil"/>
                  </w:tcBorders>
                  <w:noWrap w:val="0"/>
                  <w:vAlign w:val="center"/>
                </w:tcPr>
                <w:p w14:paraId="0F5AA42F">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本项目实验室整体密闭，有机废气经移动式集气罩+活性炭吸附+15m排气筒处理后达标排放</w:t>
                  </w:r>
                  <w:r>
                    <w:rPr>
                      <w:rStyle w:val="287"/>
                      <w:rFonts w:hint="eastAsia" w:cs="Times New Roman"/>
                      <w:color w:val="auto"/>
                      <w:sz w:val="21"/>
                      <w:szCs w:val="21"/>
                      <w:highlight w:val="none"/>
                      <w:lang w:val="en-US" w:eastAsia="zh-CN"/>
                    </w:rPr>
                    <w:t>，项目</w:t>
                  </w:r>
                  <w:r>
                    <w:rPr>
                      <w:rFonts w:hint="eastAsia" w:ascii="Times New Roman" w:hAnsi="Times New Roman" w:eastAsia="宋体" w:cs="Times New Roman"/>
                      <w:color w:val="auto"/>
                      <w:sz w:val="21"/>
                      <w:szCs w:val="21"/>
                      <w:highlight w:val="none"/>
                      <w:lang w:val="en-US" w:eastAsia="zh-CN"/>
                    </w:rPr>
                    <w:t>采用蜂窝活性炭作为吸附剂，其碘值为800mg/g</w:t>
                  </w:r>
                </w:p>
              </w:tc>
              <w:tc>
                <w:tcPr>
                  <w:tcW w:w="463" w:type="pct"/>
                  <w:tcBorders>
                    <w:tl2br w:val="nil"/>
                    <w:tr2bl w:val="nil"/>
                  </w:tcBorders>
                  <w:noWrap w:val="0"/>
                  <w:vAlign w:val="center"/>
                </w:tcPr>
                <w:p w14:paraId="54CA91F8">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bCs/>
                      <w:color w:val="auto"/>
                      <w:sz w:val="21"/>
                      <w:szCs w:val="21"/>
                      <w:highlight w:val="none"/>
                      <w:lang w:val="en-US" w:eastAsia="zh-CN"/>
                    </w:rPr>
                  </w:pPr>
                  <w:r>
                    <w:rPr>
                      <w:rFonts w:hint="eastAsia"/>
                      <w:bCs/>
                      <w:color w:val="auto"/>
                      <w:sz w:val="21"/>
                      <w:szCs w:val="21"/>
                      <w:highlight w:val="none"/>
                      <w:lang w:val="en-US" w:eastAsia="zh-CN"/>
                    </w:rPr>
                    <w:t>符合</w:t>
                  </w:r>
                </w:p>
              </w:tc>
            </w:tr>
            <w:tr w14:paraId="2F5B3E0B">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vMerge w:val="continue"/>
                  <w:tcBorders>
                    <w:tl2br w:val="nil"/>
                    <w:tr2bl w:val="nil"/>
                  </w:tcBorders>
                  <w:noWrap w:val="0"/>
                  <w:vAlign w:val="center"/>
                </w:tcPr>
                <w:p w14:paraId="19A68C86">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cs="Times New Roman"/>
                      <w:color w:val="auto"/>
                      <w:sz w:val="21"/>
                      <w:szCs w:val="21"/>
                      <w:highlight w:val="none"/>
                      <w:lang w:val="en-US" w:eastAsia="zh-CN"/>
                    </w:rPr>
                  </w:pPr>
                </w:p>
              </w:tc>
              <w:tc>
                <w:tcPr>
                  <w:tcW w:w="2275" w:type="pct"/>
                  <w:tcBorders>
                    <w:tl2br w:val="nil"/>
                    <w:tr2bl w:val="nil"/>
                  </w:tcBorders>
                  <w:noWrap w:val="0"/>
                  <w:vAlign w:val="center"/>
                </w:tcPr>
                <w:p w14:paraId="30B84218">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cs="Times New Roman"/>
                      <w:color w:val="auto"/>
                      <w:kern w:val="2"/>
                      <w:sz w:val="21"/>
                      <w:szCs w:val="21"/>
                      <w:highlight w:val="none"/>
                      <w:lang w:val="en-US" w:eastAsia="zh-CN" w:bidi="ar-SA"/>
                    </w:rPr>
                    <w:t>(五)严格控制无组织排放。涂料、稀释剂、固化剂、清洗剂、胶粘剂等VOCs物料应密闭储存。盛装VOCs物料的容器或包装袋应密闭储存于室内，或存放于设置有雨棚、遮阳和防渗设施的专用场地，非取用状态时应加盖、封口，保持封闭。含VOCs废料(渣、液)以及V0Cs物料废包装物等属于危险废物的应密封储存于危废储存间。VOCs物料的调配过程应采用密闭设备或在密闭空间内操作，并设置专门的密闭调配间，调配废气应排至VOCs废气收集处理系统；无法密闭的，应采取局部气体收集措施，废气应排至VOCs废气收集处理系统。</w:t>
                  </w:r>
                </w:p>
              </w:tc>
              <w:tc>
                <w:tcPr>
                  <w:tcW w:w="1411" w:type="pct"/>
                  <w:tcBorders>
                    <w:tl2br w:val="nil"/>
                    <w:tr2bl w:val="nil"/>
                  </w:tcBorders>
                  <w:noWrap w:val="0"/>
                  <w:vAlign w:val="center"/>
                </w:tcPr>
                <w:p w14:paraId="236E889A">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sz w:val="21"/>
                      <w:szCs w:val="21"/>
                      <w:highlight w:val="none"/>
                    </w:rPr>
                  </w:pPr>
                  <w:r>
                    <w:rPr>
                      <w:rFonts w:hint="eastAsia" w:cs="Times New Roman"/>
                      <w:color w:val="auto"/>
                      <w:kern w:val="2"/>
                      <w:sz w:val="21"/>
                      <w:szCs w:val="21"/>
                      <w:highlight w:val="none"/>
                      <w:lang w:val="en-US" w:eastAsia="zh-CN" w:bidi="ar-SA"/>
                    </w:rPr>
                    <w:t>项目涉及VOCs的试剂采用试剂瓶密闭储存，并放置于试剂柜中</w:t>
                  </w:r>
                </w:p>
              </w:tc>
              <w:tc>
                <w:tcPr>
                  <w:tcW w:w="463" w:type="pct"/>
                  <w:tcBorders>
                    <w:tl2br w:val="nil"/>
                    <w:tr2bl w:val="nil"/>
                  </w:tcBorders>
                  <w:noWrap w:val="0"/>
                  <w:vAlign w:val="center"/>
                </w:tcPr>
                <w:p w14:paraId="0E3C37BD">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bCs/>
                      <w:color w:val="auto"/>
                      <w:sz w:val="21"/>
                      <w:szCs w:val="21"/>
                      <w:highlight w:val="none"/>
                      <w:lang w:val="en-US" w:eastAsia="zh-CN"/>
                    </w:rPr>
                  </w:pPr>
                  <w:r>
                    <w:rPr>
                      <w:rFonts w:hint="eastAsia"/>
                      <w:bCs/>
                      <w:color w:val="auto"/>
                      <w:sz w:val="21"/>
                      <w:szCs w:val="21"/>
                      <w:highlight w:val="none"/>
                      <w:lang w:val="en-US" w:eastAsia="zh-CN"/>
                    </w:rPr>
                    <w:t>符合</w:t>
                  </w:r>
                </w:p>
              </w:tc>
            </w:tr>
            <w:tr w14:paraId="0C85CE0A">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vMerge w:val="continue"/>
                  <w:tcBorders>
                    <w:tl2br w:val="nil"/>
                    <w:tr2bl w:val="nil"/>
                  </w:tcBorders>
                  <w:noWrap w:val="0"/>
                  <w:vAlign w:val="center"/>
                </w:tcPr>
                <w:p w14:paraId="621708C7">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cs="Times New Roman"/>
                      <w:color w:val="auto"/>
                      <w:sz w:val="21"/>
                      <w:szCs w:val="21"/>
                      <w:highlight w:val="none"/>
                      <w:lang w:val="en-US" w:eastAsia="zh-CN"/>
                    </w:rPr>
                  </w:pPr>
                </w:p>
              </w:tc>
              <w:tc>
                <w:tcPr>
                  <w:tcW w:w="2275" w:type="pct"/>
                  <w:tcBorders>
                    <w:tl2br w:val="nil"/>
                    <w:tr2bl w:val="nil"/>
                  </w:tcBorders>
                  <w:noWrap w:val="0"/>
                  <w:vAlign w:val="center"/>
                </w:tcPr>
                <w:p w14:paraId="56D982F2">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cs="Times New Roman"/>
                      <w:color w:val="auto"/>
                      <w:kern w:val="2"/>
                      <w:sz w:val="21"/>
                      <w:szCs w:val="21"/>
                      <w:highlight w:val="none"/>
                      <w:lang w:val="en-US" w:eastAsia="zh-CN" w:bidi="ar-SA"/>
                    </w:rPr>
                    <w:t>(六)严格危废管理。产生废活性炭的企业，必须与有许可证的危废经营单位签订危废处置协议。</w:t>
                  </w:r>
                </w:p>
              </w:tc>
              <w:tc>
                <w:tcPr>
                  <w:tcW w:w="1411" w:type="pct"/>
                  <w:tcBorders>
                    <w:tl2br w:val="nil"/>
                    <w:tr2bl w:val="nil"/>
                  </w:tcBorders>
                  <w:noWrap w:val="0"/>
                  <w:vAlign w:val="center"/>
                </w:tcPr>
                <w:p w14:paraId="20E8F0C5">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sz w:val="21"/>
                      <w:szCs w:val="21"/>
                      <w:highlight w:val="none"/>
                    </w:rPr>
                  </w:pPr>
                  <w:r>
                    <w:rPr>
                      <w:rFonts w:hint="eastAsia" w:cs="Times New Roman"/>
                      <w:color w:val="auto"/>
                      <w:kern w:val="2"/>
                      <w:sz w:val="21"/>
                      <w:szCs w:val="21"/>
                      <w:highlight w:val="none"/>
                      <w:lang w:val="en-US" w:eastAsia="zh-CN" w:bidi="ar-SA"/>
                    </w:rPr>
                    <w:t>项目产生的</w:t>
                  </w:r>
                  <w:r>
                    <w:rPr>
                      <w:rFonts w:hint="eastAsia" w:ascii="Times New Roman" w:hAnsi="Times New Roman" w:eastAsia="宋体" w:cs="Times New Roman"/>
                      <w:color w:val="auto"/>
                      <w:sz w:val="21"/>
                      <w:szCs w:val="21"/>
                      <w:highlight w:val="none"/>
                      <w:lang w:val="en-US" w:eastAsia="zh-CN"/>
                    </w:rPr>
                    <w:t>废活性炭定期更换并交由危废单位处置</w:t>
                  </w:r>
                </w:p>
              </w:tc>
              <w:tc>
                <w:tcPr>
                  <w:tcW w:w="463" w:type="pct"/>
                  <w:tcBorders>
                    <w:tl2br w:val="nil"/>
                    <w:tr2bl w:val="nil"/>
                  </w:tcBorders>
                  <w:noWrap w:val="0"/>
                  <w:vAlign w:val="center"/>
                </w:tcPr>
                <w:p w14:paraId="0CA4A591">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bCs/>
                      <w:color w:val="auto"/>
                      <w:sz w:val="21"/>
                      <w:szCs w:val="21"/>
                      <w:highlight w:val="none"/>
                      <w:lang w:val="en-US" w:eastAsia="zh-CN"/>
                    </w:rPr>
                  </w:pPr>
                  <w:r>
                    <w:rPr>
                      <w:rFonts w:hint="eastAsia"/>
                      <w:bCs/>
                      <w:color w:val="auto"/>
                      <w:sz w:val="21"/>
                      <w:szCs w:val="21"/>
                      <w:highlight w:val="none"/>
                      <w:lang w:val="en-US" w:eastAsia="zh-CN"/>
                    </w:rPr>
                    <w:t>符合</w:t>
                  </w:r>
                </w:p>
              </w:tc>
            </w:tr>
            <w:tr w14:paraId="21B897BF">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vMerge w:val="continue"/>
                  <w:tcBorders>
                    <w:tl2br w:val="nil"/>
                    <w:tr2bl w:val="nil"/>
                  </w:tcBorders>
                  <w:noWrap w:val="0"/>
                  <w:vAlign w:val="center"/>
                </w:tcPr>
                <w:p w14:paraId="4922010E">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cs="Times New Roman"/>
                      <w:color w:val="auto"/>
                      <w:sz w:val="21"/>
                      <w:szCs w:val="21"/>
                      <w:highlight w:val="none"/>
                      <w:lang w:val="en-US" w:eastAsia="zh-CN"/>
                    </w:rPr>
                  </w:pPr>
                </w:p>
              </w:tc>
              <w:tc>
                <w:tcPr>
                  <w:tcW w:w="2275" w:type="pct"/>
                  <w:tcBorders>
                    <w:tl2br w:val="nil"/>
                    <w:tr2bl w:val="nil"/>
                  </w:tcBorders>
                  <w:noWrap w:val="0"/>
                  <w:vAlign w:val="center"/>
                </w:tcPr>
                <w:p w14:paraId="3E65A3CB">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cs="Times New Roman"/>
                      <w:color w:val="auto"/>
                      <w:kern w:val="2"/>
                      <w:sz w:val="21"/>
                      <w:szCs w:val="21"/>
                      <w:highlight w:val="none"/>
                      <w:lang w:val="en-US" w:eastAsia="zh-CN" w:bidi="ar-SA"/>
                    </w:rPr>
                    <w:t>污处设施运行维护管理规程：企业自行制定《污处设施运行维护管理规程》，规程内容要详实，具有针对性和操作性，应明确过滤棉、活性炭等易损耗材料的更换周期，更换周期应结合理论计算和实际运行得出，原则上</w:t>
                  </w:r>
                  <w:r>
                    <w:rPr>
                      <w:rFonts w:hint="eastAsia" w:cs="Times New Roman"/>
                      <w:color w:val="auto"/>
                      <w:kern w:val="2"/>
                      <w:sz w:val="21"/>
                      <w:szCs w:val="21"/>
                      <w:highlight w:val="none"/>
                      <w:lang w:val="en-US" w:eastAsia="zh-CN" w:bidi="ar-SA"/>
                    </w:rPr>
                    <w:fldChar w:fldCharType="begin"/>
                  </w:r>
                  <w:r>
                    <w:rPr>
                      <w:rFonts w:hint="eastAsia" w:cs="Times New Roman"/>
                      <w:color w:val="auto"/>
                      <w:kern w:val="2"/>
                      <w:sz w:val="21"/>
                      <w:szCs w:val="21"/>
                      <w:highlight w:val="none"/>
                      <w:lang w:val="en-US" w:eastAsia="zh-CN" w:bidi="ar-SA"/>
                    </w:rPr>
                    <w:instrText xml:space="preserve"> HYPERLINK "https://easycarbon.cn/" </w:instrText>
                  </w:r>
                  <w:r>
                    <w:rPr>
                      <w:rFonts w:hint="eastAsia" w:cs="Times New Roman"/>
                      <w:color w:val="auto"/>
                      <w:kern w:val="2"/>
                      <w:sz w:val="21"/>
                      <w:szCs w:val="21"/>
                      <w:highlight w:val="none"/>
                      <w:lang w:val="en-US" w:eastAsia="zh-CN" w:bidi="ar-SA"/>
                    </w:rPr>
                    <w:fldChar w:fldCharType="separate"/>
                  </w:r>
                  <w:r>
                    <w:rPr>
                      <w:rFonts w:hint="eastAsia" w:cs="Times New Roman"/>
                      <w:color w:val="auto"/>
                      <w:kern w:val="2"/>
                      <w:sz w:val="21"/>
                      <w:szCs w:val="21"/>
                      <w:highlight w:val="none"/>
                      <w:lang w:val="en-US" w:eastAsia="zh-CN" w:bidi="ar-SA"/>
                    </w:rPr>
                    <w:t>活性炭</w:t>
                  </w:r>
                  <w:r>
                    <w:rPr>
                      <w:rFonts w:hint="eastAsia" w:cs="Times New Roman"/>
                      <w:color w:val="auto"/>
                      <w:kern w:val="2"/>
                      <w:sz w:val="21"/>
                      <w:szCs w:val="21"/>
                      <w:highlight w:val="none"/>
                      <w:lang w:val="en-US" w:eastAsia="zh-CN" w:bidi="ar-SA"/>
                    </w:rPr>
                    <w:fldChar w:fldCharType="end"/>
                  </w:r>
                  <w:r>
                    <w:rPr>
                      <w:rFonts w:hint="eastAsia" w:cs="Times New Roman"/>
                      <w:color w:val="auto"/>
                      <w:kern w:val="2"/>
                      <w:sz w:val="21"/>
                      <w:szCs w:val="21"/>
                      <w:highlight w:val="none"/>
                      <w:lang w:val="en-US" w:eastAsia="zh-CN" w:bidi="ar-SA"/>
                    </w:rPr>
                    <w:t>更换周期一般不应超过累计运行500小时或3个月（从严执行）</w:t>
                  </w:r>
                </w:p>
              </w:tc>
              <w:tc>
                <w:tcPr>
                  <w:tcW w:w="1411" w:type="pct"/>
                  <w:tcBorders>
                    <w:tl2br w:val="nil"/>
                    <w:tr2bl w:val="nil"/>
                  </w:tcBorders>
                  <w:noWrap w:val="0"/>
                  <w:vAlign w:val="center"/>
                </w:tcPr>
                <w:p w14:paraId="37EFA0BA">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sz w:val="21"/>
                      <w:szCs w:val="21"/>
                      <w:highlight w:val="none"/>
                    </w:rPr>
                  </w:pPr>
                  <w:r>
                    <w:rPr>
                      <w:rFonts w:hint="eastAsia" w:cs="Times New Roman"/>
                      <w:color w:val="auto"/>
                      <w:kern w:val="2"/>
                      <w:sz w:val="21"/>
                      <w:szCs w:val="21"/>
                      <w:highlight w:val="none"/>
                      <w:lang w:val="en-US" w:eastAsia="zh-CN" w:bidi="ar-SA"/>
                    </w:rPr>
                    <w:t>本项目活性炭更换周期为3个月</w:t>
                  </w:r>
                </w:p>
              </w:tc>
              <w:tc>
                <w:tcPr>
                  <w:tcW w:w="463" w:type="pct"/>
                  <w:tcBorders>
                    <w:tl2br w:val="nil"/>
                    <w:tr2bl w:val="nil"/>
                  </w:tcBorders>
                  <w:noWrap w:val="0"/>
                  <w:vAlign w:val="center"/>
                </w:tcPr>
                <w:p w14:paraId="5F68A54E">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bCs/>
                      <w:color w:val="auto"/>
                      <w:sz w:val="21"/>
                      <w:szCs w:val="21"/>
                      <w:highlight w:val="none"/>
                      <w:lang w:val="en-US" w:eastAsia="zh-CN"/>
                    </w:rPr>
                  </w:pPr>
                  <w:r>
                    <w:rPr>
                      <w:rFonts w:hint="eastAsia"/>
                      <w:bCs/>
                      <w:color w:val="auto"/>
                      <w:sz w:val="21"/>
                      <w:szCs w:val="21"/>
                      <w:highlight w:val="none"/>
                      <w:lang w:val="en-US" w:eastAsia="zh-CN"/>
                    </w:rPr>
                    <w:t>符合</w:t>
                  </w:r>
                </w:p>
              </w:tc>
            </w:tr>
            <w:tr w14:paraId="0D916006">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vMerge w:val="continue"/>
                  <w:tcBorders>
                    <w:tl2br w:val="nil"/>
                    <w:tr2bl w:val="nil"/>
                  </w:tcBorders>
                  <w:noWrap w:val="0"/>
                  <w:vAlign w:val="center"/>
                </w:tcPr>
                <w:p w14:paraId="06D83E53">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cs="Times New Roman"/>
                      <w:color w:val="auto"/>
                      <w:sz w:val="21"/>
                      <w:szCs w:val="21"/>
                      <w:highlight w:val="none"/>
                      <w:lang w:val="en-US" w:eastAsia="zh-CN"/>
                    </w:rPr>
                  </w:pPr>
                </w:p>
              </w:tc>
              <w:tc>
                <w:tcPr>
                  <w:tcW w:w="2275" w:type="pct"/>
                  <w:tcBorders>
                    <w:tl2br w:val="nil"/>
                    <w:tr2bl w:val="nil"/>
                  </w:tcBorders>
                  <w:noWrap w:val="0"/>
                  <w:vAlign w:val="center"/>
                </w:tcPr>
                <w:p w14:paraId="48DE7A4F">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vertAlign w:val="baseline"/>
                      <w:lang w:val="zh-CN" w:eastAsia="zh-CN" w:bidi="ar-SA"/>
                    </w:rPr>
                  </w:pPr>
                  <w:r>
                    <w:rPr>
                      <w:rFonts w:hint="eastAsia" w:cs="Times New Roman"/>
                      <w:color w:val="auto"/>
                      <w:kern w:val="2"/>
                      <w:sz w:val="21"/>
                      <w:szCs w:val="21"/>
                      <w:highlight w:val="none"/>
                      <w:lang w:val="en-US" w:eastAsia="zh-CN" w:bidi="ar-SA"/>
                    </w:rPr>
                    <w:t>活性炭装填量：根据风量和初始浓度确定，不同风量及初始浓度的活性炭装填量详见表2，其中最小填充量不应少于0.5吨</w:t>
                  </w:r>
                </w:p>
              </w:tc>
              <w:tc>
                <w:tcPr>
                  <w:tcW w:w="1411" w:type="pct"/>
                  <w:tcBorders>
                    <w:tl2br w:val="nil"/>
                    <w:tr2bl w:val="nil"/>
                  </w:tcBorders>
                  <w:noWrap w:val="0"/>
                  <w:vAlign w:val="center"/>
                </w:tcPr>
                <w:p w14:paraId="0A47234E">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sz w:val="21"/>
                      <w:szCs w:val="21"/>
                      <w:highlight w:val="none"/>
                    </w:rPr>
                  </w:pPr>
                  <w:r>
                    <w:rPr>
                      <w:rFonts w:hint="eastAsia" w:cs="Times New Roman"/>
                      <w:color w:val="auto"/>
                      <w:kern w:val="2"/>
                      <w:sz w:val="21"/>
                      <w:szCs w:val="21"/>
                      <w:highlight w:val="none"/>
                      <w:lang w:val="en-US" w:eastAsia="zh-CN" w:bidi="ar-SA"/>
                    </w:rPr>
                    <w:t>本项目设置500kg的活性炭吸附箱</w:t>
                  </w:r>
                </w:p>
              </w:tc>
              <w:tc>
                <w:tcPr>
                  <w:tcW w:w="463" w:type="pct"/>
                  <w:tcBorders>
                    <w:tl2br w:val="nil"/>
                    <w:tr2bl w:val="nil"/>
                  </w:tcBorders>
                  <w:noWrap w:val="0"/>
                  <w:vAlign w:val="center"/>
                </w:tcPr>
                <w:p w14:paraId="0D67ACCC">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bCs/>
                      <w:color w:val="auto"/>
                      <w:sz w:val="21"/>
                      <w:szCs w:val="21"/>
                      <w:highlight w:val="none"/>
                      <w:lang w:val="en-US" w:eastAsia="zh-CN"/>
                    </w:rPr>
                  </w:pPr>
                  <w:r>
                    <w:rPr>
                      <w:rFonts w:hint="eastAsia"/>
                      <w:bCs/>
                      <w:color w:val="auto"/>
                      <w:sz w:val="21"/>
                      <w:szCs w:val="21"/>
                      <w:highlight w:val="none"/>
                      <w:lang w:val="en-US" w:eastAsia="zh-CN"/>
                    </w:rPr>
                    <w:t>符合</w:t>
                  </w:r>
                </w:p>
              </w:tc>
            </w:tr>
            <w:tr w14:paraId="64BDCBB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tcBorders>
                    <w:tl2br w:val="nil"/>
                    <w:tr2bl w:val="nil"/>
                  </w:tcBorders>
                  <w:noWrap w:val="0"/>
                  <w:vAlign w:val="center"/>
                </w:tcPr>
                <w:p w14:paraId="589C70CA">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ascii="Times New Roman" w:hAnsi="Times New Roman" w:eastAsia="宋体" w:cs="Times New Roman"/>
                      <w:color w:val="auto"/>
                      <w:sz w:val="21"/>
                      <w:szCs w:val="21"/>
                      <w:highlight w:val="none"/>
                    </w:rPr>
                    <w:t>《关于加快解决当前挥发性有机物治理突出问题的通知》</w:t>
                  </w:r>
                </w:p>
              </w:tc>
              <w:tc>
                <w:tcPr>
                  <w:tcW w:w="2275" w:type="pct"/>
                  <w:tcBorders>
                    <w:tl2br w:val="nil"/>
                    <w:tr2bl w:val="nil"/>
                  </w:tcBorders>
                  <w:noWrap w:val="0"/>
                  <w:vAlign w:val="center"/>
                </w:tcPr>
                <w:p w14:paraId="20D84CB1">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sz w:val="21"/>
                      <w:szCs w:val="21"/>
                      <w:highlight w:val="none"/>
                      <w:lang w:val="zh-CN" w:eastAsia="zh-CN"/>
                    </w:rPr>
                  </w:pPr>
                  <w:r>
                    <w:rPr>
                      <w:rFonts w:hint="eastAsia" w:ascii="Times New Roman" w:hAnsi="Times New Roman" w:eastAsia="宋体" w:cs="Times New Roman"/>
                      <w:color w:val="auto"/>
                      <w:sz w:val="21"/>
                      <w:szCs w:val="21"/>
                      <w:highlight w:val="none"/>
                      <w:lang w:val="zh-CN" w:eastAsia="zh-CN"/>
                    </w:rPr>
                    <w:t>对于VOCs治理设施产生的废过滤棉、废催化剂、废吸附剂、废吸收剂、废有机溶剂等二次污染物，应交有资质的单位处理处置；采用活性炭吸附工艺的企业应对活性炭质量严格把关，并根据排放废气的风量、浓度，合理确定活性炭充填量、更换周期，确保足额充填、定期更换；采用一次性活性炭吸附工艺的，应选择碘值不低于800mg/g的活性炭；</w:t>
                  </w:r>
                </w:p>
              </w:tc>
              <w:tc>
                <w:tcPr>
                  <w:tcW w:w="1411" w:type="pct"/>
                  <w:tcBorders>
                    <w:tl2br w:val="nil"/>
                    <w:tr2bl w:val="nil"/>
                  </w:tcBorders>
                  <w:noWrap w:val="0"/>
                  <w:vAlign w:val="center"/>
                </w:tcPr>
                <w:p w14:paraId="4D2A113A">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本项目采用蜂窝活性炭作为吸附剂，其碘值为800mg/g，废活性炭定期更换并交由危废单位处置。</w:t>
                  </w:r>
                </w:p>
              </w:tc>
              <w:tc>
                <w:tcPr>
                  <w:tcW w:w="463" w:type="pct"/>
                  <w:tcBorders>
                    <w:tl2br w:val="nil"/>
                    <w:tr2bl w:val="nil"/>
                  </w:tcBorders>
                  <w:noWrap w:val="0"/>
                  <w:vAlign w:val="center"/>
                </w:tcPr>
                <w:p w14:paraId="485CD525">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eastAsia="宋体"/>
                      <w:bCs/>
                      <w:color w:val="auto"/>
                      <w:sz w:val="21"/>
                      <w:szCs w:val="21"/>
                      <w:highlight w:val="none"/>
                      <w:lang w:val="en-US" w:eastAsia="zh-CN"/>
                    </w:rPr>
                  </w:pPr>
                  <w:r>
                    <w:rPr>
                      <w:rFonts w:hint="eastAsia"/>
                      <w:bCs/>
                      <w:color w:val="auto"/>
                      <w:sz w:val="21"/>
                      <w:szCs w:val="21"/>
                      <w:highlight w:val="none"/>
                      <w:lang w:val="en-US" w:eastAsia="zh-CN"/>
                    </w:rPr>
                    <w:t>符合</w:t>
                  </w:r>
                </w:p>
              </w:tc>
            </w:tr>
            <w:tr w14:paraId="61DDB283">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tcBorders>
                    <w:tl2br w:val="nil"/>
                    <w:tr2bl w:val="nil"/>
                  </w:tcBorders>
                  <w:noWrap w:val="0"/>
                  <w:vAlign w:val="center"/>
                </w:tcPr>
                <w:p w14:paraId="57325672">
                  <w:pPr>
                    <w:adjustRightInd w:val="0"/>
                    <w:snapToGrid w:val="0"/>
                    <w:spacing w:line="320" w:lineRule="exact"/>
                    <w:jc w:val="center"/>
                    <w:rPr>
                      <w:rFonts w:hint="eastAsia"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eastAsia="zh-CN"/>
                    </w:rPr>
                    <w:t>《“十四五”节能减排综合工作方案</w:t>
                  </w:r>
                  <w:r>
                    <w:rPr>
                      <w:rFonts w:hint="default" w:ascii="Times New Roman" w:hAnsi="Times New Roman" w:eastAsia="宋体" w:cs="Times New Roman"/>
                      <w:color w:val="auto"/>
                      <w:sz w:val="21"/>
                      <w:szCs w:val="21"/>
                      <w:highlight w:val="none"/>
                    </w:rPr>
                    <w:t>》</w:t>
                  </w:r>
                </w:p>
              </w:tc>
              <w:tc>
                <w:tcPr>
                  <w:tcW w:w="2275" w:type="pct"/>
                  <w:tcBorders>
                    <w:tl2br w:val="nil"/>
                    <w:tr2bl w:val="nil"/>
                  </w:tcBorders>
                  <w:noWrap w:val="0"/>
                  <w:vAlign w:val="center"/>
                </w:tcPr>
                <w:p w14:paraId="7D267F63">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挥发性有机物综合整治工程</w:t>
                  </w:r>
                </w:p>
                <w:p w14:paraId="37C515F9">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color w:val="auto"/>
                      <w:highlight w:val="none"/>
                      <w:lang w:val="en-US" w:eastAsia="zh-CN"/>
                    </w:rPr>
                  </w:pPr>
                  <w:r>
                    <w:rPr>
                      <w:rFonts w:hint="default" w:ascii="Times New Roman" w:hAnsi="Times New Roman" w:eastAsia="宋体" w:cs="Times New Roman"/>
                      <w:color w:val="auto"/>
                      <w:kern w:val="2"/>
                      <w:sz w:val="21"/>
                      <w:szCs w:val="21"/>
                      <w:highlight w:val="none"/>
                      <w:lang w:val="en-US" w:eastAsia="zh-CN" w:bidi="ar-SA"/>
                    </w:rPr>
                    <w:t>进原辅材料和产品源头替代工程，实施全过程污染物治理。以工业涂装、包装印刷等行业为重点，推动使用低挥发性有机物含量的涂料、油墨、胶粘剂、清洗剂。深化石化化工等行业挥发性有机物污染治理，全面提升废气收集率、治理设施同步运行率和去除率。</w:t>
                  </w:r>
                </w:p>
              </w:tc>
              <w:tc>
                <w:tcPr>
                  <w:tcW w:w="1411" w:type="pct"/>
                  <w:tcBorders>
                    <w:tl2br w:val="nil"/>
                    <w:tr2bl w:val="nil"/>
                  </w:tcBorders>
                  <w:noWrap w:val="0"/>
                  <w:vAlign w:val="center"/>
                </w:tcPr>
                <w:p w14:paraId="67FDC6F2">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eastAsia="宋体"/>
                      <w:bCs/>
                      <w:color w:val="auto"/>
                      <w:sz w:val="21"/>
                      <w:szCs w:val="21"/>
                      <w:highlight w:val="none"/>
                      <w:lang w:val="en-US" w:eastAsia="zh-CN"/>
                    </w:rPr>
                  </w:pPr>
                  <w:r>
                    <w:rPr>
                      <w:rFonts w:hint="default" w:ascii="Times New Roman" w:hAnsi="Times New Roman" w:eastAsia="宋体" w:cs="Times New Roman"/>
                      <w:color w:val="auto"/>
                      <w:sz w:val="21"/>
                      <w:szCs w:val="21"/>
                      <w:highlight w:val="none"/>
                    </w:rPr>
                    <w:t>本项目</w:t>
                  </w:r>
                  <w:r>
                    <w:rPr>
                      <w:rFonts w:hint="default" w:ascii="Times New Roman" w:hAnsi="Times New Roman" w:eastAsia="宋体" w:cs="Times New Roman"/>
                      <w:color w:val="auto"/>
                      <w:sz w:val="21"/>
                      <w:szCs w:val="21"/>
                      <w:highlight w:val="none"/>
                      <w:lang w:eastAsia="zh-CN"/>
                    </w:rPr>
                    <w:t>不属于重点行业高</w:t>
                  </w:r>
                  <w:r>
                    <w:rPr>
                      <w:rFonts w:hint="default" w:ascii="Times New Roman" w:hAnsi="Times New Roman" w:eastAsia="宋体" w:cs="Times New Roman"/>
                      <w:color w:val="auto"/>
                      <w:sz w:val="21"/>
                      <w:szCs w:val="21"/>
                      <w:highlight w:val="none"/>
                      <w:lang w:val="en-US" w:eastAsia="zh-CN"/>
                    </w:rPr>
                    <w:t>VOCs排放项目，</w:t>
                  </w:r>
                  <w:r>
                    <w:rPr>
                      <w:rFonts w:hint="eastAsia" w:ascii="Times New Roman" w:hAnsi="Times New Roman" w:eastAsia="宋体" w:cs="Times New Roman"/>
                      <w:color w:val="auto"/>
                      <w:kern w:val="2"/>
                      <w:sz w:val="21"/>
                      <w:szCs w:val="21"/>
                      <w:highlight w:val="none"/>
                      <w:vertAlign w:val="baseline"/>
                      <w:lang w:val="zh-CN" w:eastAsia="zh-CN" w:bidi="ar-SA"/>
                    </w:rPr>
                    <w:t>本项目实验室整体密闭，有机废气经移动式集气罩集气后由活性炭吸附+15m排气筒处理后达标排放。</w:t>
                  </w:r>
                </w:p>
              </w:tc>
              <w:tc>
                <w:tcPr>
                  <w:tcW w:w="463" w:type="pct"/>
                  <w:tcBorders>
                    <w:tl2br w:val="nil"/>
                    <w:tr2bl w:val="nil"/>
                  </w:tcBorders>
                  <w:noWrap w:val="0"/>
                  <w:vAlign w:val="center"/>
                </w:tcPr>
                <w:p w14:paraId="58C4D441">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default" w:eastAsia="宋体"/>
                      <w:bCs/>
                      <w:color w:val="auto"/>
                      <w:sz w:val="21"/>
                      <w:szCs w:val="21"/>
                      <w:highlight w:val="none"/>
                      <w:lang w:val="en-US" w:eastAsia="zh-CN"/>
                    </w:rPr>
                  </w:pPr>
                  <w:r>
                    <w:rPr>
                      <w:rFonts w:hint="eastAsia"/>
                      <w:bCs/>
                      <w:color w:val="auto"/>
                      <w:sz w:val="21"/>
                      <w:szCs w:val="21"/>
                      <w:highlight w:val="none"/>
                      <w:lang w:val="en-US" w:eastAsia="zh-CN"/>
                    </w:rPr>
                    <w:t>符合</w:t>
                  </w:r>
                </w:p>
              </w:tc>
            </w:tr>
            <w:tr w14:paraId="6C308E5C">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vMerge w:val="restart"/>
                  <w:tcBorders>
                    <w:tl2br w:val="nil"/>
                    <w:tr2bl w:val="nil"/>
                  </w:tcBorders>
                  <w:noWrap w:val="0"/>
                  <w:vAlign w:val="center"/>
                </w:tcPr>
                <w:p w14:paraId="5B498BEE">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《挥发性有机物无组织排放控制标准》（GB27822-2019）</w:t>
                  </w:r>
                </w:p>
              </w:tc>
              <w:tc>
                <w:tcPr>
                  <w:tcW w:w="2275" w:type="pct"/>
                  <w:tcBorders>
                    <w:tl2br w:val="nil"/>
                    <w:tr2bl w:val="nil"/>
                  </w:tcBorders>
                  <w:noWrap w:val="0"/>
                  <w:vAlign w:val="center"/>
                </w:tcPr>
                <w:p w14:paraId="31AB141E">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基本要求</w:t>
                  </w:r>
                </w:p>
                <w:p w14:paraId="34677977">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5.1.1 VOCs物料应储存于密闭的容器、包装袋、储罐、储库、料</w:t>
                  </w:r>
                </w:p>
                <w:p w14:paraId="72C952B2">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仓中。</w:t>
                  </w:r>
                </w:p>
              </w:tc>
              <w:tc>
                <w:tcPr>
                  <w:tcW w:w="1411" w:type="pct"/>
                  <w:tcBorders>
                    <w:tl2br w:val="nil"/>
                    <w:tr2bl w:val="nil"/>
                  </w:tcBorders>
                  <w:noWrap w:val="0"/>
                  <w:vAlign w:val="center"/>
                </w:tcPr>
                <w:p w14:paraId="1F6A8597">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本项目涉及VOCs药品均瓶装加盖储存在试剂</w:t>
                  </w:r>
                  <w:r>
                    <w:rPr>
                      <w:rFonts w:hint="eastAsia" w:cs="Times New Roman"/>
                      <w:color w:val="auto"/>
                      <w:sz w:val="21"/>
                      <w:szCs w:val="21"/>
                      <w:highlight w:val="none"/>
                      <w:lang w:val="en-US" w:eastAsia="zh-CN"/>
                    </w:rPr>
                    <w:t>柜内</w:t>
                  </w:r>
                  <w:r>
                    <w:rPr>
                      <w:rFonts w:hint="eastAsia" w:ascii="Times New Roman" w:hAnsi="Times New Roman" w:eastAsia="宋体" w:cs="Times New Roman"/>
                      <w:color w:val="auto"/>
                      <w:sz w:val="21"/>
                      <w:szCs w:val="21"/>
                      <w:highlight w:val="none"/>
                    </w:rPr>
                    <w:t>。</w:t>
                  </w:r>
                </w:p>
              </w:tc>
              <w:tc>
                <w:tcPr>
                  <w:tcW w:w="463" w:type="pct"/>
                  <w:tcBorders>
                    <w:tl2br w:val="nil"/>
                    <w:tr2bl w:val="nil"/>
                  </w:tcBorders>
                  <w:noWrap w:val="0"/>
                  <w:vAlign w:val="center"/>
                </w:tcPr>
                <w:p w14:paraId="3CD5EF0B">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bCs/>
                      <w:color w:val="auto"/>
                      <w:sz w:val="21"/>
                      <w:szCs w:val="21"/>
                      <w:highlight w:val="none"/>
                      <w:lang w:val="en-US" w:eastAsia="zh-CN"/>
                    </w:rPr>
                  </w:pPr>
                  <w:r>
                    <w:rPr>
                      <w:rFonts w:hint="eastAsia"/>
                      <w:bCs/>
                      <w:color w:val="auto"/>
                      <w:sz w:val="21"/>
                      <w:szCs w:val="21"/>
                      <w:highlight w:val="none"/>
                      <w:lang w:val="en-US" w:eastAsia="zh-CN"/>
                    </w:rPr>
                    <w:t>符合</w:t>
                  </w:r>
                </w:p>
              </w:tc>
            </w:tr>
            <w:tr w14:paraId="2FB0418C">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vMerge w:val="continue"/>
                  <w:tcBorders>
                    <w:tl2br w:val="nil"/>
                    <w:tr2bl w:val="nil"/>
                  </w:tcBorders>
                  <w:noWrap w:val="0"/>
                  <w:vAlign w:val="center"/>
                </w:tcPr>
                <w:p w14:paraId="7D984BA5">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eastAsia="宋体" w:cs="Times New Roman"/>
                      <w:color w:val="auto"/>
                      <w:kern w:val="2"/>
                      <w:sz w:val="21"/>
                      <w:szCs w:val="21"/>
                      <w:highlight w:val="none"/>
                      <w:lang w:val="en-US" w:eastAsia="zh-CN" w:bidi="ar-SA"/>
                    </w:rPr>
                  </w:pPr>
                </w:p>
              </w:tc>
              <w:tc>
                <w:tcPr>
                  <w:tcW w:w="2275" w:type="pct"/>
                  <w:tcBorders>
                    <w:tl2br w:val="nil"/>
                    <w:tr2bl w:val="nil"/>
                  </w:tcBorders>
                  <w:noWrap w:val="0"/>
                  <w:vAlign w:val="center"/>
                </w:tcPr>
                <w:p w14:paraId="63041105">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工艺过程 VOCs 无组织排放控制要求</w:t>
                  </w:r>
                </w:p>
                <w:p w14:paraId="69AEAF71">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7.1.1 物料投加和卸放</w:t>
                  </w:r>
                </w:p>
                <w:p w14:paraId="151D8AFF">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a）液态VOCs物料应采用密闭管道输送方式或采用高位槽、桶泵等给料方式密闭投加。无法密闭投加的，应在密闭空间内操作，或进行局部气体收集，废气应排至VOCs废气收集处理系统。</w:t>
                  </w:r>
                </w:p>
              </w:tc>
              <w:tc>
                <w:tcPr>
                  <w:tcW w:w="1411" w:type="pct"/>
                  <w:tcBorders>
                    <w:tl2br w:val="nil"/>
                    <w:tr2bl w:val="nil"/>
                  </w:tcBorders>
                  <w:noWrap w:val="0"/>
                  <w:vAlign w:val="center"/>
                </w:tcPr>
                <w:p w14:paraId="7EBDA129">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本项目涉及VOCs 药品在使用过程中均在操作间内的移动式集气罩下进行，有机废气得到有效收集，有机废气经活性炭吸附后达标排放。</w:t>
                  </w:r>
                </w:p>
              </w:tc>
              <w:tc>
                <w:tcPr>
                  <w:tcW w:w="463" w:type="pct"/>
                  <w:tcBorders>
                    <w:tl2br w:val="nil"/>
                    <w:tr2bl w:val="nil"/>
                  </w:tcBorders>
                  <w:noWrap w:val="0"/>
                  <w:vAlign w:val="center"/>
                </w:tcPr>
                <w:p w14:paraId="76A330B5">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default"/>
                      <w:bCs/>
                      <w:color w:val="auto"/>
                      <w:sz w:val="21"/>
                      <w:szCs w:val="21"/>
                      <w:highlight w:val="none"/>
                      <w:lang w:val="en-US" w:eastAsia="zh-CN"/>
                    </w:rPr>
                  </w:pPr>
                  <w:r>
                    <w:rPr>
                      <w:rFonts w:hint="eastAsia"/>
                      <w:bCs/>
                      <w:color w:val="auto"/>
                      <w:sz w:val="21"/>
                      <w:szCs w:val="21"/>
                      <w:highlight w:val="none"/>
                      <w:lang w:val="en-US" w:eastAsia="zh-CN"/>
                    </w:rPr>
                    <w:t>符合</w:t>
                  </w:r>
                </w:p>
              </w:tc>
            </w:tr>
            <w:tr w14:paraId="770FC27C">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vMerge w:val="continue"/>
                  <w:tcBorders>
                    <w:tl2br w:val="nil"/>
                    <w:tr2bl w:val="nil"/>
                  </w:tcBorders>
                  <w:noWrap w:val="0"/>
                  <w:vAlign w:val="center"/>
                </w:tcPr>
                <w:p w14:paraId="34EB6A38">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eastAsia="宋体" w:cs="Times New Roman"/>
                      <w:color w:val="auto"/>
                      <w:kern w:val="2"/>
                      <w:sz w:val="21"/>
                      <w:szCs w:val="21"/>
                      <w:highlight w:val="none"/>
                      <w:lang w:val="en-US" w:eastAsia="zh-CN" w:bidi="ar-SA"/>
                    </w:rPr>
                  </w:pPr>
                </w:p>
              </w:tc>
              <w:tc>
                <w:tcPr>
                  <w:tcW w:w="2275" w:type="pct"/>
                  <w:tcBorders>
                    <w:tl2br w:val="nil"/>
                    <w:tr2bl w:val="nil"/>
                  </w:tcBorders>
                  <w:noWrap w:val="0"/>
                  <w:vAlign w:val="center"/>
                </w:tcPr>
                <w:p w14:paraId="6C2772D1">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其他要求</w:t>
                  </w:r>
                </w:p>
                <w:p w14:paraId="2703A879">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7.3.1 企业应建立台账，记录含VOCs原辅材料和含VOCs产品的名称、使用量、回收量、废弃量、去向以及VOCs含量等信息。</w:t>
                  </w:r>
                </w:p>
                <w:p w14:paraId="4A56E500">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台账保存期限不少于3年。</w:t>
                  </w:r>
                </w:p>
              </w:tc>
              <w:tc>
                <w:tcPr>
                  <w:tcW w:w="1411" w:type="pct"/>
                  <w:tcBorders>
                    <w:tl2br w:val="nil"/>
                    <w:tr2bl w:val="nil"/>
                  </w:tcBorders>
                  <w:noWrap w:val="0"/>
                  <w:vAlign w:val="center"/>
                </w:tcPr>
                <w:p w14:paraId="33EDED77">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rPr>
                    <w:t>本项目包括涉及VOCs 药品在内全部药品均需要记录使</w:t>
                  </w:r>
                  <w:r>
                    <w:rPr>
                      <w:rFonts w:hint="eastAsia" w:cs="Times New Roman"/>
                      <w:color w:val="auto"/>
                      <w:sz w:val="21"/>
                      <w:szCs w:val="21"/>
                      <w:highlight w:val="none"/>
                      <w:lang w:val="en-US" w:eastAsia="zh-CN"/>
                    </w:rPr>
                    <w:t>用量</w:t>
                  </w:r>
                </w:p>
              </w:tc>
              <w:tc>
                <w:tcPr>
                  <w:tcW w:w="463" w:type="pct"/>
                  <w:tcBorders>
                    <w:tl2br w:val="nil"/>
                    <w:tr2bl w:val="nil"/>
                  </w:tcBorders>
                  <w:noWrap w:val="0"/>
                  <w:vAlign w:val="center"/>
                </w:tcPr>
                <w:p w14:paraId="0768E720">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default"/>
                      <w:bCs/>
                      <w:color w:val="auto"/>
                      <w:sz w:val="21"/>
                      <w:szCs w:val="21"/>
                      <w:highlight w:val="none"/>
                      <w:lang w:val="en-US" w:eastAsia="zh-CN"/>
                    </w:rPr>
                  </w:pPr>
                  <w:r>
                    <w:rPr>
                      <w:rFonts w:hint="eastAsia"/>
                      <w:bCs/>
                      <w:color w:val="auto"/>
                      <w:sz w:val="21"/>
                      <w:szCs w:val="21"/>
                      <w:highlight w:val="none"/>
                      <w:lang w:val="en-US" w:eastAsia="zh-CN"/>
                    </w:rPr>
                    <w:t>符合</w:t>
                  </w:r>
                </w:p>
              </w:tc>
            </w:tr>
            <w:tr w14:paraId="147CA5F2">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vMerge w:val="continue"/>
                  <w:tcBorders>
                    <w:tl2br w:val="nil"/>
                    <w:tr2bl w:val="nil"/>
                  </w:tcBorders>
                  <w:noWrap w:val="0"/>
                  <w:vAlign w:val="center"/>
                </w:tcPr>
                <w:p w14:paraId="3746D43D">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eastAsia="宋体" w:cs="Times New Roman"/>
                      <w:color w:val="auto"/>
                      <w:kern w:val="2"/>
                      <w:sz w:val="21"/>
                      <w:szCs w:val="21"/>
                      <w:highlight w:val="none"/>
                      <w:lang w:val="en-US" w:eastAsia="zh-CN" w:bidi="ar-SA"/>
                    </w:rPr>
                  </w:pPr>
                </w:p>
              </w:tc>
              <w:tc>
                <w:tcPr>
                  <w:tcW w:w="2275" w:type="pct"/>
                  <w:tcBorders>
                    <w:tl2br w:val="nil"/>
                    <w:tr2bl w:val="nil"/>
                  </w:tcBorders>
                  <w:noWrap w:val="0"/>
                  <w:vAlign w:val="center"/>
                </w:tcPr>
                <w:p w14:paraId="4CD6CF07">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VOCs 无组织排放废气收集处理系统要求</w:t>
                  </w:r>
                </w:p>
                <w:p w14:paraId="5B9CF67B">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10.1.2 VOCs 废气收集处理系统应与生产工艺设备同步运行。</w:t>
                  </w:r>
                </w:p>
                <w:p w14:paraId="1B7AF8E9">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VOCs 废气收集处理系统发生故障或检修时，对应的生产工艺设</w:t>
                  </w:r>
                </w:p>
                <w:p w14:paraId="04720305">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备应停止运行，待检修完毕后投入使用；生产工艺设备不能停止</w:t>
                  </w:r>
                </w:p>
                <w:p w14:paraId="4D245123">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运行或不能及时停止运行的，应设置废气应急处理设施或采取其</w:t>
                  </w:r>
                </w:p>
                <w:p w14:paraId="4F580594">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他替代措施。</w:t>
                  </w:r>
                </w:p>
              </w:tc>
              <w:tc>
                <w:tcPr>
                  <w:tcW w:w="1411" w:type="pct"/>
                  <w:tcBorders>
                    <w:tl2br w:val="nil"/>
                    <w:tr2bl w:val="nil"/>
                  </w:tcBorders>
                  <w:noWrap w:val="0"/>
                  <w:vAlign w:val="center"/>
                </w:tcPr>
                <w:p w14:paraId="49742A78">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本项目使用含VOCs药品时均在相应操作间内的移动式</w:t>
                  </w:r>
                </w:p>
                <w:p w14:paraId="5C3AC372">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集气罩下进行，使用期间开启集气罩。</w:t>
                  </w:r>
                </w:p>
              </w:tc>
              <w:tc>
                <w:tcPr>
                  <w:tcW w:w="463" w:type="pct"/>
                  <w:tcBorders>
                    <w:tl2br w:val="nil"/>
                    <w:tr2bl w:val="nil"/>
                  </w:tcBorders>
                  <w:noWrap w:val="0"/>
                  <w:vAlign w:val="center"/>
                </w:tcPr>
                <w:p w14:paraId="456B8C86">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default"/>
                      <w:bCs/>
                      <w:color w:val="auto"/>
                      <w:sz w:val="21"/>
                      <w:szCs w:val="21"/>
                      <w:highlight w:val="none"/>
                      <w:lang w:val="en-US" w:eastAsia="zh-CN"/>
                    </w:rPr>
                  </w:pPr>
                  <w:r>
                    <w:rPr>
                      <w:rFonts w:hint="eastAsia"/>
                      <w:bCs/>
                      <w:color w:val="auto"/>
                      <w:sz w:val="21"/>
                      <w:szCs w:val="21"/>
                      <w:highlight w:val="none"/>
                      <w:lang w:val="en-US" w:eastAsia="zh-CN"/>
                    </w:rPr>
                    <w:t>符合</w:t>
                  </w:r>
                </w:p>
              </w:tc>
            </w:tr>
            <w:tr w14:paraId="6A8FC136">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vMerge w:val="continue"/>
                  <w:tcBorders>
                    <w:tl2br w:val="nil"/>
                    <w:tr2bl w:val="nil"/>
                  </w:tcBorders>
                  <w:noWrap w:val="0"/>
                  <w:vAlign w:val="center"/>
                </w:tcPr>
                <w:p w14:paraId="24DFD278">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eastAsia="宋体" w:cs="Times New Roman"/>
                      <w:color w:val="0000FF"/>
                      <w:kern w:val="2"/>
                      <w:sz w:val="21"/>
                      <w:szCs w:val="21"/>
                      <w:highlight w:val="none"/>
                      <w:lang w:val="en-US" w:eastAsia="zh-CN" w:bidi="ar-SA"/>
                    </w:rPr>
                  </w:pPr>
                </w:p>
              </w:tc>
              <w:tc>
                <w:tcPr>
                  <w:tcW w:w="2275" w:type="pct"/>
                  <w:tcBorders>
                    <w:tl2br w:val="nil"/>
                    <w:tr2bl w:val="nil"/>
                  </w:tcBorders>
                  <w:noWrap w:val="0"/>
                  <w:vAlign w:val="center"/>
                </w:tcPr>
                <w:p w14:paraId="16964F1C">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VOCs 排放控制要求</w:t>
                  </w:r>
                </w:p>
                <w:p w14:paraId="6E0C9E38">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10.3.2 收集的废气中NMHC初始排放速率≥3kg/h时，应配置VOCs处理设施，处理效率不应低于80%；对于重点地区，收集的废气中NMHC初始排放速率≥2kg/h时，应配置VOCs处理设施，处理效率不应低于80%；采用的原辅材料符合国家有关低VOCs含量产品规定的除外。</w:t>
                  </w:r>
                </w:p>
                <w:p w14:paraId="0F6AA9C3">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10.3.3 吸附、吸收、冷凝、生物、膜分离等其他VOCs处理设施，以实测质量浓度作为达标判定依据，不得稀释排放。</w:t>
                  </w:r>
                </w:p>
              </w:tc>
              <w:tc>
                <w:tcPr>
                  <w:tcW w:w="1411" w:type="pct"/>
                  <w:tcBorders>
                    <w:tl2br w:val="nil"/>
                    <w:tr2bl w:val="nil"/>
                  </w:tcBorders>
                  <w:noWrap w:val="0"/>
                  <w:vAlign w:val="center"/>
                </w:tcPr>
                <w:p w14:paraId="7C6C5A64">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eastAsia="宋体" w:cs="Times New Roman"/>
                      <w:color w:val="auto"/>
                      <w:sz w:val="21"/>
                      <w:szCs w:val="21"/>
                      <w:highlight w:val="none"/>
                    </w:rPr>
                  </w:pPr>
                  <w:r>
                    <w:rPr>
                      <w:rFonts w:hint="eastAsia" w:ascii="Times New Roman" w:hAnsi="Times New Roman" w:cs="Times New Roman"/>
                      <w:color w:val="auto"/>
                      <w:sz w:val="21"/>
                      <w:szCs w:val="21"/>
                      <w:highlight w:val="none"/>
                      <w:lang w:val="en-US" w:eastAsia="zh-CN"/>
                    </w:rPr>
                    <w:t xml:space="preserve">本项目废气中 NMHC产生速率 </w:t>
                  </w:r>
                  <w:r>
                    <w:rPr>
                      <w:rFonts w:hint="eastAsia" w:cs="Times New Roman"/>
                      <w:color w:val="auto"/>
                      <w:sz w:val="21"/>
                      <w:szCs w:val="21"/>
                      <w:highlight w:val="none"/>
                      <w:lang w:val="en-US" w:eastAsia="zh-CN"/>
                    </w:rPr>
                    <w:t>0.00016</w:t>
                  </w:r>
                  <w:r>
                    <w:rPr>
                      <w:rFonts w:hint="eastAsia" w:ascii="Times New Roman" w:hAnsi="Times New Roman" w:cs="Times New Roman"/>
                      <w:color w:val="auto"/>
                      <w:sz w:val="21"/>
                      <w:szCs w:val="21"/>
                      <w:highlight w:val="none"/>
                      <w:lang w:val="en-US" w:eastAsia="zh-CN"/>
                    </w:rPr>
                    <w:t>kg/h，按规定无需配置VOCs处理设施，为确保废气稳定达标排放，本项目设置一套活性炭吸附装置处理废气中的 NMHC。</w:t>
                  </w:r>
                </w:p>
              </w:tc>
              <w:tc>
                <w:tcPr>
                  <w:tcW w:w="463" w:type="pct"/>
                  <w:tcBorders>
                    <w:tl2br w:val="nil"/>
                    <w:tr2bl w:val="nil"/>
                  </w:tcBorders>
                  <w:noWrap w:val="0"/>
                  <w:vAlign w:val="center"/>
                </w:tcPr>
                <w:p w14:paraId="2A25A097">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bCs/>
                      <w:color w:val="auto"/>
                      <w:sz w:val="21"/>
                      <w:szCs w:val="21"/>
                      <w:highlight w:val="none"/>
                      <w:lang w:val="en-US" w:eastAsia="zh-CN"/>
                    </w:rPr>
                  </w:pPr>
                  <w:r>
                    <w:rPr>
                      <w:rFonts w:hint="eastAsia"/>
                      <w:bCs/>
                      <w:color w:val="auto"/>
                      <w:sz w:val="21"/>
                      <w:szCs w:val="21"/>
                      <w:highlight w:val="none"/>
                      <w:lang w:val="en-US" w:eastAsia="zh-CN"/>
                    </w:rPr>
                    <w:t>符合</w:t>
                  </w:r>
                </w:p>
              </w:tc>
            </w:tr>
            <w:tr w14:paraId="7E165395">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vMerge w:val="restart"/>
                  <w:tcBorders>
                    <w:tl2br w:val="nil"/>
                    <w:tr2bl w:val="nil"/>
                  </w:tcBorders>
                  <w:noWrap w:val="0"/>
                  <w:vAlign w:val="center"/>
                </w:tcPr>
                <w:p w14:paraId="11E365D5">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default" w:ascii="Times New Roman" w:hAnsi="Times New Roman" w:eastAsia="宋体" w:cs="Times New Roman"/>
                      <w:color w:val="0000FF"/>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《实验室挥发性有机物污染防治技术指南》（T/ACEF001—2020）</w:t>
                  </w:r>
                </w:p>
              </w:tc>
              <w:tc>
                <w:tcPr>
                  <w:tcW w:w="2275" w:type="pct"/>
                  <w:tcBorders>
                    <w:tl2br w:val="nil"/>
                    <w:tr2bl w:val="nil"/>
                  </w:tcBorders>
                  <w:noWrap w:val="0"/>
                  <w:vAlign w:val="center"/>
                </w:tcPr>
                <w:p w14:paraId="14AAA42D">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4 基本要求</w:t>
                  </w:r>
                </w:p>
                <w:p w14:paraId="38D771E3">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4.1 实验室单位应建立有机溶剂使用登记和管理制度，编制实验操作规范，选择有效的废气收集和净化装置，减少VOCs排放，防止污染周边环境。</w:t>
                  </w:r>
                </w:p>
                <w:p w14:paraId="32E72199">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4.2 产生VOCs废气应进行收集，排放至VOCs废气收集装置。</w:t>
                  </w:r>
                </w:p>
                <w:p w14:paraId="5A5F6EE3">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color w:val="auto"/>
                      <w:lang w:val="en-US" w:eastAsia="zh-CN"/>
                    </w:rPr>
                  </w:pPr>
                  <w:r>
                    <w:rPr>
                      <w:rFonts w:hint="eastAsia" w:ascii="Times New Roman" w:hAnsi="Times New Roman" w:eastAsia="宋体" w:cs="Times New Roman"/>
                      <w:color w:val="auto"/>
                      <w:kern w:val="2"/>
                      <w:sz w:val="21"/>
                      <w:szCs w:val="21"/>
                      <w:highlight w:val="none"/>
                      <w:lang w:val="en-US" w:eastAsia="zh-CN" w:bidi="ar-SA"/>
                    </w:rPr>
                    <w:t>4.3 实验室有组织VOCs宜经过净化处理后方可排放。综合考虑场地、实验室类型等因素，因地制宜地采用有效的VOCs净化装置。经过净化后的废气应符合排放标准后方可排放，净化过程避免产生二次污染。</w:t>
                  </w:r>
                </w:p>
              </w:tc>
              <w:tc>
                <w:tcPr>
                  <w:tcW w:w="1411" w:type="pct"/>
                  <w:vMerge w:val="restart"/>
                  <w:tcBorders>
                    <w:tl2br w:val="nil"/>
                    <w:tr2bl w:val="nil"/>
                  </w:tcBorders>
                  <w:noWrap w:val="0"/>
                  <w:vAlign w:val="center"/>
                </w:tcPr>
                <w:p w14:paraId="70E0B82C">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本项目产生VOCs废气药剂</w:t>
                  </w:r>
                  <w:r>
                    <w:rPr>
                      <w:rFonts w:hint="eastAsia" w:cs="Times New Roman"/>
                      <w:color w:val="auto"/>
                      <w:sz w:val="21"/>
                      <w:szCs w:val="21"/>
                      <w:highlight w:val="none"/>
                      <w:lang w:val="en-US" w:eastAsia="zh-CN"/>
                    </w:rPr>
                    <w:t>使用</w:t>
                  </w:r>
                  <w:r>
                    <w:rPr>
                      <w:rFonts w:hint="eastAsia" w:ascii="Times New Roman" w:hAnsi="Times New Roman" w:cs="Times New Roman"/>
                      <w:color w:val="auto"/>
                      <w:sz w:val="21"/>
                      <w:szCs w:val="21"/>
                      <w:highlight w:val="none"/>
                      <w:lang w:val="en-US" w:eastAsia="zh-CN"/>
                    </w:rPr>
                    <w:t xml:space="preserve">量为 </w:t>
                  </w:r>
                  <w:r>
                    <w:rPr>
                      <w:rFonts w:hint="eastAsia" w:cs="Times New Roman"/>
                      <w:color w:val="auto"/>
                      <w:kern w:val="28"/>
                      <w:sz w:val="21"/>
                      <w:szCs w:val="21"/>
                      <w:highlight w:val="none"/>
                      <w:lang w:val="en-US" w:eastAsia="zh-CN"/>
                    </w:rPr>
                    <w:t>0.79kg/a</w:t>
                  </w:r>
                  <w:r>
                    <w:rPr>
                      <w:rFonts w:hint="eastAsia" w:ascii="Times New Roman" w:hAnsi="Times New Roman" w:cs="Times New Roman"/>
                      <w:color w:val="auto"/>
                      <w:sz w:val="21"/>
                      <w:szCs w:val="21"/>
                      <w:highlight w:val="none"/>
                      <w:lang w:val="en-US" w:eastAsia="zh-CN"/>
                    </w:rPr>
                    <w:t>，</w:t>
                  </w:r>
                  <w:r>
                    <w:rPr>
                      <w:rFonts w:hint="eastAsia" w:cs="Times New Roman"/>
                      <w:color w:val="auto"/>
                      <w:sz w:val="21"/>
                      <w:szCs w:val="21"/>
                      <w:highlight w:val="none"/>
                      <w:lang w:val="en-US" w:eastAsia="zh-CN"/>
                    </w:rPr>
                    <w:t>在通风橱中进行</w:t>
                  </w:r>
                  <w:r>
                    <w:rPr>
                      <w:rFonts w:hint="eastAsia" w:ascii="Times New Roman" w:hAnsi="Times New Roman" w:cs="Times New Roman"/>
                      <w:color w:val="auto"/>
                      <w:sz w:val="21"/>
                      <w:szCs w:val="21"/>
                      <w:highlight w:val="none"/>
                      <w:lang w:val="en-US" w:eastAsia="zh-CN"/>
                    </w:rPr>
                    <w:t>，集气效率</w:t>
                  </w:r>
                  <w:r>
                    <w:rPr>
                      <w:rFonts w:hint="eastAsia" w:cs="Times New Roman"/>
                      <w:color w:val="auto"/>
                      <w:sz w:val="21"/>
                      <w:szCs w:val="21"/>
                      <w:highlight w:val="none"/>
                      <w:lang w:val="en-US" w:eastAsia="zh-CN"/>
                    </w:rPr>
                    <w:t>90</w:t>
                  </w:r>
                  <w:r>
                    <w:rPr>
                      <w:rFonts w:hint="eastAsia" w:ascii="Times New Roman" w:hAnsi="Times New Roman" w:cs="Times New Roman"/>
                      <w:color w:val="auto"/>
                      <w:sz w:val="21"/>
                      <w:szCs w:val="21"/>
                      <w:highlight w:val="none"/>
                      <w:lang w:val="en-US" w:eastAsia="zh-CN"/>
                    </w:rPr>
                    <w:t>%。</w:t>
                  </w:r>
                </w:p>
                <w:p w14:paraId="04B781C7">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本项目包括涉及VOCs药品在内全部药品均需要记录使用量。产生的有机废气经移动式集气罩收集后由活性炭吸附装置处理达标排放。</w:t>
                  </w:r>
                </w:p>
              </w:tc>
              <w:tc>
                <w:tcPr>
                  <w:tcW w:w="463" w:type="pct"/>
                  <w:vMerge w:val="restart"/>
                  <w:tcBorders>
                    <w:tl2br w:val="nil"/>
                    <w:tr2bl w:val="nil"/>
                  </w:tcBorders>
                  <w:noWrap w:val="0"/>
                  <w:vAlign w:val="center"/>
                </w:tcPr>
                <w:p w14:paraId="06BC56E6">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default"/>
                      <w:bCs/>
                      <w:color w:val="auto"/>
                      <w:sz w:val="21"/>
                      <w:szCs w:val="21"/>
                      <w:highlight w:val="none"/>
                      <w:lang w:val="en-US" w:eastAsia="zh-CN"/>
                    </w:rPr>
                  </w:pPr>
                  <w:r>
                    <w:rPr>
                      <w:rFonts w:hint="eastAsia"/>
                      <w:bCs/>
                      <w:color w:val="auto"/>
                      <w:sz w:val="21"/>
                      <w:szCs w:val="21"/>
                      <w:highlight w:val="none"/>
                      <w:lang w:val="en-US" w:eastAsia="zh-CN"/>
                    </w:rPr>
                    <w:t>符合</w:t>
                  </w:r>
                </w:p>
              </w:tc>
            </w:tr>
            <w:tr w14:paraId="5BFC4A64">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vMerge w:val="continue"/>
                  <w:tcBorders>
                    <w:tl2br w:val="nil"/>
                    <w:tr2bl w:val="nil"/>
                  </w:tcBorders>
                  <w:noWrap w:val="0"/>
                  <w:vAlign w:val="center"/>
                </w:tcPr>
                <w:p w14:paraId="7327E1B8">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eastAsia="宋体" w:cs="Times New Roman"/>
                      <w:color w:val="0000FF"/>
                      <w:kern w:val="2"/>
                      <w:sz w:val="21"/>
                      <w:szCs w:val="21"/>
                      <w:highlight w:val="none"/>
                      <w:lang w:val="en-US" w:eastAsia="zh-CN" w:bidi="ar-SA"/>
                    </w:rPr>
                  </w:pPr>
                </w:p>
              </w:tc>
              <w:tc>
                <w:tcPr>
                  <w:tcW w:w="2275" w:type="pct"/>
                  <w:tcBorders>
                    <w:tl2br w:val="nil"/>
                    <w:tr2bl w:val="nil"/>
                  </w:tcBorders>
                  <w:noWrap w:val="0"/>
                  <w:vAlign w:val="center"/>
                </w:tcPr>
                <w:p w14:paraId="3EB2AC18">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6 有机废气收集</w:t>
                  </w:r>
                </w:p>
                <w:p w14:paraId="5900A1B4">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6.1 应根据有机溶剂的使用情况，统筹考虑废气收集装置。</w:t>
                  </w:r>
                </w:p>
                <w:p w14:paraId="353878E1">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6.2 有机溶剂年使用量≤0.1吨的实验室单元，可选用内置高效过滤器的无管道通风柜。有机溶剂年使用量大于0.1吨，小于1吨的实验室单元，宜选用有管道的通风柜。有机溶剂年使用量≥1吨的实验室单元，整体应安装废气收集装置，并保持微负压，避免无组织废气逸散。</w:t>
                  </w:r>
                </w:p>
              </w:tc>
              <w:tc>
                <w:tcPr>
                  <w:tcW w:w="1411" w:type="pct"/>
                  <w:vMerge w:val="continue"/>
                  <w:tcBorders>
                    <w:tl2br w:val="nil"/>
                    <w:tr2bl w:val="nil"/>
                  </w:tcBorders>
                  <w:noWrap w:val="0"/>
                  <w:vAlign w:val="center"/>
                </w:tcPr>
                <w:p w14:paraId="0259940F">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cs="Times New Roman"/>
                      <w:color w:val="0000FF"/>
                      <w:sz w:val="21"/>
                      <w:szCs w:val="21"/>
                      <w:highlight w:val="none"/>
                      <w:lang w:val="en-US" w:eastAsia="zh-CN"/>
                    </w:rPr>
                  </w:pPr>
                </w:p>
              </w:tc>
              <w:tc>
                <w:tcPr>
                  <w:tcW w:w="463" w:type="pct"/>
                  <w:vMerge w:val="continue"/>
                  <w:tcBorders>
                    <w:tl2br w:val="nil"/>
                    <w:tr2bl w:val="nil"/>
                  </w:tcBorders>
                  <w:noWrap w:val="0"/>
                  <w:vAlign w:val="center"/>
                </w:tcPr>
                <w:p w14:paraId="6A8E3E48">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bCs/>
                      <w:color w:val="auto"/>
                      <w:sz w:val="21"/>
                      <w:szCs w:val="21"/>
                      <w:highlight w:val="none"/>
                      <w:lang w:val="en-US" w:eastAsia="zh-CN"/>
                    </w:rPr>
                  </w:pPr>
                </w:p>
              </w:tc>
            </w:tr>
            <w:tr w14:paraId="058A72E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vMerge w:val="continue"/>
                  <w:tcBorders>
                    <w:tl2br w:val="nil"/>
                    <w:tr2bl w:val="nil"/>
                  </w:tcBorders>
                  <w:noWrap w:val="0"/>
                  <w:vAlign w:val="center"/>
                </w:tcPr>
                <w:p w14:paraId="1CCAD36F">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eastAsia="宋体" w:cs="Times New Roman"/>
                      <w:color w:val="0000FF"/>
                      <w:kern w:val="2"/>
                      <w:sz w:val="21"/>
                      <w:szCs w:val="21"/>
                      <w:highlight w:val="none"/>
                      <w:lang w:val="en-US" w:eastAsia="zh-CN" w:bidi="ar-SA"/>
                    </w:rPr>
                  </w:pPr>
                </w:p>
              </w:tc>
              <w:tc>
                <w:tcPr>
                  <w:tcW w:w="2275" w:type="pct"/>
                  <w:tcBorders>
                    <w:tl2br w:val="nil"/>
                    <w:tr2bl w:val="nil"/>
                  </w:tcBorders>
                  <w:noWrap w:val="0"/>
                  <w:vAlign w:val="center"/>
                </w:tcPr>
                <w:p w14:paraId="392A9DE0">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7.1 净化技术选择</w:t>
                  </w:r>
                </w:p>
                <w:p w14:paraId="229B088A">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7.1.1 实验室单元在保障安全的情况下可采用吸附法等技术对VOCs进行净化，根据技术发展鼓励采取更加高效的技术手段。</w:t>
                  </w:r>
                </w:p>
                <w:p w14:paraId="1781A5C7">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7.1.2 吸附法可采用活性炭、活性炭纤维、分子筛等作为吸附介质。</w:t>
                  </w:r>
                </w:p>
              </w:tc>
              <w:tc>
                <w:tcPr>
                  <w:tcW w:w="1411" w:type="pct"/>
                  <w:vMerge w:val="continue"/>
                  <w:tcBorders>
                    <w:tl2br w:val="nil"/>
                    <w:tr2bl w:val="nil"/>
                  </w:tcBorders>
                  <w:noWrap w:val="0"/>
                  <w:vAlign w:val="center"/>
                </w:tcPr>
                <w:p w14:paraId="7D78FB61">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cs="Times New Roman"/>
                      <w:color w:val="0000FF"/>
                      <w:sz w:val="21"/>
                      <w:szCs w:val="21"/>
                      <w:highlight w:val="none"/>
                      <w:lang w:val="en-US" w:eastAsia="zh-CN"/>
                    </w:rPr>
                  </w:pPr>
                </w:p>
              </w:tc>
              <w:tc>
                <w:tcPr>
                  <w:tcW w:w="463" w:type="pct"/>
                  <w:vMerge w:val="continue"/>
                  <w:tcBorders>
                    <w:tl2br w:val="nil"/>
                    <w:tr2bl w:val="nil"/>
                  </w:tcBorders>
                  <w:noWrap w:val="0"/>
                  <w:vAlign w:val="center"/>
                </w:tcPr>
                <w:p w14:paraId="2E6B6324">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bCs/>
                      <w:color w:val="auto"/>
                      <w:sz w:val="21"/>
                      <w:szCs w:val="21"/>
                      <w:highlight w:val="none"/>
                      <w:lang w:val="en-US" w:eastAsia="zh-CN"/>
                    </w:rPr>
                  </w:pPr>
                </w:p>
              </w:tc>
            </w:tr>
            <w:tr w14:paraId="4DE3FBC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vMerge w:val="restart"/>
                  <w:tcBorders>
                    <w:tl2br w:val="nil"/>
                    <w:tr2bl w:val="nil"/>
                  </w:tcBorders>
                  <w:noWrap w:val="0"/>
                  <w:vAlign w:val="center"/>
                </w:tcPr>
                <w:p w14:paraId="3EFFE84B">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eastAsia="宋体" w:cs="Times New Roman"/>
                      <w:color w:val="0000FF"/>
                      <w:kern w:val="2"/>
                      <w:sz w:val="21"/>
                      <w:szCs w:val="21"/>
                      <w:highlight w:val="none"/>
                      <w:lang w:val="en-US" w:eastAsia="zh-CN" w:bidi="ar-SA"/>
                    </w:rPr>
                  </w:pPr>
                  <w:r>
                    <w:rPr>
                      <w:rFonts w:hint="eastAsia" w:cs="Times New Roman"/>
                      <w:color w:val="auto"/>
                      <w:kern w:val="2"/>
                      <w:sz w:val="21"/>
                      <w:szCs w:val="21"/>
                      <w:highlight w:val="none"/>
                      <w:lang w:val="en-US" w:eastAsia="zh-CN" w:bidi="ar-SA"/>
                    </w:rPr>
                    <w:t>《西安市挥发性有机物污染整治专项实施方案》</w:t>
                  </w:r>
                </w:p>
              </w:tc>
              <w:tc>
                <w:tcPr>
                  <w:tcW w:w="2275" w:type="pct"/>
                  <w:tcBorders>
                    <w:tl2br w:val="nil"/>
                    <w:tr2bl w:val="nil"/>
                  </w:tcBorders>
                  <w:noWrap w:val="0"/>
                  <w:vAlign w:val="center"/>
                </w:tcPr>
                <w:p w14:paraId="4B7A2C97">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一）低效治理设施升级改造行动。组织开展企业VOCs治理设施排查，对涉及使用低温等离子、光氧化、光催化技术的废气治理设施，非水溶性VOCs废气采用单一喷淋吸收等治理技术，以及有机化工生产企业使用简易低效污染治理设施的，逐一进行排查，2023年6月底前基本完成VOCs治理低效设施升级改造；2024年6月底前，组织开展低温等离子、光氧化、光催化等挥发性有机物低效设施升级改造情况“回头看”，新建项目不得采用上述单一治理工艺或者组合工艺（恶臭异味治理除外）。各区（县）、开发区建立VOCs治理低效设施动态清理机制，由生态环境部门定期开展抽查，发现一例、整改一例。</w:t>
                  </w:r>
                </w:p>
              </w:tc>
              <w:tc>
                <w:tcPr>
                  <w:tcW w:w="1411" w:type="pct"/>
                  <w:vMerge w:val="restart"/>
                  <w:tcBorders>
                    <w:tl2br w:val="nil"/>
                    <w:tr2bl w:val="nil"/>
                  </w:tcBorders>
                  <w:noWrap w:val="0"/>
                  <w:vAlign w:val="center"/>
                </w:tcPr>
                <w:p w14:paraId="5D1885F5">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cs="Times New Roman"/>
                      <w:color w:val="0000FF"/>
                      <w:sz w:val="21"/>
                      <w:szCs w:val="21"/>
                      <w:highlight w:val="none"/>
                      <w:lang w:val="en-US" w:eastAsia="zh-CN"/>
                    </w:rPr>
                  </w:pPr>
                  <w:r>
                    <w:rPr>
                      <w:rFonts w:hint="eastAsia" w:ascii="Times New Roman" w:hAnsi="Times New Roman" w:eastAsia="宋体" w:cs="Times New Roman"/>
                      <w:color w:val="auto"/>
                      <w:kern w:val="2"/>
                      <w:sz w:val="21"/>
                      <w:szCs w:val="21"/>
                      <w:highlight w:val="none"/>
                      <w:vertAlign w:val="baseline"/>
                      <w:lang w:val="zh-CN" w:eastAsia="zh-CN" w:bidi="ar-SA"/>
                    </w:rPr>
                    <w:t>本项目实验室整体密闭，有机废气经移动式集气罩集气后由活性炭吸附+15m排气筒处理后达标排放</w:t>
                  </w:r>
                  <w:r>
                    <w:rPr>
                      <w:rStyle w:val="287"/>
                      <w:rFonts w:hint="eastAsia" w:cs="Times New Roman"/>
                      <w:color w:val="auto"/>
                      <w:sz w:val="21"/>
                      <w:szCs w:val="21"/>
                      <w:highlight w:val="none"/>
                      <w:lang w:val="en-US" w:eastAsia="zh-CN"/>
                    </w:rPr>
                    <w:t>，项目</w:t>
                  </w:r>
                  <w:r>
                    <w:rPr>
                      <w:rFonts w:hint="eastAsia" w:ascii="Times New Roman" w:hAnsi="Times New Roman" w:eastAsia="宋体" w:cs="Times New Roman"/>
                      <w:color w:val="auto"/>
                      <w:sz w:val="21"/>
                      <w:szCs w:val="21"/>
                      <w:highlight w:val="none"/>
                      <w:lang w:val="en-US" w:eastAsia="zh-CN"/>
                    </w:rPr>
                    <w:t>采用蜂窝活性炭作为吸附剂，其碘值为800mg/g</w:t>
                  </w:r>
                </w:p>
              </w:tc>
              <w:tc>
                <w:tcPr>
                  <w:tcW w:w="463" w:type="pct"/>
                  <w:tcBorders>
                    <w:tl2br w:val="nil"/>
                    <w:tr2bl w:val="nil"/>
                  </w:tcBorders>
                  <w:noWrap w:val="0"/>
                  <w:vAlign w:val="center"/>
                </w:tcPr>
                <w:p w14:paraId="383F8DEA">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default"/>
                      <w:lang w:val="en-US" w:eastAsia="zh-CN"/>
                    </w:rPr>
                  </w:pPr>
                  <w:r>
                    <w:rPr>
                      <w:rFonts w:hint="eastAsia"/>
                      <w:bCs/>
                      <w:color w:val="auto"/>
                      <w:sz w:val="21"/>
                      <w:szCs w:val="21"/>
                      <w:highlight w:val="none"/>
                      <w:lang w:val="en-US" w:eastAsia="zh-CN"/>
                    </w:rPr>
                    <w:t>符合</w:t>
                  </w:r>
                </w:p>
              </w:tc>
            </w:tr>
            <w:tr w14:paraId="1EDB5F06">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vMerge w:val="continue"/>
                  <w:tcBorders>
                    <w:tl2br w:val="nil"/>
                    <w:tr2bl w:val="nil"/>
                  </w:tcBorders>
                  <w:noWrap w:val="0"/>
                  <w:vAlign w:val="center"/>
                </w:tcPr>
                <w:p w14:paraId="5C1E23C1">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cs="Times New Roman"/>
                      <w:color w:val="0000FF"/>
                      <w:kern w:val="2"/>
                      <w:sz w:val="21"/>
                      <w:szCs w:val="21"/>
                      <w:highlight w:val="none"/>
                      <w:lang w:val="en-US" w:eastAsia="zh-CN" w:bidi="ar-SA"/>
                    </w:rPr>
                  </w:pPr>
                </w:p>
              </w:tc>
              <w:tc>
                <w:tcPr>
                  <w:tcW w:w="2275" w:type="pct"/>
                  <w:tcBorders>
                    <w:tl2br w:val="nil"/>
                    <w:tr2bl w:val="nil"/>
                  </w:tcBorders>
                  <w:noWrap w:val="0"/>
                  <w:vAlign w:val="center"/>
                </w:tcPr>
                <w:p w14:paraId="63148ECE">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四）强化涉活性炭VOCs处理工艺治理。采用活性炭吸附技术的，其中颗粒碳碘吸附值不低于800mg/g或四氯化碳吸附率不低于60%，蜂窝活性炭碘吸附值不低于600mg/g或四氯化碳吸附率不低于30%，按设计要求足量添加、定期更换，动态更新挥发性有机物治理设施台账。组织开展活性炭技术等VOCs治理设施排查，对达不到要求的，应当更换或升级改造，实现稳定达标排放。</w:t>
                  </w:r>
                </w:p>
              </w:tc>
              <w:tc>
                <w:tcPr>
                  <w:tcW w:w="1411" w:type="pct"/>
                  <w:vMerge w:val="continue"/>
                  <w:tcBorders>
                    <w:tl2br w:val="nil"/>
                    <w:tr2bl w:val="nil"/>
                  </w:tcBorders>
                  <w:noWrap w:val="0"/>
                  <w:vAlign w:val="center"/>
                </w:tcPr>
                <w:p w14:paraId="2FB4E607">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cs="Times New Roman"/>
                      <w:color w:val="0000FF"/>
                      <w:sz w:val="21"/>
                      <w:szCs w:val="21"/>
                      <w:highlight w:val="none"/>
                      <w:lang w:val="en-US" w:eastAsia="zh-CN"/>
                    </w:rPr>
                  </w:pPr>
                </w:p>
              </w:tc>
              <w:tc>
                <w:tcPr>
                  <w:tcW w:w="463" w:type="pct"/>
                  <w:tcBorders>
                    <w:tl2br w:val="nil"/>
                    <w:tr2bl w:val="nil"/>
                  </w:tcBorders>
                  <w:noWrap w:val="0"/>
                  <w:vAlign w:val="center"/>
                </w:tcPr>
                <w:p w14:paraId="3BF4E41A">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bCs/>
                      <w:color w:val="auto"/>
                      <w:sz w:val="21"/>
                      <w:szCs w:val="21"/>
                      <w:highlight w:val="none"/>
                      <w:lang w:val="en-US" w:eastAsia="zh-CN"/>
                    </w:rPr>
                  </w:pPr>
                </w:p>
              </w:tc>
            </w:tr>
            <w:tr w14:paraId="7DD5F10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tcBorders>
                    <w:tl2br w:val="nil"/>
                    <w:tr2bl w:val="nil"/>
                  </w:tcBorders>
                  <w:noWrap w:val="0"/>
                  <w:vAlign w:val="center"/>
                </w:tcPr>
                <w:p w14:paraId="17D3691B">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《西安市大气污染治理专项行动2024年工作方案》</w:t>
                  </w:r>
                </w:p>
              </w:tc>
              <w:tc>
                <w:tcPr>
                  <w:tcW w:w="2275" w:type="pct"/>
                  <w:tcBorders>
                    <w:tl2br w:val="nil"/>
                    <w:tr2bl w:val="nil"/>
                  </w:tcBorders>
                  <w:noWrap w:val="0"/>
                  <w:vAlign w:val="center"/>
                </w:tcPr>
                <w:p w14:paraId="3CEF783A">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强化涉活性炭VOCs处理工艺治理。深入开展简易低效挥发性有机物治理设施清理整治，组织开展涉活性炭挥发性有机物处理工艺专项整治行动，推广先进VOCs治理工艺，全面提升VOCs治理水平。</w:t>
                  </w:r>
                </w:p>
              </w:tc>
              <w:tc>
                <w:tcPr>
                  <w:tcW w:w="1411" w:type="pct"/>
                  <w:tcBorders>
                    <w:tl2br w:val="nil"/>
                    <w:tr2bl w:val="nil"/>
                  </w:tcBorders>
                  <w:noWrap w:val="0"/>
                  <w:vAlign w:val="center"/>
                </w:tcPr>
                <w:p w14:paraId="038487E3">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eastAsia="宋体" w:cs="Times New Roman"/>
                      <w:color w:val="auto"/>
                      <w:kern w:val="2"/>
                      <w:sz w:val="21"/>
                      <w:szCs w:val="21"/>
                      <w:highlight w:val="none"/>
                      <w:vertAlign w:val="baseline"/>
                      <w:lang w:val="zh-CN" w:eastAsia="zh-CN" w:bidi="ar-SA"/>
                    </w:rPr>
                    <w:t>本项目实验室整体密闭，有机废气经移动式集气罩集气后由活性炭吸附+15m排气筒处理后达标排放</w:t>
                  </w:r>
                  <w:r>
                    <w:rPr>
                      <w:rStyle w:val="287"/>
                      <w:rFonts w:hint="eastAsia" w:cs="Times New Roman"/>
                      <w:color w:val="auto"/>
                      <w:sz w:val="21"/>
                      <w:szCs w:val="21"/>
                      <w:highlight w:val="none"/>
                      <w:lang w:val="en-US" w:eastAsia="zh-CN"/>
                    </w:rPr>
                    <w:t>，项目</w:t>
                  </w:r>
                  <w:r>
                    <w:rPr>
                      <w:rFonts w:hint="eastAsia" w:ascii="Times New Roman" w:hAnsi="Times New Roman" w:eastAsia="宋体" w:cs="Times New Roman"/>
                      <w:color w:val="auto"/>
                      <w:sz w:val="21"/>
                      <w:szCs w:val="21"/>
                      <w:highlight w:val="none"/>
                      <w:lang w:val="en-US" w:eastAsia="zh-CN"/>
                    </w:rPr>
                    <w:t>采用蜂窝活性炭作为吸附剂，其碘值为800mg/g，不属于</w:t>
                  </w:r>
                  <w:r>
                    <w:rPr>
                      <w:rFonts w:hint="eastAsia" w:ascii="Times New Roman" w:hAnsi="Times New Roman" w:eastAsia="宋体" w:cs="Times New Roman"/>
                      <w:color w:val="auto"/>
                      <w:kern w:val="2"/>
                      <w:sz w:val="21"/>
                      <w:szCs w:val="21"/>
                      <w:highlight w:val="none"/>
                      <w:lang w:val="en-US" w:eastAsia="zh-CN" w:bidi="ar-SA"/>
                    </w:rPr>
                    <w:t>简易低效挥发性有机物治理设施</w:t>
                  </w:r>
                </w:p>
              </w:tc>
              <w:tc>
                <w:tcPr>
                  <w:tcW w:w="463" w:type="pct"/>
                  <w:tcBorders>
                    <w:tl2br w:val="nil"/>
                    <w:tr2bl w:val="nil"/>
                  </w:tcBorders>
                  <w:noWrap w:val="0"/>
                  <w:vAlign w:val="center"/>
                </w:tcPr>
                <w:p w14:paraId="707A31E0">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default"/>
                      <w:bCs/>
                      <w:color w:val="auto"/>
                      <w:sz w:val="21"/>
                      <w:szCs w:val="21"/>
                      <w:highlight w:val="none"/>
                      <w:lang w:val="en-US" w:eastAsia="zh-CN"/>
                    </w:rPr>
                  </w:pPr>
                  <w:r>
                    <w:rPr>
                      <w:rFonts w:hint="eastAsia"/>
                      <w:bCs/>
                      <w:color w:val="auto"/>
                      <w:sz w:val="21"/>
                      <w:szCs w:val="21"/>
                      <w:highlight w:val="none"/>
                      <w:lang w:val="en-US" w:eastAsia="zh-CN"/>
                    </w:rPr>
                    <w:t>符合</w:t>
                  </w:r>
                </w:p>
              </w:tc>
            </w:tr>
            <w:tr w14:paraId="4B399A3B">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vMerge w:val="restart"/>
                  <w:tcBorders>
                    <w:tl2br w:val="nil"/>
                    <w:tr2bl w:val="nil"/>
                  </w:tcBorders>
                  <w:noWrap w:val="0"/>
                  <w:vAlign w:val="center"/>
                </w:tcPr>
                <w:p w14:paraId="6E18E99A">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w:t>
                  </w:r>
                  <w:r>
                    <w:rPr>
                      <w:rFonts w:hint="default" w:ascii="Times New Roman" w:hAnsi="Times New Roman" w:eastAsia="宋体" w:cs="Times New Roman"/>
                      <w:color w:val="auto"/>
                      <w:kern w:val="2"/>
                      <w:sz w:val="21"/>
                      <w:szCs w:val="21"/>
                      <w:highlight w:val="none"/>
                      <w:lang w:val="en-US" w:eastAsia="zh-CN" w:bidi="ar-SA"/>
                    </w:rPr>
                    <w:t>西安市生态环境局关于加强挥发性有机物活性炭吸附处理设施运行管理工作的通知</w:t>
                  </w:r>
                  <w:r>
                    <w:rPr>
                      <w:rFonts w:hint="eastAsia" w:cs="Times New Roman"/>
                      <w:color w:val="auto"/>
                      <w:kern w:val="2"/>
                      <w:sz w:val="21"/>
                      <w:szCs w:val="21"/>
                      <w:highlight w:val="none"/>
                      <w:lang w:val="en-US" w:eastAsia="zh-CN" w:bidi="ar-SA"/>
                    </w:rPr>
                    <w:t>》市环发[2022]65号</w:t>
                  </w:r>
                </w:p>
                <w:p w14:paraId="735A40FC">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eastAsia="宋体" w:cs="Times New Roman"/>
                      <w:color w:val="auto"/>
                      <w:kern w:val="2"/>
                      <w:sz w:val="21"/>
                      <w:szCs w:val="21"/>
                      <w:highlight w:val="none"/>
                      <w:lang w:val="en-US" w:eastAsia="zh-CN" w:bidi="ar-SA"/>
                    </w:rPr>
                  </w:pPr>
                </w:p>
              </w:tc>
              <w:tc>
                <w:tcPr>
                  <w:tcW w:w="2275" w:type="pct"/>
                  <w:tcBorders>
                    <w:tl2br w:val="nil"/>
                    <w:tr2bl w:val="nil"/>
                  </w:tcBorders>
                  <w:noWrap w:val="0"/>
                  <w:vAlign w:val="center"/>
                </w:tcPr>
                <w:p w14:paraId="6E0C4B06">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（一）</w:t>
                  </w:r>
                  <w:r>
                    <w:rPr>
                      <w:rFonts w:hint="eastAsia" w:ascii="Times New Roman" w:hAnsi="Times New Roman" w:eastAsia="宋体" w:cs="Times New Roman"/>
                      <w:color w:val="auto"/>
                      <w:kern w:val="2"/>
                      <w:sz w:val="21"/>
                      <w:szCs w:val="21"/>
                      <w:highlight w:val="none"/>
                      <w:lang w:val="en-US" w:eastAsia="zh-CN" w:bidi="ar-SA"/>
                    </w:rPr>
                    <w:t>规范治理技术。涉气企业根据当前有关VOCs治理的法律法规、技术规范、政策文件等要求，选择合理的治理工艺。除恶臭异味治理外，淘汰单一使用低温等离子、光催化氧化、活性炭吸附棉、水喷淋等低效处理工艺或其组合工艺。原料</w:t>
                  </w:r>
                  <w:r>
                    <w:rPr>
                      <w:rFonts w:hint="eastAsia" w:cs="Times New Roman"/>
                      <w:color w:val="auto"/>
                      <w:kern w:val="2"/>
                      <w:sz w:val="21"/>
                      <w:szCs w:val="21"/>
                      <w:highlight w:val="none"/>
                      <w:lang w:val="en-US" w:eastAsia="zh-CN" w:bidi="ar-SA"/>
                    </w:rPr>
                    <w:t>VOCs</w:t>
                  </w:r>
                  <w:r>
                    <w:rPr>
                      <w:rFonts w:hint="eastAsia" w:ascii="Times New Roman" w:hAnsi="Times New Roman" w:eastAsia="宋体" w:cs="Times New Roman"/>
                      <w:color w:val="auto"/>
                      <w:kern w:val="2"/>
                      <w:sz w:val="21"/>
                      <w:szCs w:val="21"/>
                      <w:highlight w:val="none"/>
                      <w:lang w:val="en-US" w:eastAsia="zh-CN" w:bidi="ar-SA"/>
                    </w:rPr>
                    <w:t>浓度高、排放总量较大的生产工艺原则上采用RT</w:t>
                  </w:r>
                  <w:r>
                    <w:rPr>
                      <w:rFonts w:hint="eastAsia" w:cs="Times New Roman"/>
                      <w:color w:val="auto"/>
                      <w:kern w:val="2"/>
                      <w:sz w:val="21"/>
                      <w:szCs w:val="21"/>
                      <w:highlight w:val="none"/>
                      <w:lang w:val="en-US" w:eastAsia="zh-CN" w:bidi="ar-SA"/>
                    </w:rPr>
                    <w:t>O</w:t>
                  </w:r>
                  <w:r>
                    <w:rPr>
                      <w:rFonts w:hint="eastAsia" w:ascii="Times New Roman" w:hAnsi="Times New Roman" w:eastAsia="宋体" w:cs="Times New Roman"/>
                      <w:color w:val="auto"/>
                      <w:kern w:val="2"/>
                      <w:sz w:val="21"/>
                      <w:szCs w:val="21"/>
                      <w:highlight w:val="none"/>
                      <w:lang w:val="en-US" w:eastAsia="zh-CN" w:bidi="ar-SA"/>
                    </w:rPr>
                    <w:t>、RCO等高效处理技术。</w:t>
                  </w:r>
                </w:p>
              </w:tc>
              <w:tc>
                <w:tcPr>
                  <w:tcW w:w="1411" w:type="pct"/>
                  <w:tcBorders>
                    <w:tl2br w:val="nil"/>
                    <w:tr2bl w:val="nil"/>
                  </w:tcBorders>
                  <w:noWrap w:val="0"/>
                  <w:vAlign w:val="center"/>
                </w:tcPr>
                <w:p w14:paraId="2F59CC98">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cs="Times New Roman"/>
                      <w:color w:val="auto"/>
                      <w:sz w:val="21"/>
                      <w:szCs w:val="21"/>
                      <w:highlight w:val="none"/>
                      <w:lang w:val="en-US" w:eastAsia="zh-CN"/>
                    </w:rPr>
                  </w:pPr>
                  <w:r>
                    <w:rPr>
                      <w:rFonts w:hint="eastAsia" w:ascii="Times New Roman" w:hAnsi="Times New Roman" w:eastAsia="宋体" w:cs="Times New Roman"/>
                      <w:color w:val="auto"/>
                      <w:kern w:val="2"/>
                      <w:sz w:val="21"/>
                      <w:szCs w:val="21"/>
                      <w:highlight w:val="none"/>
                      <w:vertAlign w:val="baseline"/>
                      <w:lang w:val="zh-CN" w:eastAsia="zh-CN" w:bidi="ar-SA"/>
                    </w:rPr>
                    <w:t>本项目实验室整体密闭，有机废气经移动式集气罩集气后由活性炭吸附+15m排气筒处理后达标排放</w:t>
                  </w:r>
                  <w:r>
                    <w:rPr>
                      <w:rStyle w:val="287"/>
                      <w:rFonts w:hint="eastAsia" w:cs="Times New Roman"/>
                      <w:color w:val="auto"/>
                      <w:sz w:val="21"/>
                      <w:szCs w:val="21"/>
                      <w:highlight w:val="none"/>
                      <w:lang w:val="en-US" w:eastAsia="zh-CN"/>
                    </w:rPr>
                    <w:t>，项目</w:t>
                  </w:r>
                  <w:r>
                    <w:rPr>
                      <w:rFonts w:hint="eastAsia" w:ascii="Times New Roman" w:hAnsi="Times New Roman" w:eastAsia="宋体" w:cs="Times New Roman"/>
                      <w:color w:val="auto"/>
                      <w:sz w:val="21"/>
                      <w:szCs w:val="21"/>
                      <w:highlight w:val="none"/>
                      <w:lang w:val="en-US" w:eastAsia="zh-CN"/>
                    </w:rPr>
                    <w:t>采用蜂窝活性炭作为吸附剂，其碘值为800mg/g</w:t>
                  </w:r>
                </w:p>
              </w:tc>
              <w:tc>
                <w:tcPr>
                  <w:tcW w:w="463" w:type="pct"/>
                  <w:tcBorders>
                    <w:tl2br w:val="nil"/>
                    <w:tr2bl w:val="nil"/>
                  </w:tcBorders>
                  <w:noWrap w:val="0"/>
                  <w:vAlign w:val="center"/>
                </w:tcPr>
                <w:p w14:paraId="602C9454">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default"/>
                      <w:bCs/>
                      <w:color w:val="auto"/>
                      <w:sz w:val="21"/>
                      <w:szCs w:val="21"/>
                      <w:highlight w:val="none"/>
                      <w:lang w:val="en-US" w:eastAsia="zh-CN"/>
                    </w:rPr>
                  </w:pPr>
                  <w:r>
                    <w:rPr>
                      <w:rFonts w:hint="eastAsia"/>
                      <w:bCs/>
                      <w:color w:val="auto"/>
                      <w:sz w:val="21"/>
                      <w:szCs w:val="21"/>
                      <w:highlight w:val="none"/>
                      <w:lang w:val="en-US" w:eastAsia="zh-CN"/>
                    </w:rPr>
                    <w:t>符合</w:t>
                  </w:r>
                </w:p>
              </w:tc>
            </w:tr>
            <w:tr w14:paraId="6701B986">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vMerge w:val="continue"/>
                  <w:tcBorders>
                    <w:tl2br w:val="nil"/>
                    <w:tr2bl w:val="nil"/>
                  </w:tcBorders>
                  <w:noWrap w:val="0"/>
                  <w:vAlign w:val="center"/>
                </w:tcPr>
                <w:p w14:paraId="63A0A64A">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cs="Times New Roman"/>
                      <w:color w:val="auto"/>
                      <w:kern w:val="2"/>
                      <w:sz w:val="21"/>
                      <w:szCs w:val="21"/>
                      <w:highlight w:val="none"/>
                      <w:lang w:val="en-US" w:eastAsia="zh-CN" w:bidi="ar-SA"/>
                    </w:rPr>
                  </w:pPr>
                </w:p>
              </w:tc>
              <w:tc>
                <w:tcPr>
                  <w:tcW w:w="2275" w:type="pct"/>
                  <w:tcBorders>
                    <w:tl2br w:val="nil"/>
                    <w:tr2bl w:val="nil"/>
                  </w:tcBorders>
                  <w:noWrap w:val="0"/>
                  <w:vAlign w:val="center"/>
                </w:tcPr>
                <w:p w14:paraId="4C97480E">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五)严格控制无组织排放。涂料、稀释剂、固化剂、清洗剂、胶粘剂等VOCs物料应密闭储存。盛装VOCs物料的容器或包装袋应密闭储存于室内，或存放于设置有雨棚、遮阳和防渗设施的专用场地，非取用状态时应加盖、封口，保持封闭。含VOCs废料(渣、液)以及V0Cs物料废包装物等属于危险废物的应密封储存于危废储存间。VOCs物料的调配过程应采用密闭设备或在密闭空间内操作，并设置专门的密闭调配间，调配废气应排至VOCs废气收集处理系统；无法密闭的，应采取局部气体收集措施，废气应排至VOCs废气收集处理系统。</w:t>
                  </w:r>
                </w:p>
              </w:tc>
              <w:tc>
                <w:tcPr>
                  <w:tcW w:w="1411" w:type="pct"/>
                  <w:tcBorders>
                    <w:tl2br w:val="nil"/>
                    <w:tr2bl w:val="nil"/>
                  </w:tcBorders>
                  <w:noWrap w:val="0"/>
                  <w:vAlign w:val="center"/>
                </w:tcPr>
                <w:p w14:paraId="62EE638F">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项目涉及VOCs的试剂采用试剂瓶密闭储存，并放置于试剂柜中</w:t>
                  </w:r>
                </w:p>
              </w:tc>
              <w:tc>
                <w:tcPr>
                  <w:tcW w:w="463" w:type="pct"/>
                  <w:tcBorders>
                    <w:tl2br w:val="nil"/>
                    <w:tr2bl w:val="nil"/>
                  </w:tcBorders>
                  <w:noWrap w:val="0"/>
                  <w:vAlign w:val="center"/>
                </w:tcPr>
                <w:p w14:paraId="4AEFB329">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default"/>
                      <w:bCs/>
                      <w:color w:val="auto"/>
                      <w:sz w:val="21"/>
                      <w:szCs w:val="21"/>
                      <w:highlight w:val="none"/>
                      <w:lang w:val="en-US" w:eastAsia="zh-CN"/>
                    </w:rPr>
                  </w:pPr>
                  <w:r>
                    <w:rPr>
                      <w:rFonts w:hint="eastAsia"/>
                      <w:bCs/>
                      <w:color w:val="auto"/>
                      <w:sz w:val="21"/>
                      <w:szCs w:val="21"/>
                      <w:highlight w:val="none"/>
                      <w:lang w:val="en-US" w:eastAsia="zh-CN"/>
                    </w:rPr>
                    <w:t>符合</w:t>
                  </w:r>
                </w:p>
              </w:tc>
            </w:tr>
            <w:tr w14:paraId="66F3A8D9">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vMerge w:val="continue"/>
                  <w:tcBorders>
                    <w:tl2br w:val="nil"/>
                    <w:tr2bl w:val="nil"/>
                  </w:tcBorders>
                  <w:noWrap w:val="0"/>
                  <w:vAlign w:val="center"/>
                </w:tcPr>
                <w:p w14:paraId="1562D2C9">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cs="Times New Roman"/>
                      <w:color w:val="auto"/>
                      <w:kern w:val="2"/>
                      <w:sz w:val="21"/>
                      <w:szCs w:val="21"/>
                      <w:highlight w:val="none"/>
                      <w:lang w:val="en-US" w:eastAsia="zh-CN" w:bidi="ar-SA"/>
                    </w:rPr>
                  </w:pPr>
                </w:p>
              </w:tc>
              <w:tc>
                <w:tcPr>
                  <w:tcW w:w="2275" w:type="pct"/>
                  <w:tcBorders>
                    <w:tl2br w:val="nil"/>
                    <w:tr2bl w:val="nil"/>
                  </w:tcBorders>
                  <w:noWrap w:val="0"/>
                  <w:vAlign w:val="center"/>
                </w:tcPr>
                <w:p w14:paraId="26F21DF3">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(六)严格危废管理。产生废活性炭的企业，必须与有许可证的危废经营单位签订危废处置协议。</w:t>
                  </w:r>
                </w:p>
              </w:tc>
              <w:tc>
                <w:tcPr>
                  <w:tcW w:w="1411" w:type="pct"/>
                  <w:tcBorders>
                    <w:tl2br w:val="nil"/>
                    <w:tr2bl w:val="nil"/>
                  </w:tcBorders>
                  <w:noWrap w:val="0"/>
                  <w:vAlign w:val="center"/>
                </w:tcPr>
                <w:p w14:paraId="7D836A2B">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项目产生的</w:t>
                  </w:r>
                  <w:r>
                    <w:rPr>
                      <w:rFonts w:hint="eastAsia" w:ascii="Times New Roman" w:hAnsi="Times New Roman" w:eastAsia="宋体" w:cs="Times New Roman"/>
                      <w:color w:val="auto"/>
                      <w:sz w:val="21"/>
                      <w:szCs w:val="21"/>
                      <w:highlight w:val="none"/>
                      <w:lang w:val="en-US" w:eastAsia="zh-CN"/>
                    </w:rPr>
                    <w:t>废活性炭定期更换并交由危废单位处置</w:t>
                  </w:r>
                </w:p>
              </w:tc>
              <w:tc>
                <w:tcPr>
                  <w:tcW w:w="463" w:type="pct"/>
                  <w:tcBorders>
                    <w:tl2br w:val="nil"/>
                    <w:tr2bl w:val="nil"/>
                  </w:tcBorders>
                  <w:noWrap w:val="0"/>
                  <w:vAlign w:val="center"/>
                </w:tcPr>
                <w:p w14:paraId="07B35F4E">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default"/>
                      <w:bCs/>
                      <w:color w:val="auto"/>
                      <w:sz w:val="21"/>
                      <w:szCs w:val="21"/>
                      <w:highlight w:val="none"/>
                      <w:lang w:val="en-US" w:eastAsia="zh-CN"/>
                    </w:rPr>
                  </w:pPr>
                  <w:r>
                    <w:rPr>
                      <w:rFonts w:hint="eastAsia"/>
                      <w:bCs/>
                      <w:color w:val="auto"/>
                      <w:sz w:val="21"/>
                      <w:szCs w:val="21"/>
                      <w:highlight w:val="none"/>
                      <w:lang w:val="en-US" w:eastAsia="zh-CN"/>
                    </w:rPr>
                    <w:t>符合</w:t>
                  </w:r>
                </w:p>
              </w:tc>
            </w:tr>
            <w:tr w14:paraId="0C8C40B8">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vMerge w:val="continue"/>
                  <w:tcBorders>
                    <w:tl2br w:val="nil"/>
                    <w:tr2bl w:val="nil"/>
                  </w:tcBorders>
                  <w:noWrap w:val="0"/>
                  <w:vAlign w:val="center"/>
                </w:tcPr>
                <w:p w14:paraId="392E3442">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cs="Times New Roman"/>
                      <w:color w:val="auto"/>
                      <w:kern w:val="2"/>
                      <w:sz w:val="21"/>
                      <w:szCs w:val="21"/>
                      <w:highlight w:val="none"/>
                      <w:lang w:val="en-US" w:eastAsia="zh-CN" w:bidi="ar-SA"/>
                    </w:rPr>
                  </w:pPr>
                </w:p>
              </w:tc>
              <w:tc>
                <w:tcPr>
                  <w:tcW w:w="2275" w:type="pct"/>
                  <w:tcBorders>
                    <w:tl2br w:val="nil"/>
                    <w:tr2bl w:val="nil"/>
                  </w:tcBorders>
                  <w:noWrap w:val="0"/>
                  <w:vAlign w:val="center"/>
                </w:tcPr>
                <w:p w14:paraId="3FBB2EE3">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污处设施运行维护管理规程：企业自行制定《污处设施运行维护管理规程》，规程内容要详实，具有针对性和操作性，应明确过滤棉、活性炭等易损耗材料的更换周期，更换周期应结合理论计算和实际运行得出，原则上</w:t>
                  </w:r>
                  <w:r>
                    <w:rPr>
                      <w:rFonts w:hint="eastAsia" w:cs="Times New Roman"/>
                      <w:color w:val="auto"/>
                      <w:kern w:val="2"/>
                      <w:sz w:val="21"/>
                      <w:szCs w:val="21"/>
                      <w:highlight w:val="none"/>
                      <w:lang w:val="en-US" w:eastAsia="zh-CN" w:bidi="ar-SA"/>
                    </w:rPr>
                    <w:fldChar w:fldCharType="begin"/>
                  </w:r>
                  <w:r>
                    <w:rPr>
                      <w:rFonts w:hint="eastAsia" w:cs="Times New Roman"/>
                      <w:color w:val="auto"/>
                      <w:kern w:val="2"/>
                      <w:sz w:val="21"/>
                      <w:szCs w:val="21"/>
                      <w:highlight w:val="none"/>
                      <w:lang w:val="en-US" w:eastAsia="zh-CN" w:bidi="ar-SA"/>
                    </w:rPr>
                    <w:instrText xml:space="preserve"> HYPERLINK "https://easycarbon.cn/" </w:instrText>
                  </w:r>
                  <w:r>
                    <w:rPr>
                      <w:rFonts w:hint="eastAsia" w:cs="Times New Roman"/>
                      <w:color w:val="auto"/>
                      <w:kern w:val="2"/>
                      <w:sz w:val="21"/>
                      <w:szCs w:val="21"/>
                      <w:highlight w:val="none"/>
                      <w:lang w:val="en-US" w:eastAsia="zh-CN" w:bidi="ar-SA"/>
                    </w:rPr>
                    <w:fldChar w:fldCharType="separate"/>
                  </w:r>
                  <w:r>
                    <w:rPr>
                      <w:rFonts w:hint="eastAsia" w:cs="Times New Roman"/>
                      <w:color w:val="auto"/>
                      <w:kern w:val="2"/>
                      <w:sz w:val="21"/>
                      <w:szCs w:val="21"/>
                      <w:highlight w:val="none"/>
                      <w:lang w:val="en-US" w:eastAsia="zh-CN" w:bidi="ar-SA"/>
                    </w:rPr>
                    <w:t>活性炭</w:t>
                  </w:r>
                  <w:r>
                    <w:rPr>
                      <w:rFonts w:hint="eastAsia" w:cs="Times New Roman"/>
                      <w:color w:val="auto"/>
                      <w:kern w:val="2"/>
                      <w:sz w:val="21"/>
                      <w:szCs w:val="21"/>
                      <w:highlight w:val="none"/>
                      <w:lang w:val="en-US" w:eastAsia="zh-CN" w:bidi="ar-SA"/>
                    </w:rPr>
                    <w:fldChar w:fldCharType="end"/>
                  </w:r>
                  <w:r>
                    <w:rPr>
                      <w:rFonts w:hint="eastAsia" w:cs="Times New Roman"/>
                      <w:color w:val="auto"/>
                      <w:kern w:val="2"/>
                      <w:sz w:val="21"/>
                      <w:szCs w:val="21"/>
                      <w:highlight w:val="none"/>
                      <w:lang w:val="en-US" w:eastAsia="zh-CN" w:bidi="ar-SA"/>
                    </w:rPr>
                    <w:t>更换周期一般不应超过累计运行500小时或3个月（从严执行）</w:t>
                  </w:r>
                </w:p>
              </w:tc>
              <w:tc>
                <w:tcPr>
                  <w:tcW w:w="1411" w:type="pct"/>
                  <w:tcBorders>
                    <w:tl2br w:val="nil"/>
                    <w:tr2bl w:val="nil"/>
                  </w:tcBorders>
                  <w:noWrap w:val="0"/>
                  <w:vAlign w:val="center"/>
                </w:tcPr>
                <w:p w14:paraId="587C72A4">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本项目活性炭更换周期为3个月</w:t>
                  </w:r>
                </w:p>
              </w:tc>
              <w:tc>
                <w:tcPr>
                  <w:tcW w:w="463" w:type="pct"/>
                  <w:tcBorders>
                    <w:tl2br w:val="nil"/>
                    <w:tr2bl w:val="nil"/>
                  </w:tcBorders>
                  <w:noWrap w:val="0"/>
                  <w:vAlign w:val="center"/>
                </w:tcPr>
                <w:p w14:paraId="4C9E60D3">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default"/>
                      <w:bCs/>
                      <w:color w:val="auto"/>
                      <w:sz w:val="21"/>
                      <w:szCs w:val="21"/>
                      <w:highlight w:val="none"/>
                      <w:lang w:val="en-US" w:eastAsia="zh-CN"/>
                    </w:rPr>
                  </w:pPr>
                  <w:r>
                    <w:rPr>
                      <w:rFonts w:hint="eastAsia"/>
                      <w:bCs/>
                      <w:color w:val="auto"/>
                      <w:sz w:val="21"/>
                      <w:szCs w:val="21"/>
                      <w:highlight w:val="none"/>
                      <w:lang w:val="en-US" w:eastAsia="zh-CN"/>
                    </w:rPr>
                    <w:t>符合</w:t>
                  </w:r>
                </w:p>
              </w:tc>
            </w:tr>
            <w:tr w14:paraId="5F626DDE">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pct"/>
                  <w:vMerge w:val="continue"/>
                  <w:tcBorders>
                    <w:tl2br w:val="nil"/>
                    <w:tr2bl w:val="nil"/>
                  </w:tcBorders>
                  <w:noWrap w:val="0"/>
                  <w:vAlign w:val="center"/>
                </w:tcPr>
                <w:p w14:paraId="5325E68A">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cs="Times New Roman"/>
                      <w:color w:val="auto"/>
                      <w:kern w:val="2"/>
                      <w:sz w:val="21"/>
                      <w:szCs w:val="21"/>
                      <w:highlight w:val="none"/>
                      <w:lang w:val="en-US" w:eastAsia="zh-CN" w:bidi="ar-SA"/>
                    </w:rPr>
                  </w:pPr>
                </w:p>
              </w:tc>
              <w:tc>
                <w:tcPr>
                  <w:tcW w:w="2275" w:type="pct"/>
                  <w:tcBorders>
                    <w:tl2br w:val="nil"/>
                    <w:tr2bl w:val="nil"/>
                  </w:tcBorders>
                  <w:noWrap w:val="0"/>
                  <w:vAlign w:val="center"/>
                </w:tcPr>
                <w:p w14:paraId="2493D793">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活性炭装填量：根据风量和初始浓度确定，不同风量及初始浓度的活性炭装填量详见表2，其中最小填充量不应少于0.5吨</w:t>
                  </w:r>
                </w:p>
              </w:tc>
              <w:tc>
                <w:tcPr>
                  <w:tcW w:w="1411" w:type="pct"/>
                  <w:tcBorders>
                    <w:tl2br w:val="nil"/>
                    <w:tr2bl w:val="nil"/>
                  </w:tcBorders>
                  <w:noWrap w:val="0"/>
                  <w:vAlign w:val="center"/>
                </w:tcPr>
                <w:p w14:paraId="0E7185B7">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本项目设置500kg的活性炭吸附箱</w:t>
                  </w:r>
                </w:p>
              </w:tc>
              <w:tc>
                <w:tcPr>
                  <w:tcW w:w="463" w:type="pct"/>
                  <w:tcBorders>
                    <w:tl2br w:val="nil"/>
                    <w:tr2bl w:val="nil"/>
                  </w:tcBorders>
                  <w:noWrap w:val="0"/>
                  <w:vAlign w:val="center"/>
                </w:tcPr>
                <w:p w14:paraId="2A1632F5">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default"/>
                      <w:bCs/>
                      <w:color w:val="auto"/>
                      <w:sz w:val="21"/>
                      <w:szCs w:val="21"/>
                      <w:highlight w:val="none"/>
                      <w:lang w:val="en-US" w:eastAsia="zh-CN"/>
                    </w:rPr>
                  </w:pPr>
                  <w:r>
                    <w:rPr>
                      <w:rFonts w:hint="eastAsia"/>
                      <w:bCs/>
                      <w:color w:val="auto"/>
                      <w:sz w:val="21"/>
                      <w:szCs w:val="21"/>
                      <w:highlight w:val="none"/>
                      <w:lang w:val="en-US" w:eastAsia="zh-CN"/>
                    </w:rPr>
                    <w:t>符合</w:t>
                  </w:r>
                </w:p>
              </w:tc>
            </w:tr>
          </w:tbl>
          <w:p w14:paraId="5B7591B1">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3、“三线一单”相符性分析</w:t>
            </w:r>
          </w:p>
          <w:p w14:paraId="7C1CC90E">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GB" w:eastAsia="zh-CN"/>
              </w:rPr>
              <w:t>与《陕西省人民政府关于加快实施“三线一单”生态环境分区管控的意见》（陕发【2020】11号）符合性分析</w:t>
            </w:r>
            <w:r>
              <w:rPr>
                <w:rFonts w:hint="eastAsia" w:ascii="Times New Roman" w:hAnsi="Times New Roman" w:eastAsia="宋体" w:cs="Times New Roman"/>
                <w:color w:val="auto"/>
                <w:sz w:val="21"/>
                <w:szCs w:val="21"/>
                <w:highlight w:val="none"/>
                <w:lang w:val="en-US" w:eastAsia="zh-CN"/>
              </w:rPr>
              <w:t>。</w:t>
            </w:r>
          </w:p>
          <w:p w14:paraId="5D03A425">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center"/>
              <w:textAlignment w:val="auto"/>
              <w:outlineLvl w:val="9"/>
              <w:rPr>
                <w:rFonts w:hint="eastAsia" w:ascii="Times New Roman" w:hAnsi="Times New Roman" w:eastAsia="宋体" w:cs="Times New Roman"/>
                <w:color w:val="auto"/>
                <w:sz w:val="21"/>
                <w:szCs w:val="21"/>
                <w:highlight w:val="none"/>
                <w:lang w:val="en-GB" w:eastAsia="zh-CN"/>
              </w:rPr>
            </w:pPr>
            <w:r>
              <w:rPr>
                <w:rFonts w:hint="eastAsia" w:ascii="Times New Roman" w:hAnsi="Times New Roman" w:eastAsia="宋体" w:cs="Times New Roman"/>
                <w:color w:val="auto"/>
                <w:sz w:val="21"/>
                <w:szCs w:val="21"/>
                <w:highlight w:val="none"/>
                <w:lang w:val="en-GB" w:eastAsia="zh-CN"/>
              </w:rPr>
              <w:t>表</w:t>
            </w:r>
            <w:r>
              <w:rPr>
                <w:rFonts w:hint="eastAsia" w:cs="Times New Roman"/>
                <w:color w:val="auto"/>
                <w:sz w:val="21"/>
                <w:szCs w:val="21"/>
                <w:highlight w:val="none"/>
                <w:lang w:val="en-US" w:eastAsia="zh-CN"/>
              </w:rPr>
              <w:t>2</w:t>
            </w:r>
            <w:r>
              <w:rPr>
                <w:rFonts w:hint="eastAsia" w:ascii="Times New Roman" w:hAnsi="Times New Roman" w:cs="Times New Roman"/>
                <w:color w:val="auto"/>
                <w:sz w:val="21"/>
                <w:szCs w:val="21"/>
                <w:highlight w:val="none"/>
                <w:lang w:val="en-US" w:eastAsia="zh-CN"/>
              </w:rPr>
              <w:t xml:space="preserve"> </w:t>
            </w:r>
            <w:r>
              <w:rPr>
                <w:rFonts w:hint="eastAsia" w:ascii="Times New Roman" w:hAnsi="Times New Roman" w:eastAsia="宋体" w:cs="Times New Roman"/>
                <w:color w:val="auto"/>
                <w:sz w:val="21"/>
                <w:szCs w:val="21"/>
                <w:highlight w:val="none"/>
                <w:lang w:val="en-US" w:eastAsia="zh-CN"/>
              </w:rPr>
              <w:t xml:space="preserve"> </w:t>
            </w:r>
            <w:r>
              <w:rPr>
                <w:rFonts w:hint="eastAsia" w:ascii="Times New Roman" w:hAnsi="Times New Roman" w:eastAsia="宋体" w:cs="Times New Roman"/>
                <w:color w:val="auto"/>
                <w:sz w:val="21"/>
                <w:szCs w:val="21"/>
                <w:highlight w:val="none"/>
                <w:lang w:val="en-GB" w:eastAsia="zh-CN"/>
              </w:rPr>
              <w:t>项目与陕发【2020】11 号符合性分析</w:t>
            </w:r>
          </w:p>
          <w:tbl>
            <w:tblPr>
              <w:tblStyle w:val="46"/>
              <w:tblW w:w="711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3411"/>
              <w:gridCol w:w="1889"/>
              <w:gridCol w:w="578"/>
            </w:tblGrid>
            <w:tr w14:paraId="063CD014">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9" w:type="dxa"/>
                  <w:tcBorders>
                    <w:tl2br w:val="nil"/>
                    <w:tr2bl w:val="nil"/>
                  </w:tcBorders>
                  <w:vAlign w:val="center"/>
                </w:tcPr>
                <w:p w14:paraId="0F4225A3">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zh-CN" w:eastAsia="zh-CN" w:bidi="ar-SA"/>
                    </w:rPr>
                  </w:pPr>
                  <w:r>
                    <w:rPr>
                      <w:rFonts w:hint="eastAsia" w:ascii="Times New Roman" w:hAnsi="Times New Roman" w:eastAsia="宋体" w:cs="Times New Roman"/>
                      <w:color w:val="auto"/>
                      <w:kern w:val="2"/>
                      <w:sz w:val="21"/>
                      <w:szCs w:val="21"/>
                      <w:highlight w:val="none"/>
                      <w:lang w:val="zh-CN" w:eastAsia="zh-CN" w:bidi="ar-SA"/>
                    </w:rPr>
                    <w:t>名称</w:t>
                  </w:r>
                </w:p>
              </w:tc>
              <w:tc>
                <w:tcPr>
                  <w:tcW w:w="3411" w:type="dxa"/>
                  <w:tcBorders>
                    <w:tl2br w:val="nil"/>
                    <w:tr2bl w:val="nil"/>
                  </w:tcBorders>
                  <w:vAlign w:val="center"/>
                </w:tcPr>
                <w:p w14:paraId="573D3BEC">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相关要求</w:t>
                  </w:r>
                </w:p>
              </w:tc>
              <w:tc>
                <w:tcPr>
                  <w:tcW w:w="1889" w:type="dxa"/>
                  <w:tcBorders>
                    <w:tl2br w:val="nil"/>
                    <w:tr2bl w:val="nil"/>
                  </w:tcBorders>
                  <w:vAlign w:val="center"/>
                </w:tcPr>
                <w:p w14:paraId="25D9DDDF">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本项目情况</w:t>
                  </w:r>
                </w:p>
              </w:tc>
              <w:tc>
                <w:tcPr>
                  <w:tcW w:w="578" w:type="dxa"/>
                  <w:tcBorders>
                    <w:tl2br w:val="nil"/>
                    <w:tr2bl w:val="nil"/>
                  </w:tcBorders>
                  <w:vAlign w:val="center"/>
                </w:tcPr>
                <w:p w14:paraId="24142B90">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zh-CN" w:eastAsia="zh-CN" w:bidi="ar-SA"/>
                    </w:rPr>
                  </w:pPr>
                  <w:r>
                    <w:rPr>
                      <w:rFonts w:hint="eastAsia" w:ascii="Times New Roman" w:hAnsi="Times New Roman" w:eastAsia="宋体" w:cs="Times New Roman"/>
                      <w:color w:val="auto"/>
                      <w:kern w:val="2"/>
                      <w:sz w:val="21"/>
                      <w:szCs w:val="21"/>
                      <w:highlight w:val="none"/>
                      <w:lang w:val="en-US" w:eastAsia="zh-CN" w:bidi="ar-SA"/>
                    </w:rPr>
                    <w:t>符合性</w:t>
                  </w:r>
                </w:p>
              </w:tc>
            </w:tr>
            <w:tr w14:paraId="4230C420">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9" w:type="dxa"/>
                  <w:vMerge w:val="restart"/>
                  <w:tcBorders>
                    <w:tl2br w:val="nil"/>
                    <w:tr2bl w:val="nil"/>
                  </w:tcBorders>
                  <w:vAlign w:val="center"/>
                </w:tcPr>
                <w:p w14:paraId="50DAEEC4">
                  <w:pPr>
                    <w:pStyle w:val="327"/>
                    <w:spacing w:before="176" w:line="242" w:lineRule="auto"/>
                    <w:ind w:left="145" w:right="124"/>
                    <w:jc w:val="center"/>
                    <w:rPr>
                      <w:rFonts w:hint="eastAsia" w:ascii="宋体" w:hAnsi="宋体" w:eastAsia="宋体" w:cs="宋体"/>
                      <w:b/>
                      <w:bCs/>
                      <w:color w:val="auto"/>
                      <w:kern w:val="0"/>
                      <w:szCs w:val="21"/>
                      <w:highlight w:val="none"/>
                      <w:vertAlign w:val="baseline"/>
                    </w:rPr>
                  </w:pPr>
                  <w:r>
                    <w:rPr>
                      <w:color w:val="auto"/>
                      <w:sz w:val="21"/>
                      <w:highlight w:val="none"/>
                    </w:rPr>
                    <w:t>《陕西省人民政府关于加快实施</w:t>
                  </w:r>
                  <w:r>
                    <w:rPr>
                      <w:rFonts w:ascii="Times New Roman" w:hAnsi="Times New Roman" w:eastAsia="Times New Roman"/>
                      <w:color w:val="auto"/>
                      <w:sz w:val="21"/>
                      <w:highlight w:val="none"/>
                    </w:rPr>
                    <w:t>“</w:t>
                  </w:r>
                  <w:r>
                    <w:rPr>
                      <w:color w:val="auto"/>
                      <w:sz w:val="21"/>
                      <w:highlight w:val="none"/>
                    </w:rPr>
                    <w:t>三线一单</w:t>
                  </w:r>
                  <w:r>
                    <w:rPr>
                      <w:rFonts w:ascii="Times New Roman" w:hAnsi="Times New Roman" w:eastAsia="Times New Roman"/>
                      <w:color w:val="auto"/>
                      <w:sz w:val="21"/>
                      <w:highlight w:val="none"/>
                    </w:rPr>
                    <w:t>”</w:t>
                  </w:r>
                  <w:r>
                    <w:rPr>
                      <w:color w:val="auto"/>
                      <w:spacing w:val="-6"/>
                      <w:sz w:val="21"/>
                      <w:highlight w:val="none"/>
                    </w:rPr>
                    <w:t>生态环境分区管控的</w:t>
                  </w:r>
                  <w:r>
                    <w:rPr>
                      <w:color w:val="auto"/>
                      <w:spacing w:val="-6"/>
                      <w:w w:val="95"/>
                      <w:sz w:val="21"/>
                      <w:highlight w:val="none"/>
                    </w:rPr>
                    <w:t>意见》</w:t>
                  </w:r>
                  <w:r>
                    <w:rPr>
                      <w:color w:val="auto"/>
                      <w:w w:val="95"/>
                      <w:sz w:val="21"/>
                      <w:highlight w:val="none"/>
                    </w:rPr>
                    <w:t>（陕发【</w:t>
                  </w:r>
                  <w:r>
                    <w:rPr>
                      <w:rFonts w:ascii="Times New Roman" w:eastAsia="Times New Roman"/>
                      <w:color w:val="auto"/>
                      <w:w w:val="95"/>
                      <w:sz w:val="21"/>
                      <w:highlight w:val="none"/>
                    </w:rPr>
                    <w:t>2020</w:t>
                  </w:r>
                  <w:r>
                    <w:rPr>
                      <w:color w:val="auto"/>
                      <w:spacing w:val="-82"/>
                      <w:sz w:val="21"/>
                      <w:highlight w:val="none"/>
                    </w:rPr>
                    <w:t>】</w:t>
                  </w:r>
                  <w:r>
                    <w:rPr>
                      <w:rFonts w:ascii="Times New Roman" w:eastAsia="Times New Roman"/>
                      <w:color w:val="auto"/>
                      <w:sz w:val="21"/>
                      <w:highlight w:val="none"/>
                    </w:rPr>
                    <w:t>11</w:t>
                  </w:r>
                  <w:r>
                    <w:rPr>
                      <w:color w:val="auto"/>
                      <w:sz w:val="21"/>
                      <w:highlight w:val="none"/>
                    </w:rPr>
                    <w:t>号</w:t>
                  </w:r>
                </w:p>
              </w:tc>
              <w:tc>
                <w:tcPr>
                  <w:tcW w:w="3411" w:type="dxa"/>
                  <w:tcBorders>
                    <w:tl2br w:val="nil"/>
                    <w:tr2bl w:val="nil"/>
                  </w:tcBorders>
                  <w:vAlign w:val="center"/>
                </w:tcPr>
                <w:p w14:paraId="30AB4FB8">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划定环境管控单元。按照保护优先、衔接整合、有效管理的原则，将全省行政区域统筹划定优先保护、重点管控和一般管控三类环境管控单元1381个，实施生态环境分区管控。</w:t>
                  </w:r>
                </w:p>
              </w:tc>
              <w:tc>
                <w:tcPr>
                  <w:tcW w:w="1889" w:type="dxa"/>
                  <w:tcBorders>
                    <w:tl2br w:val="nil"/>
                    <w:tr2bl w:val="nil"/>
                  </w:tcBorders>
                  <w:vAlign w:val="center"/>
                </w:tcPr>
                <w:p w14:paraId="714E6305">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本项目位于陕西省</w:t>
                  </w:r>
                  <w:r>
                    <w:rPr>
                      <w:rFonts w:hint="eastAsia" w:cs="Times New Roman"/>
                      <w:color w:val="auto"/>
                      <w:kern w:val="2"/>
                      <w:sz w:val="21"/>
                      <w:szCs w:val="21"/>
                      <w:highlight w:val="none"/>
                      <w:lang w:val="en-US" w:eastAsia="zh-CN" w:bidi="ar-SA"/>
                    </w:rPr>
                    <w:t>西安市新城区</w:t>
                  </w:r>
                  <w:r>
                    <w:rPr>
                      <w:rFonts w:hint="eastAsia" w:ascii="Times New Roman" w:hAnsi="Times New Roman" w:eastAsia="宋体" w:cs="Times New Roman"/>
                      <w:color w:val="auto"/>
                      <w:kern w:val="2"/>
                      <w:sz w:val="21"/>
                      <w:szCs w:val="21"/>
                      <w:highlight w:val="none"/>
                      <w:lang w:val="en-US" w:eastAsia="zh-CN" w:bidi="ar-SA"/>
                    </w:rPr>
                    <w:t>属于重点管控单元，建设完成后，污染物均采取有效措施，项目产生的污染物均收集处理后排放，可有效防控环境风险。</w:t>
                  </w:r>
                </w:p>
              </w:tc>
              <w:tc>
                <w:tcPr>
                  <w:tcW w:w="578" w:type="dxa"/>
                  <w:tcBorders>
                    <w:tl2br w:val="nil"/>
                    <w:tr2bl w:val="nil"/>
                  </w:tcBorders>
                  <w:vAlign w:val="center"/>
                </w:tcPr>
                <w:p w14:paraId="4C631854">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符合</w:t>
                  </w:r>
                </w:p>
              </w:tc>
            </w:tr>
            <w:tr w14:paraId="57B65DB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9" w:type="dxa"/>
                  <w:vMerge w:val="continue"/>
                  <w:tcBorders>
                    <w:tl2br w:val="nil"/>
                    <w:tr2bl w:val="nil"/>
                  </w:tcBorders>
                  <w:vAlign w:val="center"/>
                </w:tcPr>
                <w:p w14:paraId="088EE967">
                  <w:pPr>
                    <w:autoSpaceDE w:val="0"/>
                    <w:autoSpaceDN w:val="0"/>
                    <w:adjustRightInd w:val="0"/>
                    <w:snapToGrid w:val="0"/>
                    <w:jc w:val="center"/>
                    <w:rPr>
                      <w:rFonts w:hint="eastAsia" w:ascii="宋体" w:hAnsi="宋体" w:eastAsia="宋体" w:cs="宋体"/>
                      <w:b/>
                      <w:bCs/>
                      <w:color w:val="0000FF"/>
                      <w:kern w:val="0"/>
                      <w:szCs w:val="21"/>
                      <w:highlight w:val="none"/>
                      <w:vertAlign w:val="baseline"/>
                    </w:rPr>
                  </w:pPr>
                </w:p>
              </w:tc>
              <w:tc>
                <w:tcPr>
                  <w:tcW w:w="3411" w:type="dxa"/>
                  <w:tcBorders>
                    <w:tl2br w:val="nil"/>
                    <w:tr2bl w:val="nil"/>
                  </w:tcBorders>
                </w:tcPr>
                <w:p w14:paraId="2A6B2288">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重点管控单元。指涉及大气、水、土壤、自然资源等资源环境要素重点管控的区域，主要包括城镇规划区、重点开发区等开发强度高和污染物排放强度大的区域。全省划分重点管控单元406个，面积4.88万平方公里，占全省国土面积23.72%，主要分布在关中平原、陕北能源重化工产业聚集区、陕南重点城镇区以及环境问题相对集中的区域。重点管控单元以提升资源利用效率、加强污染物减排治理和环境风险防控为重点，解决突出生</w:t>
                  </w:r>
                </w:p>
                <w:p w14:paraId="1D066B63">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态环境问题。</w:t>
                  </w:r>
                </w:p>
              </w:tc>
              <w:tc>
                <w:tcPr>
                  <w:tcW w:w="1889" w:type="dxa"/>
                  <w:tcBorders>
                    <w:tl2br w:val="nil"/>
                    <w:tr2bl w:val="nil"/>
                  </w:tcBorders>
                  <w:vAlign w:val="center"/>
                </w:tcPr>
                <w:p w14:paraId="332CF070">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lang w:val="en-US" w:eastAsia="zh-CN" w:bidi="ar-SA"/>
                    </w:rPr>
                  </w:pPr>
                  <w:r>
                    <w:rPr>
                      <w:color w:val="auto"/>
                      <w:sz w:val="21"/>
                      <w:highlight w:val="none"/>
                    </w:rPr>
                    <w:t>本项目各项污染物采取环境治理设施进行处理达标后排</w:t>
                  </w:r>
                  <w:r>
                    <w:rPr>
                      <w:color w:val="auto"/>
                      <w:spacing w:val="-15"/>
                      <w:sz w:val="21"/>
                      <w:highlight w:val="none"/>
                    </w:rPr>
                    <w:t>放，环境风险可控，满</w:t>
                  </w:r>
                  <w:r>
                    <w:rPr>
                      <w:color w:val="auto"/>
                      <w:sz w:val="21"/>
                      <w:highlight w:val="none"/>
                    </w:rPr>
                    <w:t>足重点管控单元管控要求。</w:t>
                  </w:r>
                </w:p>
              </w:tc>
              <w:tc>
                <w:tcPr>
                  <w:tcW w:w="578" w:type="dxa"/>
                  <w:tcBorders>
                    <w:tl2br w:val="nil"/>
                    <w:tr2bl w:val="nil"/>
                  </w:tcBorders>
                  <w:vAlign w:val="center"/>
                </w:tcPr>
                <w:p w14:paraId="192E6C8B">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符合</w:t>
                  </w:r>
                </w:p>
              </w:tc>
            </w:tr>
          </w:tbl>
          <w:p w14:paraId="7961F4EF">
            <w:pPr>
              <w:adjustRightInd w:val="0"/>
              <w:spacing w:line="360" w:lineRule="auto"/>
              <w:ind w:firstLine="420" w:firstLineChars="200"/>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根据《陕西省“三线一单”生态环境分区管控应用技术指南：环境影响评价（试行）》（陕环办发〔2022〕76号），建设项目环评文件涉及“三线一单”生态环境分区管控符合性分析采取“一图一表一说明”的表达方式，对照分析结果，论证建设的符合性。</w:t>
            </w:r>
          </w:p>
          <w:p w14:paraId="67A73881">
            <w:pPr>
              <w:adjustRightInd w:val="0"/>
              <w:spacing w:line="360" w:lineRule="auto"/>
              <w:ind w:firstLine="420" w:firstLineChars="200"/>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eastAsia="zh-CN"/>
              </w:rPr>
              <w:fldChar w:fldCharType="begin"/>
            </w:r>
            <w:r>
              <w:rPr>
                <w:rFonts w:hint="default" w:ascii="Times New Roman" w:hAnsi="Times New Roman" w:eastAsia="宋体" w:cs="Times New Roman"/>
                <w:color w:val="auto"/>
                <w:sz w:val="21"/>
                <w:szCs w:val="21"/>
                <w:highlight w:val="none"/>
                <w:lang w:eastAsia="zh-CN"/>
              </w:rPr>
              <w:instrText xml:space="preserve"> = 1 \* GB3 \* MERGEFORMAT </w:instrText>
            </w:r>
            <w:r>
              <w:rPr>
                <w:rFonts w:hint="default" w:ascii="Times New Roman" w:hAnsi="Times New Roman" w:eastAsia="宋体" w:cs="Times New Roman"/>
                <w:color w:val="auto"/>
                <w:sz w:val="21"/>
                <w:szCs w:val="21"/>
                <w:highlight w:val="none"/>
                <w:lang w:eastAsia="zh-CN"/>
              </w:rPr>
              <w:fldChar w:fldCharType="separate"/>
            </w:r>
            <w:r>
              <w:rPr>
                <w:rFonts w:hint="eastAsia" w:ascii="Times New Roman" w:hAnsi="Times New Roman" w:eastAsia="宋体" w:cs="Times New Roman"/>
                <w:color w:val="auto"/>
                <w:sz w:val="21"/>
                <w:szCs w:val="21"/>
                <w:highlight w:val="none"/>
                <w:lang w:eastAsia="zh-CN"/>
              </w:rPr>
              <w:t>①</w:t>
            </w:r>
            <w:r>
              <w:rPr>
                <w:rFonts w:hint="default" w:ascii="Times New Roman" w:hAnsi="Times New Roman" w:eastAsia="宋体" w:cs="Times New Roman"/>
                <w:color w:val="auto"/>
                <w:sz w:val="21"/>
                <w:szCs w:val="21"/>
                <w:highlight w:val="none"/>
                <w:lang w:eastAsia="zh-CN"/>
              </w:rPr>
              <w:fldChar w:fldCharType="end"/>
            </w:r>
            <w:r>
              <w:rPr>
                <w:rFonts w:hint="eastAsia" w:ascii="Times New Roman" w:hAnsi="Times New Roman" w:eastAsia="宋体" w:cs="Times New Roman"/>
                <w:color w:val="auto"/>
                <w:sz w:val="21"/>
                <w:szCs w:val="21"/>
                <w:highlight w:val="none"/>
                <w:lang w:val="en-US" w:eastAsia="zh-CN"/>
              </w:rPr>
              <w:t>一图</w:t>
            </w:r>
          </w:p>
          <w:p w14:paraId="29CA7F3F">
            <w:pPr>
              <w:adjustRightInd w:val="0"/>
              <w:spacing w:line="360" w:lineRule="auto"/>
              <w:ind w:firstLine="420" w:firstLineChars="200"/>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本项目位于</w:t>
            </w:r>
            <w:r>
              <w:rPr>
                <w:rFonts w:hint="eastAsia" w:cs="Times New Roman"/>
                <w:color w:val="auto"/>
                <w:sz w:val="21"/>
                <w:szCs w:val="21"/>
                <w:highlight w:val="none"/>
                <w:lang w:val="en-US" w:eastAsia="zh-CN"/>
              </w:rPr>
              <w:t>*****（西安黄河机电有限公司厂内）</w:t>
            </w:r>
            <w:r>
              <w:rPr>
                <w:rFonts w:hint="eastAsia" w:ascii="Times New Roman" w:hAnsi="Times New Roman" w:eastAsia="宋体" w:cs="Times New Roman"/>
                <w:color w:val="auto"/>
                <w:sz w:val="21"/>
                <w:szCs w:val="21"/>
                <w:highlight w:val="none"/>
                <w:lang w:val="en-US" w:eastAsia="zh-CN"/>
              </w:rPr>
              <w:t>，根据</w:t>
            </w:r>
            <w:r>
              <w:rPr>
                <w:rFonts w:hint="eastAsia" w:ascii="Times New Roman" w:hAnsi="Times New Roman" w:eastAsia="宋体" w:cs="Times New Roman"/>
                <w:color w:val="auto"/>
                <w:sz w:val="21"/>
                <w:szCs w:val="21"/>
                <w:highlight w:val="none"/>
                <w:lang w:val="en-GB" w:eastAsia="zh-CN"/>
              </w:rPr>
              <w:t>《西安市“三线一单”生态环境分区管控方案》（市政发【2021】22号）</w:t>
            </w:r>
            <w:r>
              <w:rPr>
                <w:rFonts w:hint="eastAsia" w:ascii="Times New Roman" w:hAnsi="Times New Roman" w:cs="Times New Roman"/>
                <w:color w:val="auto"/>
                <w:sz w:val="21"/>
                <w:szCs w:val="21"/>
                <w:highlight w:val="none"/>
                <w:lang w:val="en-US" w:eastAsia="zh-CN"/>
              </w:rPr>
              <w:t>，以及</w:t>
            </w:r>
            <w:r>
              <w:rPr>
                <w:rFonts w:hint="eastAsia" w:ascii="Times New Roman" w:hAnsi="Times New Roman" w:eastAsia="宋体" w:cs="Times New Roman"/>
                <w:color w:val="auto"/>
                <w:sz w:val="21"/>
                <w:szCs w:val="21"/>
                <w:highlight w:val="none"/>
                <w:lang w:val="en-US" w:eastAsia="zh-CN"/>
              </w:rPr>
              <w:t>查询《陕西省“三线一单”数据应用系统平台》得知，本项目位于</w:t>
            </w:r>
            <w:r>
              <w:rPr>
                <w:rFonts w:hint="eastAsia" w:ascii="Times New Roman" w:hAnsi="Times New Roman" w:cs="Times New Roman"/>
                <w:color w:val="auto"/>
                <w:sz w:val="21"/>
                <w:szCs w:val="21"/>
                <w:highlight w:val="none"/>
                <w:lang w:val="en-US" w:eastAsia="zh-CN"/>
              </w:rPr>
              <w:t>重点</w:t>
            </w:r>
            <w:r>
              <w:rPr>
                <w:rFonts w:hint="eastAsia" w:ascii="Times New Roman" w:hAnsi="Times New Roman" w:eastAsia="宋体" w:cs="Times New Roman"/>
                <w:color w:val="auto"/>
                <w:sz w:val="21"/>
                <w:szCs w:val="21"/>
                <w:highlight w:val="none"/>
                <w:lang w:val="en-US" w:eastAsia="zh-CN"/>
              </w:rPr>
              <w:t>管控单元内，区域环境管控要求具体分析见表2，本项目在</w:t>
            </w:r>
            <w:r>
              <w:rPr>
                <w:rFonts w:hint="eastAsia" w:ascii="Times New Roman" w:hAnsi="Times New Roman" w:cs="Times New Roman"/>
                <w:color w:val="auto"/>
                <w:sz w:val="21"/>
                <w:szCs w:val="21"/>
                <w:highlight w:val="none"/>
                <w:lang w:val="en-US" w:eastAsia="zh-CN"/>
              </w:rPr>
              <w:t>西安</w:t>
            </w:r>
            <w:r>
              <w:rPr>
                <w:rFonts w:hint="eastAsia" w:ascii="Times New Roman" w:hAnsi="Times New Roman" w:eastAsia="宋体" w:cs="Times New Roman"/>
                <w:color w:val="auto"/>
                <w:sz w:val="21"/>
                <w:szCs w:val="21"/>
                <w:highlight w:val="none"/>
                <w:lang w:val="en-US" w:eastAsia="zh-CN"/>
              </w:rPr>
              <w:t>市“三线一单”管控单元中的位置见附图。</w:t>
            </w:r>
          </w:p>
          <w:p w14:paraId="0F915509">
            <w:pPr>
              <w:pStyle w:val="62"/>
              <w:keepNext w:val="0"/>
              <w:keepLines w:val="0"/>
              <w:pageBreakBefore w:val="0"/>
              <w:widowControl w:val="0"/>
              <w:kinsoku/>
              <w:wordWrap/>
              <w:overflowPunct/>
              <w:topLinePunct w:val="0"/>
              <w:bidi w:val="0"/>
              <w:adjustRightInd/>
              <w:snapToGrid/>
              <w:spacing w:line="360" w:lineRule="auto"/>
              <w:jc w:val="both"/>
              <w:textAlignment w:val="auto"/>
              <w:outlineLvl w:val="9"/>
              <w:rPr>
                <w:color w:val="0000FF"/>
                <w:highlight w:val="none"/>
              </w:rPr>
            </w:pPr>
          </w:p>
        </w:tc>
      </w:tr>
    </w:tbl>
    <w:p w14:paraId="3E0809EB">
      <w:pPr>
        <w:keepNext w:val="0"/>
        <w:keepLines w:val="0"/>
        <w:pageBreakBefore w:val="0"/>
        <w:widowControl w:val="0"/>
        <w:kinsoku/>
        <w:wordWrap/>
        <w:overflowPunct/>
        <w:topLinePunct w:val="0"/>
        <w:autoSpaceDE w:val="0"/>
        <w:autoSpaceDN w:val="0"/>
        <w:bidi w:val="0"/>
        <w:adjustRightInd w:val="0"/>
        <w:snapToGrid w:val="0"/>
        <w:spacing w:line="240" w:lineRule="auto"/>
        <w:ind w:left="-72" w:leftChars="-30" w:right="-72" w:rightChars="-30"/>
        <w:jc w:val="center"/>
        <w:textAlignment w:val="auto"/>
        <w:rPr>
          <w:rFonts w:hAnsi="宋体"/>
          <w:color w:val="0000FF"/>
          <w:kern w:val="0"/>
          <w:szCs w:val="24"/>
          <w:highlight w:val="none"/>
        </w:rPr>
        <w:sectPr>
          <w:footerReference r:id="rId7" w:type="default"/>
          <w:pgSz w:w="11907" w:h="16840"/>
          <w:pgMar w:top="1417" w:right="1417" w:bottom="1417" w:left="1417" w:header="992" w:footer="992" w:gutter="0"/>
          <w:pgBorders>
            <w:top w:val="none" w:sz="0" w:space="0"/>
            <w:left w:val="none" w:sz="0" w:space="0"/>
            <w:bottom w:val="none" w:sz="0" w:space="0"/>
            <w:right w:val="none" w:sz="0" w:space="0"/>
          </w:pgBorders>
          <w:pgNumType w:fmt="numberInDash" w:start="1"/>
          <w:cols w:space="720" w:num="1"/>
        </w:sectPr>
      </w:pPr>
    </w:p>
    <w:tbl>
      <w:tblPr>
        <w:tblStyle w:val="45"/>
        <w:tblW w:w="486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676"/>
        <w:gridCol w:w="13171"/>
      </w:tblGrid>
      <w:tr w14:paraId="4971026B">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597" w:hRule="atLeast"/>
          <w:jc w:val="center"/>
        </w:trPr>
        <w:tc>
          <w:tcPr>
            <w:tcW w:w="244" w:type="pct"/>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14:paraId="337AF136">
            <w:pPr>
              <w:keepNext w:val="0"/>
              <w:keepLines w:val="0"/>
              <w:pageBreakBefore w:val="0"/>
              <w:widowControl w:val="0"/>
              <w:kinsoku/>
              <w:wordWrap/>
              <w:overflowPunct/>
              <w:topLinePunct w:val="0"/>
              <w:autoSpaceDE w:val="0"/>
              <w:autoSpaceDN w:val="0"/>
              <w:bidi w:val="0"/>
              <w:adjustRightInd w:val="0"/>
              <w:snapToGrid w:val="0"/>
              <w:spacing w:line="240" w:lineRule="auto"/>
              <w:ind w:left="-72" w:leftChars="-30" w:right="-72" w:rightChars="-30"/>
              <w:jc w:val="center"/>
              <w:textAlignment w:val="auto"/>
              <w:rPr>
                <w:rFonts w:hAnsi="宋体"/>
                <w:color w:val="0000FF"/>
                <w:kern w:val="0"/>
                <w:szCs w:val="24"/>
                <w:highlight w:val="none"/>
              </w:rPr>
            </w:pPr>
          </w:p>
        </w:tc>
        <w:tc>
          <w:tcPr>
            <w:tcW w:w="4755" w:type="pct"/>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14:paraId="6941DFCA">
            <w:pPr>
              <w:adjustRightInd w:val="0"/>
              <w:spacing w:line="360" w:lineRule="auto"/>
              <w:ind w:firstLine="420" w:firstLineChars="200"/>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②一表</w:t>
            </w:r>
          </w:p>
          <w:p w14:paraId="745D6449">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Times New Roman" w:hAnsi="Times New Roman" w:eastAsia="宋体" w:cs="Times New Roman"/>
                <w:color w:val="auto"/>
                <w:sz w:val="21"/>
                <w:szCs w:val="21"/>
                <w:highlight w:val="none"/>
                <w:lang w:val="en-GB" w:eastAsia="zh-CN"/>
              </w:rPr>
            </w:pPr>
            <w:r>
              <w:rPr>
                <w:rFonts w:hint="eastAsia" w:cs="Times New Roman"/>
                <w:color w:val="auto"/>
                <w:sz w:val="21"/>
                <w:szCs w:val="21"/>
                <w:highlight w:val="none"/>
                <w:lang w:val="en-US" w:eastAsia="zh-CN"/>
              </w:rPr>
              <w:t>表3</w:t>
            </w:r>
            <w:r>
              <w:rPr>
                <w:rFonts w:hint="eastAsia" w:ascii="Times New Roman" w:hAnsi="Times New Roman" w:eastAsia="宋体" w:cs="Times New Roman"/>
                <w:color w:val="auto"/>
                <w:sz w:val="21"/>
                <w:szCs w:val="21"/>
                <w:highlight w:val="none"/>
                <w:lang w:val="en-US" w:eastAsia="zh-CN"/>
              </w:rPr>
              <w:t xml:space="preserve">  项目</w:t>
            </w:r>
            <w:r>
              <w:rPr>
                <w:rFonts w:hint="eastAsia" w:ascii="Times New Roman" w:hAnsi="Times New Roman" w:eastAsia="宋体" w:cs="Times New Roman"/>
                <w:color w:val="auto"/>
                <w:sz w:val="21"/>
                <w:szCs w:val="21"/>
                <w:highlight w:val="none"/>
                <w:lang w:val="en-GB" w:eastAsia="zh-CN"/>
              </w:rPr>
              <w:t>与《西安市“三线一单”生态环境分区管控方案》符合性分析</w:t>
            </w:r>
          </w:p>
          <w:tbl>
            <w:tblPr>
              <w:tblStyle w:val="46"/>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82"/>
              <w:gridCol w:w="702"/>
              <w:gridCol w:w="489"/>
              <w:gridCol w:w="966"/>
              <w:gridCol w:w="988"/>
              <w:gridCol w:w="1104"/>
              <w:gridCol w:w="4764"/>
              <w:gridCol w:w="2234"/>
              <w:gridCol w:w="995"/>
              <w:gridCol w:w="426"/>
            </w:tblGrid>
            <w:tr w14:paraId="72505648">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8" w:type="pct"/>
                  <w:tcBorders>
                    <w:tl2br w:val="nil"/>
                    <w:tr2bl w:val="nil"/>
                  </w:tcBorders>
                  <w:vAlign w:val="center"/>
                </w:tcPr>
                <w:p w14:paraId="3C0D0D96">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序号</w:t>
                  </w:r>
                </w:p>
              </w:tc>
              <w:tc>
                <w:tcPr>
                  <w:tcW w:w="271" w:type="pct"/>
                  <w:tcBorders>
                    <w:tl2br w:val="nil"/>
                    <w:tr2bl w:val="nil"/>
                  </w:tcBorders>
                  <w:vAlign w:val="center"/>
                </w:tcPr>
                <w:p w14:paraId="1C0908A2">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市（区）</w:t>
                  </w:r>
                </w:p>
              </w:tc>
              <w:tc>
                <w:tcPr>
                  <w:tcW w:w="189" w:type="pct"/>
                  <w:tcBorders>
                    <w:tl2br w:val="nil"/>
                    <w:tr2bl w:val="nil"/>
                  </w:tcBorders>
                  <w:vAlign w:val="center"/>
                </w:tcPr>
                <w:p w14:paraId="4D1F4653">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区县</w:t>
                  </w:r>
                </w:p>
              </w:tc>
              <w:tc>
                <w:tcPr>
                  <w:tcW w:w="373" w:type="pct"/>
                  <w:tcBorders>
                    <w:tl2br w:val="nil"/>
                    <w:tr2bl w:val="nil"/>
                  </w:tcBorders>
                  <w:vAlign w:val="center"/>
                </w:tcPr>
                <w:p w14:paraId="009E443F">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环境管控单元名称</w:t>
                  </w:r>
                </w:p>
              </w:tc>
              <w:tc>
                <w:tcPr>
                  <w:tcW w:w="381" w:type="pct"/>
                  <w:tcBorders>
                    <w:tl2br w:val="nil"/>
                    <w:tr2bl w:val="nil"/>
                  </w:tcBorders>
                  <w:vAlign w:val="center"/>
                </w:tcPr>
                <w:p w14:paraId="3D29804C">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单元要素属性</w:t>
                  </w:r>
                </w:p>
              </w:tc>
              <w:tc>
                <w:tcPr>
                  <w:tcW w:w="426" w:type="pct"/>
                  <w:tcBorders>
                    <w:tl2br w:val="nil"/>
                    <w:tr2bl w:val="nil"/>
                  </w:tcBorders>
                  <w:vAlign w:val="center"/>
                </w:tcPr>
                <w:p w14:paraId="5E972540">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管控要求</w:t>
                  </w:r>
                  <w:r>
                    <w:rPr>
                      <w:rFonts w:hint="eastAsia" w:cs="Times New Roman"/>
                      <w:color w:val="auto"/>
                      <w:kern w:val="2"/>
                      <w:sz w:val="21"/>
                      <w:szCs w:val="21"/>
                      <w:highlight w:val="none"/>
                      <w:lang w:val="en-US" w:eastAsia="zh-CN" w:bidi="ar-SA"/>
                    </w:rPr>
                    <w:t>分类</w:t>
                  </w:r>
                </w:p>
              </w:tc>
              <w:tc>
                <w:tcPr>
                  <w:tcW w:w="1838" w:type="pct"/>
                  <w:tcBorders>
                    <w:tl2br w:val="nil"/>
                    <w:tr2bl w:val="nil"/>
                  </w:tcBorders>
                  <w:vAlign w:val="center"/>
                </w:tcPr>
                <w:p w14:paraId="13BC7533">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管控要求</w:t>
                  </w:r>
                </w:p>
              </w:tc>
              <w:tc>
                <w:tcPr>
                  <w:tcW w:w="862" w:type="pct"/>
                  <w:tcBorders>
                    <w:tl2br w:val="nil"/>
                    <w:tr2bl w:val="nil"/>
                  </w:tcBorders>
                  <w:vAlign w:val="center"/>
                </w:tcPr>
                <w:p w14:paraId="47A54D97">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本项目符合性分析</w:t>
                  </w:r>
                </w:p>
              </w:tc>
              <w:tc>
                <w:tcPr>
                  <w:tcW w:w="384" w:type="pct"/>
                  <w:tcBorders>
                    <w:tl2br w:val="nil"/>
                    <w:tr2bl w:val="nil"/>
                  </w:tcBorders>
                  <w:vAlign w:val="center"/>
                </w:tcPr>
                <w:p w14:paraId="0AB87F2F">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面积（m</w:t>
                  </w:r>
                  <w:r>
                    <w:rPr>
                      <w:rFonts w:hint="eastAsia" w:cs="Times New Roman"/>
                      <w:color w:val="auto"/>
                      <w:kern w:val="2"/>
                      <w:sz w:val="21"/>
                      <w:szCs w:val="21"/>
                      <w:highlight w:val="none"/>
                      <w:vertAlign w:val="superscript"/>
                      <w:lang w:val="en-US" w:eastAsia="zh-CN" w:bidi="ar-SA"/>
                    </w:rPr>
                    <w:t>2</w:t>
                  </w:r>
                  <w:r>
                    <w:rPr>
                      <w:rFonts w:hint="eastAsia" w:cs="Times New Roman"/>
                      <w:color w:val="auto"/>
                      <w:kern w:val="2"/>
                      <w:sz w:val="21"/>
                      <w:szCs w:val="21"/>
                      <w:highlight w:val="none"/>
                      <w:lang w:val="en-US" w:eastAsia="zh-CN" w:bidi="ar-SA"/>
                    </w:rPr>
                    <w:t>）</w:t>
                  </w:r>
                </w:p>
              </w:tc>
              <w:tc>
                <w:tcPr>
                  <w:tcW w:w="164" w:type="pct"/>
                  <w:tcBorders>
                    <w:tl2br w:val="nil"/>
                    <w:tr2bl w:val="nil"/>
                  </w:tcBorders>
                  <w:vAlign w:val="center"/>
                </w:tcPr>
                <w:p w14:paraId="5EE39C87">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符合性</w:t>
                  </w:r>
                </w:p>
              </w:tc>
            </w:tr>
            <w:tr w14:paraId="6A71E5E4">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08" w:type="pct"/>
                  <w:vMerge w:val="restart"/>
                  <w:tcBorders>
                    <w:tl2br w:val="nil"/>
                    <w:tr2bl w:val="nil"/>
                  </w:tcBorders>
                  <w:vAlign w:val="center"/>
                </w:tcPr>
                <w:p w14:paraId="1042D8A1">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1</w:t>
                  </w:r>
                </w:p>
              </w:tc>
              <w:tc>
                <w:tcPr>
                  <w:tcW w:w="271" w:type="pct"/>
                  <w:vMerge w:val="restart"/>
                  <w:tcBorders>
                    <w:tl2br w:val="nil"/>
                    <w:tr2bl w:val="nil"/>
                  </w:tcBorders>
                  <w:vAlign w:val="center"/>
                </w:tcPr>
                <w:p w14:paraId="076C28A4">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西安市</w:t>
                  </w:r>
                </w:p>
              </w:tc>
              <w:tc>
                <w:tcPr>
                  <w:tcW w:w="189" w:type="pct"/>
                  <w:vMerge w:val="restart"/>
                  <w:tcBorders>
                    <w:tl2br w:val="nil"/>
                    <w:tr2bl w:val="nil"/>
                  </w:tcBorders>
                  <w:vAlign w:val="center"/>
                </w:tcPr>
                <w:p w14:paraId="49A99E8C">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新城区</w:t>
                  </w:r>
                </w:p>
              </w:tc>
              <w:tc>
                <w:tcPr>
                  <w:tcW w:w="373" w:type="pct"/>
                  <w:vMerge w:val="restart"/>
                  <w:tcBorders>
                    <w:tl2br w:val="nil"/>
                    <w:tr2bl w:val="nil"/>
                  </w:tcBorders>
                  <w:vAlign w:val="center"/>
                </w:tcPr>
                <w:p w14:paraId="2AD69B20">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陕西</w:t>
                  </w:r>
                </w:p>
                <w:p w14:paraId="69F08038">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省西</w:t>
                  </w:r>
                </w:p>
                <w:p w14:paraId="1C02D500">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安市</w:t>
                  </w:r>
                </w:p>
                <w:p w14:paraId="3D44CAE0">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新城</w:t>
                  </w:r>
                </w:p>
                <w:p w14:paraId="4F485AC6">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区重</w:t>
                  </w:r>
                </w:p>
                <w:p w14:paraId="0C8D8086">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点管</w:t>
                  </w:r>
                </w:p>
                <w:p w14:paraId="1CC929DA">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控单</w:t>
                  </w:r>
                </w:p>
                <w:p w14:paraId="237ECA26">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元</w:t>
                  </w:r>
                </w:p>
              </w:tc>
              <w:tc>
                <w:tcPr>
                  <w:tcW w:w="381" w:type="pct"/>
                  <w:vMerge w:val="restart"/>
                  <w:tcBorders>
                    <w:tl2br w:val="nil"/>
                    <w:tr2bl w:val="nil"/>
                  </w:tcBorders>
                  <w:vAlign w:val="center"/>
                </w:tcPr>
                <w:p w14:paraId="255E510A">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大气环境受体敏感重点管控区</w:t>
                  </w:r>
                </w:p>
                <w:p w14:paraId="30CC1FFF">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p>
              </w:tc>
              <w:tc>
                <w:tcPr>
                  <w:tcW w:w="426" w:type="pct"/>
                  <w:tcBorders>
                    <w:tl2br w:val="nil"/>
                    <w:tr2bl w:val="nil"/>
                  </w:tcBorders>
                  <w:vAlign w:val="center"/>
                </w:tcPr>
                <w:p w14:paraId="310D1B9D">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空间布局</w:t>
                  </w:r>
                  <w:r>
                    <w:rPr>
                      <w:rFonts w:hint="eastAsia" w:cs="Times New Roman"/>
                      <w:color w:val="auto"/>
                      <w:kern w:val="2"/>
                      <w:sz w:val="21"/>
                      <w:szCs w:val="21"/>
                      <w:highlight w:val="none"/>
                      <w:lang w:val="en-US" w:eastAsia="zh-CN" w:bidi="ar-SA"/>
                    </w:rPr>
                    <w:t>约束</w:t>
                  </w:r>
                </w:p>
              </w:tc>
              <w:tc>
                <w:tcPr>
                  <w:tcW w:w="1838" w:type="pct"/>
                  <w:tcBorders>
                    <w:tl2br w:val="nil"/>
                    <w:tr2bl w:val="nil"/>
                  </w:tcBorders>
                  <w:vAlign w:val="center"/>
                </w:tcPr>
                <w:p w14:paraId="23DB757C">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left"/>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1.严格控制新增《陕西省“两高”项目管理暂行目录》行业项目（民生等项目除外，后续对“两高”范围国家如有新规定的，从其规定）。2.严禁新增钢铁、焦化、水泥熟料、平板玻璃、电解铝、氧化铝、煤化工产能。3.推动重污染企业搬迁入园或依法关闭</w:t>
                  </w:r>
                </w:p>
              </w:tc>
              <w:tc>
                <w:tcPr>
                  <w:tcW w:w="862" w:type="pct"/>
                  <w:tcBorders>
                    <w:tl2br w:val="nil"/>
                    <w:tr2bl w:val="nil"/>
                  </w:tcBorders>
                  <w:vAlign w:val="center"/>
                </w:tcPr>
                <w:p w14:paraId="14D7DF98">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本项目为</w:t>
                  </w:r>
                  <w:r>
                    <w:rPr>
                      <w:rFonts w:hint="eastAsia" w:ascii="Times New Roman" w:hAnsi="Times New Roman" w:eastAsia="宋体" w:cs="Times New Roman"/>
                      <w:color w:val="auto"/>
                      <w:sz w:val="21"/>
                      <w:szCs w:val="21"/>
                      <w:highlight w:val="none"/>
                      <w:lang w:val="en-US" w:eastAsia="zh-CN"/>
                    </w:rPr>
                    <w:t>检测服务</w:t>
                  </w:r>
                  <w:r>
                    <w:rPr>
                      <w:rFonts w:hint="default" w:ascii="Times New Roman" w:hAnsi="Times New Roman" w:eastAsia="宋体" w:cs="Times New Roman"/>
                      <w:color w:val="auto"/>
                      <w:sz w:val="21"/>
                      <w:szCs w:val="21"/>
                      <w:highlight w:val="none"/>
                      <w:lang w:val="en-US" w:eastAsia="zh-CN"/>
                    </w:rPr>
                    <w:t>项目</w:t>
                  </w:r>
                  <w:r>
                    <w:rPr>
                      <w:rFonts w:hint="eastAsia" w:cs="Times New Roman"/>
                      <w:color w:val="auto"/>
                      <w:sz w:val="21"/>
                      <w:szCs w:val="21"/>
                      <w:highlight w:val="none"/>
                      <w:lang w:val="en-US" w:eastAsia="zh-CN"/>
                    </w:rPr>
                    <w:t>，不属于</w:t>
                  </w:r>
                  <w:r>
                    <w:rPr>
                      <w:rFonts w:hint="eastAsia" w:ascii="Times New Roman" w:hAnsi="Times New Roman" w:eastAsia="宋体" w:cs="Times New Roman"/>
                      <w:color w:val="auto"/>
                      <w:kern w:val="2"/>
                      <w:sz w:val="21"/>
                      <w:szCs w:val="21"/>
                      <w:highlight w:val="none"/>
                      <w:lang w:val="en-US" w:eastAsia="zh-CN" w:bidi="ar-SA"/>
                    </w:rPr>
                    <w:t>《陕西省“两高”项目管理暂行目录》</w:t>
                  </w:r>
                  <w:r>
                    <w:rPr>
                      <w:rFonts w:hint="eastAsia" w:cs="Times New Roman"/>
                      <w:color w:val="auto"/>
                      <w:kern w:val="2"/>
                      <w:sz w:val="21"/>
                      <w:szCs w:val="21"/>
                      <w:highlight w:val="none"/>
                      <w:lang w:val="en-US" w:eastAsia="zh-CN" w:bidi="ar-SA"/>
                    </w:rPr>
                    <w:t>之列，不属于</w:t>
                  </w:r>
                  <w:r>
                    <w:rPr>
                      <w:rFonts w:hint="eastAsia" w:ascii="Times New Roman" w:hAnsi="Times New Roman" w:eastAsia="宋体" w:cs="Times New Roman"/>
                      <w:color w:val="auto"/>
                      <w:kern w:val="2"/>
                      <w:sz w:val="21"/>
                      <w:szCs w:val="21"/>
                      <w:highlight w:val="none"/>
                      <w:lang w:val="en-US" w:eastAsia="zh-CN" w:bidi="ar-SA"/>
                    </w:rPr>
                    <w:t>钢铁、焦化、水泥熟料、平板玻璃、电解铝、氧化铝、煤化工</w:t>
                  </w:r>
                  <w:r>
                    <w:rPr>
                      <w:rFonts w:hint="eastAsia" w:cs="Times New Roman"/>
                      <w:color w:val="auto"/>
                      <w:kern w:val="2"/>
                      <w:sz w:val="21"/>
                      <w:szCs w:val="21"/>
                      <w:highlight w:val="none"/>
                      <w:lang w:val="en-US" w:eastAsia="zh-CN" w:bidi="ar-SA"/>
                    </w:rPr>
                    <w:t>行业，也不属于重污染行业</w:t>
                  </w:r>
                </w:p>
              </w:tc>
              <w:tc>
                <w:tcPr>
                  <w:tcW w:w="384" w:type="pct"/>
                  <w:vMerge w:val="restart"/>
                  <w:tcBorders>
                    <w:tl2br w:val="nil"/>
                    <w:tr2bl w:val="nil"/>
                  </w:tcBorders>
                  <w:vAlign w:val="center"/>
                </w:tcPr>
                <w:p w14:paraId="5D1BE64B">
                  <w:pPr>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44.4</w:t>
                  </w:r>
                </w:p>
              </w:tc>
              <w:tc>
                <w:tcPr>
                  <w:tcW w:w="164" w:type="pct"/>
                  <w:tcBorders>
                    <w:tl2br w:val="nil"/>
                    <w:tr2bl w:val="nil"/>
                  </w:tcBorders>
                  <w:vAlign w:val="center"/>
                </w:tcPr>
                <w:p w14:paraId="38447739">
                  <w:pP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符合</w:t>
                  </w:r>
                </w:p>
              </w:tc>
            </w:tr>
            <w:tr w14:paraId="2318BB66">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08" w:type="pct"/>
                  <w:vMerge w:val="continue"/>
                  <w:tcBorders>
                    <w:tl2br w:val="nil"/>
                    <w:tr2bl w:val="nil"/>
                  </w:tcBorders>
                  <w:vAlign w:val="center"/>
                </w:tcPr>
                <w:p w14:paraId="3DE4B75C">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0000FF"/>
                      <w:kern w:val="2"/>
                      <w:sz w:val="21"/>
                      <w:szCs w:val="21"/>
                      <w:highlight w:val="none"/>
                      <w:lang w:val="en-US" w:eastAsia="zh-CN" w:bidi="ar-SA"/>
                    </w:rPr>
                  </w:pPr>
                </w:p>
              </w:tc>
              <w:tc>
                <w:tcPr>
                  <w:tcW w:w="271" w:type="pct"/>
                  <w:vMerge w:val="continue"/>
                  <w:tcBorders>
                    <w:tl2br w:val="nil"/>
                    <w:tr2bl w:val="nil"/>
                  </w:tcBorders>
                  <w:vAlign w:val="center"/>
                </w:tcPr>
                <w:p w14:paraId="3D50B784">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0000FF"/>
                      <w:kern w:val="2"/>
                      <w:sz w:val="21"/>
                      <w:szCs w:val="21"/>
                      <w:highlight w:val="none"/>
                      <w:lang w:val="en-US" w:eastAsia="zh-CN" w:bidi="ar-SA"/>
                    </w:rPr>
                  </w:pPr>
                </w:p>
              </w:tc>
              <w:tc>
                <w:tcPr>
                  <w:tcW w:w="189" w:type="pct"/>
                  <w:vMerge w:val="continue"/>
                  <w:tcBorders>
                    <w:tl2br w:val="nil"/>
                    <w:tr2bl w:val="nil"/>
                  </w:tcBorders>
                  <w:vAlign w:val="center"/>
                </w:tcPr>
                <w:p w14:paraId="0DA11CBF">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cs="Times New Roman"/>
                      <w:color w:val="0000FF"/>
                      <w:kern w:val="2"/>
                      <w:sz w:val="21"/>
                      <w:szCs w:val="21"/>
                      <w:highlight w:val="none"/>
                      <w:lang w:val="en-US" w:eastAsia="zh-CN" w:bidi="ar-SA"/>
                    </w:rPr>
                  </w:pPr>
                </w:p>
              </w:tc>
              <w:tc>
                <w:tcPr>
                  <w:tcW w:w="373" w:type="pct"/>
                  <w:vMerge w:val="continue"/>
                  <w:tcBorders>
                    <w:tl2br w:val="nil"/>
                    <w:tr2bl w:val="nil"/>
                  </w:tcBorders>
                  <w:vAlign w:val="center"/>
                </w:tcPr>
                <w:p w14:paraId="2B31C092">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0000FF"/>
                      <w:kern w:val="2"/>
                      <w:sz w:val="21"/>
                      <w:szCs w:val="21"/>
                      <w:highlight w:val="none"/>
                      <w:lang w:val="en-US" w:eastAsia="zh-CN" w:bidi="ar-SA"/>
                    </w:rPr>
                  </w:pPr>
                </w:p>
              </w:tc>
              <w:tc>
                <w:tcPr>
                  <w:tcW w:w="381" w:type="pct"/>
                  <w:vMerge w:val="continue"/>
                  <w:tcBorders>
                    <w:tl2br w:val="nil"/>
                    <w:tr2bl w:val="nil"/>
                  </w:tcBorders>
                  <w:vAlign w:val="center"/>
                </w:tcPr>
                <w:p w14:paraId="7C6FC17E">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p>
              </w:tc>
              <w:tc>
                <w:tcPr>
                  <w:tcW w:w="426" w:type="pct"/>
                  <w:tcBorders>
                    <w:tl2br w:val="nil"/>
                    <w:tr2bl w:val="nil"/>
                  </w:tcBorders>
                  <w:vAlign w:val="center"/>
                </w:tcPr>
                <w:p w14:paraId="63EC484A">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污染物排放管控</w:t>
                  </w:r>
                </w:p>
              </w:tc>
              <w:tc>
                <w:tcPr>
                  <w:tcW w:w="1838" w:type="pct"/>
                  <w:tcBorders>
                    <w:tl2br w:val="nil"/>
                    <w:tr2bl w:val="nil"/>
                  </w:tcBorders>
                  <w:vAlign w:val="top"/>
                </w:tcPr>
                <w:p w14:paraId="7881C60C">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ascii="仿宋" w:hAnsi="仿宋" w:eastAsia="仿宋"/>
                      <w:color w:val="auto"/>
                      <w:sz w:val="22"/>
                      <w:szCs w:val="24"/>
                      <w:highlight w:val="none"/>
                      <w:lang w:val="en-US"/>
                    </w:rPr>
                  </w:pPr>
                  <w:r>
                    <w:rPr>
                      <w:rFonts w:hint="eastAsia" w:ascii="Times New Roman" w:hAnsi="Times New Roman" w:eastAsia="宋体" w:cs="Times New Roman"/>
                      <w:color w:val="auto"/>
                      <w:kern w:val="2"/>
                      <w:sz w:val="21"/>
                      <w:szCs w:val="21"/>
                      <w:highlight w:val="none"/>
                      <w:lang w:val="en-US" w:eastAsia="zh-CN" w:bidi="ar-SA"/>
                    </w:rPr>
                    <w:t>1.城市建成区产生油烟的餐饮服务单位全部安装油烟净化装置并保持正常运行和定期维护。2.持续因地制宜实施“煤改气”、“油改气”、电能、地热、生物质等清洁能源取暖措施。3.鼓励将老旧车辆和非道路移动机械替换为清洁能源车辆。推进新能源或清洁能源汽车使用。</w:t>
                  </w:r>
                </w:p>
              </w:tc>
              <w:tc>
                <w:tcPr>
                  <w:tcW w:w="862" w:type="pct"/>
                  <w:tcBorders>
                    <w:tl2br w:val="nil"/>
                    <w:tr2bl w:val="nil"/>
                  </w:tcBorders>
                  <w:vAlign w:val="center"/>
                </w:tcPr>
                <w:p w14:paraId="61EC7DEE">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项目能源采用电，属清洁能源，不使用高污染燃料</w:t>
                  </w:r>
                </w:p>
              </w:tc>
              <w:tc>
                <w:tcPr>
                  <w:tcW w:w="384" w:type="pct"/>
                  <w:vMerge w:val="continue"/>
                  <w:tcBorders>
                    <w:tl2br w:val="nil"/>
                    <w:tr2bl w:val="nil"/>
                  </w:tcBorders>
                  <w:vAlign w:val="center"/>
                </w:tcPr>
                <w:p w14:paraId="6A5D5124">
                  <w:pPr>
                    <w:jc w:val="center"/>
                    <w:rPr>
                      <w:rFonts w:hint="eastAsia" w:ascii="Times New Roman" w:hAnsi="Times New Roman" w:eastAsia="宋体" w:cs="Times New Roman"/>
                      <w:color w:val="0000FF"/>
                      <w:kern w:val="2"/>
                      <w:sz w:val="21"/>
                      <w:szCs w:val="21"/>
                      <w:highlight w:val="none"/>
                      <w:lang w:val="en-US" w:eastAsia="zh-CN" w:bidi="ar-SA"/>
                    </w:rPr>
                  </w:pPr>
                </w:p>
              </w:tc>
              <w:tc>
                <w:tcPr>
                  <w:tcW w:w="164" w:type="pct"/>
                  <w:tcBorders>
                    <w:tl2br w:val="nil"/>
                    <w:tr2bl w:val="nil"/>
                  </w:tcBorders>
                  <w:vAlign w:val="center"/>
                </w:tcPr>
                <w:p w14:paraId="0882D126">
                  <w:pP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符合</w:t>
                  </w:r>
                </w:p>
              </w:tc>
            </w:tr>
            <w:tr w14:paraId="46072264">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8" w:type="pct"/>
                  <w:vMerge w:val="continue"/>
                  <w:tcBorders>
                    <w:tl2br w:val="nil"/>
                    <w:tr2bl w:val="nil"/>
                  </w:tcBorders>
                  <w:vAlign w:val="center"/>
                </w:tcPr>
                <w:p w14:paraId="43533960">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0000FF"/>
                      <w:kern w:val="2"/>
                      <w:sz w:val="21"/>
                      <w:szCs w:val="21"/>
                      <w:highlight w:val="none"/>
                      <w:lang w:val="en-US" w:eastAsia="zh-CN" w:bidi="ar-SA"/>
                    </w:rPr>
                  </w:pPr>
                </w:p>
              </w:tc>
              <w:tc>
                <w:tcPr>
                  <w:tcW w:w="271" w:type="pct"/>
                  <w:vMerge w:val="continue"/>
                  <w:tcBorders>
                    <w:tl2br w:val="nil"/>
                    <w:tr2bl w:val="nil"/>
                  </w:tcBorders>
                  <w:vAlign w:val="center"/>
                </w:tcPr>
                <w:p w14:paraId="49837EE6">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0000FF"/>
                      <w:kern w:val="2"/>
                      <w:sz w:val="21"/>
                      <w:szCs w:val="21"/>
                      <w:highlight w:val="none"/>
                      <w:lang w:val="en-US" w:eastAsia="zh-CN" w:bidi="ar-SA"/>
                    </w:rPr>
                  </w:pPr>
                </w:p>
              </w:tc>
              <w:tc>
                <w:tcPr>
                  <w:tcW w:w="189" w:type="pct"/>
                  <w:vMerge w:val="continue"/>
                  <w:tcBorders>
                    <w:tl2br w:val="nil"/>
                    <w:tr2bl w:val="nil"/>
                  </w:tcBorders>
                  <w:vAlign w:val="center"/>
                </w:tcPr>
                <w:p w14:paraId="3405C122">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cs="Times New Roman"/>
                      <w:color w:val="0000FF"/>
                      <w:kern w:val="2"/>
                      <w:sz w:val="21"/>
                      <w:szCs w:val="21"/>
                      <w:highlight w:val="none"/>
                      <w:lang w:val="en-US" w:eastAsia="zh-CN" w:bidi="ar-SA"/>
                    </w:rPr>
                  </w:pPr>
                </w:p>
              </w:tc>
              <w:tc>
                <w:tcPr>
                  <w:tcW w:w="373" w:type="pct"/>
                  <w:vMerge w:val="continue"/>
                  <w:tcBorders>
                    <w:tl2br w:val="nil"/>
                    <w:tr2bl w:val="nil"/>
                  </w:tcBorders>
                  <w:vAlign w:val="center"/>
                </w:tcPr>
                <w:p w14:paraId="44C698C9">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0000FF"/>
                      <w:kern w:val="2"/>
                      <w:sz w:val="21"/>
                      <w:szCs w:val="21"/>
                      <w:highlight w:val="none"/>
                      <w:lang w:val="en-US" w:eastAsia="zh-CN" w:bidi="ar-SA"/>
                    </w:rPr>
                  </w:pPr>
                </w:p>
              </w:tc>
              <w:tc>
                <w:tcPr>
                  <w:tcW w:w="381" w:type="pct"/>
                  <w:vMerge w:val="restart"/>
                  <w:tcBorders>
                    <w:tl2br w:val="nil"/>
                    <w:tr2bl w:val="nil"/>
                  </w:tcBorders>
                  <w:vAlign w:val="center"/>
                </w:tcPr>
                <w:p w14:paraId="3F1D42E1">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水环境城镇生活污染重点管控区</w:t>
                  </w:r>
                </w:p>
              </w:tc>
              <w:tc>
                <w:tcPr>
                  <w:tcW w:w="426" w:type="pct"/>
                  <w:tcBorders>
                    <w:tl2br w:val="nil"/>
                    <w:tr2bl w:val="nil"/>
                  </w:tcBorders>
                  <w:vAlign w:val="center"/>
                </w:tcPr>
                <w:p w14:paraId="0FCC5EA1">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空间布局约束</w:t>
                  </w:r>
                </w:p>
              </w:tc>
              <w:tc>
                <w:tcPr>
                  <w:tcW w:w="1838" w:type="pct"/>
                  <w:tcBorders>
                    <w:tl2br w:val="nil"/>
                    <w:tr2bl w:val="nil"/>
                  </w:tcBorders>
                  <w:vAlign w:val="center"/>
                </w:tcPr>
                <w:p w14:paraId="655BA5E8">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left"/>
                    <w:textAlignment w:val="auto"/>
                    <w:rPr>
                      <w:rFonts w:hint="eastAsia" w:ascii="仿宋" w:hAnsi="仿宋" w:eastAsia="仿宋"/>
                      <w:color w:val="auto"/>
                      <w:sz w:val="22"/>
                      <w:szCs w:val="24"/>
                      <w:highlight w:val="none"/>
                    </w:rPr>
                  </w:pPr>
                  <w:r>
                    <w:rPr>
                      <w:rFonts w:hint="eastAsia" w:ascii="Times New Roman" w:hAnsi="Times New Roman" w:eastAsia="宋体" w:cs="Times New Roman"/>
                      <w:color w:val="auto"/>
                      <w:kern w:val="2"/>
                      <w:sz w:val="21"/>
                      <w:szCs w:val="21"/>
                      <w:highlight w:val="none"/>
                      <w:lang w:val="en-US" w:eastAsia="zh-CN" w:bidi="ar-SA"/>
                    </w:rPr>
                    <w:t>1.持续推进城中村、老旧城区、城乡结合部污水截流、收集和城市雨污管道新建、改建。</w:t>
                  </w:r>
                </w:p>
              </w:tc>
              <w:tc>
                <w:tcPr>
                  <w:tcW w:w="862" w:type="pct"/>
                  <w:tcBorders>
                    <w:tl2br w:val="nil"/>
                    <w:tr2bl w:val="nil"/>
                  </w:tcBorders>
                  <w:vAlign w:val="center"/>
                </w:tcPr>
                <w:p w14:paraId="154090D7">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不涉及</w:t>
                  </w:r>
                </w:p>
              </w:tc>
              <w:tc>
                <w:tcPr>
                  <w:tcW w:w="384" w:type="pct"/>
                  <w:vMerge w:val="continue"/>
                  <w:tcBorders>
                    <w:tl2br w:val="nil"/>
                    <w:tr2bl w:val="nil"/>
                  </w:tcBorders>
                  <w:vAlign w:val="center"/>
                </w:tcPr>
                <w:p w14:paraId="6FB60802">
                  <w:pPr>
                    <w:jc w:val="center"/>
                    <w:rPr>
                      <w:rFonts w:hint="eastAsia" w:ascii="Times New Roman" w:hAnsi="Times New Roman" w:eastAsia="宋体" w:cs="Times New Roman"/>
                      <w:color w:val="0000FF"/>
                      <w:kern w:val="2"/>
                      <w:sz w:val="21"/>
                      <w:szCs w:val="21"/>
                      <w:highlight w:val="none"/>
                      <w:lang w:val="en-US" w:eastAsia="zh-CN" w:bidi="ar-SA"/>
                    </w:rPr>
                  </w:pPr>
                </w:p>
              </w:tc>
              <w:tc>
                <w:tcPr>
                  <w:tcW w:w="164" w:type="pct"/>
                  <w:tcBorders>
                    <w:tl2br w:val="nil"/>
                    <w:tr2bl w:val="nil"/>
                  </w:tcBorders>
                  <w:vAlign w:val="center"/>
                </w:tcPr>
                <w:p w14:paraId="1B3FB99A">
                  <w:pP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符合</w:t>
                  </w:r>
                </w:p>
              </w:tc>
            </w:tr>
            <w:tr w14:paraId="53C79F50">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08" w:type="pct"/>
                  <w:vMerge w:val="continue"/>
                  <w:tcBorders>
                    <w:tl2br w:val="nil"/>
                    <w:tr2bl w:val="nil"/>
                  </w:tcBorders>
                  <w:vAlign w:val="center"/>
                </w:tcPr>
                <w:p w14:paraId="36AA832A">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0000FF"/>
                      <w:kern w:val="2"/>
                      <w:sz w:val="21"/>
                      <w:szCs w:val="21"/>
                      <w:highlight w:val="none"/>
                      <w:lang w:val="en-US" w:eastAsia="zh-CN" w:bidi="ar-SA"/>
                    </w:rPr>
                  </w:pPr>
                </w:p>
              </w:tc>
              <w:tc>
                <w:tcPr>
                  <w:tcW w:w="271" w:type="pct"/>
                  <w:vMerge w:val="continue"/>
                  <w:tcBorders>
                    <w:tl2br w:val="nil"/>
                    <w:tr2bl w:val="nil"/>
                  </w:tcBorders>
                  <w:vAlign w:val="center"/>
                </w:tcPr>
                <w:p w14:paraId="17E01FDE">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0000FF"/>
                      <w:kern w:val="2"/>
                      <w:sz w:val="21"/>
                      <w:szCs w:val="21"/>
                      <w:highlight w:val="none"/>
                      <w:lang w:val="en-US" w:eastAsia="zh-CN" w:bidi="ar-SA"/>
                    </w:rPr>
                  </w:pPr>
                </w:p>
              </w:tc>
              <w:tc>
                <w:tcPr>
                  <w:tcW w:w="189" w:type="pct"/>
                  <w:vMerge w:val="continue"/>
                  <w:tcBorders>
                    <w:tl2br w:val="nil"/>
                    <w:tr2bl w:val="nil"/>
                  </w:tcBorders>
                  <w:vAlign w:val="center"/>
                </w:tcPr>
                <w:p w14:paraId="606E2373">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cs="Times New Roman"/>
                      <w:color w:val="0000FF"/>
                      <w:kern w:val="2"/>
                      <w:sz w:val="21"/>
                      <w:szCs w:val="21"/>
                      <w:highlight w:val="none"/>
                      <w:lang w:val="en-US" w:eastAsia="zh-CN" w:bidi="ar-SA"/>
                    </w:rPr>
                  </w:pPr>
                </w:p>
              </w:tc>
              <w:tc>
                <w:tcPr>
                  <w:tcW w:w="373" w:type="pct"/>
                  <w:vMerge w:val="continue"/>
                  <w:tcBorders>
                    <w:tl2br w:val="nil"/>
                    <w:tr2bl w:val="nil"/>
                  </w:tcBorders>
                  <w:vAlign w:val="center"/>
                </w:tcPr>
                <w:p w14:paraId="00CF2F2B">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0000FF"/>
                      <w:kern w:val="2"/>
                      <w:sz w:val="21"/>
                      <w:szCs w:val="21"/>
                      <w:highlight w:val="none"/>
                      <w:lang w:val="en-US" w:eastAsia="zh-CN" w:bidi="ar-SA"/>
                    </w:rPr>
                  </w:pPr>
                </w:p>
              </w:tc>
              <w:tc>
                <w:tcPr>
                  <w:tcW w:w="381" w:type="pct"/>
                  <w:vMerge w:val="continue"/>
                  <w:tcBorders>
                    <w:tl2br w:val="nil"/>
                    <w:tr2bl w:val="nil"/>
                  </w:tcBorders>
                  <w:vAlign w:val="top"/>
                </w:tcPr>
                <w:p w14:paraId="41A85E14">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ascii="Times New Roman" w:hAnsi="Times New Roman" w:eastAsia="宋体" w:cs="Times New Roman"/>
                      <w:color w:val="auto"/>
                      <w:kern w:val="2"/>
                      <w:sz w:val="21"/>
                      <w:szCs w:val="21"/>
                      <w:highlight w:val="none"/>
                      <w:lang w:val="en-US" w:eastAsia="zh-CN" w:bidi="ar-SA"/>
                    </w:rPr>
                  </w:pPr>
                </w:p>
              </w:tc>
              <w:tc>
                <w:tcPr>
                  <w:tcW w:w="426" w:type="pct"/>
                  <w:tcBorders>
                    <w:tl2br w:val="nil"/>
                    <w:tr2bl w:val="nil"/>
                  </w:tcBorders>
                  <w:vAlign w:val="center"/>
                </w:tcPr>
                <w:p w14:paraId="0467EF6B">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污染物排放管控</w:t>
                  </w:r>
                </w:p>
              </w:tc>
              <w:tc>
                <w:tcPr>
                  <w:tcW w:w="1838" w:type="pct"/>
                  <w:tcBorders>
                    <w:tl2br w:val="nil"/>
                    <w:tr2bl w:val="nil"/>
                  </w:tcBorders>
                  <w:vAlign w:val="center"/>
                </w:tcPr>
                <w:p w14:paraId="4C52429C">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left"/>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1.加强城镇污水收集处理设施建设与提标改造。城镇生活污水处理达到《陕西省黄河流域污水综合排放标准》（</w:t>
                  </w:r>
                  <w:r>
                    <w:rPr>
                      <w:rFonts w:hint="default" w:ascii="Times New Roman" w:hAnsi="Times New Roman" w:eastAsia="宋体" w:cs="Times New Roman"/>
                      <w:color w:val="auto"/>
                      <w:kern w:val="2"/>
                      <w:sz w:val="21"/>
                      <w:szCs w:val="21"/>
                      <w:highlight w:val="none"/>
                      <w:lang w:val="en-US" w:eastAsia="zh-CN" w:bidi="ar-SA"/>
                    </w:rPr>
                    <w:t>DB61/224-2018</w:t>
                  </w:r>
                  <w:r>
                    <w:rPr>
                      <w:rFonts w:hint="eastAsia" w:ascii="Times New Roman" w:hAnsi="Times New Roman" w:eastAsia="宋体" w:cs="Times New Roman"/>
                      <w:color w:val="auto"/>
                      <w:kern w:val="2"/>
                      <w:sz w:val="21"/>
                      <w:szCs w:val="21"/>
                      <w:highlight w:val="none"/>
                      <w:lang w:val="en-US" w:eastAsia="zh-CN" w:bidi="ar-SA"/>
                    </w:rPr>
                    <w:t>）排放限值要求。</w:t>
                  </w:r>
                  <w:r>
                    <w:rPr>
                      <w:rFonts w:hint="default" w:ascii="Times New Roman" w:hAnsi="Times New Roman" w:eastAsia="宋体" w:cs="Times New Roman"/>
                      <w:color w:val="auto"/>
                      <w:kern w:val="2"/>
                      <w:sz w:val="21"/>
                      <w:szCs w:val="21"/>
                      <w:highlight w:val="none"/>
                      <w:lang w:val="en-US" w:eastAsia="zh-CN" w:bidi="ar-SA"/>
                    </w:rPr>
                    <w:t>2.</w:t>
                  </w:r>
                  <w:r>
                    <w:rPr>
                      <w:rFonts w:hint="eastAsia" w:ascii="Times New Roman" w:hAnsi="Times New Roman" w:eastAsia="宋体" w:cs="Times New Roman"/>
                      <w:color w:val="auto"/>
                      <w:kern w:val="2"/>
                      <w:sz w:val="21"/>
                      <w:szCs w:val="21"/>
                      <w:highlight w:val="none"/>
                      <w:lang w:val="en-US" w:eastAsia="zh-CN" w:bidi="ar-SA"/>
                    </w:rPr>
                    <w:t>城镇新区管网建设及老旧城区管网升级改造中实行雨污分流，鼓励推进初期雨水</w:t>
                  </w:r>
                </w:p>
                <w:p w14:paraId="57AEE109">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left"/>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收集、处理和资源化利用，建设人工湿地水质净化工程，对处理达标后的尾水进一步净化。</w:t>
                  </w:r>
                  <w:r>
                    <w:rPr>
                      <w:rFonts w:hint="default" w:ascii="Times New Roman" w:hAnsi="Times New Roman" w:eastAsia="宋体" w:cs="Times New Roman"/>
                      <w:color w:val="auto"/>
                      <w:kern w:val="2"/>
                      <w:sz w:val="21"/>
                      <w:szCs w:val="21"/>
                      <w:highlight w:val="none"/>
                      <w:lang w:val="en-US" w:eastAsia="zh-CN" w:bidi="ar-SA"/>
                    </w:rPr>
                    <w:t>3.</w:t>
                  </w:r>
                  <w:r>
                    <w:rPr>
                      <w:rFonts w:hint="eastAsia" w:ascii="Times New Roman" w:hAnsi="Times New Roman" w:eastAsia="宋体" w:cs="Times New Roman"/>
                      <w:color w:val="auto"/>
                      <w:kern w:val="2"/>
                      <w:sz w:val="21"/>
                      <w:szCs w:val="21"/>
                      <w:highlight w:val="none"/>
                      <w:lang w:val="en-US" w:eastAsia="zh-CN" w:bidi="ar-SA"/>
                    </w:rPr>
                    <w:t>污水处理厂出水用于绿化、农灌等用途的，合理确定管控要求，确保达到相应污水再生利用标准。</w:t>
                  </w:r>
                </w:p>
              </w:tc>
              <w:tc>
                <w:tcPr>
                  <w:tcW w:w="862" w:type="pct"/>
                  <w:tcBorders>
                    <w:tl2br w:val="nil"/>
                    <w:tr2bl w:val="nil"/>
                  </w:tcBorders>
                  <w:vAlign w:val="center"/>
                </w:tcPr>
                <w:p w14:paraId="2BB52420">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实验废水作为危废处理，纯水制备废水</w:t>
                  </w:r>
                  <w:r>
                    <w:rPr>
                      <w:rFonts w:hint="eastAsia" w:cs="Times New Roman"/>
                      <w:color w:val="auto"/>
                      <w:sz w:val="21"/>
                      <w:szCs w:val="21"/>
                      <w:highlight w:val="none"/>
                      <w:lang w:val="en-US" w:eastAsia="zh-CN"/>
                    </w:rPr>
                    <w:t>用于厂区洒水抑尘</w:t>
                  </w:r>
                </w:p>
              </w:tc>
              <w:tc>
                <w:tcPr>
                  <w:tcW w:w="384" w:type="pct"/>
                  <w:vMerge w:val="continue"/>
                  <w:tcBorders>
                    <w:tl2br w:val="nil"/>
                    <w:tr2bl w:val="nil"/>
                  </w:tcBorders>
                  <w:vAlign w:val="center"/>
                </w:tcPr>
                <w:p w14:paraId="246AFE04">
                  <w:pPr>
                    <w:jc w:val="center"/>
                    <w:rPr>
                      <w:rFonts w:hint="eastAsia" w:ascii="Times New Roman" w:hAnsi="Times New Roman" w:eastAsia="宋体" w:cs="Times New Roman"/>
                      <w:color w:val="0000FF"/>
                      <w:kern w:val="2"/>
                      <w:sz w:val="21"/>
                      <w:szCs w:val="21"/>
                      <w:highlight w:val="none"/>
                      <w:lang w:val="en-US" w:eastAsia="zh-CN" w:bidi="ar-SA"/>
                    </w:rPr>
                  </w:pPr>
                </w:p>
              </w:tc>
              <w:tc>
                <w:tcPr>
                  <w:tcW w:w="164" w:type="pct"/>
                  <w:tcBorders>
                    <w:tl2br w:val="nil"/>
                    <w:tr2bl w:val="nil"/>
                  </w:tcBorders>
                  <w:vAlign w:val="center"/>
                </w:tcPr>
                <w:p w14:paraId="7CA6C019">
                  <w:pP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符合</w:t>
                  </w:r>
                </w:p>
              </w:tc>
            </w:tr>
            <w:tr w14:paraId="5AB72EB8">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8" w:type="pct"/>
                  <w:vMerge w:val="continue"/>
                  <w:tcBorders>
                    <w:tl2br w:val="nil"/>
                    <w:tr2bl w:val="nil"/>
                  </w:tcBorders>
                  <w:vAlign w:val="center"/>
                </w:tcPr>
                <w:p w14:paraId="0E31F8BC">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0000FF"/>
                      <w:kern w:val="2"/>
                      <w:sz w:val="21"/>
                      <w:szCs w:val="21"/>
                      <w:highlight w:val="none"/>
                      <w:lang w:val="en-US" w:eastAsia="zh-CN" w:bidi="ar-SA"/>
                    </w:rPr>
                  </w:pPr>
                </w:p>
              </w:tc>
              <w:tc>
                <w:tcPr>
                  <w:tcW w:w="271" w:type="pct"/>
                  <w:vMerge w:val="continue"/>
                  <w:tcBorders>
                    <w:tl2br w:val="nil"/>
                    <w:tr2bl w:val="nil"/>
                  </w:tcBorders>
                  <w:vAlign w:val="center"/>
                </w:tcPr>
                <w:p w14:paraId="362E13C5">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0000FF"/>
                      <w:kern w:val="2"/>
                      <w:sz w:val="21"/>
                      <w:szCs w:val="21"/>
                      <w:highlight w:val="none"/>
                      <w:lang w:val="en-US" w:eastAsia="zh-CN" w:bidi="ar-SA"/>
                    </w:rPr>
                  </w:pPr>
                </w:p>
              </w:tc>
              <w:tc>
                <w:tcPr>
                  <w:tcW w:w="189" w:type="pct"/>
                  <w:vMerge w:val="continue"/>
                  <w:tcBorders>
                    <w:tl2br w:val="nil"/>
                    <w:tr2bl w:val="nil"/>
                  </w:tcBorders>
                  <w:vAlign w:val="center"/>
                </w:tcPr>
                <w:p w14:paraId="27EACF04">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cs="Times New Roman"/>
                      <w:color w:val="0000FF"/>
                      <w:kern w:val="2"/>
                      <w:sz w:val="21"/>
                      <w:szCs w:val="21"/>
                      <w:highlight w:val="none"/>
                      <w:lang w:val="en-US" w:eastAsia="zh-CN" w:bidi="ar-SA"/>
                    </w:rPr>
                  </w:pPr>
                </w:p>
              </w:tc>
              <w:tc>
                <w:tcPr>
                  <w:tcW w:w="373" w:type="pct"/>
                  <w:vMerge w:val="continue"/>
                  <w:tcBorders>
                    <w:tl2br w:val="nil"/>
                    <w:tr2bl w:val="nil"/>
                  </w:tcBorders>
                  <w:vAlign w:val="center"/>
                </w:tcPr>
                <w:p w14:paraId="6F321343">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0000FF"/>
                      <w:kern w:val="2"/>
                      <w:sz w:val="21"/>
                      <w:szCs w:val="21"/>
                      <w:highlight w:val="none"/>
                      <w:lang w:val="en-US" w:eastAsia="zh-CN" w:bidi="ar-SA"/>
                    </w:rPr>
                  </w:pPr>
                </w:p>
              </w:tc>
              <w:tc>
                <w:tcPr>
                  <w:tcW w:w="381" w:type="pct"/>
                  <w:tcBorders>
                    <w:tl2br w:val="nil"/>
                    <w:tr2bl w:val="nil"/>
                  </w:tcBorders>
                  <w:vAlign w:val="center"/>
                </w:tcPr>
                <w:p w14:paraId="3492F7B4">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地下水开采重点管控区</w:t>
                  </w:r>
                </w:p>
              </w:tc>
              <w:tc>
                <w:tcPr>
                  <w:tcW w:w="426" w:type="pct"/>
                  <w:tcBorders>
                    <w:tl2br w:val="nil"/>
                    <w:tr2bl w:val="nil"/>
                  </w:tcBorders>
                  <w:vAlign w:val="center"/>
                </w:tcPr>
                <w:p w14:paraId="2A3EDF34">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资源开发</w:t>
                  </w:r>
                </w:p>
                <w:p w14:paraId="4762C039">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效率要求</w:t>
                  </w:r>
                </w:p>
              </w:tc>
              <w:tc>
                <w:tcPr>
                  <w:tcW w:w="1838" w:type="pct"/>
                  <w:tcBorders>
                    <w:tl2br w:val="nil"/>
                    <w:tr2bl w:val="nil"/>
                  </w:tcBorders>
                  <w:vAlign w:val="center"/>
                </w:tcPr>
                <w:p w14:paraId="0A3DCF23">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left"/>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1.落实行政责任，强化考核管理。各级政府要加强领导，落实责任，强化措施，进一步加强地下水资源的开发管理和保护工作，对划定的地下水超采区，要勘定四至界限，设立界标和标识牌，落实管理和保护措施。对开采地下水的取水户，要制订年度开采指标，严格实行总量和定额控制管理。制订地下水水量、水位双控指标，并将纳入各地经济社会发展综合评价与绩效考核指标体系。2.拓展地下</w:t>
                  </w:r>
                </w:p>
                <w:p w14:paraId="4588E115">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left"/>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水补给途径，有效涵养地下水。要积极开展人工回灌等超采区治理研究，有效减缓、控制地面沉降，应结合当地条件，充分利用过境河流、再生水等资源，有效增加地下水补给，多途径涵养地下水源。3.地下水禁止开采区禁止取用地下水（为保障地下工程施工安全和生产安全必须进行</w:t>
                  </w:r>
                </w:p>
                <w:p w14:paraId="4173D7C5">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left"/>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临时应急取（排）水；为消除对公共安全或者公共利益的危害临时应急取水；为开展地下水监测、勘探、试验少量取水除外）。地下水限制开采区内禁止新增取用地下水，并逐步削减地下水取水量。4.地下水超采区内严格限制使用地下水发展高耗水工业和服务业，适度压减高耗水农作物，鼓励通过节水改造、水源置换、休耕雨养、种植结构调整等措施压减农业取用地下水。</w:t>
                  </w:r>
                </w:p>
              </w:tc>
              <w:tc>
                <w:tcPr>
                  <w:tcW w:w="862" w:type="pct"/>
                  <w:tcBorders>
                    <w:tl2br w:val="nil"/>
                    <w:tr2bl w:val="nil"/>
                  </w:tcBorders>
                  <w:vAlign w:val="center"/>
                </w:tcPr>
                <w:p w14:paraId="1E532A79">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本项目用水采用市政管网供水，不涉及地下水开采</w:t>
                  </w:r>
                </w:p>
              </w:tc>
              <w:tc>
                <w:tcPr>
                  <w:tcW w:w="384" w:type="pct"/>
                  <w:vMerge w:val="continue"/>
                  <w:tcBorders>
                    <w:tl2br w:val="nil"/>
                    <w:tr2bl w:val="nil"/>
                  </w:tcBorders>
                  <w:vAlign w:val="center"/>
                </w:tcPr>
                <w:p w14:paraId="2ACFAA80">
                  <w:pPr>
                    <w:jc w:val="center"/>
                    <w:rPr>
                      <w:rFonts w:hint="eastAsia" w:ascii="Times New Roman" w:hAnsi="Times New Roman" w:eastAsia="宋体" w:cs="Times New Roman"/>
                      <w:color w:val="0000FF"/>
                      <w:kern w:val="2"/>
                      <w:sz w:val="21"/>
                      <w:szCs w:val="21"/>
                      <w:highlight w:val="none"/>
                      <w:lang w:val="en-US" w:eastAsia="zh-CN" w:bidi="ar-SA"/>
                    </w:rPr>
                  </w:pPr>
                </w:p>
              </w:tc>
              <w:tc>
                <w:tcPr>
                  <w:tcW w:w="164" w:type="pct"/>
                  <w:tcBorders>
                    <w:tl2br w:val="nil"/>
                    <w:tr2bl w:val="nil"/>
                  </w:tcBorders>
                  <w:vAlign w:val="center"/>
                </w:tcPr>
                <w:p w14:paraId="6CB60230">
                  <w:pP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符合</w:t>
                  </w:r>
                </w:p>
              </w:tc>
            </w:tr>
            <w:tr w14:paraId="31A889EA">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8" w:type="pct"/>
                  <w:vMerge w:val="continue"/>
                  <w:tcBorders>
                    <w:tl2br w:val="nil"/>
                    <w:tr2bl w:val="nil"/>
                  </w:tcBorders>
                  <w:vAlign w:val="center"/>
                </w:tcPr>
                <w:p w14:paraId="015787C0">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0000FF"/>
                      <w:kern w:val="2"/>
                      <w:sz w:val="21"/>
                      <w:szCs w:val="21"/>
                      <w:highlight w:val="none"/>
                      <w:lang w:val="en-US" w:eastAsia="zh-CN" w:bidi="ar-SA"/>
                    </w:rPr>
                  </w:pPr>
                </w:p>
              </w:tc>
              <w:tc>
                <w:tcPr>
                  <w:tcW w:w="271" w:type="pct"/>
                  <w:vMerge w:val="continue"/>
                  <w:tcBorders>
                    <w:tl2br w:val="nil"/>
                    <w:tr2bl w:val="nil"/>
                  </w:tcBorders>
                  <w:vAlign w:val="center"/>
                </w:tcPr>
                <w:p w14:paraId="41EDF3B4">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0000FF"/>
                      <w:kern w:val="2"/>
                      <w:sz w:val="21"/>
                      <w:szCs w:val="21"/>
                      <w:highlight w:val="none"/>
                      <w:lang w:val="en-US" w:eastAsia="zh-CN" w:bidi="ar-SA"/>
                    </w:rPr>
                  </w:pPr>
                </w:p>
              </w:tc>
              <w:tc>
                <w:tcPr>
                  <w:tcW w:w="189" w:type="pct"/>
                  <w:vMerge w:val="continue"/>
                  <w:tcBorders>
                    <w:tl2br w:val="nil"/>
                    <w:tr2bl w:val="nil"/>
                  </w:tcBorders>
                  <w:vAlign w:val="center"/>
                </w:tcPr>
                <w:p w14:paraId="1F8CB835">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cs="Times New Roman"/>
                      <w:color w:val="0000FF"/>
                      <w:kern w:val="2"/>
                      <w:sz w:val="21"/>
                      <w:szCs w:val="21"/>
                      <w:highlight w:val="none"/>
                      <w:lang w:val="en-US" w:eastAsia="zh-CN" w:bidi="ar-SA"/>
                    </w:rPr>
                  </w:pPr>
                </w:p>
              </w:tc>
              <w:tc>
                <w:tcPr>
                  <w:tcW w:w="373" w:type="pct"/>
                  <w:vMerge w:val="continue"/>
                  <w:tcBorders>
                    <w:tl2br w:val="nil"/>
                    <w:tr2bl w:val="nil"/>
                  </w:tcBorders>
                  <w:vAlign w:val="center"/>
                </w:tcPr>
                <w:p w14:paraId="421F6439">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0000FF"/>
                      <w:kern w:val="2"/>
                      <w:sz w:val="21"/>
                      <w:szCs w:val="21"/>
                      <w:highlight w:val="none"/>
                      <w:lang w:val="en-US" w:eastAsia="zh-CN" w:bidi="ar-SA"/>
                    </w:rPr>
                  </w:pPr>
                </w:p>
              </w:tc>
              <w:tc>
                <w:tcPr>
                  <w:tcW w:w="381" w:type="pct"/>
                  <w:tcBorders>
                    <w:tl2br w:val="nil"/>
                    <w:tr2bl w:val="nil"/>
                  </w:tcBorders>
                  <w:vAlign w:val="center"/>
                </w:tcPr>
                <w:p w14:paraId="307505D6">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高污染</w:t>
                  </w:r>
                </w:p>
                <w:p w14:paraId="3F460E09">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燃料禁燃区</w:t>
                  </w:r>
                </w:p>
              </w:tc>
              <w:tc>
                <w:tcPr>
                  <w:tcW w:w="426" w:type="pct"/>
                  <w:tcBorders>
                    <w:tl2br w:val="nil"/>
                    <w:tr2bl w:val="nil"/>
                  </w:tcBorders>
                  <w:vAlign w:val="center"/>
                </w:tcPr>
                <w:p w14:paraId="79BC01D8">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资源开发</w:t>
                  </w:r>
                </w:p>
                <w:p w14:paraId="1FD49E24">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效率要求</w:t>
                  </w:r>
                </w:p>
              </w:tc>
              <w:tc>
                <w:tcPr>
                  <w:tcW w:w="1838" w:type="pct"/>
                  <w:tcBorders>
                    <w:tl2br w:val="nil"/>
                    <w:tr2bl w:val="nil"/>
                  </w:tcBorders>
                  <w:vAlign w:val="center"/>
                </w:tcPr>
                <w:p w14:paraId="4B3956F9">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left"/>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1.禁止销售、使用高污染燃料。禁止新建、扩建燃用高污染燃料的设施。已建成的，应当在市人民政府规定的期限内停止使用或者改用天然气、页岩气、煤层气、液化石油气、干热岩、电、太阳能或者其他清洁能源。2.禁止燃放烟花爆竹</w:t>
                  </w:r>
                </w:p>
              </w:tc>
              <w:tc>
                <w:tcPr>
                  <w:tcW w:w="862" w:type="pct"/>
                  <w:tcBorders>
                    <w:tl2br w:val="nil"/>
                    <w:tr2bl w:val="nil"/>
                  </w:tcBorders>
                  <w:vAlign w:val="center"/>
                </w:tcPr>
                <w:p w14:paraId="17D65C67">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both"/>
                    <w:textAlignment w:val="auto"/>
                    <w:rPr>
                      <w:rFonts w:hint="eastAsia" w:cs="Times New Roman"/>
                      <w:color w:val="0000FF"/>
                      <w:kern w:val="2"/>
                      <w:sz w:val="21"/>
                      <w:szCs w:val="21"/>
                      <w:highlight w:val="none"/>
                      <w:lang w:val="en-US" w:eastAsia="zh-CN" w:bidi="ar-SA"/>
                    </w:rPr>
                  </w:pPr>
                  <w:r>
                    <w:rPr>
                      <w:rFonts w:hint="eastAsia" w:cs="Times New Roman"/>
                      <w:color w:val="auto"/>
                      <w:kern w:val="2"/>
                      <w:sz w:val="21"/>
                      <w:szCs w:val="21"/>
                      <w:highlight w:val="none"/>
                      <w:lang w:val="en-US" w:eastAsia="zh-CN" w:bidi="ar-SA"/>
                    </w:rPr>
                    <w:t>项目能源采用电，属清洁能源，不使用高污染燃料</w:t>
                  </w:r>
                </w:p>
              </w:tc>
              <w:tc>
                <w:tcPr>
                  <w:tcW w:w="384" w:type="pct"/>
                  <w:vMerge w:val="continue"/>
                  <w:tcBorders>
                    <w:tl2br w:val="nil"/>
                    <w:tr2bl w:val="nil"/>
                  </w:tcBorders>
                  <w:vAlign w:val="center"/>
                </w:tcPr>
                <w:p w14:paraId="2F594994">
                  <w:pPr>
                    <w:jc w:val="center"/>
                    <w:rPr>
                      <w:rFonts w:hint="eastAsia" w:ascii="Times New Roman" w:hAnsi="Times New Roman" w:eastAsia="宋体" w:cs="Times New Roman"/>
                      <w:color w:val="0000FF"/>
                      <w:kern w:val="2"/>
                      <w:sz w:val="21"/>
                      <w:szCs w:val="21"/>
                      <w:highlight w:val="none"/>
                      <w:lang w:val="en-US" w:eastAsia="zh-CN" w:bidi="ar-SA"/>
                    </w:rPr>
                  </w:pPr>
                </w:p>
              </w:tc>
              <w:tc>
                <w:tcPr>
                  <w:tcW w:w="164" w:type="pct"/>
                  <w:tcBorders>
                    <w:tl2br w:val="nil"/>
                    <w:tr2bl w:val="nil"/>
                  </w:tcBorders>
                  <w:vAlign w:val="center"/>
                </w:tcPr>
                <w:p w14:paraId="12C71624">
                  <w:pPr>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符合</w:t>
                  </w:r>
                </w:p>
              </w:tc>
            </w:tr>
          </w:tbl>
          <w:p w14:paraId="2BD67C9A">
            <w:pPr>
              <w:adjustRightInd w:val="0"/>
              <w:spacing w:line="360" w:lineRule="auto"/>
              <w:ind w:firstLine="420" w:firstLineChars="200"/>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③一说明</w:t>
            </w:r>
          </w:p>
          <w:p w14:paraId="2BD15BB4">
            <w:pPr>
              <w:adjustRightInd w:val="0"/>
              <w:spacing w:line="360" w:lineRule="auto"/>
              <w:ind w:firstLine="420" w:firstLineChars="200"/>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一说明：本项目与“三线一单”对照分析说明见下表：</w:t>
            </w:r>
          </w:p>
          <w:p w14:paraId="0F3BF361">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center"/>
              <w:textAlignment w:val="auto"/>
              <w:outlineLvl w:val="9"/>
              <w:rPr>
                <w:rFonts w:hint="eastAsia" w:ascii="Times New Roman" w:hAnsi="Times New Roman" w:eastAsia="宋体" w:cs="Times New Roman"/>
                <w:color w:val="auto"/>
                <w:sz w:val="21"/>
                <w:szCs w:val="21"/>
                <w:highlight w:val="none"/>
                <w:lang w:val="en-GB" w:eastAsia="zh-CN"/>
              </w:rPr>
            </w:pPr>
          </w:p>
          <w:p w14:paraId="4A79E705">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center"/>
              <w:textAlignment w:val="auto"/>
              <w:outlineLvl w:val="9"/>
              <w:rPr>
                <w:rFonts w:hint="eastAsia" w:ascii="Times New Roman" w:hAnsi="Times New Roman" w:eastAsia="宋体" w:cs="Times New Roman"/>
                <w:color w:val="auto"/>
                <w:sz w:val="21"/>
                <w:szCs w:val="21"/>
                <w:highlight w:val="none"/>
                <w:lang w:val="en-GB" w:eastAsia="zh-CN"/>
              </w:rPr>
            </w:pPr>
            <w:r>
              <w:rPr>
                <w:rFonts w:hint="eastAsia" w:ascii="Times New Roman" w:hAnsi="Times New Roman" w:eastAsia="宋体" w:cs="Times New Roman"/>
                <w:color w:val="auto"/>
                <w:sz w:val="21"/>
                <w:szCs w:val="21"/>
                <w:highlight w:val="none"/>
                <w:lang w:val="en-GB" w:eastAsia="zh-CN"/>
              </w:rPr>
              <w:t>表</w:t>
            </w:r>
            <w:r>
              <w:rPr>
                <w:rFonts w:hint="eastAsia" w:cs="Times New Roman"/>
                <w:color w:val="auto"/>
                <w:sz w:val="21"/>
                <w:szCs w:val="21"/>
                <w:highlight w:val="none"/>
                <w:lang w:val="en-US" w:eastAsia="zh-CN"/>
              </w:rPr>
              <w:t>4</w:t>
            </w:r>
            <w:r>
              <w:rPr>
                <w:rFonts w:hint="eastAsia" w:ascii="Times New Roman" w:hAnsi="Times New Roman" w:eastAsia="宋体" w:cs="Times New Roman"/>
                <w:color w:val="auto"/>
                <w:sz w:val="21"/>
                <w:szCs w:val="21"/>
                <w:highlight w:val="none"/>
                <w:lang w:val="en-GB" w:eastAsia="zh-CN"/>
              </w:rPr>
              <w:t xml:space="preserve">  本项目与“三线一单”对照分析说明表</w:t>
            </w:r>
          </w:p>
          <w:tbl>
            <w:tblPr>
              <w:tblStyle w:val="46"/>
              <w:tblW w:w="5000"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348"/>
              <w:gridCol w:w="6475"/>
              <w:gridCol w:w="1132"/>
            </w:tblGrid>
            <w:tr w14:paraId="552643A6">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64" w:type="pct"/>
                  <w:tcBorders>
                    <w:tl2br w:val="nil"/>
                    <w:tr2bl w:val="nil"/>
                  </w:tcBorders>
                  <w:noWrap w:val="0"/>
                  <w:vAlign w:val="center"/>
                </w:tcPr>
                <w:p w14:paraId="39D87D35">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对照分析</w:t>
                  </w:r>
                </w:p>
              </w:tc>
              <w:tc>
                <w:tcPr>
                  <w:tcW w:w="2499" w:type="pct"/>
                  <w:tcBorders>
                    <w:tl2br w:val="nil"/>
                    <w:tr2bl w:val="nil"/>
                  </w:tcBorders>
                  <w:noWrap w:val="0"/>
                  <w:vAlign w:val="center"/>
                </w:tcPr>
                <w:p w14:paraId="74275B13">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本项目情况</w:t>
                  </w:r>
                </w:p>
              </w:tc>
              <w:tc>
                <w:tcPr>
                  <w:tcW w:w="437" w:type="pct"/>
                  <w:tcBorders>
                    <w:tl2br w:val="nil"/>
                    <w:tr2bl w:val="nil"/>
                  </w:tcBorders>
                  <w:noWrap w:val="0"/>
                  <w:vAlign w:val="center"/>
                </w:tcPr>
                <w:p w14:paraId="0EB56D37">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符合性</w:t>
                  </w:r>
                </w:p>
              </w:tc>
            </w:tr>
            <w:tr w14:paraId="5424DED8">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64" w:type="pct"/>
                  <w:tcBorders>
                    <w:tl2br w:val="nil"/>
                    <w:tr2bl w:val="nil"/>
                  </w:tcBorders>
                  <w:noWrap w:val="0"/>
                  <w:vAlign w:val="center"/>
                </w:tcPr>
                <w:p w14:paraId="7C07D2F6">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各类生态环境敏感区对照分析</w:t>
                  </w:r>
                </w:p>
              </w:tc>
              <w:tc>
                <w:tcPr>
                  <w:tcW w:w="2499" w:type="pct"/>
                  <w:tcBorders>
                    <w:tl2br w:val="nil"/>
                    <w:tr2bl w:val="nil"/>
                  </w:tcBorders>
                  <w:noWrap w:val="0"/>
                  <w:vAlign w:val="center"/>
                </w:tcPr>
                <w:p w14:paraId="4C0444B1">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根据“一图”可知，本项目不涉及生态环境敏感区</w:t>
                  </w:r>
                </w:p>
              </w:tc>
              <w:tc>
                <w:tcPr>
                  <w:tcW w:w="437" w:type="pct"/>
                  <w:tcBorders>
                    <w:tl2br w:val="nil"/>
                    <w:tr2bl w:val="nil"/>
                  </w:tcBorders>
                  <w:noWrap w:val="0"/>
                  <w:vAlign w:val="center"/>
                </w:tcPr>
                <w:p w14:paraId="5D0E31B9">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相符</w:t>
                  </w:r>
                </w:p>
              </w:tc>
            </w:tr>
            <w:tr w14:paraId="36E4B64A">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64" w:type="pct"/>
                  <w:tcBorders>
                    <w:tl2br w:val="nil"/>
                    <w:tr2bl w:val="nil"/>
                  </w:tcBorders>
                  <w:noWrap w:val="0"/>
                  <w:vAlign w:val="center"/>
                </w:tcPr>
                <w:p w14:paraId="13187364">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环境管控单元对照分析</w:t>
                  </w:r>
                </w:p>
              </w:tc>
              <w:tc>
                <w:tcPr>
                  <w:tcW w:w="2499" w:type="pct"/>
                  <w:tcBorders>
                    <w:tl2br w:val="nil"/>
                    <w:tr2bl w:val="nil"/>
                  </w:tcBorders>
                  <w:noWrap w:val="0"/>
                  <w:vAlign w:val="center"/>
                </w:tcPr>
                <w:p w14:paraId="4D799262">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根据“一图”可知，项目位于重点管控单元</w:t>
                  </w:r>
                </w:p>
                <w:p w14:paraId="015A3A8F">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根据“一表”可知，项目满足重点管控单元要求</w:t>
                  </w:r>
                </w:p>
              </w:tc>
              <w:tc>
                <w:tcPr>
                  <w:tcW w:w="437" w:type="pct"/>
                  <w:tcBorders>
                    <w:tl2br w:val="nil"/>
                    <w:tr2bl w:val="nil"/>
                  </w:tcBorders>
                  <w:noWrap w:val="0"/>
                  <w:vAlign w:val="center"/>
                </w:tcPr>
                <w:p w14:paraId="133A50BC">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相符</w:t>
                  </w:r>
                </w:p>
              </w:tc>
            </w:tr>
            <w:tr w14:paraId="7B501E2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64" w:type="pct"/>
                  <w:tcBorders>
                    <w:tl2br w:val="nil"/>
                    <w:tr2bl w:val="nil"/>
                  </w:tcBorders>
                  <w:noWrap w:val="0"/>
                  <w:vAlign w:val="center"/>
                </w:tcPr>
                <w:p w14:paraId="598BFA9D">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未纳入环境管控单元的要求分区对照分析</w:t>
                  </w:r>
                </w:p>
              </w:tc>
              <w:tc>
                <w:tcPr>
                  <w:tcW w:w="2499" w:type="pct"/>
                  <w:tcBorders>
                    <w:tl2br w:val="nil"/>
                    <w:tr2bl w:val="nil"/>
                  </w:tcBorders>
                  <w:noWrap w:val="0"/>
                  <w:vAlign w:val="center"/>
                </w:tcPr>
                <w:p w14:paraId="2C2F7082">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不涉及</w:t>
                  </w:r>
                </w:p>
              </w:tc>
              <w:tc>
                <w:tcPr>
                  <w:tcW w:w="437" w:type="pct"/>
                  <w:tcBorders>
                    <w:tl2br w:val="nil"/>
                    <w:tr2bl w:val="nil"/>
                  </w:tcBorders>
                  <w:noWrap w:val="0"/>
                  <w:vAlign w:val="center"/>
                </w:tcPr>
                <w:p w14:paraId="3ABE0DDB">
                  <w:pPr>
                    <w:keepNext w:val="0"/>
                    <w:keepLines w:val="0"/>
                    <w:pageBreakBefore w:val="0"/>
                    <w:widowControl w:val="0"/>
                    <w:kinsoku/>
                    <w:wordWrap w:val="0"/>
                    <w:overflowPunct/>
                    <w:topLinePunct w:val="0"/>
                    <w:autoSpaceDE/>
                    <w:autoSpaceDN/>
                    <w:bidi w:val="0"/>
                    <w:adjustRightInd w:val="0"/>
                    <w:snapToGrid w:val="0"/>
                    <w:spacing w:line="240" w:lineRule="auto"/>
                    <w:ind w:left="-72" w:leftChars="-30" w:right="-72" w:rightChars="-3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相符</w:t>
                  </w:r>
                </w:p>
              </w:tc>
            </w:tr>
          </w:tbl>
          <w:p w14:paraId="607F8335">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ascii="Times New Roman" w:hAnsi="Calibri" w:eastAsia="宋体" w:cs="Times New Roman"/>
                <w:color w:val="0000FF"/>
                <w:sz w:val="21"/>
                <w:szCs w:val="21"/>
                <w:highlight w:val="none"/>
                <w:lang w:val="zh-CN" w:eastAsia="zh-CN"/>
              </w:rPr>
            </w:pPr>
            <w:r>
              <w:rPr>
                <w:rFonts w:hint="eastAsia" w:ascii="Times New Roman" w:hAnsi="Times New Roman" w:eastAsia="宋体" w:cs="Times New Roman"/>
                <w:color w:val="auto"/>
                <w:sz w:val="21"/>
                <w:szCs w:val="21"/>
                <w:highlight w:val="none"/>
                <w:lang w:val="en-GB" w:eastAsia="zh-CN"/>
              </w:rPr>
              <w:t>综上所述，本项目不涉及优先保护单元，</w:t>
            </w:r>
            <w:r>
              <w:rPr>
                <w:rFonts w:hint="eastAsia" w:ascii="Times New Roman" w:hAnsi="Times New Roman" w:eastAsia="宋体" w:cs="Times New Roman"/>
                <w:color w:val="auto"/>
                <w:sz w:val="21"/>
                <w:szCs w:val="21"/>
                <w:highlight w:val="none"/>
                <w:lang w:val="en-US" w:eastAsia="zh-CN"/>
              </w:rPr>
              <w:t>位于</w:t>
            </w:r>
            <w:r>
              <w:rPr>
                <w:rFonts w:hint="eastAsia" w:ascii="Times New Roman" w:hAnsi="Times New Roman" w:eastAsia="宋体" w:cs="Times New Roman"/>
                <w:color w:val="auto"/>
                <w:kern w:val="2"/>
                <w:sz w:val="21"/>
                <w:szCs w:val="21"/>
                <w:highlight w:val="none"/>
                <w:lang w:val="en-US" w:eastAsia="zh-CN" w:bidi="ar-SA"/>
              </w:rPr>
              <w:t>重点管控单元</w:t>
            </w:r>
            <w:r>
              <w:rPr>
                <w:rFonts w:hint="eastAsia" w:ascii="Times New Roman" w:hAnsi="Times New Roman" w:eastAsia="宋体" w:cs="Times New Roman"/>
                <w:color w:val="auto"/>
                <w:sz w:val="21"/>
                <w:szCs w:val="21"/>
                <w:highlight w:val="none"/>
                <w:lang w:val="en-GB" w:eastAsia="zh-CN"/>
              </w:rPr>
              <w:t>。根据</w:t>
            </w:r>
            <w:r>
              <w:rPr>
                <w:rFonts w:hint="eastAsia" w:ascii="Times New Roman" w:hAnsi="Times New Roman" w:eastAsia="宋体" w:cs="Times New Roman"/>
                <w:color w:val="auto"/>
                <w:sz w:val="21"/>
                <w:szCs w:val="21"/>
                <w:highlight w:val="none"/>
                <w:lang w:val="en-US" w:eastAsia="zh-CN"/>
              </w:rPr>
              <w:t>与</w:t>
            </w:r>
            <w:r>
              <w:rPr>
                <w:rFonts w:hint="eastAsia" w:ascii="Times New Roman" w:hAnsi="Times New Roman" w:eastAsia="宋体" w:cs="Times New Roman"/>
                <w:color w:val="auto"/>
                <w:kern w:val="2"/>
                <w:sz w:val="21"/>
                <w:szCs w:val="21"/>
                <w:highlight w:val="none"/>
                <w:lang w:val="en-US" w:eastAsia="zh-CN" w:bidi="ar-SA"/>
              </w:rPr>
              <w:t>本项目有关的</w:t>
            </w:r>
            <w:r>
              <w:rPr>
                <w:rFonts w:hint="eastAsia" w:ascii="Times New Roman" w:hAnsi="Times New Roman" w:eastAsia="宋体" w:cs="Times New Roman"/>
                <w:color w:val="auto"/>
                <w:sz w:val="21"/>
                <w:szCs w:val="21"/>
                <w:highlight w:val="none"/>
                <w:lang w:val="en-GB" w:eastAsia="zh-CN"/>
              </w:rPr>
              <w:t>对照分析结果，</w:t>
            </w:r>
            <w:r>
              <w:rPr>
                <w:rFonts w:hint="eastAsia" w:ascii="Times New Roman" w:hAnsi="Times New Roman" w:eastAsia="宋体" w:cs="Times New Roman"/>
                <w:color w:val="auto"/>
                <w:sz w:val="21"/>
                <w:szCs w:val="21"/>
                <w:highlight w:val="none"/>
                <w:lang w:val="en-US" w:eastAsia="zh-CN"/>
              </w:rPr>
              <w:t>本次建设符合</w:t>
            </w:r>
            <w:r>
              <w:rPr>
                <w:rFonts w:hint="eastAsia" w:ascii="Times New Roman" w:hAnsi="Times New Roman" w:eastAsia="宋体" w:cs="Times New Roman"/>
                <w:color w:val="auto"/>
                <w:sz w:val="21"/>
                <w:szCs w:val="21"/>
                <w:highlight w:val="none"/>
                <w:lang w:val="en-GB" w:eastAsia="zh-CN"/>
              </w:rPr>
              <w:t>《陕西省人民政府关于加快实施“三线一单”生态环境分区管控的意见》（陕发【2020】11号）</w:t>
            </w:r>
            <w:r>
              <w:rPr>
                <w:rFonts w:hint="eastAsia" w:ascii="Times New Roman" w:hAnsi="Times New Roman" w:eastAsia="宋体" w:cs="Times New Roman"/>
                <w:color w:val="auto"/>
                <w:sz w:val="21"/>
                <w:szCs w:val="21"/>
                <w:highlight w:val="none"/>
                <w:lang w:val="en-US" w:eastAsia="zh-CN"/>
              </w:rPr>
              <w:t>及</w:t>
            </w:r>
            <w:r>
              <w:rPr>
                <w:rFonts w:hint="eastAsia" w:ascii="Times New Roman" w:hAnsi="Times New Roman" w:eastAsia="宋体" w:cs="Times New Roman"/>
                <w:color w:val="auto"/>
                <w:sz w:val="21"/>
                <w:szCs w:val="21"/>
                <w:highlight w:val="none"/>
                <w:lang w:val="en-GB" w:eastAsia="zh-CN"/>
              </w:rPr>
              <w:t>《西安市“三线一单”生态环境分区管控方案》（市政发【2021】22号）要求。</w:t>
            </w:r>
          </w:p>
        </w:tc>
      </w:tr>
    </w:tbl>
    <w:p w14:paraId="1782667F">
      <w:pPr>
        <w:keepNext w:val="0"/>
        <w:keepLines w:val="0"/>
        <w:pageBreakBefore w:val="0"/>
        <w:widowControl w:val="0"/>
        <w:kinsoku/>
        <w:wordWrap/>
        <w:overflowPunct/>
        <w:topLinePunct w:val="0"/>
        <w:autoSpaceDE w:val="0"/>
        <w:autoSpaceDN w:val="0"/>
        <w:bidi w:val="0"/>
        <w:adjustRightInd w:val="0"/>
        <w:snapToGrid w:val="0"/>
        <w:spacing w:line="240" w:lineRule="auto"/>
        <w:ind w:left="-72" w:leftChars="-30" w:right="-72" w:rightChars="-30"/>
        <w:jc w:val="center"/>
        <w:textAlignment w:val="auto"/>
        <w:rPr>
          <w:rFonts w:hAnsi="宋体"/>
          <w:color w:val="0000FF"/>
          <w:kern w:val="0"/>
          <w:szCs w:val="24"/>
          <w:highlight w:val="none"/>
        </w:rPr>
        <w:sectPr>
          <w:pgSz w:w="16840" w:h="11907" w:orient="landscape"/>
          <w:pgMar w:top="1417" w:right="1417" w:bottom="1417" w:left="1417" w:header="992" w:footer="992" w:gutter="0"/>
          <w:pgBorders>
            <w:top w:val="none" w:sz="0" w:space="0"/>
            <w:left w:val="none" w:sz="0" w:space="0"/>
            <w:bottom w:val="none" w:sz="0" w:space="0"/>
            <w:right w:val="none" w:sz="0" w:space="0"/>
          </w:pgBorders>
          <w:pgNumType w:fmt="numberInDash"/>
          <w:cols w:space="720" w:num="1"/>
        </w:sectPr>
      </w:pPr>
    </w:p>
    <w:tbl>
      <w:tblPr>
        <w:tblStyle w:val="45"/>
        <w:tblW w:w="486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41"/>
        <w:gridCol w:w="8603"/>
      </w:tblGrid>
      <w:tr w14:paraId="2A178D98">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597" w:hRule="atLeast"/>
          <w:jc w:val="center"/>
        </w:trPr>
        <w:tc>
          <w:tcPr>
            <w:tcW w:w="244" w:type="pct"/>
            <w:tcBorders>
              <w:top w:val="single" w:color="auto" w:sz="4" w:space="0"/>
              <w:left w:val="single" w:color="auto" w:sz="8" w:space="0"/>
              <w:bottom w:val="single" w:color="auto" w:sz="8" w:space="0"/>
              <w:right w:val="single" w:color="auto" w:sz="4" w:space="0"/>
            </w:tcBorders>
            <w:tcMar>
              <w:top w:w="0" w:type="dxa"/>
              <w:left w:w="108" w:type="dxa"/>
              <w:bottom w:w="0" w:type="dxa"/>
              <w:right w:w="108" w:type="dxa"/>
            </w:tcMar>
            <w:vAlign w:val="center"/>
          </w:tcPr>
          <w:p w14:paraId="243B05EE">
            <w:pPr>
              <w:pStyle w:val="12"/>
              <w:rPr>
                <w:color w:val="0000FF"/>
                <w:highlight w:val="none"/>
              </w:rPr>
            </w:pPr>
          </w:p>
        </w:tc>
        <w:tc>
          <w:tcPr>
            <w:tcW w:w="4755" w:type="pct"/>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tcPr>
          <w:p w14:paraId="43457BA3">
            <w:pPr>
              <w:pStyle w:val="62"/>
              <w:keepNext w:val="0"/>
              <w:keepLines w:val="0"/>
              <w:pageBreakBefore w:val="0"/>
              <w:widowControl w:val="0"/>
              <w:numPr>
                <w:ilvl w:val="0"/>
                <w:numId w:val="0"/>
              </w:numPr>
              <w:kinsoku/>
              <w:wordWrap/>
              <w:overflowPunct/>
              <w:topLinePunct w:val="0"/>
              <w:bidi w:val="0"/>
              <w:adjustRightInd/>
              <w:snapToGrid/>
              <w:spacing w:line="360" w:lineRule="auto"/>
              <w:jc w:val="both"/>
              <w:textAlignment w:val="auto"/>
              <w:outlineLvl w:val="9"/>
              <w:rPr>
                <w:rFonts w:ascii="Times New Roman" w:cs="Times New Roman"/>
                <w:color w:val="auto"/>
                <w:sz w:val="21"/>
                <w:szCs w:val="21"/>
                <w:highlight w:val="none"/>
              </w:rPr>
            </w:pPr>
            <w:r>
              <w:rPr>
                <w:rFonts w:hint="eastAsia" w:ascii="Times New Roman" w:cs="Times New Roman"/>
                <w:color w:val="auto"/>
                <w:sz w:val="21"/>
                <w:szCs w:val="21"/>
                <w:highlight w:val="none"/>
                <w:lang w:val="en-US" w:eastAsia="zh-CN"/>
              </w:rPr>
              <w:t>4、</w:t>
            </w:r>
            <w:r>
              <w:rPr>
                <w:rFonts w:ascii="Times New Roman" w:cs="Times New Roman"/>
                <w:color w:val="auto"/>
                <w:sz w:val="21"/>
                <w:szCs w:val="21"/>
                <w:highlight w:val="none"/>
              </w:rPr>
              <w:t>选址合理性</w:t>
            </w:r>
          </w:p>
          <w:p w14:paraId="65871318">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eastAsia="宋体" w:cs="Times New Roman"/>
                <w:color w:val="auto"/>
                <w:sz w:val="21"/>
                <w:szCs w:val="21"/>
                <w:highlight w:val="none"/>
                <w:lang w:val="zh-CN" w:eastAsia="zh-CN"/>
              </w:rPr>
            </w:pPr>
            <w:r>
              <w:rPr>
                <w:rFonts w:hint="eastAsia" w:ascii="Times New Roman" w:hAnsi="Times New Roman" w:eastAsia="宋体" w:cs="Times New Roman"/>
                <w:color w:val="auto"/>
                <w:sz w:val="21"/>
                <w:szCs w:val="21"/>
                <w:highlight w:val="none"/>
                <w:lang w:val="en-US" w:eastAsia="zh-CN"/>
              </w:rPr>
              <w:t>本项目位于</w:t>
            </w:r>
            <w:r>
              <w:rPr>
                <w:rFonts w:hint="eastAsia" w:cs="Times New Roman"/>
                <w:color w:val="auto"/>
                <w:sz w:val="21"/>
                <w:szCs w:val="21"/>
                <w:highlight w:val="none"/>
                <w:lang w:val="en-US" w:eastAsia="zh-CN"/>
              </w:rPr>
              <w:t>*****</w:t>
            </w:r>
            <w:r>
              <w:rPr>
                <w:rFonts w:hint="eastAsia" w:ascii="Times New Roman" w:hAnsi="Times New Roman" w:eastAsia="宋体" w:cs="Times New Roman"/>
                <w:color w:val="auto"/>
                <w:sz w:val="21"/>
                <w:szCs w:val="21"/>
                <w:highlight w:val="none"/>
                <w:lang w:val="en-US" w:eastAsia="zh-CN"/>
              </w:rPr>
              <w:t>，</w:t>
            </w:r>
            <w:r>
              <w:rPr>
                <w:rFonts w:hint="eastAsia" w:ascii="Times New Roman" w:hAnsi="Times New Roman" w:cs="Times New Roman"/>
                <w:color w:val="auto"/>
                <w:sz w:val="21"/>
                <w:szCs w:val="21"/>
                <w:highlight w:val="none"/>
                <w:lang w:val="en-US" w:eastAsia="zh-CN"/>
              </w:rPr>
              <w:t>使用黄河厂内闲置库房进行建设</w:t>
            </w:r>
            <w:r>
              <w:rPr>
                <w:rFonts w:hint="eastAsia" w:eastAsia="宋体" w:cs="Times New Roman"/>
                <w:color w:val="auto"/>
                <w:sz w:val="21"/>
                <w:szCs w:val="21"/>
                <w:highlight w:val="none"/>
                <w:lang w:val="en-US" w:eastAsia="zh-CN"/>
              </w:rPr>
              <w:t>《西安黄河机电有限公司环境实验室建设项目》，根据西新国用（2006）第548号，本项目用地性质为工业用地。公司原有项目均已取得环评批复和验收批复，原项目在运营过程中未发生任何环保投诉。</w:t>
            </w:r>
            <w:r>
              <w:rPr>
                <w:rFonts w:hint="default" w:eastAsia="宋体" w:cs="Times New Roman"/>
                <w:color w:val="auto"/>
                <w:sz w:val="21"/>
                <w:szCs w:val="21"/>
                <w:highlight w:val="none"/>
                <w:lang w:val="zh-CN" w:eastAsia="zh-CN"/>
              </w:rPr>
              <w:t>本项目不涉及基本农田保护区、饮用水水源保护区，不在国家、地方规划的重点生态功能区的敏感区内</w:t>
            </w:r>
            <w:r>
              <w:rPr>
                <w:rFonts w:hint="default" w:eastAsia="宋体" w:cs="Times New Roman"/>
                <w:color w:val="auto"/>
                <w:sz w:val="21"/>
                <w:szCs w:val="21"/>
                <w:highlight w:val="none"/>
                <w:lang w:val="en-US" w:eastAsia="zh-CN"/>
              </w:rPr>
              <w:t>。</w:t>
            </w:r>
          </w:p>
          <w:p w14:paraId="029F0D9F">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eastAsia="宋体" w:cs="Times New Roman"/>
                <w:color w:val="auto"/>
                <w:sz w:val="21"/>
                <w:szCs w:val="21"/>
                <w:highlight w:val="none"/>
                <w:lang w:val="zh-CN" w:eastAsia="zh-CN"/>
              </w:rPr>
            </w:pPr>
            <w:r>
              <w:rPr>
                <w:rFonts w:hint="eastAsia" w:eastAsia="宋体" w:cs="Times New Roman"/>
                <w:color w:val="auto"/>
                <w:sz w:val="21"/>
                <w:szCs w:val="21"/>
                <w:highlight w:val="none"/>
                <w:lang w:val="zh-CN" w:eastAsia="zh-CN"/>
              </w:rPr>
              <w:t>项目实施环评提出的措施后，项目运行期间各类污染物均能达标排放，对环境的影响可以接受。因此，在落实本报告提出的环保措施后，项目的建设和运行不会对环境产生较大影响。从环境影响角度分析，项目选址可行。</w:t>
            </w:r>
          </w:p>
          <w:p w14:paraId="37E868CF">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eastAsia" w:ascii="Times New Roman" w:hAnsi="Calibri" w:eastAsia="宋体" w:cs="Times New Roman"/>
                <w:color w:val="0000FF"/>
                <w:sz w:val="21"/>
                <w:szCs w:val="21"/>
                <w:highlight w:val="none"/>
                <w:lang w:val="zh-CN" w:eastAsia="zh-CN"/>
              </w:rPr>
            </w:pPr>
          </w:p>
          <w:p w14:paraId="4D082913">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eastAsia" w:ascii="Times New Roman" w:hAnsi="Calibri" w:eastAsia="宋体" w:cs="Times New Roman"/>
                <w:color w:val="0000FF"/>
                <w:sz w:val="21"/>
                <w:szCs w:val="21"/>
                <w:highlight w:val="none"/>
                <w:lang w:val="zh-CN" w:eastAsia="zh-CN"/>
              </w:rPr>
            </w:pPr>
          </w:p>
          <w:p w14:paraId="058B055B">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eastAsia" w:ascii="Times New Roman" w:hAnsi="Calibri" w:eastAsia="宋体" w:cs="Times New Roman"/>
                <w:color w:val="0000FF"/>
                <w:sz w:val="21"/>
                <w:szCs w:val="21"/>
                <w:highlight w:val="none"/>
                <w:lang w:val="zh-CN" w:eastAsia="zh-CN"/>
              </w:rPr>
            </w:pPr>
          </w:p>
          <w:p w14:paraId="315A8483">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eastAsia" w:ascii="Times New Roman" w:hAnsi="Calibri" w:eastAsia="宋体" w:cs="Times New Roman"/>
                <w:color w:val="0000FF"/>
                <w:sz w:val="21"/>
                <w:szCs w:val="21"/>
                <w:highlight w:val="none"/>
                <w:lang w:val="zh-CN" w:eastAsia="zh-CN"/>
              </w:rPr>
            </w:pPr>
          </w:p>
          <w:p w14:paraId="3AB8960E">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eastAsia" w:ascii="Times New Roman" w:hAnsi="Calibri" w:eastAsia="宋体" w:cs="Times New Roman"/>
                <w:color w:val="0000FF"/>
                <w:sz w:val="21"/>
                <w:szCs w:val="21"/>
                <w:highlight w:val="none"/>
                <w:lang w:val="zh-CN" w:eastAsia="zh-CN"/>
              </w:rPr>
            </w:pPr>
          </w:p>
          <w:p w14:paraId="4677118D">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eastAsia" w:ascii="Times New Roman" w:hAnsi="Calibri" w:eastAsia="宋体" w:cs="Times New Roman"/>
                <w:color w:val="0000FF"/>
                <w:sz w:val="21"/>
                <w:szCs w:val="21"/>
                <w:highlight w:val="none"/>
                <w:lang w:val="zh-CN" w:eastAsia="zh-CN"/>
              </w:rPr>
            </w:pPr>
          </w:p>
          <w:p w14:paraId="7DD7A65E">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eastAsia" w:ascii="Times New Roman" w:hAnsi="Calibri" w:eastAsia="宋体" w:cs="Times New Roman"/>
                <w:color w:val="0000FF"/>
                <w:sz w:val="21"/>
                <w:szCs w:val="21"/>
                <w:highlight w:val="none"/>
                <w:lang w:val="zh-CN" w:eastAsia="zh-CN"/>
              </w:rPr>
            </w:pPr>
          </w:p>
          <w:p w14:paraId="1063B539">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eastAsia" w:ascii="Times New Roman" w:hAnsi="Calibri" w:eastAsia="宋体" w:cs="Times New Roman"/>
                <w:color w:val="0000FF"/>
                <w:sz w:val="21"/>
                <w:szCs w:val="21"/>
                <w:highlight w:val="none"/>
                <w:lang w:val="zh-CN" w:eastAsia="zh-CN"/>
              </w:rPr>
            </w:pPr>
          </w:p>
          <w:p w14:paraId="46D7B6E1">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eastAsia" w:ascii="Times New Roman" w:hAnsi="Calibri" w:eastAsia="宋体" w:cs="Times New Roman"/>
                <w:color w:val="0000FF"/>
                <w:sz w:val="21"/>
                <w:szCs w:val="21"/>
                <w:highlight w:val="none"/>
                <w:lang w:val="zh-CN" w:eastAsia="zh-CN"/>
              </w:rPr>
            </w:pPr>
          </w:p>
          <w:p w14:paraId="2C6B5606">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eastAsia" w:ascii="Times New Roman" w:hAnsi="Calibri" w:eastAsia="宋体" w:cs="Times New Roman"/>
                <w:color w:val="0000FF"/>
                <w:sz w:val="21"/>
                <w:szCs w:val="21"/>
                <w:highlight w:val="none"/>
                <w:lang w:val="zh-CN" w:eastAsia="zh-CN"/>
              </w:rPr>
            </w:pPr>
          </w:p>
          <w:p w14:paraId="185F6EB8">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eastAsia" w:ascii="Times New Roman" w:hAnsi="Calibri" w:eastAsia="宋体" w:cs="Times New Roman"/>
                <w:color w:val="0000FF"/>
                <w:sz w:val="21"/>
                <w:szCs w:val="21"/>
                <w:highlight w:val="none"/>
                <w:lang w:val="zh-CN" w:eastAsia="zh-CN"/>
              </w:rPr>
            </w:pPr>
          </w:p>
          <w:p w14:paraId="1820A7A8">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eastAsia" w:ascii="Times New Roman" w:hAnsi="Calibri" w:eastAsia="宋体" w:cs="Times New Roman"/>
                <w:color w:val="0000FF"/>
                <w:sz w:val="21"/>
                <w:szCs w:val="21"/>
                <w:highlight w:val="none"/>
                <w:lang w:val="zh-CN" w:eastAsia="zh-CN"/>
              </w:rPr>
            </w:pPr>
          </w:p>
          <w:p w14:paraId="65E556AA">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eastAsia" w:ascii="Times New Roman" w:hAnsi="Calibri" w:eastAsia="宋体" w:cs="Times New Roman"/>
                <w:color w:val="0000FF"/>
                <w:sz w:val="21"/>
                <w:szCs w:val="21"/>
                <w:highlight w:val="none"/>
                <w:lang w:val="zh-CN" w:eastAsia="zh-CN"/>
              </w:rPr>
            </w:pPr>
          </w:p>
          <w:p w14:paraId="0E3735CB">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eastAsia" w:ascii="Times New Roman" w:hAnsi="Calibri" w:eastAsia="宋体" w:cs="Times New Roman"/>
                <w:color w:val="0000FF"/>
                <w:sz w:val="21"/>
                <w:szCs w:val="21"/>
                <w:highlight w:val="none"/>
                <w:lang w:val="zh-CN" w:eastAsia="zh-CN"/>
              </w:rPr>
            </w:pPr>
          </w:p>
          <w:p w14:paraId="319BBD53">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eastAsia" w:ascii="Times New Roman" w:hAnsi="Calibri" w:eastAsia="宋体" w:cs="Times New Roman"/>
                <w:color w:val="0000FF"/>
                <w:sz w:val="21"/>
                <w:szCs w:val="21"/>
                <w:highlight w:val="none"/>
                <w:lang w:val="zh-CN" w:eastAsia="zh-CN"/>
              </w:rPr>
            </w:pPr>
          </w:p>
          <w:p w14:paraId="536FE438">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eastAsia" w:ascii="Times New Roman" w:hAnsi="Calibri" w:eastAsia="宋体" w:cs="Times New Roman"/>
                <w:color w:val="0000FF"/>
                <w:sz w:val="21"/>
                <w:szCs w:val="21"/>
                <w:highlight w:val="none"/>
                <w:lang w:val="zh-CN" w:eastAsia="zh-CN"/>
              </w:rPr>
            </w:pPr>
          </w:p>
          <w:p w14:paraId="4363733B">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eastAsia" w:ascii="Times New Roman" w:hAnsi="Calibri" w:eastAsia="宋体" w:cs="Times New Roman"/>
                <w:color w:val="0000FF"/>
                <w:sz w:val="21"/>
                <w:szCs w:val="21"/>
                <w:highlight w:val="none"/>
                <w:lang w:val="zh-CN" w:eastAsia="zh-CN"/>
              </w:rPr>
            </w:pPr>
          </w:p>
          <w:p w14:paraId="24DD0AED">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eastAsia" w:ascii="Times New Roman" w:hAnsi="Calibri" w:eastAsia="宋体" w:cs="Times New Roman"/>
                <w:color w:val="0000FF"/>
                <w:sz w:val="21"/>
                <w:szCs w:val="21"/>
                <w:highlight w:val="none"/>
                <w:lang w:val="zh-CN" w:eastAsia="zh-CN"/>
              </w:rPr>
            </w:pPr>
          </w:p>
          <w:p w14:paraId="1E7A8E05">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eastAsia" w:ascii="Times New Roman" w:hAnsi="Calibri" w:eastAsia="宋体" w:cs="Times New Roman"/>
                <w:color w:val="0000FF"/>
                <w:sz w:val="21"/>
                <w:szCs w:val="21"/>
                <w:highlight w:val="none"/>
                <w:lang w:val="zh-CN" w:eastAsia="zh-CN"/>
              </w:rPr>
            </w:pPr>
          </w:p>
          <w:p w14:paraId="23768BD2">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eastAsia" w:ascii="Times New Roman" w:hAnsi="Calibri" w:eastAsia="宋体" w:cs="Times New Roman"/>
                <w:color w:val="0000FF"/>
                <w:sz w:val="21"/>
                <w:szCs w:val="21"/>
                <w:highlight w:val="none"/>
                <w:lang w:val="zh-CN" w:eastAsia="zh-CN"/>
              </w:rPr>
            </w:pPr>
          </w:p>
          <w:p w14:paraId="75498EBA">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eastAsia" w:ascii="Times New Roman" w:hAnsi="Calibri" w:eastAsia="宋体" w:cs="Times New Roman"/>
                <w:color w:val="0000FF"/>
                <w:sz w:val="21"/>
                <w:szCs w:val="21"/>
                <w:highlight w:val="none"/>
                <w:lang w:val="zh-CN" w:eastAsia="zh-CN"/>
              </w:rPr>
            </w:pPr>
          </w:p>
          <w:p w14:paraId="4FBE829F">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eastAsia" w:ascii="Times New Roman" w:hAnsi="Calibri" w:eastAsia="宋体" w:cs="Times New Roman"/>
                <w:color w:val="0000FF"/>
                <w:sz w:val="21"/>
                <w:szCs w:val="21"/>
                <w:highlight w:val="none"/>
                <w:lang w:val="zh-CN" w:eastAsia="zh-CN"/>
              </w:rPr>
            </w:pPr>
          </w:p>
          <w:p w14:paraId="2743BCA0">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eastAsia" w:ascii="Times New Roman" w:hAnsi="Calibri" w:eastAsia="宋体" w:cs="Times New Roman"/>
                <w:color w:val="0000FF"/>
                <w:sz w:val="21"/>
                <w:szCs w:val="21"/>
                <w:highlight w:val="none"/>
                <w:lang w:val="zh-CN" w:eastAsia="zh-CN"/>
              </w:rPr>
            </w:pPr>
          </w:p>
          <w:p w14:paraId="2F025EED">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eastAsia" w:ascii="Times New Roman" w:hAnsi="Calibri" w:eastAsia="宋体" w:cs="Times New Roman"/>
                <w:color w:val="0000FF"/>
                <w:sz w:val="21"/>
                <w:szCs w:val="21"/>
                <w:highlight w:val="none"/>
                <w:lang w:val="zh-CN" w:eastAsia="zh-CN"/>
              </w:rPr>
            </w:pPr>
          </w:p>
          <w:p w14:paraId="7341B24F">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eastAsia" w:ascii="Times New Roman" w:hAnsi="Calibri" w:eastAsia="宋体" w:cs="Times New Roman"/>
                <w:color w:val="0000FF"/>
                <w:sz w:val="21"/>
                <w:szCs w:val="21"/>
                <w:highlight w:val="none"/>
                <w:lang w:val="zh-CN" w:eastAsia="zh-CN"/>
              </w:rPr>
            </w:pPr>
          </w:p>
          <w:p w14:paraId="0BCD503F">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eastAsia" w:ascii="Times New Roman" w:hAnsi="Calibri" w:eastAsia="宋体" w:cs="Times New Roman"/>
                <w:color w:val="0000FF"/>
                <w:sz w:val="21"/>
                <w:szCs w:val="21"/>
                <w:highlight w:val="none"/>
                <w:lang w:val="zh-CN" w:eastAsia="zh-CN"/>
              </w:rPr>
            </w:pPr>
          </w:p>
          <w:p w14:paraId="79118A67">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eastAsia" w:ascii="Times New Roman" w:hAnsi="Calibri" w:eastAsia="宋体" w:cs="Times New Roman"/>
                <w:color w:val="0000FF"/>
                <w:sz w:val="21"/>
                <w:szCs w:val="21"/>
                <w:highlight w:val="none"/>
                <w:lang w:val="zh-CN" w:eastAsia="zh-CN"/>
              </w:rPr>
            </w:pPr>
          </w:p>
          <w:p w14:paraId="1C21DADF">
            <w:pPr>
              <w:pStyle w:val="62"/>
              <w:keepNext w:val="0"/>
              <w:keepLines w:val="0"/>
              <w:pageBreakBefore w:val="0"/>
              <w:widowControl w:val="0"/>
              <w:kinsoku/>
              <w:wordWrap/>
              <w:overflowPunct/>
              <w:topLinePunct w:val="0"/>
              <w:bidi w:val="0"/>
              <w:adjustRightInd/>
              <w:snapToGrid/>
              <w:spacing w:line="360" w:lineRule="auto"/>
              <w:jc w:val="both"/>
              <w:textAlignment w:val="auto"/>
              <w:outlineLvl w:val="9"/>
              <w:rPr>
                <w:rFonts w:hint="eastAsia" w:ascii="Times New Roman" w:hAnsi="Calibri" w:eastAsia="宋体" w:cs="Times New Roman"/>
                <w:color w:val="0000FF"/>
                <w:sz w:val="21"/>
                <w:szCs w:val="21"/>
                <w:highlight w:val="none"/>
                <w:lang w:val="zh-CN" w:eastAsia="zh-CN"/>
              </w:rPr>
            </w:pPr>
          </w:p>
        </w:tc>
      </w:tr>
    </w:tbl>
    <w:p w14:paraId="5B452C5A">
      <w:pPr>
        <w:pStyle w:val="44"/>
        <w:ind w:left="480" w:firstLine="560"/>
        <w:rPr>
          <w:color w:val="0000FF"/>
          <w:highlight w:val="none"/>
        </w:rPr>
        <w:sectPr>
          <w:pgSz w:w="11907" w:h="16840"/>
          <w:pgMar w:top="1417" w:right="1417" w:bottom="1417" w:left="1417" w:header="992" w:footer="992" w:gutter="0"/>
          <w:pgBorders>
            <w:top w:val="none" w:sz="0" w:space="0"/>
            <w:left w:val="none" w:sz="0" w:space="0"/>
            <w:bottom w:val="none" w:sz="0" w:space="0"/>
            <w:right w:val="none" w:sz="0" w:space="0"/>
          </w:pgBorders>
          <w:pgNumType w:fmt="numberInDash"/>
          <w:cols w:space="720" w:num="1"/>
        </w:sectPr>
      </w:pPr>
    </w:p>
    <w:p w14:paraId="7EA31466">
      <w:pPr>
        <w:pStyle w:val="41"/>
        <w:spacing w:before="100" w:after="100" w:line="240" w:lineRule="auto"/>
        <w:jc w:val="center"/>
        <w:outlineLvl w:val="0"/>
        <w:rPr>
          <w:rFonts w:ascii="黑体" w:hAnsi="黑体" w:eastAsia="黑体"/>
          <w:snapToGrid w:val="0"/>
          <w:color w:val="auto"/>
          <w:sz w:val="30"/>
          <w:szCs w:val="30"/>
          <w:highlight w:val="none"/>
        </w:rPr>
      </w:pPr>
      <w:r>
        <w:rPr>
          <w:rFonts w:hint="eastAsia" w:ascii="黑体" w:hAnsi="黑体" w:eastAsia="黑体"/>
          <w:snapToGrid w:val="0"/>
          <w:color w:val="auto"/>
          <w:sz w:val="30"/>
          <w:szCs w:val="30"/>
          <w:highlight w:val="none"/>
        </w:rPr>
        <w:t>二、建设项目工程分析</w:t>
      </w:r>
    </w:p>
    <w:tbl>
      <w:tblPr>
        <w:tblStyle w:val="45"/>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3"/>
        <w:gridCol w:w="8836"/>
      </w:tblGrid>
      <w:tr w14:paraId="6A81CED8">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4" w:type="pct"/>
            <w:tcBorders>
              <w:top w:val="single" w:color="auto" w:sz="8" w:space="0"/>
              <w:left w:val="single" w:color="auto" w:sz="8" w:space="0"/>
              <w:bottom w:val="single" w:color="auto" w:sz="4" w:space="0"/>
              <w:right w:val="single" w:color="auto" w:sz="4" w:space="0"/>
            </w:tcBorders>
            <w:vAlign w:val="center"/>
          </w:tcPr>
          <w:p w14:paraId="6FD3DFBE">
            <w:pPr>
              <w:pStyle w:val="41"/>
              <w:keepNext w:val="0"/>
              <w:keepLines w:val="0"/>
              <w:pageBreakBefore w:val="0"/>
              <w:widowControl/>
              <w:kinsoku/>
              <w:wordWrap/>
              <w:overflowPunct/>
              <w:topLinePunct w:val="0"/>
              <w:autoSpaceDE/>
              <w:autoSpaceDN/>
              <w:bidi w:val="0"/>
              <w:adjustRightInd w:val="0"/>
              <w:snapToGrid w:val="0"/>
              <w:spacing w:beforeAutospacing="0" w:afterAutospacing="0" w:line="240" w:lineRule="auto"/>
              <w:jc w:val="center"/>
              <w:textAlignment w:val="auto"/>
              <w:rPr>
                <w:rFonts w:hint="default" w:ascii="Times New Roman" w:hAnsi="Times New Roman" w:cs="Times New Roman"/>
                <w:b/>
                <w:bCs/>
                <w:color w:val="0000FF"/>
                <w:kern w:val="2"/>
                <w:sz w:val="21"/>
                <w:szCs w:val="21"/>
                <w:highlight w:val="none"/>
              </w:rPr>
            </w:pPr>
            <w:r>
              <w:rPr>
                <w:rFonts w:hint="default" w:ascii="Times New Roman" w:hAnsi="Times New Roman" w:cs="Times New Roman"/>
                <w:b/>
                <w:bCs/>
                <w:color w:val="auto"/>
                <w:kern w:val="2"/>
                <w:sz w:val="24"/>
                <w:szCs w:val="24"/>
                <w:highlight w:val="none"/>
              </w:rPr>
              <w:t>建设内容</w:t>
            </w:r>
          </w:p>
        </w:tc>
        <w:tc>
          <w:tcPr>
            <w:tcW w:w="4755" w:type="pct"/>
            <w:tcBorders>
              <w:top w:val="single" w:color="auto" w:sz="8" w:space="0"/>
              <w:left w:val="single" w:color="auto" w:sz="4" w:space="0"/>
              <w:bottom w:val="single" w:color="auto" w:sz="4" w:space="0"/>
              <w:right w:val="single" w:color="auto" w:sz="8" w:space="0"/>
            </w:tcBorders>
          </w:tcPr>
          <w:p w14:paraId="5352132E">
            <w:pPr>
              <w:ind w:firstLine="480" w:firstLineChars="200"/>
              <w:rPr>
                <w:rFonts w:hint="default" w:ascii="Times New Roman" w:hAnsi="Times New Roman" w:cs="Times New Roman" w:eastAsiaTheme="minorEastAsia"/>
                <w:b/>
                <w:color w:val="auto"/>
                <w:szCs w:val="22"/>
                <w:highlight w:val="none"/>
              </w:rPr>
            </w:pPr>
            <w:r>
              <w:rPr>
                <w:rFonts w:hint="eastAsia" w:cs="Times New Roman" w:eastAsiaTheme="minorEastAsia"/>
                <w:b w:val="0"/>
                <w:bCs/>
                <w:color w:val="auto"/>
                <w:szCs w:val="22"/>
                <w:highlight w:val="none"/>
                <w:lang w:eastAsia="zh-CN"/>
              </w:rPr>
              <w:t>一</w:t>
            </w:r>
            <w:r>
              <w:rPr>
                <w:rFonts w:hint="default" w:ascii="Times New Roman" w:hAnsi="Times New Roman" w:cs="Times New Roman" w:eastAsiaTheme="minorEastAsia"/>
                <w:b w:val="0"/>
                <w:bCs/>
                <w:color w:val="auto"/>
                <w:szCs w:val="22"/>
                <w:highlight w:val="none"/>
              </w:rPr>
              <w:t>、</w:t>
            </w:r>
            <w:r>
              <w:rPr>
                <w:rFonts w:hint="default" w:ascii="Times New Roman" w:hAnsi="Times New Roman" w:cs="Times New Roman" w:eastAsiaTheme="minorEastAsia"/>
                <w:b/>
                <w:color w:val="auto"/>
                <w:szCs w:val="22"/>
                <w:highlight w:val="none"/>
              </w:rPr>
              <w:t>项目概况</w:t>
            </w:r>
          </w:p>
          <w:p w14:paraId="07B23326">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default" w:ascii="Times New Roman" w:hAnsi="Calibri" w:eastAsia="宋体" w:cs="Times New Roman"/>
                <w:color w:val="auto"/>
                <w:sz w:val="21"/>
                <w:szCs w:val="21"/>
                <w:highlight w:val="none"/>
                <w:lang w:val="en-US" w:eastAsia="zh-CN"/>
              </w:rPr>
            </w:pPr>
            <w:r>
              <w:rPr>
                <w:rFonts w:hint="default"/>
                <w:b w:val="0"/>
                <w:bCs w:val="0"/>
                <w:color w:val="auto"/>
                <w:sz w:val="21"/>
                <w:szCs w:val="21"/>
                <w:highlight w:val="none"/>
                <w:lang w:val="en-US" w:eastAsia="zh-CN"/>
              </w:rPr>
              <w:t>（</w:t>
            </w:r>
            <w:r>
              <w:rPr>
                <w:rFonts w:hint="default" w:ascii="Times New Roman" w:hAnsi="Times New Roman" w:eastAsia="宋体" w:cs="Times New Roman"/>
                <w:b w:val="0"/>
                <w:bCs w:val="0"/>
                <w:color w:val="auto"/>
                <w:sz w:val="21"/>
                <w:szCs w:val="21"/>
                <w:highlight w:val="none"/>
                <w:lang w:val="en-US" w:eastAsia="zh-CN"/>
              </w:rPr>
              <w:t>1）</w:t>
            </w:r>
            <w:r>
              <w:rPr>
                <w:rFonts w:hint="default" w:ascii="Times New Roman" w:hAnsi="Times New Roman" w:eastAsia="宋体" w:cs="Times New Roman"/>
                <w:color w:val="auto"/>
                <w:sz w:val="21"/>
                <w:szCs w:val="21"/>
                <w:highlight w:val="none"/>
                <w:lang w:val="en-US" w:eastAsia="zh-CN"/>
              </w:rPr>
              <w:t>项目</w:t>
            </w:r>
            <w:r>
              <w:rPr>
                <w:rFonts w:hint="default" w:ascii="Times New Roman" w:hAnsi="Calibri" w:eastAsia="宋体" w:cs="Times New Roman"/>
                <w:color w:val="auto"/>
                <w:sz w:val="21"/>
                <w:szCs w:val="21"/>
                <w:highlight w:val="none"/>
                <w:lang w:val="en-US" w:eastAsia="zh-CN"/>
              </w:rPr>
              <w:t>名称：</w:t>
            </w:r>
            <w:r>
              <w:rPr>
                <w:rFonts w:hint="eastAsia" w:ascii="Times New Roman" w:cs="Times New Roman"/>
                <w:color w:val="auto"/>
                <w:sz w:val="21"/>
                <w:szCs w:val="21"/>
                <w:highlight w:val="none"/>
                <w:lang w:val="en-US" w:eastAsia="zh-CN"/>
              </w:rPr>
              <w:t>西安黄河机电有限公司环境实验室建设项目</w:t>
            </w:r>
          </w:p>
          <w:p w14:paraId="43FA463E">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default" w:ascii="Times New Roman" w:hAnsi="Calibri" w:eastAsia="宋体" w:cs="Times New Roman"/>
                <w:color w:val="auto"/>
                <w:sz w:val="21"/>
                <w:szCs w:val="21"/>
                <w:highlight w:val="none"/>
                <w:lang w:val="en-US" w:eastAsia="zh-CN"/>
              </w:rPr>
            </w:pPr>
            <w:r>
              <w:rPr>
                <w:rFonts w:hint="default" w:ascii="Times New Roman" w:hAnsi="Calibri" w:eastAsia="宋体" w:cs="Times New Roman"/>
                <w:color w:val="auto"/>
                <w:sz w:val="21"/>
                <w:szCs w:val="21"/>
                <w:highlight w:val="none"/>
                <w:lang w:val="en-US" w:eastAsia="zh-CN"/>
              </w:rPr>
              <w:t>（2）建设单位：</w:t>
            </w:r>
            <w:r>
              <w:rPr>
                <w:rFonts w:hint="eastAsia" w:ascii="Times New Roman" w:cs="Times New Roman"/>
                <w:color w:val="auto"/>
                <w:sz w:val="21"/>
                <w:szCs w:val="21"/>
                <w:highlight w:val="none"/>
                <w:lang w:val="en-US" w:eastAsia="zh-CN"/>
              </w:rPr>
              <w:t>西安黄河机电有限公司</w:t>
            </w:r>
          </w:p>
          <w:p w14:paraId="061F807A">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（3）项目性质：</w:t>
            </w:r>
            <w:r>
              <w:rPr>
                <w:rFonts w:hint="eastAsia" w:ascii="Times New Roman" w:hAnsi="Times New Roman" w:eastAsia="宋体" w:cs="Times New Roman"/>
                <w:color w:val="auto"/>
                <w:sz w:val="21"/>
                <w:szCs w:val="21"/>
                <w:highlight w:val="none"/>
                <w:lang w:val="en-US" w:eastAsia="zh-CN"/>
              </w:rPr>
              <w:t>新建</w:t>
            </w:r>
          </w:p>
          <w:p w14:paraId="542DF63C">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default" w:ascii="Times New Roman" w:hAnsi="Calibri" w:eastAsia="宋体" w:cs="Times New Roman"/>
                <w:color w:val="0000FF"/>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（4）建设地点</w:t>
            </w:r>
            <w:r>
              <w:rPr>
                <w:rFonts w:hint="eastAsia" w:cs="Times New Roman"/>
                <w:color w:val="auto"/>
                <w:sz w:val="21"/>
                <w:szCs w:val="21"/>
                <w:highlight w:val="none"/>
                <w:lang w:val="en-US" w:eastAsia="zh-CN"/>
              </w:rPr>
              <w:t>及四邻关系</w:t>
            </w:r>
            <w:r>
              <w:rPr>
                <w:rFonts w:hint="default" w:ascii="Times New Roman" w:hAnsi="Times New Roman" w:eastAsia="宋体" w:cs="Times New Roman"/>
                <w:color w:val="auto"/>
                <w:sz w:val="21"/>
                <w:szCs w:val="21"/>
                <w:highlight w:val="none"/>
                <w:lang w:val="en-US" w:eastAsia="zh-CN"/>
              </w:rPr>
              <w:t>：</w:t>
            </w:r>
            <w:r>
              <w:rPr>
                <w:rFonts w:hint="default" w:ascii="Times New Roman" w:hAnsi="Calibri" w:eastAsia="宋体" w:cs="Times New Roman"/>
                <w:color w:val="auto"/>
                <w:sz w:val="21"/>
                <w:szCs w:val="21"/>
                <w:highlight w:val="none"/>
                <w:lang w:val="en-US" w:eastAsia="zh-CN"/>
              </w:rPr>
              <w:t>本项目位于</w:t>
            </w:r>
            <w:r>
              <w:rPr>
                <w:rFonts w:hint="eastAsia" w:cs="Times New Roman"/>
                <w:color w:val="auto"/>
                <w:sz w:val="21"/>
                <w:szCs w:val="21"/>
                <w:highlight w:val="none"/>
                <w:lang w:val="en-US" w:eastAsia="zh-CN"/>
              </w:rPr>
              <w:t>***</w:t>
            </w:r>
            <w:r>
              <w:rPr>
                <w:rFonts w:hint="default" w:ascii="Times New Roman" w:hAnsi="Calibri" w:eastAsia="宋体" w:cs="Times New Roman"/>
                <w:color w:val="auto"/>
                <w:sz w:val="21"/>
                <w:szCs w:val="21"/>
                <w:highlight w:val="none"/>
                <w:lang w:val="en-US" w:eastAsia="zh-CN"/>
              </w:rPr>
              <w:t>，项目</w:t>
            </w:r>
            <w:r>
              <w:rPr>
                <w:rFonts w:hint="eastAsia" w:ascii="Times New Roman" w:cs="Times New Roman"/>
                <w:color w:val="auto"/>
                <w:sz w:val="21"/>
                <w:szCs w:val="21"/>
                <w:highlight w:val="none"/>
                <w:lang w:val="en-US" w:eastAsia="zh-CN"/>
              </w:rPr>
              <w:t>占地</w:t>
            </w:r>
            <w:r>
              <w:rPr>
                <w:rFonts w:hint="eastAsia" w:cs="Times New Roman"/>
                <w:color w:val="auto"/>
                <w:sz w:val="21"/>
                <w:szCs w:val="21"/>
                <w:highlight w:val="none"/>
                <w:lang w:val="en-US" w:eastAsia="zh-CN"/>
              </w:rPr>
              <w:t>面</w:t>
            </w:r>
            <w:r>
              <w:rPr>
                <w:rFonts w:hint="default" w:ascii="Times New Roman" w:hAnsi="Times New Roman" w:cs="Times New Roman"/>
                <w:color w:val="auto"/>
                <w:sz w:val="21"/>
                <w:szCs w:val="21"/>
                <w:highlight w:val="none"/>
                <w:lang w:val="en-US" w:eastAsia="zh-CN"/>
              </w:rPr>
              <w:t>积</w:t>
            </w:r>
            <w:r>
              <w:rPr>
                <w:rFonts w:hint="eastAsia" w:ascii="Times New Roman" w:hAnsi="Times New Roman" w:cs="Times New Roman"/>
                <w:color w:val="auto"/>
                <w:sz w:val="21"/>
                <w:szCs w:val="21"/>
                <w:highlight w:val="none"/>
                <w:lang w:val="en-US" w:eastAsia="zh-CN"/>
              </w:rPr>
              <w:t>44.4</w:t>
            </w:r>
            <w:r>
              <w:rPr>
                <w:rFonts w:hint="default" w:ascii="Times New Roman" w:hAnsi="Times New Roman" w:cs="Times New Roman"/>
                <w:color w:val="auto"/>
                <w:sz w:val="21"/>
                <w:szCs w:val="21"/>
                <w:highlight w:val="none"/>
                <w:lang w:val="en-US" w:eastAsia="zh-CN"/>
              </w:rPr>
              <w:t>m</w:t>
            </w:r>
            <w:r>
              <w:rPr>
                <w:rFonts w:hint="default" w:ascii="Times New Roman" w:hAnsi="Times New Roman" w:cs="Times New Roman"/>
                <w:color w:val="auto"/>
                <w:sz w:val="21"/>
                <w:szCs w:val="21"/>
                <w:highlight w:val="none"/>
                <w:vertAlign w:val="superscript"/>
                <w:lang w:val="en-US" w:eastAsia="zh-CN"/>
              </w:rPr>
              <w:t>2</w:t>
            </w:r>
            <w:r>
              <w:rPr>
                <w:rFonts w:hint="eastAsia" w:ascii="Times New Roman" w:cs="Times New Roman"/>
                <w:color w:val="auto"/>
                <w:sz w:val="21"/>
                <w:szCs w:val="21"/>
                <w:highlight w:val="none"/>
                <w:lang w:val="en-US" w:eastAsia="zh-CN"/>
              </w:rPr>
              <w:t>。</w:t>
            </w:r>
            <w:r>
              <w:rPr>
                <w:rFonts w:hint="eastAsia" w:ascii="Times New Roman" w:hAnsi="Times New Roman" w:eastAsia="宋体" w:cs="Times New Roman"/>
                <w:color w:val="auto"/>
                <w:sz w:val="21"/>
                <w:szCs w:val="21"/>
                <w:highlight w:val="none"/>
                <w:lang w:val="en-US" w:eastAsia="zh-CN"/>
              </w:rPr>
              <w:t>本项目位于</w:t>
            </w:r>
            <w:r>
              <w:rPr>
                <w:rFonts w:hint="eastAsia" w:ascii="Times New Roman" w:hAnsi="Times New Roman" w:cs="Times New Roman"/>
                <w:color w:val="auto"/>
                <w:sz w:val="21"/>
                <w:szCs w:val="21"/>
                <w:highlight w:val="none"/>
                <w:lang w:val="en-US" w:eastAsia="zh-CN"/>
              </w:rPr>
              <w:t>陕西黄河集团有限公司</w:t>
            </w:r>
            <w:r>
              <w:rPr>
                <w:rFonts w:hint="eastAsia" w:ascii="Times New Roman" w:hAnsi="Times New Roman" w:eastAsia="宋体" w:cs="Times New Roman"/>
                <w:color w:val="auto"/>
                <w:sz w:val="21"/>
                <w:szCs w:val="21"/>
                <w:highlight w:val="none"/>
                <w:lang w:val="en-US" w:eastAsia="zh-CN"/>
              </w:rPr>
              <w:t>内，</w:t>
            </w:r>
            <w:r>
              <w:rPr>
                <w:rFonts w:hint="eastAsia" w:ascii="Times New Roman" w:hAnsi="Times New Roman" w:cs="Times New Roman"/>
                <w:color w:val="auto"/>
                <w:sz w:val="21"/>
                <w:szCs w:val="21"/>
                <w:highlight w:val="none"/>
                <w:lang w:val="en-US" w:eastAsia="zh-CN"/>
              </w:rPr>
              <w:t>使用黄河厂内两间闲置库房进行建设，该库房所在楼宇使用功能为办公及生产相结合，由三层办公实验楼和一层生产车间组成，办公实验楼的一楼为办公室、力学实验、卫生间等，二楼为计量及办公、卫生间等，三楼为办公、卫生间等，本项目使用库房位于一楼，处于办公室及卫生间中部，具体见附图。*******</w:t>
            </w:r>
            <w:r>
              <w:rPr>
                <w:rFonts w:hint="eastAsia" w:ascii="Times New Roman" w:hAnsi="Times New Roman" w:eastAsia="宋体" w:cs="Times New Roman"/>
                <w:color w:val="auto"/>
                <w:sz w:val="21"/>
                <w:szCs w:val="21"/>
                <w:highlight w:val="none"/>
                <w:lang w:val="en-US" w:eastAsia="zh-CN"/>
              </w:rPr>
              <w:t>。项目地理位置图见附图1，四邻关系图见附图2。</w:t>
            </w:r>
          </w:p>
          <w:p w14:paraId="44B7ED73">
            <w:pPr>
              <w:pStyle w:val="62"/>
              <w:keepNext w:val="0"/>
              <w:keepLines w:val="0"/>
              <w:pageBreakBefore w:val="0"/>
              <w:widowControl w:val="0"/>
              <w:numPr>
                <w:ilvl w:val="0"/>
                <w:numId w:val="3"/>
              </w:numPr>
              <w:kinsoku/>
              <w:wordWrap/>
              <w:overflowPunct/>
              <w:topLinePunct w:val="0"/>
              <w:bidi w:val="0"/>
              <w:adjustRightInd/>
              <w:snapToGrid/>
              <w:spacing w:line="360" w:lineRule="auto"/>
              <w:ind w:firstLine="420" w:firstLineChars="200"/>
              <w:jc w:val="both"/>
              <w:textAlignment w:val="auto"/>
              <w:outlineLvl w:val="9"/>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建设内容：利用厂内原有2间库房改造为实验室，总面积约为44.4平方米。根据建设需求配置增加相关检测仪器和设备设施。实验室建成后，可开展排污许可证中要求的日监测指标（pH、化学需氧量、总氰化物、总铜、总锌、总镍、总镉、总银、总铅、总汞、六价铬、总铬）的监测。</w:t>
            </w:r>
          </w:p>
          <w:p w14:paraId="73381B7F">
            <w:pPr>
              <w:pStyle w:val="62"/>
              <w:keepNext w:val="0"/>
              <w:keepLines w:val="0"/>
              <w:pageBreakBefore w:val="0"/>
              <w:widowControl w:val="0"/>
              <w:numPr>
                <w:ilvl w:val="0"/>
                <w:numId w:val="3"/>
              </w:numPr>
              <w:kinsoku/>
              <w:wordWrap/>
              <w:overflowPunct/>
              <w:topLinePunct w:val="0"/>
              <w:bidi w:val="0"/>
              <w:adjustRightInd/>
              <w:snapToGrid/>
              <w:spacing w:line="360" w:lineRule="auto"/>
              <w:ind w:firstLine="420" w:firstLineChars="200"/>
              <w:jc w:val="both"/>
              <w:textAlignment w:val="auto"/>
              <w:outlineLvl w:val="9"/>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项目建设由来：陕西黄河集团有限公司于2021年12月10日取得西安市生态环境局下发的排污许可证（证书编号91610000758842068C001S），根据《排污单位自行监测技术指南 电镀行业》（HJ985-2018）的管理要求以及《陕西黄河集团有限公司自行监测方案》的要求，需对设置的12车间和14车间以及污水总排口中的废水指标</w:t>
            </w:r>
            <w:r>
              <w:rPr>
                <w:rFonts w:hint="eastAsia" w:ascii="Times New Roman" w:hAnsi="Times New Roman" w:eastAsia="宋体" w:cs="Times New Roman"/>
                <w:color w:val="auto"/>
                <w:sz w:val="21"/>
                <w:szCs w:val="21"/>
                <w:highlight w:val="none"/>
                <w:lang w:val="en-US" w:eastAsia="zh-CN"/>
              </w:rPr>
              <w:t>pH、化学需氧量、总氰化物、总铜、总锌、总镍、总镉、总银、总铅、总汞、六价铬、总铬</w:t>
            </w:r>
            <w:r>
              <w:rPr>
                <w:rFonts w:hint="eastAsia" w:ascii="Times New Roman" w:hAnsi="Times New Roman" w:cs="Times New Roman"/>
                <w:color w:val="auto"/>
                <w:sz w:val="21"/>
                <w:szCs w:val="21"/>
                <w:highlight w:val="none"/>
                <w:lang w:val="en-US" w:eastAsia="zh-CN"/>
              </w:rPr>
              <w:t>等进行监测，监测频次为每日一次，因陕西黄河集团有限公司</w:t>
            </w:r>
            <w:r>
              <w:rPr>
                <w:rFonts w:hint="eastAsia" w:ascii="Times New Roman" w:cs="Times New Roman"/>
                <w:color w:val="auto"/>
                <w:sz w:val="21"/>
                <w:szCs w:val="21"/>
                <w:highlight w:val="none"/>
                <w:lang w:val="en-US" w:eastAsia="zh-CN"/>
              </w:rPr>
              <w:t>为保密性质单位，无法进行监测，为便于后续工作开展，由其子公司西安黄河机电有限公司建设《西安黄河机电有限公司环境实验室建设项目》用于</w:t>
            </w:r>
            <w:r>
              <w:rPr>
                <w:rFonts w:hint="eastAsia" w:ascii="Times New Roman" w:hAnsi="Times New Roman" w:cs="Times New Roman"/>
                <w:color w:val="auto"/>
                <w:sz w:val="21"/>
                <w:szCs w:val="21"/>
                <w:highlight w:val="none"/>
                <w:lang w:val="en-US" w:eastAsia="zh-CN"/>
              </w:rPr>
              <w:t>陕西黄河集团有限公司废水水质的检测工作开展，</w:t>
            </w:r>
            <w:r>
              <w:rPr>
                <w:rFonts w:hint="eastAsia" w:ascii="Times New Roman" w:cs="Times New Roman"/>
                <w:color w:val="auto"/>
                <w:sz w:val="21"/>
                <w:szCs w:val="21"/>
                <w:highlight w:val="none"/>
                <w:lang w:val="en-US" w:eastAsia="zh-CN"/>
              </w:rPr>
              <w:t>本项目建成后</w:t>
            </w:r>
            <w:r>
              <w:rPr>
                <w:rFonts w:hint="eastAsia" w:ascii="Times New Roman" w:eastAsia="宋体" w:cs="Times New Roman"/>
                <w:color w:val="auto"/>
                <w:sz w:val="21"/>
                <w:szCs w:val="21"/>
                <w:highlight w:val="none"/>
                <w:lang w:val="en-US" w:eastAsia="zh-CN"/>
              </w:rPr>
              <w:t>仅为公司内部使用，不对外服务</w:t>
            </w:r>
            <w:r>
              <w:rPr>
                <w:rFonts w:hint="eastAsia" w:ascii="Times New Roman" w:cs="Times New Roman"/>
                <w:color w:val="auto"/>
                <w:sz w:val="21"/>
                <w:szCs w:val="21"/>
                <w:highlight w:val="none"/>
                <w:lang w:val="en-US" w:eastAsia="zh-CN"/>
              </w:rPr>
              <w:t>。</w:t>
            </w:r>
          </w:p>
          <w:p w14:paraId="09A23DE1">
            <w:pPr>
              <w:pStyle w:val="13"/>
              <w:spacing w:line="360" w:lineRule="auto"/>
              <w:ind w:firstLine="422"/>
              <w:rPr>
                <w:rFonts w:hint="eastAsia" w:ascii="宋体" w:hAnsi="宋体" w:eastAsia="宋体" w:cs="宋体"/>
                <w:b/>
                <w:bCs/>
                <w:color w:val="auto"/>
                <w:kern w:val="2"/>
                <w:sz w:val="21"/>
                <w:szCs w:val="21"/>
                <w:highlight w:val="none"/>
                <w:lang w:val="en-US" w:eastAsia="zh-CN"/>
              </w:rPr>
            </w:pPr>
            <w:r>
              <w:rPr>
                <w:rFonts w:hint="eastAsia" w:ascii="宋体" w:hAnsi="宋体" w:eastAsia="宋体" w:cs="宋体"/>
                <w:b/>
                <w:bCs/>
                <w:color w:val="auto"/>
                <w:kern w:val="2"/>
                <w:sz w:val="21"/>
                <w:szCs w:val="21"/>
                <w:highlight w:val="none"/>
              </w:rPr>
              <w:t>2、项目组成</w:t>
            </w:r>
          </w:p>
          <w:p w14:paraId="00E52091">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default" w:ascii="Times New Roman" w:hAnsi="Calibri" w:eastAsia="宋体" w:cs="Times New Roman"/>
                <w:color w:val="auto"/>
                <w:sz w:val="21"/>
                <w:szCs w:val="21"/>
                <w:highlight w:val="none"/>
                <w:lang w:val="en-US" w:eastAsia="zh-CN"/>
              </w:rPr>
            </w:pPr>
            <w:r>
              <w:rPr>
                <w:rFonts w:hint="eastAsia" w:ascii="Times New Roman" w:hAnsi="Calibri" w:eastAsia="宋体" w:cs="Times New Roman"/>
                <w:color w:val="auto"/>
                <w:sz w:val="21"/>
                <w:szCs w:val="21"/>
                <w:highlight w:val="none"/>
                <w:lang w:val="en-US" w:eastAsia="zh-CN"/>
              </w:rPr>
              <w:t>本项目</w:t>
            </w:r>
            <w:r>
              <w:rPr>
                <w:rFonts w:hint="eastAsia" w:ascii="Times New Roman" w:cs="Times New Roman"/>
                <w:color w:val="auto"/>
                <w:sz w:val="21"/>
                <w:szCs w:val="21"/>
                <w:highlight w:val="none"/>
                <w:lang w:val="en-US" w:eastAsia="zh-CN"/>
              </w:rPr>
              <w:t>工程组成如下</w:t>
            </w:r>
            <w:r>
              <w:rPr>
                <w:rFonts w:hint="eastAsia" w:ascii="Times New Roman" w:hAnsi="Calibri" w:eastAsia="宋体" w:cs="Times New Roman"/>
                <w:color w:val="auto"/>
                <w:sz w:val="21"/>
                <w:szCs w:val="21"/>
                <w:highlight w:val="none"/>
                <w:lang w:val="en-US" w:eastAsia="zh-CN"/>
              </w:rPr>
              <w:t>。</w:t>
            </w:r>
          </w:p>
          <w:p w14:paraId="5CD2E977">
            <w:pPr>
              <w:autoSpaceDE w:val="0"/>
              <w:autoSpaceDN w:val="0"/>
              <w:adjustRightInd w:val="0"/>
              <w:snapToGrid w:val="0"/>
              <w:spacing w:line="240" w:lineRule="auto"/>
              <w:jc w:val="center"/>
              <w:rPr>
                <w:rFonts w:hint="default" w:ascii="Times New Roman" w:hAnsi="Times New Roman" w:eastAsia="宋体" w:cs="Times New Roman"/>
                <w:b/>
                <w:bCs/>
                <w:color w:val="auto"/>
                <w:sz w:val="21"/>
                <w:szCs w:val="18"/>
                <w:highlight w:val="none"/>
                <w:lang w:val="en-US" w:eastAsia="zh-CN"/>
              </w:rPr>
            </w:pPr>
            <w:r>
              <w:rPr>
                <w:rFonts w:hint="default" w:ascii="Times New Roman" w:hAnsi="Times New Roman" w:eastAsia="宋体" w:cs="Times New Roman"/>
                <w:b/>
                <w:bCs/>
                <w:color w:val="auto"/>
                <w:sz w:val="21"/>
                <w:szCs w:val="18"/>
                <w:highlight w:val="none"/>
              </w:rPr>
              <w:t>表</w:t>
            </w:r>
            <w:r>
              <w:rPr>
                <w:rFonts w:hint="eastAsia" w:cs="Times New Roman"/>
                <w:b/>
                <w:bCs/>
                <w:color w:val="auto"/>
                <w:sz w:val="21"/>
                <w:szCs w:val="18"/>
                <w:highlight w:val="none"/>
                <w:lang w:val="en-US" w:eastAsia="zh-CN"/>
              </w:rPr>
              <w:t>5</w:t>
            </w:r>
            <w:r>
              <w:rPr>
                <w:rFonts w:hint="default" w:ascii="Times New Roman" w:hAnsi="Times New Roman" w:eastAsia="宋体" w:cs="Times New Roman"/>
                <w:b/>
                <w:bCs/>
                <w:color w:val="auto"/>
                <w:sz w:val="21"/>
                <w:szCs w:val="18"/>
                <w:highlight w:val="none"/>
                <w:lang w:val="en-US" w:eastAsia="zh-CN"/>
              </w:rPr>
              <w:t xml:space="preserve">  本项目工程组成一览表</w:t>
            </w:r>
          </w:p>
          <w:tbl>
            <w:tblPr>
              <w:tblStyle w:val="4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096"/>
              <w:gridCol w:w="5807"/>
              <w:gridCol w:w="1024"/>
            </w:tblGrid>
            <w:tr w14:paraId="47A85FDC">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400" w:type="pct"/>
                  <w:tcBorders>
                    <w:tl2br w:val="nil"/>
                    <w:tr2bl w:val="nil"/>
                  </w:tcBorders>
                  <w:noWrap w:val="0"/>
                  <w:vAlign w:val="center"/>
                </w:tcPr>
                <w:p w14:paraId="5FC0A873">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kern w:val="28"/>
                      <w:sz w:val="21"/>
                      <w:szCs w:val="21"/>
                      <w:highlight w:val="none"/>
                    </w:rPr>
                  </w:pPr>
                  <w:r>
                    <w:rPr>
                      <w:rFonts w:hint="eastAsia" w:ascii="宋体" w:hAnsi="宋体" w:eastAsia="宋体" w:cs="宋体"/>
                      <w:b/>
                      <w:bCs/>
                      <w:color w:val="auto"/>
                      <w:kern w:val="28"/>
                      <w:sz w:val="21"/>
                      <w:szCs w:val="21"/>
                      <w:highlight w:val="none"/>
                    </w:rPr>
                    <w:t>工程</w:t>
                  </w:r>
                </w:p>
                <w:p w14:paraId="56292A91">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kern w:val="28"/>
                      <w:sz w:val="21"/>
                      <w:szCs w:val="21"/>
                      <w:highlight w:val="none"/>
                    </w:rPr>
                  </w:pPr>
                  <w:r>
                    <w:rPr>
                      <w:rFonts w:hint="eastAsia" w:ascii="宋体" w:hAnsi="宋体" w:eastAsia="宋体" w:cs="宋体"/>
                      <w:b/>
                      <w:bCs/>
                      <w:color w:val="auto"/>
                      <w:kern w:val="28"/>
                      <w:sz w:val="21"/>
                      <w:szCs w:val="21"/>
                      <w:highlight w:val="none"/>
                    </w:rPr>
                    <w:t>类别</w:t>
                  </w:r>
                </w:p>
              </w:tc>
              <w:tc>
                <w:tcPr>
                  <w:tcW w:w="636" w:type="pct"/>
                  <w:tcBorders>
                    <w:tl2br w:val="nil"/>
                    <w:tr2bl w:val="nil"/>
                  </w:tcBorders>
                  <w:noWrap w:val="0"/>
                  <w:vAlign w:val="center"/>
                </w:tcPr>
                <w:p w14:paraId="4698C3CF">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kern w:val="28"/>
                      <w:sz w:val="21"/>
                      <w:szCs w:val="21"/>
                      <w:highlight w:val="none"/>
                      <w:lang w:eastAsia="zh-CN"/>
                    </w:rPr>
                  </w:pPr>
                  <w:r>
                    <w:rPr>
                      <w:rFonts w:hint="eastAsia" w:ascii="宋体" w:hAnsi="宋体" w:eastAsia="宋体" w:cs="宋体"/>
                      <w:b/>
                      <w:bCs/>
                      <w:color w:val="auto"/>
                      <w:kern w:val="28"/>
                      <w:sz w:val="21"/>
                      <w:szCs w:val="21"/>
                      <w:highlight w:val="none"/>
                      <w:lang w:val="en-US" w:eastAsia="zh-CN"/>
                    </w:rPr>
                    <w:t>工程名称</w:t>
                  </w:r>
                </w:p>
              </w:tc>
              <w:tc>
                <w:tcPr>
                  <w:tcW w:w="3369" w:type="pct"/>
                  <w:tcBorders>
                    <w:tl2br w:val="nil"/>
                    <w:tr2bl w:val="nil"/>
                  </w:tcBorders>
                  <w:noWrap w:val="0"/>
                  <w:vAlign w:val="center"/>
                </w:tcPr>
                <w:p w14:paraId="223606CF">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bCs/>
                      <w:color w:val="auto"/>
                      <w:kern w:val="28"/>
                      <w:sz w:val="21"/>
                      <w:szCs w:val="21"/>
                      <w:highlight w:val="none"/>
                      <w:lang w:val="en-US" w:eastAsia="zh-CN"/>
                    </w:rPr>
                  </w:pPr>
                  <w:r>
                    <w:rPr>
                      <w:rFonts w:hint="eastAsia" w:ascii="宋体" w:hAnsi="宋体" w:eastAsia="宋体" w:cs="宋体"/>
                      <w:b/>
                      <w:bCs/>
                      <w:color w:val="auto"/>
                      <w:kern w:val="28"/>
                      <w:sz w:val="21"/>
                      <w:szCs w:val="21"/>
                      <w:highlight w:val="none"/>
                      <w:lang w:eastAsia="zh-CN"/>
                    </w:rPr>
                    <w:t>工程内容</w:t>
                  </w:r>
                  <w:r>
                    <w:rPr>
                      <w:rFonts w:hint="eastAsia" w:ascii="宋体" w:hAnsi="宋体" w:eastAsia="宋体" w:cs="宋体"/>
                      <w:b/>
                      <w:bCs/>
                      <w:color w:val="auto"/>
                      <w:kern w:val="28"/>
                      <w:sz w:val="21"/>
                      <w:szCs w:val="21"/>
                      <w:highlight w:val="none"/>
                      <w:lang w:val="en-US" w:eastAsia="zh-CN"/>
                    </w:rPr>
                    <w:t>及规模</w:t>
                  </w:r>
                </w:p>
              </w:tc>
              <w:tc>
                <w:tcPr>
                  <w:tcW w:w="594" w:type="pct"/>
                  <w:tcBorders>
                    <w:tl2br w:val="nil"/>
                    <w:tr2bl w:val="nil"/>
                  </w:tcBorders>
                  <w:noWrap w:val="0"/>
                  <w:vAlign w:val="center"/>
                </w:tcPr>
                <w:p w14:paraId="22238B07">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kern w:val="28"/>
                      <w:sz w:val="21"/>
                      <w:szCs w:val="21"/>
                      <w:highlight w:val="none"/>
                      <w:lang w:val="en-US" w:eastAsia="zh-CN"/>
                    </w:rPr>
                  </w:pPr>
                  <w:r>
                    <w:rPr>
                      <w:rFonts w:hint="eastAsia" w:ascii="宋体" w:hAnsi="宋体" w:eastAsia="宋体" w:cs="宋体"/>
                      <w:b/>
                      <w:bCs/>
                      <w:color w:val="auto"/>
                      <w:kern w:val="28"/>
                      <w:sz w:val="21"/>
                      <w:szCs w:val="21"/>
                      <w:highlight w:val="none"/>
                      <w:lang w:val="en-US" w:eastAsia="zh-CN"/>
                    </w:rPr>
                    <w:t>备注</w:t>
                  </w:r>
                </w:p>
              </w:tc>
            </w:tr>
            <w:tr w14:paraId="5319C965">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400" w:type="pct"/>
                  <w:vMerge w:val="restart"/>
                  <w:tcBorders>
                    <w:tl2br w:val="nil"/>
                    <w:tr2bl w:val="nil"/>
                  </w:tcBorders>
                  <w:noWrap w:val="0"/>
                  <w:vAlign w:val="center"/>
                </w:tcPr>
                <w:p w14:paraId="7C8FD254">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8"/>
                      <w:sz w:val="21"/>
                      <w:szCs w:val="21"/>
                      <w:highlight w:val="none"/>
                    </w:rPr>
                  </w:pPr>
                  <w:r>
                    <w:rPr>
                      <w:rFonts w:hint="eastAsia" w:ascii="宋体" w:hAnsi="宋体" w:eastAsia="宋体" w:cs="宋体"/>
                      <w:color w:val="auto"/>
                      <w:kern w:val="28"/>
                      <w:sz w:val="21"/>
                      <w:szCs w:val="21"/>
                      <w:highlight w:val="none"/>
                      <w:lang w:eastAsia="zh-CN"/>
                    </w:rPr>
                    <w:t>主体工程</w:t>
                  </w:r>
                </w:p>
              </w:tc>
              <w:tc>
                <w:tcPr>
                  <w:tcW w:w="636" w:type="pct"/>
                  <w:tcBorders>
                    <w:tl2br w:val="nil"/>
                    <w:tr2bl w:val="nil"/>
                  </w:tcBorders>
                  <w:noWrap w:val="0"/>
                  <w:vAlign w:val="center"/>
                </w:tcPr>
                <w:p w14:paraId="316B9585">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auto"/>
                      <w:kern w:val="28"/>
                      <w:sz w:val="21"/>
                      <w:szCs w:val="21"/>
                      <w:highlight w:val="none"/>
                      <w:lang w:val="en-US" w:eastAsia="zh-CN"/>
                    </w:rPr>
                  </w:pPr>
                  <w:r>
                    <w:rPr>
                      <w:rFonts w:hint="eastAsia" w:ascii="宋体" w:hAnsi="宋体" w:cs="宋体"/>
                      <w:color w:val="auto"/>
                      <w:kern w:val="28"/>
                      <w:sz w:val="21"/>
                      <w:szCs w:val="21"/>
                      <w:highlight w:val="none"/>
                      <w:lang w:val="en-US" w:eastAsia="zh-CN"/>
                    </w:rPr>
                    <w:t>1#实验室</w:t>
                  </w:r>
                </w:p>
              </w:tc>
              <w:tc>
                <w:tcPr>
                  <w:tcW w:w="3369" w:type="pct"/>
                  <w:tcBorders>
                    <w:tl2br w:val="nil"/>
                    <w:tr2bl w:val="nil"/>
                  </w:tcBorders>
                  <w:noWrap w:val="0"/>
                  <w:vAlign w:val="center"/>
                </w:tcPr>
                <w:p w14:paraId="6D5DDB36">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0000FF"/>
                      <w:kern w:val="28"/>
                      <w:sz w:val="21"/>
                      <w:szCs w:val="21"/>
                      <w:highlight w:val="none"/>
                      <w:lang w:val="en-US"/>
                    </w:rPr>
                  </w:pPr>
                  <w:r>
                    <w:rPr>
                      <w:rFonts w:hint="eastAsia"/>
                      <w:color w:val="auto"/>
                      <w:sz w:val="21"/>
                      <w:szCs w:val="21"/>
                      <w:highlight w:val="none"/>
                      <w:lang w:val="en-US" w:eastAsia="zh-CN"/>
                    </w:rPr>
                    <w:t>建筑面积22.2m</w:t>
                  </w:r>
                  <w:r>
                    <w:rPr>
                      <w:rFonts w:hint="eastAsia"/>
                      <w:color w:val="auto"/>
                      <w:sz w:val="21"/>
                      <w:szCs w:val="21"/>
                      <w:highlight w:val="none"/>
                      <w:vertAlign w:val="superscript"/>
                      <w:lang w:val="en-US" w:eastAsia="zh-CN"/>
                    </w:rPr>
                    <w:t>2</w:t>
                  </w:r>
                  <w:r>
                    <w:rPr>
                      <w:rFonts w:hint="eastAsia"/>
                      <w:color w:val="auto"/>
                      <w:sz w:val="21"/>
                      <w:szCs w:val="21"/>
                      <w:highlight w:val="none"/>
                      <w:vertAlign w:val="baseline"/>
                      <w:lang w:val="en-US" w:eastAsia="zh-CN"/>
                    </w:rPr>
                    <w:t>，</w:t>
                  </w:r>
                  <w:r>
                    <w:rPr>
                      <w:rFonts w:hint="eastAsia" w:hAnsi="Calibri" w:cs="Times New Roman"/>
                      <w:color w:val="auto"/>
                      <w:sz w:val="21"/>
                      <w:szCs w:val="21"/>
                      <w:highlight w:val="none"/>
                      <w:lang w:val="en-US" w:eastAsia="zh-CN"/>
                    </w:rPr>
                    <w:t>高3.3m，</w:t>
                  </w:r>
                  <w:r>
                    <w:rPr>
                      <w:rFonts w:hint="eastAsia"/>
                      <w:color w:val="auto"/>
                      <w:sz w:val="21"/>
                      <w:szCs w:val="21"/>
                      <w:highlight w:val="none"/>
                      <w:lang w:val="en-US" w:eastAsia="zh-CN"/>
                    </w:rPr>
                    <w:t>砖混结构，主要用于水质的监测，主要设备为电热板、水浴锅、COD消解仪、蒸馏仪、干燥箱、制水机等</w:t>
                  </w:r>
                </w:p>
              </w:tc>
              <w:tc>
                <w:tcPr>
                  <w:tcW w:w="594" w:type="pct"/>
                  <w:tcBorders>
                    <w:tl2br w:val="nil"/>
                    <w:tr2bl w:val="nil"/>
                  </w:tcBorders>
                  <w:noWrap w:val="0"/>
                  <w:vAlign w:val="center"/>
                </w:tcPr>
                <w:p w14:paraId="3F083F4D">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Calibri" w:eastAsia="宋体" w:cs="Times New Roman"/>
                      <w:color w:val="auto"/>
                      <w:sz w:val="21"/>
                      <w:szCs w:val="21"/>
                      <w:highlight w:val="none"/>
                      <w:lang w:val="en-US" w:eastAsia="zh-CN"/>
                    </w:rPr>
                  </w:pPr>
                  <w:r>
                    <w:rPr>
                      <w:rFonts w:hint="eastAsia" w:hAnsi="Calibri" w:cs="Times New Roman"/>
                      <w:color w:val="auto"/>
                      <w:sz w:val="21"/>
                      <w:szCs w:val="21"/>
                      <w:highlight w:val="none"/>
                      <w:lang w:val="en-US" w:eastAsia="zh-CN"/>
                    </w:rPr>
                    <w:t>由闲置库房改造</w:t>
                  </w:r>
                </w:p>
              </w:tc>
            </w:tr>
            <w:tr w14:paraId="44EE67AC">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400" w:type="pct"/>
                  <w:vMerge w:val="continue"/>
                  <w:tcBorders>
                    <w:tl2br w:val="nil"/>
                    <w:tr2bl w:val="nil"/>
                  </w:tcBorders>
                  <w:noWrap w:val="0"/>
                  <w:vAlign w:val="center"/>
                </w:tcPr>
                <w:p w14:paraId="4CA43A2D">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8"/>
                      <w:sz w:val="21"/>
                      <w:szCs w:val="21"/>
                      <w:highlight w:val="none"/>
                      <w:lang w:eastAsia="zh-CN"/>
                    </w:rPr>
                  </w:pPr>
                </w:p>
              </w:tc>
              <w:tc>
                <w:tcPr>
                  <w:tcW w:w="636" w:type="pct"/>
                  <w:tcBorders>
                    <w:tl2br w:val="nil"/>
                    <w:tr2bl w:val="nil"/>
                  </w:tcBorders>
                  <w:noWrap w:val="0"/>
                  <w:vAlign w:val="center"/>
                </w:tcPr>
                <w:p w14:paraId="4B5DC866">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auto"/>
                      <w:kern w:val="28"/>
                      <w:sz w:val="21"/>
                      <w:szCs w:val="21"/>
                      <w:highlight w:val="none"/>
                      <w:lang w:val="en-US" w:eastAsia="zh-CN"/>
                    </w:rPr>
                  </w:pPr>
                  <w:r>
                    <w:rPr>
                      <w:rFonts w:hint="eastAsia" w:ascii="宋体" w:hAnsi="宋体" w:eastAsia="宋体" w:cs="宋体"/>
                      <w:color w:val="auto"/>
                      <w:kern w:val="28"/>
                      <w:sz w:val="21"/>
                      <w:szCs w:val="21"/>
                      <w:highlight w:val="none"/>
                      <w:lang w:val="en-US" w:eastAsia="zh-CN"/>
                    </w:rPr>
                    <w:t>2#实验室</w:t>
                  </w:r>
                </w:p>
              </w:tc>
              <w:tc>
                <w:tcPr>
                  <w:tcW w:w="3369" w:type="pct"/>
                  <w:tcBorders>
                    <w:tl2br w:val="nil"/>
                    <w:tr2bl w:val="nil"/>
                  </w:tcBorders>
                  <w:noWrap w:val="0"/>
                  <w:vAlign w:val="center"/>
                </w:tcPr>
                <w:p w14:paraId="04161C4D">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FF"/>
                      <w:kern w:val="28"/>
                      <w:sz w:val="21"/>
                      <w:szCs w:val="21"/>
                      <w:highlight w:val="none"/>
                      <w:lang w:eastAsia="zh-CN"/>
                    </w:rPr>
                  </w:pPr>
                  <w:r>
                    <w:rPr>
                      <w:rFonts w:hint="eastAsia"/>
                      <w:color w:val="auto"/>
                      <w:sz w:val="21"/>
                      <w:szCs w:val="21"/>
                      <w:highlight w:val="none"/>
                      <w:lang w:val="en-US" w:eastAsia="zh-CN"/>
                    </w:rPr>
                    <w:t>建筑面积22.2m</w:t>
                  </w:r>
                  <w:r>
                    <w:rPr>
                      <w:rFonts w:hint="eastAsia"/>
                      <w:color w:val="auto"/>
                      <w:sz w:val="21"/>
                      <w:szCs w:val="21"/>
                      <w:highlight w:val="none"/>
                      <w:vertAlign w:val="superscript"/>
                      <w:lang w:val="en-US" w:eastAsia="zh-CN"/>
                    </w:rPr>
                    <w:t>2</w:t>
                  </w:r>
                  <w:r>
                    <w:rPr>
                      <w:rFonts w:hint="eastAsia"/>
                      <w:color w:val="auto"/>
                      <w:sz w:val="21"/>
                      <w:szCs w:val="21"/>
                      <w:highlight w:val="none"/>
                      <w:vertAlign w:val="baseline"/>
                      <w:lang w:val="en-US" w:eastAsia="zh-CN"/>
                    </w:rPr>
                    <w:t>，</w:t>
                  </w:r>
                  <w:r>
                    <w:rPr>
                      <w:rFonts w:hint="eastAsia" w:hAnsi="Calibri" w:cs="Times New Roman"/>
                      <w:color w:val="auto"/>
                      <w:sz w:val="21"/>
                      <w:szCs w:val="21"/>
                      <w:highlight w:val="none"/>
                      <w:lang w:val="en-US" w:eastAsia="zh-CN"/>
                    </w:rPr>
                    <w:t>高3.3m，</w:t>
                  </w:r>
                  <w:r>
                    <w:rPr>
                      <w:rFonts w:hint="eastAsia"/>
                      <w:color w:val="auto"/>
                      <w:sz w:val="21"/>
                      <w:szCs w:val="21"/>
                      <w:highlight w:val="none"/>
                      <w:lang w:val="en-US" w:eastAsia="zh-CN"/>
                    </w:rPr>
                    <w:t>砖混结构，主要用于水质的监测，主要设备为PH计、原子吸收分光光度计、原子荧光光度计、天平等</w:t>
                  </w:r>
                </w:p>
              </w:tc>
              <w:tc>
                <w:tcPr>
                  <w:tcW w:w="594" w:type="pct"/>
                  <w:tcBorders>
                    <w:tl2br w:val="nil"/>
                    <w:tr2bl w:val="nil"/>
                  </w:tcBorders>
                  <w:noWrap w:val="0"/>
                  <w:vAlign w:val="center"/>
                </w:tcPr>
                <w:p w14:paraId="74359A20">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Calibri" w:eastAsia="宋体" w:cs="Times New Roman"/>
                      <w:color w:val="auto"/>
                      <w:kern w:val="2"/>
                      <w:sz w:val="21"/>
                      <w:szCs w:val="21"/>
                      <w:highlight w:val="none"/>
                      <w:lang w:val="en-US" w:eastAsia="zh-CN" w:bidi="ar-SA"/>
                    </w:rPr>
                  </w:pPr>
                  <w:r>
                    <w:rPr>
                      <w:rFonts w:hint="eastAsia" w:hAnsi="Calibri" w:cs="Times New Roman"/>
                      <w:color w:val="auto"/>
                      <w:sz w:val="21"/>
                      <w:szCs w:val="21"/>
                      <w:highlight w:val="none"/>
                      <w:lang w:val="en-US" w:eastAsia="zh-CN"/>
                    </w:rPr>
                    <w:t>由闲置库房改造</w:t>
                  </w:r>
                </w:p>
              </w:tc>
            </w:tr>
            <w:tr w14:paraId="30C55C2D">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400" w:type="pct"/>
                  <w:tcBorders>
                    <w:tl2br w:val="nil"/>
                    <w:tr2bl w:val="nil"/>
                  </w:tcBorders>
                  <w:noWrap w:val="0"/>
                  <w:vAlign w:val="center"/>
                </w:tcPr>
                <w:p w14:paraId="3803CD14">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8"/>
                      <w:sz w:val="21"/>
                      <w:szCs w:val="21"/>
                      <w:highlight w:val="none"/>
                    </w:rPr>
                  </w:pPr>
                  <w:r>
                    <w:rPr>
                      <w:rFonts w:hint="eastAsia" w:ascii="宋体" w:hAnsi="宋体" w:eastAsia="宋体" w:cs="宋体"/>
                      <w:color w:val="auto"/>
                      <w:kern w:val="28"/>
                      <w:sz w:val="21"/>
                      <w:szCs w:val="21"/>
                      <w:highlight w:val="none"/>
                    </w:rPr>
                    <w:t>辅</w:t>
                  </w:r>
                </w:p>
                <w:p w14:paraId="7375C1B1">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8"/>
                      <w:sz w:val="21"/>
                      <w:szCs w:val="21"/>
                      <w:highlight w:val="none"/>
                    </w:rPr>
                  </w:pPr>
                  <w:r>
                    <w:rPr>
                      <w:rFonts w:hint="eastAsia" w:ascii="宋体" w:hAnsi="宋体" w:eastAsia="宋体" w:cs="宋体"/>
                      <w:color w:val="auto"/>
                      <w:kern w:val="28"/>
                      <w:sz w:val="21"/>
                      <w:szCs w:val="21"/>
                      <w:highlight w:val="none"/>
                    </w:rPr>
                    <w:t>助</w:t>
                  </w:r>
                </w:p>
                <w:p w14:paraId="29F9D97C">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8"/>
                      <w:sz w:val="21"/>
                      <w:szCs w:val="21"/>
                      <w:highlight w:val="none"/>
                    </w:rPr>
                  </w:pPr>
                  <w:r>
                    <w:rPr>
                      <w:rFonts w:hint="eastAsia" w:ascii="宋体" w:hAnsi="宋体" w:eastAsia="宋体" w:cs="宋体"/>
                      <w:color w:val="auto"/>
                      <w:kern w:val="28"/>
                      <w:sz w:val="21"/>
                      <w:szCs w:val="21"/>
                      <w:highlight w:val="none"/>
                    </w:rPr>
                    <w:t>工</w:t>
                  </w:r>
                </w:p>
                <w:p w14:paraId="684562FD">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8"/>
                      <w:sz w:val="21"/>
                      <w:szCs w:val="21"/>
                      <w:highlight w:val="none"/>
                    </w:rPr>
                  </w:pPr>
                  <w:r>
                    <w:rPr>
                      <w:rFonts w:hint="eastAsia" w:ascii="宋体" w:hAnsi="宋体" w:eastAsia="宋体" w:cs="宋体"/>
                      <w:color w:val="auto"/>
                      <w:kern w:val="28"/>
                      <w:sz w:val="21"/>
                      <w:szCs w:val="21"/>
                      <w:highlight w:val="none"/>
                    </w:rPr>
                    <w:t>程</w:t>
                  </w:r>
                </w:p>
              </w:tc>
              <w:tc>
                <w:tcPr>
                  <w:tcW w:w="636" w:type="pct"/>
                  <w:tcBorders>
                    <w:tl2br w:val="nil"/>
                    <w:tr2bl w:val="nil"/>
                  </w:tcBorders>
                  <w:noWrap w:val="0"/>
                  <w:vAlign w:val="center"/>
                </w:tcPr>
                <w:p w14:paraId="4B92B0DA">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8"/>
                      <w:sz w:val="21"/>
                      <w:szCs w:val="21"/>
                      <w:highlight w:val="none"/>
                      <w:lang w:val="en-US" w:eastAsia="zh-CN"/>
                    </w:rPr>
                  </w:pPr>
                  <w:r>
                    <w:rPr>
                      <w:rFonts w:hint="eastAsia" w:ascii="宋体" w:hAnsi="宋体" w:eastAsia="宋体" w:cs="宋体"/>
                      <w:color w:val="auto"/>
                      <w:kern w:val="28"/>
                      <w:sz w:val="21"/>
                      <w:szCs w:val="21"/>
                      <w:highlight w:val="none"/>
                      <w:lang w:val="en-US" w:eastAsia="zh-CN"/>
                    </w:rPr>
                    <w:t>危废暂存间</w:t>
                  </w:r>
                </w:p>
              </w:tc>
              <w:tc>
                <w:tcPr>
                  <w:tcW w:w="3369" w:type="pct"/>
                  <w:tcBorders>
                    <w:tl2br w:val="nil"/>
                    <w:tr2bl w:val="nil"/>
                  </w:tcBorders>
                  <w:noWrap w:val="0"/>
                  <w:vAlign w:val="center"/>
                </w:tcPr>
                <w:p w14:paraId="52C2C4A9">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auto"/>
                      <w:kern w:val="28"/>
                      <w:sz w:val="21"/>
                      <w:szCs w:val="21"/>
                      <w:highlight w:val="none"/>
                      <w:lang w:val="en-US" w:eastAsia="zh-CN"/>
                    </w:rPr>
                  </w:pPr>
                  <w:r>
                    <w:rPr>
                      <w:color w:val="auto"/>
                      <w:sz w:val="21"/>
                      <w:szCs w:val="21"/>
                      <w:highlight w:val="none"/>
                    </w:rPr>
                    <w:t>1</w:t>
                  </w:r>
                  <w:r>
                    <w:rPr>
                      <w:rFonts w:hint="eastAsia"/>
                      <w:color w:val="auto"/>
                      <w:sz w:val="21"/>
                      <w:szCs w:val="21"/>
                      <w:highlight w:val="none"/>
                    </w:rPr>
                    <w:t>个面积为</w:t>
                  </w:r>
                  <w:r>
                    <w:rPr>
                      <w:rFonts w:hint="eastAsia"/>
                      <w:color w:val="auto"/>
                      <w:sz w:val="21"/>
                      <w:szCs w:val="21"/>
                      <w:highlight w:val="none"/>
                      <w:lang w:val="en-US" w:eastAsia="zh-CN"/>
                    </w:rPr>
                    <w:t>300</w:t>
                  </w:r>
                  <w:r>
                    <w:rPr>
                      <w:color w:val="auto"/>
                      <w:sz w:val="21"/>
                      <w:szCs w:val="21"/>
                      <w:highlight w:val="none"/>
                    </w:rPr>
                    <w:t>m</w:t>
                  </w:r>
                  <w:r>
                    <w:rPr>
                      <w:color w:val="auto"/>
                      <w:sz w:val="21"/>
                      <w:szCs w:val="21"/>
                      <w:highlight w:val="none"/>
                      <w:vertAlign w:val="superscript"/>
                    </w:rPr>
                    <w:t>2</w:t>
                  </w:r>
                  <w:r>
                    <w:rPr>
                      <w:rFonts w:hint="eastAsia"/>
                      <w:color w:val="auto"/>
                      <w:sz w:val="21"/>
                      <w:szCs w:val="21"/>
                      <w:highlight w:val="none"/>
                    </w:rPr>
                    <w:t>的危废暂存间，</w:t>
                  </w:r>
                  <w:r>
                    <w:rPr>
                      <w:rFonts w:hint="eastAsia" w:ascii="Times New Roman" w:hAnsi="Times New Roman" w:eastAsia="宋体" w:cs="Times New Roman"/>
                      <w:bCs/>
                      <w:color w:val="auto"/>
                      <w:kern w:val="2"/>
                      <w:sz w:val="21"/>
                      <w:szCs w:val="21"/>
                      <w:highlight w:val="none"/>
                      <w:lang w:val="en-US" w:eastAsia="zh-CN" w:bidi="ar"/>
                    </w:rPr>
                    <w:t>位于厂区东南侧</w:t>
                  </w:r>
                </w:p>
              </w:tc>
              <w:tc>
                <w:tcPr>
                  <w:tcW w:w="594" w:type="pct"/>
                  <w:tcBorders>
                    <w:tl2br w:val="nil"/>
                    <w:tr2bl w:val="nil"/>
                  </w:tcBorders>
                  <w:noWrap w:val="0"/>
                  <w:vAlign w:val="center"/>
                </w:tcPr>
                <w:p w14:paraId="750A942F">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Calibri" w:eastAsia="宋体" w:cs="Times New Roman"/>
                      <w:color w:val="auto"/>
                      <w:sz w:val="21"/>
                      <w:szCs w:val="21"/>
                      <w:highlight w:val="none"/>
                      <w:lang w:val="en-US" w:eastAsia="zh-CN"/>
                    </w:rPr>
                  </w:pPr>
                  <w:r>
                    <w:rPr>
                      <w:rFonts w:hint="eastAsia" w:hAnsi="Calibri" w:cs="Times New Roman"/>
                      <w:color w:val="auto"/>
                      <w:sz w:val="21"/>
                      <w:szCs w:val="21"/>
                      <w:highlight w:val="none"/>
                      <w:lang w:val="en-US" w:eastAsia="zh-CN"/>
                    </w:rPr>
                    <w:t>依托</w:t>
                  </w:r>
                </w:p>
              </w:tc>
            </w:tr>
            <w:tr w14:paraId="2DBE1C1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0" w:type="pct"/>
                  <w:vMerge w:val="restart"/>
                  <w:tcBorders>
                    <w:tl2br w:val="nil"/>
                    <w:tr2bl w:val="nil"/>
                  </w:tcBorders>
                  <w:noWrap w:val="0"/>
                  <w:vAlign w:val="center"/>
                </w:tcPr>
                <w:p w14:paraId="60DE78AE">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8"/>
                      <w:sz w:val="21"/>
                      <w:szCs w:val="21"/>
                      <w:highlight w:val="none"/>
                    </w:rPr>
                  </w:pPr>
                  <w:r>
                    <w:rPr>
                      <w:rFonts w:hint="eastAsia" w:ascii="宋体" w:hAnsi="宋体" w:eastAsia="宋体" w:cs="宋体"/>
                      <w:color w:val="auto"/>
                      <w:kern w:val="28"/>
                      <w:sz w:val="21"/>
                      <w:szCs w:val="21"/>
                      <w:highlight w:val="none"/>
                    </w:rPr>
                    <w:t>公用工程</w:t>
                  </w:r>
                </w:p>
              </w:tc>
              <w:tc>
                <w:tcPr>
                  <w:tcW w:w="636" w:type="pct"/>
                  <w:tcBorders>
                    <w:tl2br w:val="nil"/>
                    <w:tr2bl w:val="nil"/>
                  </w:tcBorders>
                  <w:noWrap w:val="0"/>
                  <w:vAlign w:val="center"/>
                </w:tcPr>
                <w:p w14:paraId="63CF01B7">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Calibri" w:eastAsia="宋体" w:cs="Times New Roman"/>
                      <w:color w:val="auto"/>
                      <w:sz w:val="21"/>
                      <w:szCs w:val="21"/>
                      <w:highlight w:val="none"/>
                      <w:lang w:val="en-US" w:eastAsia="zh-CN"/>
                    </w:rPr>
                  </w:pPr>
                  <w:r>
                    <w:rPr>
                      <w:rFonts w:hint="eastAsia" w:ascii="Times New Roman" w:hAnsi="Calibri" w:eastAsia="宋体" w:cs="Times New Roman"/>
                      <w:color w:val="auto"/>
                      <w:sz w:val="21"/>
                      <w:szCs w:val="21"/>
                      <w:highlight w:val="none"/>
                      <w:lang w:val="en-US" w:eastAsia="zh-CN"/>
                    </w:rPr>
                    <w:t>供电</w:t>
                  </w:r>
                </w:p>
              </w:tc>
              <w:tc>
                <w:tcPr>
                  <w:tcW w:w="3369" w:type="pct"/>
                  <w:tcBorders>
                    <w:tl2br w:val="nil"/>
                    <w:tr2bl w:val="nil"/>
                  </w:tcBorders>
                  <w:noWrap w:val="0"/>
                  <w:vAlign w:val="center"/>
                </w:tcPr>
                <w:p w14:paraId="05DC550F">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Calibri" w:eastAsia="宋体" w:cs="Times New Roman"/>
                      <w:color w:val="auto"/>
                      <w:sz w:val="21"/>
                      <w:szCs w:val="21"/>
                      <w:highlight w:val="none"/>
                      <w:lang w:val="en-US" w:eastAsia="zh-CN"/>
                    </w:rPr>
                  </w:pPr>
                  <w:r>
                    <w:rPr>
                      <w:rFonts w:hint="eastAsia" w:ascii="Times New Roman" w:hAnsi="Calibri" w:eastAsia="宋体" w:cs="Times New Roman"/>
                      <w:color w:val="auto"/>
                      <w:sz w:val="21"/>
                      <w:szCs w:val="21"/>
                      <w:highlight w:val="none"/>
                      <w:lang w:val="en-US" w:eastAsia="zh-CN"/>
                    </w:rPr>
                    <w:t>由现有市政供电网提供。</w:t>
                  </w:r>
                </w:p>
              </w:tc>
              <w:tc>
                <w:tcPr>
                  <w:tcW w:w="594" w:type="pct"/>
                  <w:tcBorders>
                    <w:tl2br w:val="nil"/>
                    <w:tr2bl w:val="nil"/>
                  </w:tcBorders>
                  <w:noWrap w:val="0"/>
                  <w:vAlign w:val="center"/>
                </w:tcPr>
                <w:p w14:paraId="5CCBC74B">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olor w:val="auto"/>
                      <w:sz w:val="21"/>
                      <w:szCs w:val="21"/>
                      <w:highlight w:val="none"/>
                      <w:lang w:val="en-US" w:eastAsia="zh-CN"/>
                    </w:rPr>
                  </w:pPr>
                  <w:r>
                    <w:rPr>
                      <w:rFonts w:hint="eastAsia"/>
                      <w:color w:val="auto"/>
                      <w:sz w:val="21"/>
                      <w:szCs w:val="21"/>
                      <w:highlight w:val="none"/>
                      <w:lang w:val="en-US" w:eastAsia="zh-CN"/>
                    </w:rPr>
                    <w:t>/</w:t>
                  </w:r>
                </w:p>
              </w:tc>
            </w:tr>
            <w:tr w14:paraId="01EFC97D">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00" w:type="pct"/>
                  <w:vMerge w:val="continue"/>
                  <w:tcBorders>
                    <w:tl2br w:val="nil"/>
                    <w:tr2bl w:val="nil"/>
                  </w:tcBorders>
                  <w:noWrap w:val="0"/>
                  <w:vAlign w:val="center"/>
                </w:tcPr>
                <w:p w14:paraId="7EAB7A5C">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8"/>
                      <w:sz w:val="21"/>
                      <w:szCs w:val="21"/>
                      <w:highlight w:val="none"/>
                    </w:rPr>
                  </w:pPr>
                </w:p>
              </w:tc>
              <w:tc>
                <w:tcPr>
                  <w:tcW w:w="636" w:type="pct"/>
                  <w:tcBorders>
                    <w:tl2br w:val="nil"/>
                    <w:tr2bl w:val="nil"/>
                  </w:tcBorders>
                  <w:noWrap w:val="0"/>
                  <w:vAlign w:val="center"/>
                </w:tcPr>
                <w:p w14:paraId="5AEF49F8">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Calibri" w:eastAsia="宋体" w:cs="Times New Roman"/>
                      <w:color w:val="auto"/>
                      <w:sz w:val="21"/>
                      <w:szCs w:val="21"/>
                      <w:highlight w:val="none"/>
                      <w:lang w:val="en-US" w:eastAsia="zh-CN"/>
                    </w:rPr>
                  </w:pPr>
                  <w:r>
                    <w:rPr>
                      <w:rFonts w:hint="eastAsia" w:ascii="Times New Roman" w:hAnsi="Calibri" w:eastAsia="宋体" w:cs="Times New Roman"/>
                      <w:color w:val="auto"/>
                      <w:sz w:val="21"/>
                      <w:szCs w:val="21"/>
                      <w:highlight w:val="none"/>
                      <w:lang w:val="en-US" w:eastAsia="zh-CN"/>
                    </w:rPr>
                    <w:t>供水</w:t>
                  </w:r>
                </w:p>
              </w:tc>
              <w:tc>
                <w:tcPr>
                  <w:tcW w:w="3369" w:type="pct"/>
                  <w:tcBorders>
                    <w:tl2br w:val="nil"/>
                    <w:tr2bl w:val="nil"/>
                  </w:tcBorders>
                  <w:noWrap w:val="0"/>
                  <w:vAlign w:val="center"/>
                </w:tcPr>
                <w:p w14:paraId="04037FB0">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Calibri" w:eastAsia="宋体" w:cs="Times New Roman"/>
                      <w:color w:val="auto"/>
                      <w:sz w:val="21"/>
                      <w:szCs w:val="21"/>
                      <w:highlight w:val="none"/>
                      <w:lang w:val="en-US" w:eastAsia="zh-CN"/>
                    </w:rPr>
                  </w:pPr>
                  <w:r>
                    <w:rPr>
                      <w:rFonts w:hint="eastAsia" w:hAnsi="Calibri" w:cs="Times New Roman"/>
                      <w:color w:val="auto"/>
                      <w:sz w:val="21"/>
                      <w:szCs w:val="21"/>
                      <w:highlight w:val="none"/>
                      <w:lang w:val="en-US" w:eastAsia="zh-CN"/>
                    </w:rPr>
                    <w:t>由</w:t>
                  </w:r>
                  <w:r>
                    <w:rPr>
                      <w:rFonts w:hint="eastAsia" w:ascii="Times New Roman" w:hAnsi="Calibri" w:eastAsia="宋体" w:cs="Times New Roman"/>
                      <w:color w:val="auto"/>
                      <w:sz w:val="21"/>
                      <w:szCs w:val="21"/>
                      <w:highlight w:val="none"/>
                      <w:lang w:val="en-US" w:eastAsia="zh-CN"/>
                    </w:rPr>
                    <w:t>现有供水系统提供。</w:t>
                  </w:r>
                </w:p>
              </w:tc>
              <w:tc>
                <w:tcPr>
                  <w:tcW w:w="594" w:type="pct"/>
                  <w:tcBorders>
                    <w:tl2br w:val="nil"/>
                    <w:tr2bl w:val="nil"/>
                  </w:tcBorders>
                  <w:noWrap w:val="0"/>
                  <w:vAlign w:val="center"/>
                </w:tcPr>
                <w:p w14:paraId="36272D98">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8"/>
                      <w:sz w:val="21"/>
                      <w:szCs w:val="21"/>
                      <w:highlight w:val="none"/>
                      <w:lang w:eastAsia="zh-CN"/>
                    </w:rPr>
                  </w:pPr>
                  <w:r>
                    <w:rPr>
                      <w:rFonts w:hint="eastAsia" w:ascii="宋体" w:hAnsi="宋体" w:eastAsia="宋体" w:cs="宋体"/>
                      <w:color w:val="auto"/>
                      <w:kern w:val="28"/>
                      <w:sz w:val="21"/>
                      <w:szCs w:val="21"/>
                      <w:highlight w:val="none"/>
                      <w:lang w:val="en-US" w:eastAsia="zh-CN"/>
                    </w:rPr>
                    <w:t>/</w:t>
                  </w:r>
                </w:p>
              </w:tc>
            </w:tr>
            <w:tr w14:paraId="7D6A7563">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0" w:type="pct"/>
                  <w:vMerge w:val="continue"/>
                  <w:tcBorders>
                    <w:tl2br w:val="nil"/>
                    <w:tr2bl w:val="nil"/>
                  </w:tcBorders>
                  <w:noWrap w:val="0"/>
                  <w:vAlign w:val="center"/>
                </w:tcPr>
                <w:p w14:paraId="1CA6EC38">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8"/>
                      <w:sz w:val="21"/>
                      <w:szCs w:val="21"/>
                      <w:highlight w:val="none"/>
                    </w:rPr>
                  </w:pPr>
                </w:p>
              </w:tc>
              <w:tc>
                <w:tcPr>
                  <w:tcW w:w="636" w:type="pct"/>
                  <w:tcBorders>
                    <w:tl2br w:val="nil"/>
                    <w:tr2bl w:val="nil"/>
                  </w:tcBorders>
                  <w:noWrap w:val="0"/>
                  <w:vAlign w:val="center"/>
                </w:tcPr>
                <w:p w14:paraId="05111423">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排水</w:t>
                  </w:r>
                </w:p>
              </w:tc>
              <w:tc>
                <w:tcPr>
                  <w:tcW w:w="3369" w:type="pct"/>
                  <w:tcBorders>
                    <w:tl2br w:val="nil"/>
                    <w:tr2bl w:val="nil"/>
                  </w:tcBorders>
                  <w:noWrap w:val="0"/>
                  <w:vAlign w:val="center"/>
                </w:tcPr>
                <w:p w14:paraId="444727C5">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实验废水作为危废处理，纯水制备废水</w:t>
                  </w:r>
                  <w:r>
                    <w:rPr>
                      <w:rFonts w:hint="eastAsia" w:cs="Times New Roman"/>
                      <w:color w:val="auto"/>
                      <w:sz w:val="21"/>
                      <w:szCs w:val="21"/>
                      <w:highlight w:val="none"/>
                      <w:lang w:val="en-US" w:eastAsia="zh-CN"/>
                    </w:rPr>
                    <w:t>用于厂区洒水抑尘</w:t>
                  </w:r>
                </w:p>
              </w:tc>
              <w:tc>
                <w:tcPr>
                  <w:tcW w:w="594" w:type="pct"/>
                  <w:tcBorders>
                    <w:tl2br w:val="nil"/>
                    <w:tr2bl w:val="nil"/>
                  </w:tcBorders>
                  <w:noWrap w:val="0"/>
                  <w:vAlign w:val="center"/>
                </w:tcPr>
                <w:p w14:paraId="37FA5F5A">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8"/>
                      <w:sz w:val="21"/>
                      <w:szCs w:val="21"/>
                      <w:highlight w:val="none"/>
                      <w:lang w:eastAsia="zh-CN"/>
                    </w:rPr>
                  </w:pPr>
                  <w:r>
                    <w:rPr>
                      <w:rFonts w:hint="eastAsia" w:ascii="宋体" w:hAnsi="宋体" w:eastAsia="宋体" w:cs="宋体"/>
                      <w:color w:val="auto"/>
                      <w:kern w:val="28"/>
                      <w:sz w:val="21"/>
                      <w:szCs w:val="21"/>
                      <w:highlight w:val="none"/>
                      <w:lang w:val="en-US" w:eastAsia="zh-CN"/>
                    </w:rPr>
                    <w:t>/</w:t>
                  </w:r>
                </w:p>
              </w:tc>
            </w:tr>
            <w:tr w14:paraId="2C0D63D0">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00" w:type="pct"/>
                  <w:vMerge w:val="continue"/>
                  <w:tcBorders>
                    <w:tl2br w:val="nil"/>
                    <w:tr2bl w:val="nil"/>
                  </w:tcBorders>
                  <w:noWrap w:val="0"/>
                  <w:vAlign w:val="center"/>
                </w:tcPr>
                <w:p w14:paraId="33D0AA6B">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8"/>
                      <w:sz w:val="21"/>
                      <w:szCs w:val="21"/>
                      <w:highlight w:val="none"/>
                    </w:rPr>
                  </w:pPr>
                </w:p>
              </w:tc>
              <w:tc>
                <w:tcPr>
                  <w:tcW w:w="636" w:type="pct"/>
                  <w:tcBorders>
                    <w:tl2br w:val="nil"/>
                    <w:tr2bl w:val="nil"/>
                  </w:tcBorders>
                  <w:noWrap w:val="0"/>
                  <w:vAlign w:val="center"/>
                </w:tcPr>
                <w:p w14:paraId="4C54A549">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8"/>
                      <w:sz w:val="21"/>
                      <w:szCs w:val="21"/>
                      <w:highlight w:val="none"/>
                      <w:lang w:eastAsia="zh-CN"/>
                    </w:rPr>
                  </w:pPr>
                  <w:r>
                    <w:rPr>
                      <w:rFonts w:hint="default" w:ascii="宋体" w:hAnsi="宋体" w:eastAsia="宋体" w:cs="宋体"/>
                      <w:color w:val="auto"/>
                      <w:kern w:val="28"/>
                      <w:sz w:val="21"/>
                      <w:szCs w:val="21"/>
                      <w:highlight w:val="none"/>
                      <w:lang w:eastAsia="zh-CN"/>
                    </w:rPr>
                    <w:t>采暖/供热</w:t>
                  </w:r>
                </w:p>
              </w:tc>
              <w:tc>
                <w:tcPr>
                  <w:tcW w:w="3369" w:type="pct"/>
                  <w:tcBorders>
                    <w:tl2br w:val="nil"/>
                    <w:tr2bl w:val="nil"/>
                  </w:tcBorders>
                  <w:noWrap w:val="0"/>
                  <w:vAlign w:val="center"/>
                </w:tcPr>
                <w:p w14:paraId="150ACFF8">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8"/>
                      <w:sz w:val="21"/>
                      <w:szCs w:val="21"/>
                      <w:highlight w:val="none"/>
                      <w:lang w:eastAsia="zh-CN"/>
                    </w:rPr>
                  </w:pPr>
                  <w:r>
                    <w:rPr>
                      <w:rFonts w:hint="default" w:ascii="宋体" w:hAnsi="宋体" w:eastAsia="宋体" w:cs="宋体"/>
                      <w:color w:val="auto"/>
                      <w:kern w:val="28"/>
                      <w:sz w:val="21"/>
                      <w:szCs w:val="21"/>
                      <w:highlight w:val="none"/>
                      <w:lang w:eastAsia="zh-CN"/>
                    </w:rPr>
                    <w:t>采暖及制冷均采用分体式空调</w:t>
                  </w:r>
                  <w:r>
                    <w:rPr>
                      <w:rFonts w:hint="eastAsia" w:ascii="宋体" w:hAnsi="宋体" w:eastAsia="宋体" w:cs="宋体"/>
                      <w:color w:val="auto"/>
                      <w:kern w:val="28"/>
                      <w:sz w:val="21"/>
                      <w:szCs w:val="21"/>
                      <w:highlight w:val="none"/>
                      <w:lang w:eastAsia="zh-CN"/>
                    </w:rPr>
                    <w:t>。</w:t>
                  </w:r>
                </w:p>
              </w:tc>
              <w:tc>
                <w:tcPr>
                  <w:tcW w:w="594" w:type="pct"/>
                  <w:tcBorders>
                    <w:tl2br w:val="nil"/>
                    <w:tr2bl w:val="nil"/>
                  </w:tcBorders>
                  <w:noWrap w:val="0"/>
                  <w:vAlign w:val="center"/>
                </w:tcPr>
                <w:p w14:paraId="73D7F56B">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8"/>
                      <w:sz w:val="21"/>
                      <w:szCs w:val="21"/>
                      <w:highlight w:val="none"/>
                      <w:lang w:eastAsia="zh-CN"/>
                    </w:rPr>
                  </w:pPr>
                  <w:r>
                    <w:rPr>
                      <w:rFonts w:hint="eastAsia" w:ascii="宋体" w:hAnsi="宋体" w:eastAsia="宋体" w:cs="宋体"/>
                      <w:color w:val="auto"/>
                      <w:kern w:val="28"/>
                      <w:sz w:val="21"/>
                      <w:szCs w:val="21"/>
                      <w:highlight w:val="none"/>
                      <w:lang w:val="en-US" w:eastAsia="zh-CN"/>
                    </w:rPr>
                    <w:t>/</w:t>
                  </w:r>
                </w:p>
              </w:tc>
            </w:tr>
            <w:tr w14:paraId="63C9CD94">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400" w:type="pct"/>
                  <w:vMerge w:val="restart"/>
                  <w:tcBorders>
                    <w:tl2br w:val="nil"/>
                    <w:tr2bl w:val="nil"/>
                  </w:tcBorders>
                  <w:noWrap w:val="0"/>
                  <w:vAlign w:val="center"/>
                </w:tcPr>
                <w:p w14:paraId="0BA68FC8">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8"/>
                      <w:sz w:val="21"/>
                      <w:szCs w:val="21"/>
                      <w:highlight w:val="none"/>
                    </w:rPr>
                  </w:pPr>
                  <w:r>
                    <w:rPr>
                      <w:rFonts w:hint="eastAsia" w:ascii="宋体" w:hAnsi="宋体" w:eastAsia="宋体" w:cs="宋体"/>
                      <w:color w:val="auto"/>
                      <w:kern w:val="28"/>
                      <w:sz w:val="21"/>
                      <w:szCs w:val="21"/>
                      <w:highlight w:val="none"/>
                    </w:rPr>
                    <w:t>环保工程</w:t>
                  </w:r>
                </w:p>
              </w:tc>
              <w:tc>
                <w:tcPr>
                  <w:tcW w:w="636" w:type="pct"/>
                  <w:tcBorders>
                    <w:tl2br w:val="nil"/>
                    <w:tr2bl w:val="nil"/>
                  </w:tcBorders>
                  <w:noWrap w:val="0"/>
                  <w:vAlign w:val="center"/>
                </w:tcPr>
                <w:p w14:paraId="639E922E">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8"/>
                      <w:sz w:val="21"/>
                      <w:szCs w:val="21"/>
                      <w:highlight w:val="none"/>
                    </w:rPr>
                  </w:pPr>
                  <w:r>
                    <w:rPr>
                      <w:rFonts w:hint="eastAsia" w:ascii="宋体" w:hAnsi="宋体" w:eastAsia="宋体" w:cs="宋体"/>
                      <w:color w:val="auto"/>
                      <w:kern w:val="28"/>
                      <w:sz w:val="21"/>
                      <w:szCs w:val="21"/>
                      <w:highlight w:val="none"/>
                    </w:rPr>
                    <w:t>废气</w:t>
                  </w:r>
                </w:p>
              </w:tc>
              <w:tc>
                <w:tcPr>
                  <w:tcW w:w="3369" w:type="pct"/>
                  <w:tcBorders>
                    <w:tl2br w:val="nil"/>
                    <w:tr2bl w:val="nil"/>
                  </w:tcBorders>
                  <w:noWrap w:val="0"/>
                  <w:vAlign w:val="center"/>
                </w:tcPr>
                <w:p w14:paraId="299E93CD">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color w:val="auto"/>
                      <w:kern w:val="28"/>
                      <w:sz w:val="21"/>
                      <w:szCs w:val="21"/>
                      <w:highlight w:val="none"/>
                      <w:lang w:val="en-US" w:eastAsia="zh-CN"/>
                    </w:rPr>
                  </w:pPr>
                  <w:r>
                    <w:rPr>
                      <w:rStyle w:val="287"/>
                      <w:rFonts w:hint="default" w:ascii="Times New Roman" w:hAnsi="Times New Roman" w:eastAsia="宋体" w:cs="Times New Roman"/>
                      <w:color w:val="auto"/>
                      <w:sz w:val="21"/>
                      <w:szCs w:val="21"/>
                      <w:highlight w:val="none"/>
                      <w:lang w:val="en-US" w:eastAsia="zh-CN"/>
                    </w:rPr>
                    <w:t>实验过程中挥发的硫酸雾</w:t>
                  </w:r>
                  <w:r>
                    <w:rPr>
                      <w:rStyle w:val="287"/>
                      <w:rFonts w:hint="eastAsia" w:cs="Times New Roman"/>
                      <w:color w:val="auto"/>
                      <w:sz w:val="21"/>
                      <w:szCs w:val="21"/>
                      <w:highlight w:val="none"/>
                      <w:lang w:val="en-US" w:eastAsia="zh-CN"/>
                    </w:rPr>
                    <w:t>、硝</w:t>
                  </w:r>
                  <w:r>
                    <w:rPr>
                      <w:rStyle w:val="287"/>
                      <w:rFonts w:hint="eastAsia" w:ascii="Times New Roman" w:hAnsi="Times New Roman" w:eastAsia="宋体" w:cs="Times New Roman"/>
                      <w:color w:val="auto"/>
                      <w:sz w:val="21"/>
                      <w:szCs w:val="21"/>
                      <w:highlight w:val="none"/>
                      <w:lang w:val="en-US" w:eastAsia="zh-CN"/>
                    </w:rPr>
                    <w:t>酸雾</w:t>
                  </w:r>
                  <w:r>
                    <w:rPr>
                      <w:rStyle w:val="287"/>
                      <w:rFonts w:hint="eastAsia" w:cs="Times New Roman"/>
                      <w:color w:val="auto"/>
                      <w:sz w:val="21"/>
                      <w:szCs w:val="21"/>
                      <w:highlight w:val="none"/>
                      <w:lang w:val="en-US" w:eastAsia="zh-CN"/>
                    </w:rPr>
                    <w:t>、</w:t>
                  </w:r>
                  <w:r>
                    <w:rPr>
                      <w:rStyle w:val="287"/>
                      <w:rFonts w:hint="eastAsia" w:ascii="Times New Roman" w:hAnsi="Times New Roman" w:eastAsia="宋体" w:cs="Times New Roman"/>
                      <w:color w:val="auto"/>
                      <w:sz w:val="21"/>
                      <w:szCs w:val="21"/>
                      <w:highlight w:val="none"/>
                      <w:lang w:val="en-US" w:eastAsia="zh-CN"/>
                    </w:rPr>
                    <w:t>非甲烷总烃</w:t>
                  </w:r>
                  <w:r>
                    <w:rPr>
                      <w:rStyle w:val="287"/>
                      <w:rFonts w:hint="eastAsia" w:cs="Times New Roman"/>
                      <w:color w:val="auto"/>
                      <w:sz w:val="21"/>
                      <w:szCs w:val="21"/>
                      <w:highlight w:val="none"/>
                      <w:lang w:val="en-US" w:eastAsia="zh-CN"/>
                    </w:rPr>
                    <w:t>及</w:t>
                  </w:r>
                  <w:r>
                    <w:rPr>
                      <w:rStyle w:val="287"/>
                      <w:rFonts w:hint="default" w:ascii="Times New Roman" w:hAnsi="Times New Roman" w:eastAsia="宋体" w:cs="Times New Roman"/>
                      <w:color w:val="auto"/>
                      <w:sz w:val="21"/>
                      <w:szCs w:val="21"/>
                      <w:highlight w:val="none"/>
                    </w:rPr>
                    <w:t>氯化氢</w:t>
                  </w:r>
                  <w:r>
                    <w:rPr>
                      <w:rStyle w:val="287"/>
                      <w:rFonts w:hint="eastAsia" w:cs="Times New Roman"/>
                      <w:color w:val="auto"/>
                      <w:sz w:val="21"/>
                      <w:szCs w:val="21"/>
                      <w:highlight w:val="none"/>
                      <w:lang w:val="en-US" w:eastAsia="zh-CN"/>
                    </w:rPr>
                    <w:t>经通风橱收集后经</w:t>
                  </w:r>
                  <w:r>
                    <w:rPr>
                      <w:rStyle w:val="287"/>
                      <w:rFonts w:hint="default" w:ascii="Times New Roman" w:hAnsi="Times New Roman" w:eastAsia="宋体" w:cs="Times New Roman"/>
                      <w:color w:val="auto"/>
                      <w:sz w:val="21"/>
                      <w:szCs w:val="21"/>
                      <w:highlight w:val="none"/>
                      <w:lang w:val="en-US" w:eastAsia="zh-CN"/>
                    </w:rPr>
                    <w:t>活性炭吸附装置</w:t>
                  </w:r>
                  <w:r>
                    <w:rPr>
                      <w:rStyle w:val="287"/>
                      <w:rFonts w:hint="default" w:ascii="Times New Roman" w:hAnsi="Times New Roman" w:cs="Times New Roman"/>
                      <w:color w:val="auto"/>
                      <w:sz w:val="21"/>
                      <w:szCs w:val="21"/>
                      <w:highlight w:val="none"/>
                      <w:lang w:val="en-US" w:eastAsia="zh-CN"/>
                    </w:rPr>
                    <w:t>处理后通过</w:t>
                  </w:r>
                  <w:r>
                    <w:rPr>
                      <w:rStyle w:val="287"/>
                      <w:rFonts w:hint="eastAsia" w:cs="Times New Roman"/>
                      <w:color w:val="auto"/>
                      <w:sz w:val="21"/>
                      <w:szCs w:val="21"/>
                      <w:highlight w:val="none"/>
                      <w:lang w:val="en-US" w:eastAsia="zh-CN"/>
                    </w:rPr>
                    <w:t>15</w:t>
                  </w:r>
                  <w:r>
                    <w:rPr>
                      <w:rStyle w:val="287"/>
                      <w:rFonts w:hint="default" w:ascii="Times New Roman" w:hAnsi="Times New Roman" w:cs="Times New Roman"/>
                      <w:color w:val="auto"/>
                      <w:sz w:val="21"/>
                      <w:szCs w:val="21"/>
                      <w:highlight w:val="none"/>
                      <w:lang w:val="en-US" w:eastAsia="zh-CN"/>
                    </w:rPr>
                    <w:t>m高排气筒排放。</w:t>
                  </w:r>
                </w:p>
              </w:tc>
              <w:tc>
                <w:tcPr>
                  <w:tcW w:w="594" w:type="pct"/>
                  <w:tcBorders>
                    <w:tl2br w:val="nil"/>
                    <w:tr2bl w:val="nil"/>
                  </w:tcBorders>
                  <w:noWrap w:val="0"/>
                  <w:vAlign w:val="center"/>
                </w:tcPr>
                <w:p w14:paraId="6E4D3E61">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8"/>
                      <w:sz w:val="21"/>
                      <w:szCs w:val="21"/>
                      <w:highlight w:val="none"/>
                      <w:lang w:eastAsia="zh-CN"/>
                    </w:rPr>
                  </w:pPr>
                  <w:r>
                    <w:rPr>
                      <w:rFonts w:hint="eastAsia" w:ascii="宋体" w:hAnsi="宋体" w:eastAsia="宋体" w:cs="宋体"/>
                      <w:color w:val="auto"/>
                      <w:kern w:val="28"/>
                      <w:sz w:val="21"/>
                      <w:szCs w:val="21"/>
                      <w:highlight w:val="none"/>
                      <w:lang w:val="en-US" w:eastAsia="zh-CN"/>
                    </w:rPr>
                    <w:t>/</w:t>
                  </w:r>
                </w:p>
              </w:tc>
            </w:tr>
            <w:tr w14:paraId="0E9C0FB5">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400" w:type="pct"/>
                  <w:vMerge w:val="continue"/>
                  <w:tcBorders>
                    <w:tl2br w:val="nil"/>
                    <w:tr2bl w:val="nil"/>
                  </w:tcBorders>
                  <w:noWrap w:val="0"/>
                  <w:vAlign w:val="center"/>
                </w:tcPr>
                <w:p w14:paraId="41EDAF3E">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8"/>
                      <w:sz w:val="21"/>
                      <w:szCs w:val="21"/>
                      <w:highlight w:val="none"/>
                    </w:rPr>
                  </w:pPr>
                </w:p>
              </w:tc>
              <w:tc>
                <w:tcPr>
                  <w:tcW w:w="636" w:type="pct"/>
                  <w:tcBorders>
                    <w:tl2br w:val="nil"/>
                    <w:tr2bl w:val="nil"/>
                  </w:tcBorders>
                  <w:noWrap w:val="0"/>
                  <w:vAlign w:val="center"/>
                </w:tcPr>
                <w:p w14:paraId="24F3EDCD">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8"/>
                      <w:sz w:val="21"/>
                      <w:szCs w:val="21"/>
                      <w:highlight w:val="none"/>
                    </w:rPr>
                  </w:pPr>
                  <w:r>
                    <w:rPr>
                      <w:rFonts w:hint="eastAsia" w:ascii="宋体" w:hAnsi="宋体" w:eastAsia="宋体" w:cs="宋体"/>
                      <w:color w:val="auto"/>
                      <w:kern w:val="28"/>
                      <w:sz w:val="21"/>
                      <w:szCs w:val="21"/>
                      <w:highlight w:val="none"/>
                    </w:rPr>
                    <w:t>废水</w:t>
                  </w:r>
                </w:p>
              </w:tc>
              <w:tc>
                <w:tcPr>
                  <w:tcW w:w="3369" w:type="pct"/>
                  <w:tcBorders>
                    <w:tl2br w:val="nil"/>
                    <w:tr2bl w:val="nil"/>
                  </w:tcBorders>
                  <w:noWrap w:val="0"/>
                  <w:vAlign w:val="center"/>
                </w:tcPr>
                <w:p w14:paraId="42BAA5AF">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auto"/>
                      <w:kern w:val="28"/>
                      <w:sz w:val="21"/>
                      <w:szCs w:val="21"/>
                      <w:highlight w:val="none"/>
                      <w:lang w:val="en-US" w:eastAsia="zh-CN"/>
                    </w:rPr>
                  </w:pPr>
                  <w:r>
                    <w:rPr>
                      <w:rFonts w:hint="eastAsia" w:ascii="宋体" w:hAnsi="宋体" w:cs="宋体"/>
                      <w:color w:val="auto"/>
                      <w:kern w:val="28"/>
                      <w:sz w:val="21"/>
                      <w:szCs w:val="21"/>
                      <w:highlight w:val="none"/>
                      <w:lang w:val="en-US" w:eastAsia="zh-CN"/>
                    </w:rPr>
                    <w:t>不新增劳动定员无新增生活污水，</w:t>
                  </w:r>
                  <w:r>
                    <w:rPr>
                      <w:rFonts w:hint="eastAsia" w:ascii="Times New Roman" w:hAnsi="Times New Roman" w:eastAsia="宋体" w:cs="Times New Roman"/>
                      <w:color w:val="auto"/>
                      <w:sz w:val="21"/>
                      <w:szCs w:val="21"/>
                      <w:highlight w:val="none"/>
                      <w:lang w:val="en-US" w:eastAsia="zh-CN"/>
                    </w:rPr>
                    <w:t>实验废水作为危废处理，</w:t>
                  </w:r>
                  <w:r>
                    <w:rPr>
                      <w:rFonts w:hint="eastAsia" w:cs="Times New Roman"/>
                      <w:color w:val="auto"/>
                      <w:sz w:val="21"/>
                      <w:szCs w:val="21"/>
                      <w:highlight w:val="none"/>
                      <w:lang w:val="en-US" w:eastAsia="zh-CN"/>
                    </w:rPr>
                    <w:t>纯水制备废水用于厂区洒水抑尘</w:t>
                  </w:r>
                </w:p>
              </w:tc>
              <w:tc>
                <w:tcPr>
                  <w:tcW w:w="594" w:type="pct"/>
                  <w:tcBorders>
                    <w:tl2br w:val="nil"/>
                    <w:tr2bl w:val="nil"/>
                  </w:tcBorders>
                  <w:noWrap w:val="0"/>
                  <w:vAlign w:val="center"/>
                </w:tcPr>
                <w:p w14:paraId="570CBB1C">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8"/>
                      <w:sz w:val="21"/>
                      <w:szCs w:val="21"/>
                      <w:highlight w:val="none"/>
                    </w:rPr>
                  </w:pPr>
                  <w:r>
                    <w:rPr>
                      <w:rFonts w:hint="eastAsia" w:ascii="宋体" w:hAnsi="宋体" w:cs="宋体"/>
                      <w:color w:val="auto"/>
                      <w:kern w:val="28"/>
                      <w:sz w:val="21"/>
                      <w:szCs w:val="21"/>
                      <w:highlight w:val="none"/>
                      <w:lang w:val="en-US" w:eastAsia="zh-CN"/>
                    </w:rPr>
                    <w:t>/</w:t>
                  </w:r>
                </w:p>
              </w:tc>
            </w:tr>
            <w:tr w14:paraId="4698CABF">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00" w:type="pct"/>
                  <w:vMerge w:val="continue"/>
                  <w:tcBorders>
                    <w:tl2br w:val="nil"/>
                    <w:tr2bl w:val="nil"/>
                  </w:tcBorders>
                  <w:noWrap w:val="0"/>
                  <w:vAlign w:val="center"/>
                </w:tcPr>
                <w:p w14:paraId="18D7CA7E">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8"/>
                      <w:sz w:val="21"/>
                      <w:szCs w:val="21"/>
                      <w:highlight w:val="none"/>
                    </w:rPr>
                  </w:pPr>
                </w:p>
              </w:tc>
              <w:tc>
                <w:tcPr>
                  <w:tcW w:w="636" w:type="pct"/>
                  <w:tcBorders>
                    <w:tl2br w:val="nil"/>
                    <w:tr2bl w:val="nil"/>
                  </w:tcBorders>
                  <w:noWrap w:val="0"/>
                  <w:vAlign w:val="center"/>
                </w:tcPr>
                <w:p w14:paraId="4E1D7537">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8"/>
                      <w:sz w:val="21"/>
                      <w:szCs w:val="21"/>
                      <w:highlight w:val="none"/>
                      <w:lang w:eastAsia="zh-CN"/>
                    </w:rPr>
                  </w:pPr>
                  <w:r>
                    <w:rPr>
                      <w:rFonts w:hint="eastAsia" w:ascii="宋体" w:hAnsi="宋体" w:eastAsia="宋体" w:cs="宋体"/>
                      <w:color w:val="auto"/>
                      <w:kern w:val="28"/>
                      <w:sz w:val="21"/>
                      <w:szCs w:val="21"/>
                      <w:highlight w:val="none"/>
                      <w:lang w:eastAsia="zh-CN"/>
                    </w:rPr>
                    <w:t>噪声</w:t>
                  </w:r>
                </w:p>
              </w:tc>
              <w:tc>
                <w:tcPr>
                  <w:tcW w:w="3369" w:type="pct"/>
                  <w:tcBorders>
                    <w:tl2br w:val="nil"/>
                    <w:tr2bl w:val="nil"/>
                  </w:tcBorders>
                  <w:noWrap w:val="0"/>
                  <w:vAlign w:val="center"/>
                </w:tcPr>
                <w:p w14:paraId="380C2C00">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采用合理布置设备、低噪声设备、安装减振垫、厂房隔声等措施</w:t>
                  </w:r>
                  <w:r>
                    <w:rPr>
                      <w:rFonts w:hint="eastAsia" w:ascii="Times New Roman" w:hAnsi="Times New Roman" w:eastAsia="宋体" w:cs="Times New Roman"/>
                      <w:color w:val="auto"/>
                      <w:sz w:val="21"/>
                      <w:szCs w:val="21"/>
                      <w:highlight w:val="none"/>
                      <w:lang w:val="en-US" w:eastAsia="zh-CN"/>
                    </w:rPr>
                    <w:t>。</w:t>
                  </w:r>
                </w:p>
              </w:tc>
              <w:tc>
                <w:tcPr>
                  <w:tcW w:w="594" w:type="pct"/>
                  <w:tcBorders>
                    <w:tl2br w:val="nil"/>
                    <w:tr2bl w:val="nil"/>
                  </w:tcBorders>
                  <w:noWrap w:val="0"/>
                  <w:vAlign w:val="center"/>
                </w:tcPr>
                <w:p w14:paraId="74D80D00">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8"/>
                      <w:sz w:val="21"/>
                      <w:szCs w:val="21"/>
                      <w:highlight w:val="none"/>
                      <w:lang w:val="en-US" w:eastAsia="zh-CN"/>
                    </w:rPr>
                  </w:pPr>
                  <w:r>
                    <w:rPr>
                      <w:rFonts w:hint="eastAsia" w:ascii="宋体" w:hAnsi="宋体" w:eastAsia="宋体" w:cs="宋体"/>
                      <w:color w:val="auto"/>
                      <w:kern w:val="28"/>
                      <w:sz w:val="21"/>
                      <w:szCs w:val="21"/>
                      <w:highlight w:val="none"/>
                      <w:lang w:val="en-US" w:eastAsia="zh-CN"/>
                    </w:rPr>
                    <w:t>/</w:t>
                  </w:r>
                </w:p>
              </w:tc>
            </w:tr>
            <w:tr w14:paraId="60B79744">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00" w:type="pct"/>
                  <w:vMerge w:val="continue"/>
                  <w:tcBorders>
                    <w:tl2br w:val="nil"/>
                    <w:tr2bl w:val="nil"/>
                  </w:tcBorders>
                  <w:noWrap w:val="0"/>
                  <w:vAlign w:val="center"/>
                </w:tcPr>
                <w:p w14:paraId="6CB7E1FF">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8"/>
                      <w:sz w:val="21"/>
                      <w:szCs w:val="21"/>
                      <w:highlight w:val="none"/>
                    </w:rPr>
                  </w:pPr>
                </w:p>
              </w:tc>
              <w:tc>
                <w:tcPr>
                  <w:tcW w:w="636" w:type="pct"/>
                  <w:tcBorders>
                    <w:tl2br w:val="nil"/>
                    <w:tr2bl w:val="nil"/>
                  </w:tcBorders>
                  <w:noWrap w:val="0"/>
                  <w:vAlign w:val="center"/>
                </w:tcPr>
                <w:p w14:paraId="297F29B3">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8"/>
                      <w:sz w:val="21"/>
                      <w:szCs w:val="21"/>
                      <w:highlight w:val="none"/>
                    </w:rPr>
                  </w:pPr>
                  <w:r>
                    <w:rPr>
                      <w:rFonts w:hint="eastAsia" w:ascii="宋体" w:hAnsi="宋体" w:eastAsia="宋体" w:cs="宋体"/>
                      <w:color w:val="auto"/>
                      <w:kern w:val="28"/>
                      <w:sz w:val="21"/>
                      <w:szCs w:val="21"/>
                      <w:highlight w:val="none"/>
                    </w:rPr>
                    <w:t>固体废物</w:t>
                  </w:r>
                </w:p>
              </w:tc>
              <w:tc>
                <w:tcPr>
                  <w:tcW w:w="3369" w:type="pct"/>
                  <w:tcBorders>
                    <w:tl2br w:val="nil"/>
                    <w:tr2bl w:val="nil"/>
                  </w:tcBorders>
                  <w:noWrap w:val="0"/>
                  <w:vAlign w:val="center"/>
                </w:tcPr>
                <w:p w14:paraId="10A8BAC1">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损坏的器皿收集至一般固废间及时外售</w:t>
                  </w:r>
                  <w:r>
                    <w:rPr>
                      <w:rFonts w:hint="default" w:ascii="Times New Roman" w:hAnsi="Times New Roman" w:eastAsia="宋体" w:cs="Times New Roman"/>
                      <w:color w:val="auto"/>
                      <w:sz w:val="21"/>
                      <w:szCs w:val="21"/>
                      <w:highlight w:val="none"/>
                      <w:lang w:val="en-US" w:eastAsia="zh-CN"/>
                    </w:rPr>
                    <w:t>。实验废液和器皿清洗水</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废耗材</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过期试剂</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废残留样品</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废活性炭</w:t>
                  </w:r>
                  <w:r>
                    <w:rPr>
                      <w:rFonts w:hint="eastAsia" w:ascii="Times New Roman" w:hAnsi="Times New Roman" w:eastAsia="宋体" w:cs="Times New Roman"/>
                      <w:color w:val="auto"/>
                      <w:sz w:val="21"/>
                      <w:szCs w:val="21"/>
                      <w:highlight w:val="none"/>
                      <w:lang w:val="en-US" w:eastAsia="zh-CN"/>
                    </w:rPr>
                    <w:t>，分类暂存危废间内，委托有资质单位处置。</w:t>
                  </w:r>
                </w:p>
              </w:tc>
              <w:tc>
                <w:tcPr>
                  <w:tcW w:w="594" w:type="pct"/>
                  <w:tcBorders>
                    <w:tl2br w:val="nil"/>
                    <w:tr2bl w:val="nil"/>
                  </w:tcBorders>
                  <w:noWrap w:val="0"/>
                  <w:vAlign w:val="center"/>
                </w:tcPr>
                <w:p w14:paraId="09C12295">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8"/>
                      <w:sz w:val="21"/>
                      <w:szCs w:val="21"/>
                      <w:highlight w:val="none"/>
                      <w:lang w:val="en-US" w:eastAsia="zh-CN"/>
                    </w:rPr>
                  </w:pPr>
                  <w:r>
                    <w:rPr>
                      <w:rFonts w:hint="eastAsia" w:ascii="宋体" w:hAnsi="宋体" w:eastAsia="宋体" w:cs="宋体"/>
                      <w:color w:val="auto"/>
                      <w:kern w:val="28"/>
                      <w:sz w:val="21"/>
                      <w:szCs w:val="21"/>
                      <w:highlight w:val="none"/>
                      <w:lang w:val="en-US" w:eastAsia="zh-CN"/>
                    </w:rPr>
                    <w:t>/</w:t>
                  </w:r>
                </w:p>
              </w:tc>
            </w:tr>
          </w:tbl>
          <w:p w14:paraId="06BAF47C">
            <w:pPr>
              <w:pStyle w:val="44"/>
              <w:rPr>
                <w:rFonts w:hint="default" w:ascii="Times New Roman" w:hAnsi="Times New Roman" w:eastAsia="宋体" w:cs="Times New Roman"/>
                <w:b/>
                <w:bCs/>
                <w:color w:val="0000FF"/>
                <w:sz w:val="21"/>
                <w:szCs w:val="18"/>
                <w:highlight w:val="none"/>
                <w:lang w:val="en-US" w:eastAsia="zh-CN"/>
              </w:rPr>
            </w:pPr>
          </w:p>
          <w:p w14:paraId="2DAE00A5">
            <w:pPr>
              <w:pStyle w:val="33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黑体" w:hAnsi="黑体" w:eastAsia="黑体" w:cs="黑体"/>
                <w:b w:val="0"/>
                <w:bCs/>
                <w:color w:val="auto"/>
                <w:sz w:val="24"/>
                <w:szCs w:val="24"/>
                <w:highlight w:val="none"/>
                <w:lang w:val="en-US" w:eastAsia="zh-CN"/>
              </w:rPr>
            </w:pPr>
            <w:r>
              <w:rPr>
                <w:rFonts w:hint="eastAsia" w:ascii="黑体" w:hAnsi="黑体" w:eastAsia="黑体" w:cs="黑体"/>
                <w:b w:val="0"/>
                <w:bCs/>
                <w:color w:val="auto"/>
                <w:sz w:val="24"/>
                <w:szCs w:val="24"/>
                <w:highlight w:val="none"/>
                <w:lang w:val="en-US" w:eastAsia="zh-CN"/>
              </w:rPr>
              <w:t>3、检测能力</w:t>
            </w:r>
          </w:p>
          <w:p w14:paraId="71F37CCF">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eastAsia" w:ascii="Times New Roman" w:eastAsia="宋体" w:cs="Times New Roman"/>
                <w:color w:val="auto"/>
                <w:sz w:val="21"/>
                <w:szCs w:val="21"/>
                <w:highlight w:val="none"/>
                <w:lang w:val="en-US" w:eastAsia="zh-CN"/>
              </w:rPr>
            </w:pPr>
            <w:r>
              <w:rPr>
                <w:rFonts w:hint="eastAsia" w:ascii="Times New Roman" w:eastAsia="宋体" w:cs="Times New Roman"/>
                <w:color w:val="auto"/>
                <w:sz w:val="21"/>
                <w:szCs w:val="21"/>
                <w:highlight w:val="none"/>
                <w:lang w:val="en-US" w:eastAsia="zh-CN"/>
              </w:rPr>
              <w:t>本项目主要为水的环境监测，预计检测规模为250批次/年（仅为公司内部使用，不对外服务）。</w:t>
            </w:r>
          </w:p>
          <w:p w14:paraId="32BD6865">
            <w:pPr>
              <w:pStyle w:val="33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黑体" w:hAnsi="黑体" w:eastAsia="黑体" w:cs="黑体"/>
                <w:b w:val="0"/>
                <w:bCs/>
                <w:color w:val="auto"/>
                <w:sz w:val="24"/>
                <w:szCs w:val="24"/>
                <w:highlight w:val="none"/>
                <w:lang w:val="en-US" w:eastAsia="zh-CN"/>
              </w:rPr>
            </w:pPr>
            <w:r>
              <w:rPr>
                <w:rFonts w:hint="eastAsia" w:ascii="黑体" w:hAnsi="黑体" w:eastAsia="黑体" w:cs="黑体"/>
                <w:b w:val="0"/>
                <w:bCs/>
                <w:color w:val="auto"/>
                <w:sz w:val="24"/>
                <w:szCs w:val="24"/>
                <w:highlight w:val="none"/>
                <w:lang w:val="en-US" w:eastAsia="zh-CN"/>
              </w:rPr>
              <w:t>4、</w:t>
            </w:r>
            <w:r>
              <w:rPr>
                <w:rFonts w:hint="default" w:ascii="黑体" w:hAnsi="黑体" w:eastAsia="黑体" w:cs="黑体"/>
                <w:b w:val="0"/>
                <w:bCs/>
                <w:color w:val="auto"/>
                <w:sz w:val="24"/>
                <w:szCs w:val="24"/>
                <w:highlight w:val="none"/>
                <w:lang w:val="en-US" w:eastAsia="zh-CN"/>
              </w:rPr>
              <w:t>主要</w:t>
            </w:r>
            <w:r>
              <w:rPr>
                <w:rFonts w:hint="eastAsia" w:ascii="黑体" w:hAnsi="黑体" w:eastAsia="黑体" w:cs="黑体"/>
                <w:b w:val="0"/>
                <w:bCs/>
                <w:color w:val="auto"/>
                <w:sz w:val="24"/>
                <w:szCs w:val="24"/>
                <w:highlight w:val="none"/>
                <w:lang w:val="en-US" w:eastAsia="zh-CN"/>
              </w:rPr>
              <w:t>试剂</w:t>
            </w:r>
            <w:r>
              <w:rPr>
                <w:rFonts w:hint="default" w:ascii="黑体" w:hAnsi="黑体" w:eastAsia="黑体" w:cs="黑体"/>
                <w:b w:val="0"/>
                <w:bCs/>
                <w:color w:val="auto"/>
                <w:sz w:val="24"/>
                <w:szCs w:val="24"/>
                <w:highlight w:val="none"/>
                <w:lang w:val="en-US" w:eastAsia="zh-CN"/>
              </w:rPr>
              <w:t>及能源消耗</w:t>
            </w:r>
          </w:p>
          <w:p w14:paraId="554FEAC5">
            <w:pPr>
              <w:pStyle w:val="62"/>
              <w:keepNext w:val="0"/>
              <w:keepLines w:val="0"/>
              <w:pageBreakBefore w:val="0"/>
              <w:widowControl w:val="0"/>
              <w:kinsoku/>
              <w:wordWrap/>
              <w:overflowPunct/>
              <w:topLinePunct w:val="0"/>
              <w:bidi w:val="0"/>
              <w:adjustRightInd/>
              <w:snapToGrid/>
              <w:spacing w:line="360" w:lineRule="auto"/>
              <w:ind w:firstLine="420" w:firstLineChars="200"/>
              <w:jc w:val="both"/>
              <w:textAlignment w:val="auto"/>
              <w:outlineLvl w:val="9"/>
              <w:rPr>
                <w:rFonts w:hint="default" w:ascii="Times New Roman" w:hAnsi="Calibri" w:eastAsia="宋体" w:cs="Times New Roman"/>
                <w:color w:val="auto"/>
                <w:sz w:val="21"/>
                <w:szCs w:val="21"/>
                <w:highlight w:val="none"/>
                <w:lang w:val="en-US" w:eastAsia="zh-CN"/>
              </w:rPr>
            </w:pPr>
            <w:r>
              <w:rPr>
                <w:rFonts w:hint="eastAsia" w:ascii="Times New Roman" w:hAnsi="Calibri" w:eastAsia="宋体" w:cs="Times New Roman"/>
                <w:color w:val="auto"/>
                <w:sz w:val="21"/>
                <w:szCs w:val="21"/>
                <w:highlight w:val="none"/>
                <w:lang w:val="en-US" w:eastAsia="zh-CN"/>
              </w:rPr>
              <w:t>项目</w:t>
            </w:r>
            <w:r>
              <w:rPr>
                <w:rFonts w:hint="eastAsia" w:ascii="Times New Roman" w:cs="Times New Roman"/>
                <w:color w:val="auto"/>
                <w:sz w:val="21"/>
                <w:szCs w:val="21"/>
                <w:highlight w:val="none"/>
                <w:lang w:val="en-US" w:eastAsia="zh-CN"/>
              </w:rPr>
              <w:t>实验</w:t>
            </w:r>
            <w:r>
              <w:rPr>
                <w:rFonts w:hint="eastAsia" w:ascii="Times New Roman" w:hAnsi="Calibri" w:eastAsia="宋体" w:cs="Times New Roman"/>
                <w:color w:val="auto"/>
                <w:sz w:val="21"/>
                <w:szCs w:val="21"/>
                <w:highlight w:val="none"/>
                <w:lang w:val="en-US" w:eastAsia="zh-CN"/>
              </w:rPr>
              <w:t>所</w:t>
            </w:r>
            <w:r>
              <w:rPr>
                <w:rFonts w:hint="eastAsia" w:ascii="Times New Roman" w:eastAsia="宋体" w:cs="Times New Roman"/>
                <w:color w:val="auto"/>
                <w:sz w:val="21"/>
                <w:szCs w:val="21"/>
                <w:highlight w:val="none"/>
                <w:lang w:val="en-US" w:eastAsia="zh-CN"/>
              </w:rPr>
              <w:t>需的主要试剂</w:t>
            </w:r>
            <w:r>
              <w:rPr>
                <w:rFonts w:hint="default" w:ascii="Times New Roman" w:eastAsia="宋体" w:cs="Times New Roman"/>
                <w:color w:val="auto"/>
                <w:sz w:val="21"/>
                <w:szCs w:val="21"/>
                <w:highlight w:val="none"/>
                <w:lang w:val="en-US" w:eastAsia="zh-CN"/>
              </w:rPr>
              <w:t>及能源</w:t>
            </w:r>
            <w:r>
              <w:rPr>
                <w:rFonts w:hint="eastAsia" w:ascii="Times New Roman" w:eastAsia="宋体" w:cs="Times New Roman"/>
                <w:color w:val="auto"/>
                <w:sz w:val="21"/>
                <w:szCs w:val="21"/>
                <w:highlight w:val="none"/>
                <w:lang w:val="en-US" w:eastAsia="zh-CN"/>
              </w:rPr>
              <w:t>详见下表</w:t>
            </w:r>
            <w:r>
              <w:rPr>
                <w:rFonts w:hint="eastAsia" w:ascii="Times New Roman" w:hAnsi="Calibri" w:eastAsia="宋体" w:cs="Times New Roman"/>
                <w:color w:val="auto"/>
                <w:sz w:val="21"/>
                <w:szCs w:val="21"/>
                <w:highlight w:val="none"/>
                <w:lang w:val="en-US" w:eastAsia="zh-CN"/>
              </w:rPr>
              <w:t>。</w:t>
            </w:r>
          </w:p>
          <w:p w14:paraId="534AEA68">
            <w:pPr>
              <w:autoSpaceDE w:val="0"/>
              <w:autoSpaceDN w:val="0"/>
              <w:adjustRightInd w:val="0"/>
              <w:snapToGrid w:val="0"/>
              <w:spacing w:line="240" w:lineRule="auto"/>
              <w:jc w:val="center"/>
              <w:rPr>
                <w:rFonts w:hint="default" w:ascii="Times New Roman" w:hAnsi="Times New Roman" w:eastAsia="宋体" w:cs="Times New Roman"/>
                <w:b/>
                <w:bCs/>
                <w:color w:val="auto"/>
                <w:sz w:val="21"/>
                <w:szCs w:val="18"/>
                <w:highlight w:val="none"/>
                <w:lang w:val="en-US" w:eastAsia="zh-CN"/>
              </w:rPr>
            </w:pPr>
            <w:r>
              <w:rPr>
                <w:rFonts w:hint="default" w:ascii="Times New Roman" w:hAnsi="Times New Roman" w:eastAsia="宋体" w:cs="Times New Roman"/>
                <w:b/>
                <w:bCs/>
                <w:color w:val="auto"/>
                <w:sz w:val="21"/>
                <w:szCs w:val="18"/>
                <w:highlight w:val="none"/>
              </w:rPr>
              <w:t>表</w:t>
            </w:r>
            <w:r>
              <w:rPr>
                <w:rFonts w:hint="eastAsia" w:cs="Times New Roman"/>
                <w:b/>
                <w:bCs/>
                <w:color w:val="auto"/>
                <w:sz w:val="21"/>
                <w:szCs w:val="18"/>
                <w:highlight w:val="none"/>
                <w:lang w:val="en-US" w:eastAsia="zh-CN"/>
              </w:rPr>
              <w:t>6</w:t>
            </w:r>
            <w:r>
              <w:rPr>
                <w:rFonts w:hint="default" w:ascii="Times New Roman" w:hAnsi="Times New Roman" w:eastAsia="宋体" w:cs="Times New Roman"/>
                <w:b/>
                <w:bCs/>
                <w:color w:val="auto"/>
                <w:sz w:val="21"/>
                <w:szCs w:val="18"/>
                <w:highlight w:val="none"/>
                <w:lang w:val="en-US" w:eastAsia="zh-CN"/>
              </w:rPr>
              <w:t xml:space="preserve">  本项目</w:t>
            </w:r>
            <w:r>
              <w:rPr>
                <w:rFonts w:hint="eastAsia" w:ascii="Times New Roman" w:hAnsi="Times New Roman" w:eastAsia="宋体" w:cs="Times New Roman"/>
                <w:b/>
                <w:bCs/>
                <w:color w:val="auto"/>
                <w:sz w:val="21"/>
                <w:szCs w:val="18"/>
                <w:highlight w:val="none"/>
                <w:lang w:val="en-US" w:eastAsia="zh-CN"/>
              </w:rPr>
              <w:t>试剂</w:t>
            </w:r>
            <w:r>
              <w:rPr>
                <w:rFonts w:hint="default" w:ascii="Times New Roman" w:hAnsi="Times New Roman" w:eastAsia="宋体" w:cs="Times New Roman"/>
                <w:b/>
                <w:bCs/>
                <w:color w:val="auto"/>
                <w:sz w:val="21"/>
                <w:szCs w:val="18"/>
                <w:highlight w:val="none"/>
                <w:lang w:val="en-US" w:eastAsia="zh-CN"/>
              </w:rPr>
              <w:t>及能源</w:t>
            </w:r>
            <w:r>
              <w:rPr>
                <w:rFonts w:hint="eastAsia" w:ascii="Times New Roman" w:hAnsi="Times New Roman" w:eastAsia="宋体" w:cs="Times New Roman"/>
                <w:b/>
                <w:bCs/>
                <w:color w:val="auto"/>
                <w:sz w:val="21"/>
                <w:szCs w:val="18"/>
                <w:highlight w:val="none"/>
                <w:lang w:val="en-US" w:eastAsia="zh-CN"/>
              </w:rPr>
              <w:t>消耗</w:t>
            </w:r>
            <w:r>
              <w:rPr>
                <w:rFonts w:hint="default" w:ascii="Times New Roman" w:hAnsi="Times New Roman" w:eastAsia="宋体" w:cs="Times New Roman"/>
                <w:b/>
                <w:bCs/>
                <w:color w:val="auto"/>
                <w:sz w:val="21"/>
                <w:szCs w:val="18"/>
                <w:highlight w:val="none"/>
                <w:lang w:val="en-US" w:eastAsia="zh-CN"/>
              </w:rPr>
              <w:t>表</w:t>
            </w:r>
          </w:p>
          <w:tbl>
            <w:tblPr>
              <w:tblStyle w:val="4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469"/>
              <w:gridCol w:w="1443"/>
              <w:gridCol w:w="1267"/>
              <w:gridCol w:w="1546"/>
              <w:gridCol w:w="1068"/>
              <w:gridCol w:w="1146"/>
            </w:tblGrid>
            <w:tr w14:paraId="096BA1C9">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tcBorders>
                    <w:tl2br w:val="nil"/>
                    <w:tr2bl w:val="nil"/>
                  </w:tcBorders>
                  <w:noWrap w:val="0"/>
                  <w:tcMar>
                    <w:left w:w="0" w:type="dxa"/>
                    <w:right w:w="0" w:type="dxa"/>
                  </w:tcMar>
                  <w:vAlign w:val="center"/>
                </w:tcPr>
                <w:p w14:paraId="6197AF71">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default" w:ascii="Times New Roman" w:hAnsi="Times New Roman" w:eastAsia="宋体" w:cs="Times New Roman"/>
                      <w:color w:val="auto"/>
                      <w:kern w:val="28"/>
                      <w:sz w:val="21"/>
                      <w:szCs w:val="21"/>
                      <w:highlight w:val="none"/>
                      <w:lang w:val="en-US" w:eastAsia="zh-CN"/>
                    </w:rPr>
                    <w:t>类别</w:t>
                  </w:r>
                </w:p>
              </w:tc>
              <w:tc>
                <w:tcPr>
                  <w:tcW w:w="852" w:type="pct"/>
                  <w:tcBorders>
                    <w:tl2br w:val="nil"/>
                    <w:tr2bl w:val="nil"/>
                  </w:tcBorders>
                  <w:noWrap w:val="0"/>
                  <w:vAlign w:val="center"/>
                </w:tcPr>
                <w:p w14:paraId="2AF5AD7E">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default" w:ascii="Times New Roman" w:hAnsi="Times New Roman" w:eastAsia="宋体" w:cs="Times New Roman"/>
                      <w:color w:val="auto"/>
                      <w:kern w:val="28"/>
                      <w:sz w:val="21"/>
                      <w:szCs w:val="21"/>
                      <w:highlight w:val="none"/>
                      <w:lang w:val="en-US" w:eastAsia="zh-CN"/>
                    </w:rPr>
                    <w:t>名 称</w:t>
                  </w:r>
                </w:p>
              </w:tc>
              <w:tc>
                <w:tcPr>
                  <w:tcW w:w="837" w:type="pct"/>
                  <w:tcBorders>
                    <w:tl2br w:val="nil"/>
                    <w:tr2bl w:val="nil"/>
                  </w:tcBorders>
                  <w:noWrap w:val="0"/>
                  <w:vAlign w:val="center"/>
                </w:tcPr>
                <w:p w14:paraId="30A6BC0C">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default" w:ascii="Times New Roman" w:hAnsi="Times New Roman" w:eastAsia="宋体" w:cs="Times New Roman"/>
                      <w:color w:val="auto"/>
                      <w:kern w:val="28"/>
                      <w:sz w:val="21"/>
                      <w:szCs w:val="21"/>
                      <w:highlight w:val="none"/>
                      <w:lang w:val="en-US" w:eastAsia="zh-CN"/>
                    </w:rPr>
                    <w:t>用量</w:t>
                  </w:r>
                </w:p>
              </w:tc>
              <w:tc>
                <w:tcPr>
                  <w:tcW w:w="735" w:type="pct"/>
                  <w:tcBorders>
                    <w:tl2br w:val="nil"/>
                    <w:tr2bl w:val="nil"/>
                  </w:tcBorders>
                  <w:noWrap w:val="0"/>
                  <w:vAlign w:val="center"/>
                </w:tcPr>
                <w:p w14:paraId="47CA6600">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default" w:ascii="Times New Roman" w:hAnsi="Times New Roman" w:eastAsia="宋体" w:cs="Times New Roman"/>
                      <w:color w:val="auto"/>
                      <w:kern w:val="28"/>
                      <w:sz w:val="21"/>
                      <w:szCs w:val="21"/>
                      <w:highlight w:val="none"/>
                      <w:lang w:val="en-US" w:eastAsia="zh-CN"/>
                    </w:rPr>
                    <w:t>最大储存量</w:t>
                  </w:r>
                </w:p>
              </w:tc>
              <w:tc>
                <w:tcPr>
                  <w:tcW w:w="897" w:type="pct"/>
                  <w:tcBorders>
                    <w:tl2br w:val="nil"/>
                    <w:tr2bl w:val="nil"/>
                  </w:tcBorders>
                  <w:noWrap w:val="0"/>
                  <w:vAlign w:val="center"/>
                </w:tcPr>
                <w:p w14:paraId="31FE8A53">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default" w:ascii="Times New Roman" w:hAnsi="Times New Roman" w:eastAsia="宋体" w:cs="Times New Roman"/>
                      <w:color w:val="auto"/>
                      <w:kern w:val="28"/>
                      <w:sz w:val="21"/>
                      <w:szCs w:val="21"/>
                      <w:highlight w:val="none"/>
                      <w:lang w:val="en-US" w:eastAsia="zh-CN"/>
                    </w:rPr>
                    <w:t>储运方式</w:t>
                  </w:r>
                </w:p>
              </w:tc>
              <w:tc>
                <w:tcPr>
                  <w:tcW w:w="619" w:type="pct"/>
                  <w:tcBorders>
                    <w:tl2br w:val="nil"/>
                    <w:tr2bl w:val="nil"/>
                  </w:tcBorders>
                  <w:noWrap w:val="0"/>
                  <w:vAlign w:val="center"/>
                </w:tcPr>
                <w:p w14:paraId="3D23F505">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default" w:ascii="Times New Roman" w:hAnsi="Times New Roman" w:eastAsia="宋体" w:cs="Times New Roman"/>
                      <w:color w:val="auto"/>
                      <w:kern w:val="28"/>
                      <w:sz w:val="21"/>
                      <w:szCs w:val="21"/>
                      <w:highlight w:val="none"/>
                      <w:lang w:val="en-US" w:eastAsia="zh-CN"/>
                    </w:rPr>
                    <w:t>状态</w:t>
                  </w:r>
                </w:p>
              </w:tc>
              <w:tc>
                <w:tcPr>
                  <w:tcW w:w="664" w:type="pct"/>
                  <w:tcBorders>
                    <w:tl2br w:val="nil"/>
                    <w:tr2bl w:val="nil"/>
                  </w:tcBorders>
                  <w:noWrap w:val="0"/>
                  <w:vAlign w:val="center"/>
                </w:tcPr>
                <w:p w14:paraId="37F7EF73">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default" w:ascii="Times New Roman" w:hAnsi="Times New Roman" w:eastAsia="宋体" w:cs="Times New Roman"/>
                      <w:color w:val="auto"/>
                      <w:kern w:val="28"/>
                      <w:sz w:val="21"/>
                      <w:szCs w:val="21"/>
                      <w:highlight w:val="none"/>
                      <w:lang w:val="en-US" w:eastAsia="zh-CN"/>
                    </w:rPr>
                    <w:t>来 源</w:t>
                  </w:r>
                </w:p>
              </w:tc>
            </w:tr>
            <w:tr w14:paraId="39AEF556">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393" w:type="pct"/>
                  <w:vMerge w:val="restart"/>
                  <w:tcBorders>
                    <w:tl2br w:val="nil"/>
                    <w:tr2bl w:val="nil"/>
                  </w:tcBorders>
                  <w:noWrap w:val="0"/>
                  <w:tcMar>
                    <w:left w:w="0" w:type="dxa"/>
                    <w:right w:w="0" w:type="dxa"/>
                  </w:tcMar>
                  <w:vAlign w:val="center"/>
                </w:tcPr>
                <w:p w14:paraId="28FB2649">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w:t>
                  </w:r>
                </w:p>
              </w:tc>
              <w:tc>
                <w:tcPr>
                  <w:tcW w:w="852" w:type="pct"/>
                  <w:tcBorders>
                    <w:tl2br w:val="nil"/>
                    <w:tr2bl w:val="nil"/>
                  </w:tcBorders>
                  <w:noWrap w:val="0"/>
                  <w:vAlign w:val="center"/>
                </w:tcPr>
                <w:p w14:paraId="103D5028">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4.00</w:t>
                  </w:r>
                  <w:r>
                    <w:rPr>
                      <w:rFonts w:hint="eastAsia" w:cs="Times New Roman"/>
                      <w:color w:val="auto"/>
                      <w:kern w:val="28"/>
                      <w:sz w:val="21"/>
                      <w:szCs w:val="21"/>
                      <w:highlight w:val="none"/>
                      <w:lang w:val="en-US" w:eastAsia="zh-CN"/>
                    </w:rPr>
                    <w:t>PH</w:t>
                  </w:r>
                  <w:r>
                    <w:rPr>
                      <w:rFonts w:hint="eastAsia" w:eastAsia="宋体" w:cs="Times New Roman"/>
                      <w:color w:val="auto"/>
                      <w:kern w:val="28"/>
                      <w:sz w:val="21"/>
                      <w:szCs w:val="21"/>
                      <w:highlight w:val="none"/>
                      <w:lang w:val="en-US" w:eastAsia="zh-CN"/>
                    </w:rPr>
                    <w:t>缓冲溶液</w:t>
                  </w:r>
                </w:p>
              </w:tc>
              <w:tc>
                <w:tcPr>
                  <w:tcW w:w="837" w:type="pct"/>
                  <w:tcBorders>
                    <w:tl2br w:val="nil"/>
                    <w:tr2bl w:val="nil"/>
                  </w:tcBorders>
                  <w:noWrap w:val="0"/>
                  <w:vAlign w:val="center"/>
                </w:tcPr>
                <w:p w14:paraId="1496D54E">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5000</w:t>
                  </w:r>
                  <w:r>
                    <w:rPr>
                      <w:rFonts w:hint="default" w:eastAsia="宋体" w:cs="Times New Roman"/>
                      <w:color w:val="auto"/>
                      <w:kern w:val="28"/>
                      <w:sz w:val="21"/>
                      <w:szCs w:val="21"/>
                      <w:highlight w:val="none"/>
                      <w:lang w:val="en-US" w:eastAsia="zh-CN"/>
                    </w:rPr>
                    <w:t>mL</w:t>
                  </w:r>
                </w:p>
              </w:tc>
              <w:tc>
                <w:tcPr>
                  <w:tcW w:w="735" w:type="pct"/>
                  <w:tcBorders>
                    <w:tl2br w:val="nil"/>
                    <w:tr2bl w:val="nil"/>
                  </w:tcBorders>
                  <w:noWrap w:val="0"/>
                  <w:vAlign w:val="center"/>
                </w:tcPr>
                <w:p w14:paraId="63091E18">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10</w:t>
                  </w:r>
                  <w:r>
                    <w:rPr>
                      <w:rFonts w:hint="eastAsia" w:eastAsia="宋体" w:cs="Times New Roman"/>
                      <w:color w:val="auto"/>
                      <w:kern w:val="28"/>
                      <w:sz w:val="21"/>
                      <w:szCs w:val="21"/>
                      <w:highlight w:val="none"/>
                      <w:lang w:val="en-US" w:eastAsia="zh-CN"/>
                    </w:rPr>
                    <w:t>袋</w:t>
                  </w:r>
                  <w:r>
                    <w:rPr>
                      <w:rFonts w:hint="default" w:eastAsia="宋体" w:cs="Times New Roman"/>
                      <w:color w:val="auto"/>
                      <w:kern w:val="28"/>
                      <w:sz w:val="21"/>
                      <w:szCs w:val="21"/>
                      <w:highlight w:val="none"/>
                      <w:lang w:val="en-US" w:eastAsia="zh-CN"/>
                    </w:rPr>
                    <w:t>/</w:t>
                  </w:r>
                  <w:r>
                    <w:rPr>
                      <w:rFonts w:hint="eastAsia" w:eastAsia="宋体" w:cs="Times New Roman"/>
                      <w:color w:val="auto"/>
                      <w:kern w:val="28"/>
                      <w:sz w:val="21"/>
                      <w:szCs w:val="21"/>
                      <w:highlight w:val="none"/>
                      <w:lang w:val="en-US" w:eastAsia="zh-CN"/>
                    </w:rPr>
                    <w:t>包</w:t>
                  </w:r>
                </w:p>
              </w:tc>
              <w:tc>
                <w:tcPr>
                  <w:tcW w:w="897" w:type="pct"/>
                  <w:tcBorders>
                    <w:tl2br w:val="nil"/>
                    <w:tr2bl w:val="nil"/>
                  </w:tcBorders>
                  <w:noWrap w:val="0"/>
                  <w:vAlign w:val="center"/>
                </w:tcPr>
                <w:p w14:paraId="1FD01C39">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759EE052">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液态</w:t>
                  </w:r>
                </w:p>
              </w:tc>
              <w:tc>
                <w:tcPr>
                  <w:tcW w:w="664" w:type="pct"/>
                  <w:tcBorders>
                    <w:tl2br w:val="nil"/>
                    <w:tr2bl w:val="nil"/>
                  </w:tcBorders>
                  <w:noWrap w:val="0"/>
                  <w:vAlign w:val="center"/>
                </w:tcPr>
                <w:p w14:paraId="6B3BA656">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1B33DA16">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vAlign w:val="center"/>
                </w:tcPr>
                <w:p w14:paraId="3989238E">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4253DC7A">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6.86</w:t>
                  </w:r>
                  <w:r>
                    <w:rPr>
                      <w:rFonts w:hint="eastAsia" w:cs="Times New Roman"/>
                      <w:color w:val="auto"/>
                      <w:kern w:val="28"/>
                      <w:sz w:val="21"/>
                      <w:szCs w:val="21"/>
                      <w:highlight w:val="none"/>
                      <w:lang w:val="en-US" w:eastAsia="zh-CN"/>
                    </w:rPr>
                    <w:t>PH</w:t>
                  </w:r>
                  <w:r>
                    <w:rPr>
                      <w:rFonts w:hint="eastAsia" w:eastAsia="宋体" w:cs="Times New Roman"/>
                      <w:color w:val="auto"/>
                      <w:kern w:val="28"/>
                      <w:sz w:val="21"/>
                      <w:szCs w:val="21"/>
                      <w:highlight w:val="none"/>
                      <w:lang w:val="en-US" w:eastAsia="zh-CN"/>
                    </w:rPr>
                    <w:t>缓冲溶液</w:t>
                  </w:r>
                </w:p>
              </w:tc>
              <w:tc>
                <w:tcPr>
                  <w:tcW w:w="837" w:type="pct"/>
                  <w:tcBorders>
                    <w:tl2br w:val="nil"/>
                    <w:tr2bl w:val="nil"/>
                  </w:tcBorders>
                  <w:noWrap w:val="0"/>
                  <w:vAlign w:val="center"/>
                </w:tcPr>
                <w:p w14:paraId="711DEC44">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5000</w:t>
                  </w:r>
                  <w:r>
                    <w:rPr>
                      <w:rFonts w:hint="default" w:eastAsia="宋体" w:cs="Times New Roman"/>
                      <w:color w:val="auto"/>
                      <w:kern w:val="28"/>
                      <w:sz w:val="21"/>
                      <w:szCs w:val="21"/>
                      <w:highlight w:val="none"/>
                      <w:lang w:val="en-US" w:eastAsia="zh-CN"/>
                    </w:rPr>
                    <w:t>mL</w:t>
                  </w:r>
                </w:p>
              </w:tc>
              <w:tc>
                <w:tcPr>
                  <w:tcW w:w="735" w:type="pct"/>
                  <w:tcBorders>
                    <w:tl2br w:val="nil"/>
                    <w:tr2bl w:val="nil"/>
                  </w:tcBorders>
                  <w:noWrap w:val="0"/>
                  <w:vAlign w:val="center"/>
                </w:tcPr>
                <w:p w14:paraId="0CEA5AD5">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10</w:t>
                  </w:r>
                  <w:r>
                    <w:rPr>
                      <w:rFonts w:hint="eastAsia" w:eastAsia="宋体" w:cs="Times New Roman"/>
                      <w:color w:val="auto"/>
                      <w:kern w:val="28"/>
                      <w:sz w:val="21"/>
                      <w:szCs w:val="21"/>
                      <w:highlight w:val="none"/>
                      <w:lang w:val="en-US" w:eastAsia="zh-CN"/>
                    </w:rPr>
                    <w:t>袋</w:t>
                  </w:r>
                  <w:r>
                    <w:rPr>
                      <w:rFonts w:hint="default" w:eastAsia="宋体" w:cs="Times New Roman"/>
                      <w:color w:val="auto"/>
                      <w:kern w:val="28"/>
                      <w:sz w:val="21"/>
                      <w:szCs w:val="21"/>
                      <w:highlight w:val="none"/>
                      <w:lang w:val="en-US" w:eastAsia="zh-CN"/>
                    </w:rPr>
                    <w:t>/</w:t>
                  </w:r>
                  <w:r>
                    <w:rPr>
                      <w:rFonts w:hint="eastAsia" w:eastAsia="宋体" w:cs="Times New Roman"/>
                      <w:color w:val="auto"/>
                      <w:kern w:val="28"/>
                      <w:sz w:val="21"/>
                      <w:szCs w:val="21"/>
                      <w:highlight w:val="none"/>
                      <w:lang w:val="en-US" w:eastAsia="zh-CN"/>
                    </w:rPr>
                    <w:t>包</w:t>
                  </w:r>
                </w:p>
              </w:tc>
              <w:tc>
                <w:tcPr>
                  <w:tcW w:w="897" w:type="pct"/>
                  <w:tcBorders>
                    <w:tl2br w:val="nil"/>
                    <w:tr2bl w:val="nil"/>
                  </w:tcBorders>
                  <w:noWrap w:val="0"/>
                  <w:vAlign w:val="center"/>
                </w:tcPr>
                <w:p w14:paraId="5E0B2EA2">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2BB9648E">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液态</w:t>
                  </w:r>
                </w:p>
              </w:tc>
              <w:tc>
                <w:tcPr>
                  <w:tcW w:w="664" w:type="pct"/>
                  <w:tcBorders>
                    <w:tl2br w:val="nil"/>
                    <w:tr2bl w:val="nil"/>
                  </w:tcBorders>
                  <w:noWrap w:val="0"/>
                  <w:vAlign w:val="center"/>
                </w:tcPr>
                <w:p w14:paraId="2AF81BBD">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3783B66E">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2C083C68">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5E06AB61">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9.18</w:t>
                  </w:r>
                  <w:r>
                    <w:rPr>
                      <w:rFonts w:hint="eastAsia" w:cs="Times New Roman"/>
                      <w:color w:val="auto"/>
                      <w:kern w:val="28"/>
                      <w:sz w:val="21"/>
                      <w:szCs w:val="21"/>
                      <w:highlight w:val="none"/>
                      <w:lang w:val="en-US" w:eastAsia="zh-CN"/>
                    </w:rPr>
                    <w:t>PH</w:t>
                  </w:r>
                  <w:r>
                    <w:rPr>
                      <w:rFonts w:hint="eastAsia" w:eastAsia="宋体" w:cs="Times New Roman"/>
                      <w:color w:val="auto"/>
                      <w:kern w:val="28"/>
                      <w:sz w:val="21"/>
                      <w:szCs w:val="21"/>
                      <w:highlight w:val="none"/>
                      <w:lang w:val="en-US" w:eastAsia="zh-CN"/>
                    </w:rPr>
                    <w:t>缓冲溶液</w:t>
                  </w:r>
                </w:p>
              </w:tc>
              <w:tc>
                <w:tcPr>
                  <w:tcW w:w="837" w:type="pct"/>
                  <w:tcBorders>
                    <w:tl2br w:val="nil"/>
                    <w:tr2bl w:val="nil"/>
                  </w:tcBorders>
                  <w:noWrap w:val="0"/>
                  <w:vAlign w:val="center"/>
                </w:tcPr>
                <w:p w14:paraId="4540E09B">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5000</w:t>
                  </w:r>
                  <w:r>
                    <w:rPr>
                      <w:rFonts w:hint="default" w:eastAsia="宋体" w:cs="Times New Roman"/>
                      <w:color w:val="auto"/>
                      <w:kern w:val="28"/>
                      <w:sz w:val="21"/>
                      <w:szCs w:val="21"/>
                      <w:highlight w:val="none"/>
                      <w:lang w:val="en-US" w:eastAsia="zh-CN"/>
                    </w:rPr>
                    <w:t>mL</w:t>
                  </w:r>
                </w:p>
              </w:tc>
              <w:tc>
                <w:tcPr>
                  <w:tcW w:w="735" w:type="pct"/>
                  <w:tcBorders>
                    <w:tl2br w:val="nil"/>
                    <w:tr2bl w:val="nil"/>
                  </w:tcBorders>
                  <w:noWrap w:val="0"/>
                  <w:vAlign w:val="center"/>
                </w:tcPr>
                <w:p w14:paraId="34666209">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10</w:t>
                  </w:r>
                  <w:r>
                    <w:rPr>
                      <w:rFonts w:hint="eastAsia" w:eastAsia="宋体" w:cs="Times New Roman"/>
                      <w:color w:val="auto"/>
                      <w:kern w:val="28"/>
                      <w:sz w:val="21"/>
                      <w:szCs w:val="21"/>
                      <w:highlight w:val="none"/>
                      <w:lang w:val="en-US" w:eastAsia="zh-CN"/>
                    </w:rPr>
                    <w:t>袋</w:t>
                  </w:r>
                  <w:r>
                    <w:rPr>
                      <w:rFonts w:hint="default" w:eastAsia="宋体" w:cs="Times New Roman"/>
                      <w:color w:val="auto"/>
                      <w:kern w:val="28"/>
                      <w:sz w:val="21"/>
                      <w:szCs w:val="21"/>
                      <w:highlight w:val="none"/>
                      <w:lang w:val="en-US" w:eastAsia="zh-CN"/>
                    </w:rPr>
                    <w:t>/</w:t>
                  </w:r>
                  <w:r>
                    <w:rPr>
                      <w:rFonts w:hint="eastAsia" w:eastAsia="宋体" w:cs="Times New Roman"/>
                      <w:color w:val="auto"/>
                      <w:kern w:val="28"/>
                      <w:sz w:val="21"/>
                      <w:szCs w:val="21"/>
                      <w:highlight w:val="none"/>
                      <w:lang w:val="en-US" w:eastAsia="zh-CN"/>
                    </w:rPr>
                    <w:t>包</w:t>
                  </w:r>
                </w:p>
              </w:tc>
              <w:tc>
                <w:tcPr>
                  <w:tcW w:w="897" w:type="pct"/>
                  <w:tcBorders>
                    <w:tl2br w:val="nil"/>
                    <w:tr2bl w:val="nil"/>
                  </w:tcBorders>
                  <w:noWrap w:val="0"/>
                  <w:vAlign w:val="center"/>
                </w:tcPr>
                <w:p w14:paraId="3AA03C8C">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6F38FAB2">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液态</w:t>
                  </w:r>
                </w:p>
              </w:tc>
              <w:tc>
                <w:tcPr>
                  <w:tcW w:w="664" w:type="pct"/>
                  <w:tcBorders>
                    <w:tl2br w:val="nil"/>
                    <w:tr2bl w:val="nil"/>
                  </w:tcBorders>
                  <w:noWrap w:val="0"/>
                  <w:vAlign w:val="center"/>
                </w:tcPr>
                <w:p w14:paraId="2A1DA033">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7C2BACFB">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4E5B550B">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0A8DA799">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硫酸</w:t>
                  </w:r>
                </w:p>
              </w:tc>
              <w:tc>
                <w:tcPr>
                  <w:tcW w:w="837" w:type="pct"/>
                  <w:tcBorders>
                    <w:tl2br w:val="nil"/>
                    <w:tr2bl w:val="nil"/>
                  </w:tcBorders>
                  <w:noWrap w:val="0"/>
                  <w:vAlign w:val="center"/>
                </w:tcPr>
                <w:p w14:paraId="50F5C087">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2500</w:t>
                  </w:r>
                  <w:r>
                    <w:rPr>
                      <w:rFonts w:hint="default" w:eastAsia="宋体" w:cs="Times New Roman"/>
                      <w:color w:val="auto"/>
                      <w:kern w:val="28"/>
                      <w:sz w:val="21"/>
                      <w:szCs w:val="21"/>
                      <w:highlight w:val="none"/>
                      <w:lang w:val="en-US" w:eastAsia="zh-CN"/>
                    </w:rPr>
                    <w:t>mL</w:t>
                  </w:r>
                </w:p>
              </w:tc>
              <w:tc>
                <w:tcPr>
                  <w:tcW w:w="735" w:type="pct"/>
                  <w:tcBorders>
                    <w:tl2br w:val="nil"/>
                    <w:tr2bl w:val="nil"/>
                  </w:tcBorders>
                  <w:noWrap w:val="0"/>
                  <w:vAlign w:val="center"/>
                </w:tcPr>
                <w:p w14:paraId="3AD39C58">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500mL</w:t>
                  </w:r>
                </w:p>
              </w:tc>
              <w:tc>
                <w:tcPr>
                  <w:tcW w:w="897" w:type="pct"/>
                  <w:tcBorders>
                    <w:tl2br w:val="nil"/>
                    <w:tr2bl w:val="nil"/>
                  </w:tcBorders>
                  <w:noWrap w:val="0"/>
                  <w:vAlign w:val="center"/>
                </w:tcPr>
                <w:p w14:paraId="1973C433">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774F152A">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液态</w:t>
                  </w:r>
                </w:p>
              </w:tc>
              <w:tc>
                <w:tcPr>
                  <w:tcW w:w="664" w:type="pct"/>
                  <w:tcBorders>
                    <w:tl2br w:val="nil"/>
                    <w:tr2bl w:val="nil"/>
                  </w:tcBorders>
                  <w:noWrap w:val="0"/>
                  <w:vAlign w:val="center"/>
                </w:tcPr>
                <w:p w14:paraId="042900FC">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63E78525">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7468CCC4">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02F46497">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硫酸银</w:t>
                  </w:r>
                </w:p>
              </w:tc>
              <w:tc>
                <w:tcPr>
                  <w:tcW w:w="837" w:type="pct"/>
                  <w:tcBorders>
                    <w:tl2br w:val="nil"/>
                    <w:tr2bl w:val="nil"/>
                  </w:tcBorders>
                  <w:noWrap w:val="0"/>
                  <w:vAlign w:val="center"/>
                </w:tcPr>
                <w:p w14:paraId="547421CC">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100g</w:t>
                  </w:r>
                </w:p>
              </w:tc>
              <w:tc>
                <w:tcPr>
                  <w:tcW w:w="735" w:type="pct"/>
                  <w:tcBorders>
                    <w:tl2br w:val="nil"/>
                    <w:tr2bl w:val="nil"/>
                  </w:tcBorders>
                  <w:noWrap w:val="0"/>
                  <w:vAlign w:val="center"/>
                </w:tcPr>
                <w:p w14:paraId="1D379696">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100g</w:t>
                  </w:r>
                </w:p>
              </w:tc>
              <w:tc>
                <w:tcPr>
                  <w:tcW w:w="897" w:type="pct"/>
                  <w:tcBorders>
                    <w:tl2br w:val="nil"/>
                    <w:tr2bl w:val="nil"/>
                  </w:tcBorders>
                  <w:noWrap w:val="0"/>
                  <w:vAlign w:val="center"/>
                </w:tcPr>
                <w:p w14:paraId="6A3CB5C3">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09302F2A">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固态粉末</w:t>
                  </w:r>
                </w:p>
              </w:tc>
              <w:tc>
                <w:tcPr>
                  <w:tcW w:w="664" w:type="pct"/>
                  <w:tcBorders>
                    <w:tl2br w:val="nil"/>
                    <w:tr2bl w:val="nil"/>
                  </w:tcBorders>
                  <w:noWrap w:val="0"/>
                  <w:vAlign w:val="center"/>
                </w:tcPr>
                <w:p w14:paraId="1B894C2E">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043BDC3F">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1DE432DD">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2D0AA9F8">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硫酸汞</w:t>
                  </w:r>
                </w:p>
              </w:tc>
              <w:tc>
                <w:tcPr>
                  <w:tcW w:w="837" w:type="pct"/>
                  <w:tcBorders>
                    <w:tl2br w:val="nil"/>
                    <w:tr2bl w:val="nil"/>
                  </w:tcBorders>
                  <w:noWrap w:val="0"/>
                  <w:vAlign w:val="center"/>
                </w:tcPr>
                <w:p w14:paraId="5A236E7B">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100g</w:t>
                  </w:r>
                </w:p>
              </w:tc>
              <w:tc>
                <w:tcPr>
                  <w:tcW w:w="735" w:type="pct"/>
                  <w:tcBorders>
                    <w:tl2br w:val="nil"/>
                    <w:tr2bl w:val="nil"/>
                  </w:tcBorders>
                  <w:noWrap w:val="0"/>
                  <w:vAlign w:val="center"/>
                </w:tcPr>
                <w:p w14:paraId="46748586">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100g</w:t>
                  </w:r>
                </w:p>
              </w:tc>
              <w:tc>
                <w:tcPr>
                  <w:tcW w:w="897" w:type="pct"/>
                  <w:tcBorders>
                    <w:tl2br w:val="nil"/>
                    <w:tr2bl w:val="nil"/>
                  </w:tcBorders>
                  <w:noWrap w:val="0"/>
                  <w:vAlign w:val="center"/>
                </w:tcPr>
                <w:p w14:paraId="3C6F8A1B">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748BF646">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固态粉末</w:t>
                  </w:r>
                </w:p>
              </w:tc>
              <w:tc>
                <w:tcPr>
                  <w:tcW w:w="664" w:type="pct"/>
                  <w:tcBorders>
                    <w:tl2br w:val="nil"/>
                    <w:tr2bl w:val="nil"/>
                  </w:tcBorders>
                  <w:noWrap w:val="0"/>
                  <w:vAlign w:val="center"/>
                </w:tcPr>
                <w:p w14:paraId="6FD18F26">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2C802A0B">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3E490498">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1F116229">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硫酸亚铁铵</w:t>
                  </w:r>
                </w:p>
              </w:tc>
              <w:tc>
                <w:tcPr>
                  <w:tcW w:w="837" w:type="pct"/>
                  <w:tcBorders>
                    <w:tl2br w:val="nil"/>
                    <w:tr2bl w:val="nil"/>
                  </w:tcBorders>
                  <w:noWrap w:val="0"/>
                  <w:vAlign w:val="center"/>
                </w:tcPr>
                <w:p w14:paraId="684BA5D2">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500g</w:t>
                  </w:r>
                </w:p>
              </w:tc>
              <w:tc>
                <w:tcPr>
                  <w:tcW w:w="735" w:type="pct"/>
                  <w:tcBorders>
                    <w:tl2br w:val="nil"/>
                    <w:tr2bl w:val="nil"/>
                  </w:tcBorders>
                  <w:noWrap w:val="0"/>
                  <w:vAlign w:val="center"/>
                </w:tcPr>
                <w:p w14:paraId="6F1E5A9A">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500g</w:t>
                  </w:r>
                </w:p>
              </w:tc>
              <w:tc>
                <w:tcPr>
                  <w:tcW w:w="897" w:type="pct"/>
                  <w:tcBorders>
                    <w:tl2br w:val="nil"/>
                    <w:tr2bl w:val="nil"/>
                  </w:tcBorders>
                  <w:noWrap w:val="0"/>
                  <w:vAlign w:val="center"/>
                </w:tcPr>
                <w:p w14:paraId="378BA67F">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20907105">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固态粉末</w:t>
                  </w:r>
                </w:p>
              </w:tc>
              <w:tc>
                <w:tcPr>
                  <w:tcW w:w="664" w:type="pct"/>
                  <w:tcBorders>
                    <w:tl2br w:val="nil"/>
                    <w:tr2bl w:val="nil"/>
                  </w:tcBorders>
                  <w:noWrap w:val="0"/>
                  <w:vAlign w:val="center"/>
                </w:tcPr>
                <w:p w14:paraId="173CCDFE">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75A274D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39182AC5">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22BBF98E">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七水合硫酸亚铁</w:t>
                  </w:r>
                </w:p>
              </w:tc>
              <w:tc>
                <w:tcPr>
                  <w:tcW w:w="837" w:type="pct"/>
                  <w:tcBorders>
                    <w:tl2br w:val="nil"/>
                    <w:tr2bl w:val="nil"/>
                  </w:tcBorders>
                  <w:noWrap w:val="0"/>
                  <w:vAlign w:val="center"/>
                </w:tcPr>
                <w:p w14:paraId="64A0A7B1">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500g</w:t>
                  </w:r>
                </w:p>
              </w:tc>
              <w:tc>
                <w:tcPr>
                  <w:tcW w:w="735" w:type="pct"/>
                  <w:tcBorders>
                    <w:tl2br w:val="nil"/>
                    <w:tr2bl w:val="nil"/>
                  </w:tcBorders>
                  <w:noWrap w:val="0"/>
                  <w:vAlign w:val="center"/>
                </w:tcPr>
                <w:p w14:paraId="55BF5204">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500g</w:t>
                  </w:r>
                </w:p>
              </w:tc>
              <w:tc>
                <w:tcPr>
                  <w:tcW w:w="897" w:type="pct"/>
                  <w:tcBorders>
                    <w:tl2br w:val="nil"/>
                    <w:tr2bl w:val="nil"/>
                  </w:tcBorders>
                  <w:noWrap w:val="0"/>
                  <w:vAlign w:val="center"/>
                </w:tcPr>
                <w:p w14:paraId="68102A02">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4808BD91">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固态粉末</w:t>
                  </w:r>
                </w:p>
              </w:tc>
              <w:tc>
                <w:tcPr>
                  <w:tcW w:w="664" w:type="pct"/>
                  <w:tcBorders>
                    <w:tl2br w:val="nil"/>
                    <w:tr2bl w:val="nil"/>
                  </w:tcBorders>
                  <w:noWrap w:val="0"/>
                  <w:vAlign w:val="center"/>
                </w:tcPr>
                <w:p w14:paraId="29968844">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3CD89210">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44C404FA">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7F1DBE87">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邻菲罗啉</w:t>
                  </w:r>
                </w:p>
              </w:tc>
              <w:tc>
                <w:tcPr>
                  <w:tcW w:w="837" w:type="pct"/>
                  <w:tcBorders>
                    <w:tl2br w:val="nil"/>
                    <w:tr2bl w:val="nil"/>
                  </w:tcBorders>
                  <w:noWrap w:val="0"/>
                  <w:vAlign w:val="center"/>
                </w:tcPr>
                <w:p w14:paraId="0A147C64">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25g</w:t>
                  </w:r>
                </w:p>
              </w:tc>
              <w:tc>
                <w:tcPr>
                  <w:tcW w:w="735" w:type="pct"/>
                  <w:tcBorders>
                    <w:tl2br w:val="nil"/>
                    <w:tr2bl w:val="nil"/>
                  </w:tcBorders>
                  <w:noWrap w:val="0"/>
                  <w:vAlign w:val="center"/>
                </w:tcPr>
                <w:p w14:paraId="12B8D9A9">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25g</w:t>
                  </w:r>
                </w:p>
              </w:tc>
              <w:tc>
                <w:tcPr>
                  <w:tcW w:w="897" w:type="pct"/>
                  <w:tcBorders>
                    <w:tl2br w:val="nil"/>
                    <w:tr2bl w:val="nil"/>
                  </w:tcBorders>
                  <w:noWrap w:val="0"/>
                  <w:vAlign w:val="center"/>
                </w:tcPr>
                <w:p w14:paraId="2C2CE460">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7991059F">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固态粉末</w:t>
                  </w:r>
                </w:p>
              </w:tc>
              <w:tc>
                <w:tcPr>
                  <w:tcW w:w="664" w:type="pct"/>
                  <w:tcBorders>
                    <w:tl2br w:val="nil"/>
                    <w:tr2bl w:val="nil"/>
                  </w:tcBorders>
                  <w:noWrap w:val="0"/>
                  <w:vAlign w:val="center"/>
                </w:tcPr>
                <w:p w14:paraId="4CBE140D">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72DF89A4">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0D6CFE60">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10D91D89">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氢氧化钠</w:t>
                  </w:r>
                </w:p>
              </w:tc>
              <w:tc>
                <w:tcPr>
                  <w:tcW w:w="837" w:type="pct"/>
                  <w:tcBorders>
                    <w:tl2br w:val="nil"/>
                    <w:tr2bl w:val="nil"/>
                  </w:tcBorders>
                  <w:noWrap w:val="0"/>
                  <w:vAlign w:val="center"/>
                </w:tcPr>
                <w:p w14:paraId="1B7A3BD8">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500g</w:t>
                  </w:r>
                </w:p>
              </w:tc>
              <w:tc>
                <w:tcPr>
                  <w:tcW w:w="735" w:type="pct"/>
                  <w:tcBorders>
                    <w:tl2br w:val="nil"/>
                    <w:tr2bl w:val="nil"/>
                  </w:tcBorders>
                  <w:noWrap w:val="0"/>
                  <w:vAlign w:val="center"/>
                </w:tcPr>
                <w:p w14:paraId="2EAA97E1">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500g</w:t>
                  </w:r>
                </w:p>
              </w:tc>
              <w:tc>
                <w:tcPr>
                  <w:tcW w:w="897" w:type="pct"/>
                  <w:tcBorders>
                    <w:tl2br w:val="nil"/>
                    <w:tr2bl w:val="nil"/>
                  </w:tcBorders>
                  <w:noWrap w:val="0"/>
                  <w:vAlign w:val="center"/>
                </w:tcPr>
                <w:p w14:paraId="25CCC925">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3ECB3A44">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固态粉末</w:t>
                  </w:r>
                </w:p>
              </w:tc>
              <w:tc>
                <w:tcPr>
                  <w:tcW w:w="664" w:type="pct"/>
                  <w:tcBorders>
                    <w:tl2br w:val="nil"/>
                    <w:tr2bl w:val="nil"/>
                  </w:tcBorders>
                  <w:noWrap w:val="0"/>
                  <w:vAlign w:val="center"/>
                </w:tcPr>
                <w:p w14:paraId="21D3F956">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025D1CF8">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3D7223D7">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p w14:paraId="5B9B6111">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5FC4AC37">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磷酸</w:t>
                  </w:r>
                </w:p>
              </w:tc>
              <w:tc>
                <w:tcPr>
                  <w:tcW w:w="837" w:type="pct"/>
                  <w:tcBorders>
                    <w:tl2br w:val="nil"/>
                    <w:tr2bl w:val="nil"/>
                  </w:tcBorders>
                  <w:noWrap w:val="0"/>
                  <w:vAlign w:val="center"/>
                </w:tcPr>
                <w:p w14:paraId="0F00B1D6">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kern w:val="28"/>
                      <w:sz w:val="21"/>
                      <w:szCs w:val="21"/>
                      <w:highlight w:val="none"/>
                      <w:lang w:val="en-US" w:eastAsia="zh-CN"/>
                    </w:rPr>
                  </w:pPr>
                  <w:r>
                    <w:rPr>
                      <w:rFonts w:hint="eastAsia" w:cs="Times New Roman"/>
                      <w:color w:val="auto"/>
                      <w:kern w:val="28"/>
                      <w:sz w:val="21"/>
                      <w:szCs w:val="21"/>
                      <w:highlight w:val="none"/>
                      <w:lang w:val="en-US" w:eastAsia="zh-CN"/>
                    </w:rPr>
                    <w:t>2500</w:t>
                  </w:r>
                  <w:r>
                    <w:rPr>
                      <w:rFonts w:hint="default" w:eastAsia="宋体" w:cs="Times New Roman"/>
                      <w:color w:val="auto"/>
                      <w:kern w:val="28"/>
                      <w:sz w:val="21"/>
                      <w:szCs w:val="21"/>
                      <w:highlight w:val="none"/>
                      <w:lang w:val="en-US" w:eastAsia="zh-CN"/>
                    </w:rPr>
                    <w:t>mL</w:t>
                  </w:r>
                </w:p>
              </w:tc>
              <w:tc>
                <w:tcPr>
                  <w:tcW w:w="735" w:type="pct"/>
                  <w:tcBorders>
                    <w:tl2br w:val="nil"/>
                    <w:tr2bl w:val="nil"/>
                  </w:tcBorders>
                  <w:noWrap w:val="0"/>
                  <w:vAlign w:val="center"/>
                </w:tcPr>
                <w:p w14:paraId="5A651459">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500mL</w:t>
                  </w:r>
                </w:p>
              </w:tc>
              <w:tc>
                <w:tcPr>
                  <w:tcW w:w="897" w:type="pct"/>
                  <w:tcBorders>
                    <w:tl2br w:val="nil"/>
                    <w:tr2bl w:val="nil"/>
                  </w:tcBorders>
                  <w:noWrap w:val="0"/>
                  <w:vAlign w:val="center"/>
                </w:tcPr>
                <w:p w14:paraId="18F980AC">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44832E3E">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液态</w:t>
                  </w:r>
                </w:p>
              </w:tc>
              <w:tc>
                <w:tcPr>
                  <w:tcW w:w="664" w:type="pct"/>
                  <w:tcBorders>
                    <w:tl2br w:val="nil"/>
                    <w:tr2bl w:val="nil"/>
                  </w:tcBorders>
                  <w:noWrap w:val="0"/>
                  <w:vAlign w:val="center"/>
                </w:tcPr>
                <w:p w14:paraId="0F916F96">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3382372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3684F56B">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33582996">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乙二胺四乙酸二钠盐</w:t>
                  </w:r>
                </w:p>
              </w:tc>
              <w:tc>
                <w:tcPr>
                  <w:tcW w:w="837" w:type="pct"/>
                  <w:tcBorders>
                    <w:tl2br w:val="nil"/>
                    <w:tr2bl w:val="nil"/>
                  </w:tcBorders>
                  <w:noWrap w:val="0"/>
                  <w:vAlign w:val="center"/>
                </w:tcPr>
                <w:p w14:paraId="40A9117D">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500g</w:t>
                  </w:r>
                </w:p>
              </w:tc>
              <w:tc>
                <w:tcPr>
                  <w:tcW w:w="735" w:type="pct"/>
                  <w:tcBorders>
                    <w:tl2br w:val="nil"/>
                    <w:tr2bl w:val="nil"/>
                  </w:tcBorders>
                  <w:noWrap w:val="0"/>
                  <w:vAlign w:val="center"/>
                </w:tcPr>
                <w:p w14:paraId="1F17B325">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500g</w:t>
                  </w:r>
                </w:p>
              </w:tc>
              <w:tc>
                <w:tcPr>
                  <w:tcW w:w="897" w:type="pct"/>
                  <w:tcBorders>
                    <w:tl2br w:val="nil"/>
                    <w:tr2bl w:val="nil"/>
                  </w:tcBorders>
                  <w:noWrap w:val="0"/>
                  <w:vAlign w:val="center"/>
                </w:tcPr>
                <w:p w14:paraId="6091A4A5">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27DF895A">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固态粉末</w:t>
                  </w:r>
                </w:p>
              </w:tc>
              <w:tc>
                <w:tcPr>
                  <w:tcW w:w="664" w:type="pct"/>
                  <w:tcBorders>
                    <w:tl2br w:val="nil"/>
                    <w:tr2bl w:val="nil"/>
                  </w:tcBorders>
                  <w:noWrap w:val="0"/>
                  <w:vAlign w:val="center"/>
                </w:tcPr>
                <w:p w14:paraId="06EFE69D">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08F253C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299ACCDB">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09564F4F">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酒石酸</w:t>
                  </w:r>
                </w:p>
              </w:tc>
              <w:tc>
                <w:tcPr>
                  <w:tcW w:w="837" w:type="pct"/>
                  <w:tcBorders>
                    <w:tl2br w:val="nil"/>
                    <w:tr2bl w:val="nil"/>
                  </w:tcBorders>
                  <w:noWrap w:val="0"/>
                  <w:vAlign w:val="center"/>
                </w:tcPr>
                <w:p w14:paraId="28FE107F">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500g</w:t>
                  </w:r>
                </w:p>
              </w:tc>
              <w:tc>
                <w:tcPr>
                  <w:tcW w:w="735" w:type="pct"/>
                  <w:tcBorders>
                    <w:tl2br w:val="nil"/>
                    <w:tr2bl w:val="nil"/>
                  </w:tcBorders>
                  <w:noWrap w:val="0"/>
                  <w:vAlign w:val="center"/>
                </w:tcPr>
                <w:p w14:paraId="682B9E3D">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500g</w:t>
                  </w:r>
                </w:p>
              </w:tc>
              <w:tc>
                <w:tcPr>
                  <w:tcW w:w="897" w:type="pct"/>
                  <w:tcBorders>
                    <w:tl2br w:val="nil"/>
                    <w:tr2bl w:val="nil"/>
                  </w:tcBorders>
                  <w:noWrap w:val="0"/>
                  <w:vAlign w:val="center"/>
                </w:tcPr>
                <w:p w14:paraId="19FB3A3A">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57EBA77D">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固态粉末</w:t>
                  </w:r>
                </w:p>
              </w:tc>
              <w:tc>
                <w:tcPr>
                  <w:tcW w:w="664" w:type="pct"/>
                  <w:tcBorders>
                    <w:tl2br w:val="nil"/>
                    <w:tr2bl w:val="nil"/>
                  </w:tcBorders>
                  <w:noWrap w:val="0"/>
                  <w:vAlign w:val="center"/>
                </w:tcPr>
                <w:p w14:paraId="2FE48E02">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4C6B193C">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38FBD8C1">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383AB163">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硝酸锌</w:t>
                  </w:r>
                </w:p>
              </w:tc>
              <w:tc>
                <w:tcPr>
                  <w:tcW w:w="837" w:type="pct"/>
                  <w:tcBorders>
                    <w:tl2br w:val="nil"/>
                    <w:tr2bl w:val="nil"/>
                  </w:tcBorders>
                  <w:noWrap w:val="0"/>
                  <w:vAlign w:val="center"/>
                </w:tcPr>
                <w:p w14:paraId="0DA33F02">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500g</w:t>
                  </w:r>
                </w:p>
              </w:tc>
              <w:tc>
                <w:tcPr>
                  <w:tcW w:w="735" w:type="pct"/>
                  <w:tcBorders>
                    <w:tl2br w:val="nil"/>
                    <w:tr2bl w:val="nil"/>
                  </w:tcBorders>
                  <w:noWrap w:val="0"/>
                  <w:vAlign w:val="center"/>
                </w:tcPr>
                <w:p w14:paraId="6DEDEA19">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500g</w:t>
                  </w:r>
                </w:p>
              </w:tc>
              <w:tc>
                <w:tcPr>
                  <w:tcW w:w="897" w:type="pct"/>
                  <w:tcBorders>
                    <w:tl2br w:val="nil"/>
                    <w:tr2bl w:val="nil"/>
                  </w:tcBorders>
                  <w:noWrap w:val="0"/>
                  <w:vAlign w:val="center"/>
                </w:tcPr>
                <w:p w14:paraId="48024AB3">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7A86D0C4">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固态粉末</w:t>
                  </w:r>
                </w:p>
              </w:tc>
              <w:tc>
                <w:tcPr>
                  <w:tcW w:w="664" w:type="pct"/>
                  <w:tcBorders>
                    <w:tl2br w:val="nil"/>
                    <w:tr2bl w:val="nil"/>
                  </w:tcBorders>
                  <w:noWrap w:val="0"/>
                  <w:vAlign w:val="center"/>
                </w:tcPr>
                <w:p w14:paraId="6E4EE6E0">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02992C56">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5489E073">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13654052">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甲基橙</w:t>
                  </w:r>
                </w:p>
              </w:tc>
              <w:tc>
                <w:tcPr>
                  <w:tcW w:w="837" w:type="pct"/>
                  <w:tcBorders>
                    <w:tl2br w:val="nil"/>
                    <w:tr2bl w:val="nil"/>
                  </w:tcBorders>
                  <w:noWrap w:val="0"/>
                  <w:vAlign w:val="center"/>
                </w:tcPr>
                <w:p w14:paraId="58CB2F9F">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25g</w:t>
                  </w:r>
                </w:p>
              </w:tc>
              <w:tc>
                <w:tcPr>
                  <w:tcW w:w="735" w:type="pct"/>
                  <w:tcBorders>
                    <w:tl2br w:val="nil"/>
                    <w:tr2bl w:val="nil"/>
                  </w:tcBorders>
                  <w:noWrap w:val="0"/>
                  <w:vAlign w:val="center"/>
                </w:tcPr>
                <w:p w14:paraId="347B60C8">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25g</w:t>
                  </w:r>
                </w:p>
              </w:tc>
              <w:tc>
                <w:tcPr>
                  <w:tcW w:w="897" w:type="pct"/>
                  <w:tcBorders>
                    <w:tl2br w:val="nil"/>
                    <w:tr2bl w:val="nil"/>
                  </w:tcBorders>
                  <w:noWrap w:val="0"/>
                  <w:vAlign w:val="center"/>
                </w:tcPr>
                <w:p w14:paraId="2ACB8A2F">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61583874">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固态粉末</w:t>
                  </w:r>
                </w:p>
              </w:tc>
              <w:tc>
                <w:tcPr>
                  <w:tcW w:w="664" w:type="pct"/>
                  <w:tcBorders>
                    <w:tl2br w:val="nil"/>
                    <w:tr2bl w:val="nil"/>
                  </w:tcBorders>
                  <w:noWrap w:val="0"/>
                  <w:vAlign w:val="center"/>
                </w:tcPr>
                <w:p w14:paraId="43375CDE">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05C9EAFA">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38B55535">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25EE8B16">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无水磷酸二氢钾</w:t>
                  </w:r>
                </w:p>
              </w:tc>
              <w:tc>
                <w:tcPr>
                  <w:tcW w:w="837" w:type="pct"/>
                  <w:tcBorders>
                    <w:tl2br w:val="nil"/>
                    <w:tr2bl w:val="nil"/>
                  </w:tcBorders>
                  <w:noWrap w:val="0"/>
                  <w:vAlign w:val="center"/>
                </w:tcPr>
                <w:p w14:paraId="10F52B4A">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500g</w:t>
                  </w:r>
                </w:p>
              </w:tc>
              <w:tc>
                <w:tcPr>
                  <w:tcW w:w="735" w:type="pct"/>
                  <w:tcBorders>
                    <w:tl2br w:val="nil"/>
                    <w:tr2bl w:val="nil"/>
                  </w:tcBorders>
                  <w:noWrap w:val="0"/>
                  <w:vAlign w:val="center"/>
                </w:tcPr>
                <w:p w14:paraId="3596D44F">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500g</w:t>
                  </w:r>
                </w:p>
              </w:tc>
              <w:tc>
                <w:tcPr>
                  <w:tcW w:w="897" w:type="pct"/>
                  <w:tcBorders>
                    <w:tl2br w:val="nil"/>
                    <w:tr2bl w:val="nil"/>
                  </w:tcBorders>
                  <w:noWrap w:val="0"/>
                  <w:vAlign w:val="center"/>
                </w:tcPr>
                <w:p w14:paraId="64349E74">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441DF8F3">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固态粉末</w:t>
                  </w:r>
                </w:p>
              </w:tc>
              <w:tc>
                <w:tcPr>
                  <w:tcW w:w="664" w:type="pct"/>
                  <w:tcBorders>
                    <w:tl2br w:val="nil"/>
                    <w:tr2bl w:val="nil"/>
                  </w:tcBorders>
                  <w:noWrap w:val="0"/>
                  <w:vAlign w:val="center"/>
                </w:tcPr>
                <w:p w14:paraId="34D37511">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0FE8AE84">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4D3169AA">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1B875930">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无水磷酸氢二钠</w:t>
                  </w:r>
                </w:p>
              </w:tc>
              <w:tc>
                <w:tcPr>
                  <w:tcW w:w="837" w:type="pct"/>
                  <w:tcBorders>
                    <w:tl2br w:val="nil"/>
                    <w:tr2bl w:val="nil"/>
                  </w:tcBorders>
                  <w:noWrap w:val="0"/>
                  <w:vAlign w:val="center"/>
                </w:tcPr>
                <w:p w14:paraId="4BA25163">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500g</w:t>
                  </w:r>
                </w:p>
              </w:tc>
              <w:tc>
                <w:tcPr>
                  <w:tcW w:w="735" w:type="pct"/>
                  <w:tcBorders>
                    <w:tl2br w:val="nil"/>
                    <w:tr2bl w:val="nil"/>
                  </w:tcBorders>
                  <w:noWrap w:val="0"/>
                  <w:vAlign w:val="center"/>
                </w:tcPr>
                <w:p w14:paraId="60926E7D">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500g</w:t>
                  </w:r>
                </w:p>
              </w:tc>
              <w:tc>
                <w:tcPr>
                  <w:tcW w:w="897" w:type="pct"/>
                  <w:tcBorders>
                    <w:tl2br w:val="nil"/>
                    <w:tr2bl w:val="nil"/>
                  </w:tcBorders>
                  <w:noWrap w:val="0"/>
                  <w:vAlign w:val="center"/>
                </w:tcPr>
                <w:p w14:paraId="7CB92472">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1C88BB6E">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固态粉末</w:t>
                  </w:r>
                </w:p>
              </w:tc>
              <w:tc>
                <w:tcPr>
                  <w:tcW w:w="664" w:type="pct"/>
                  <w:tcBorders>
                    <w:tl2br w:val="nil"/>
                    <w:tr2bl w:val="nil"/>
                  </w:tcBorders>
                  <w:noWrap w:val="0"/>
                  <w:vAlign w:val="center"/>
                </w:tcPr>
                <w:p w14:paraId="6821B05A">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4ACA256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4C846177">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37834DF9">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氯胺</w:t>
                  </w:r>
                  <w:r>
                    <w:rPr>
                      <w:rFonts w:hint="default" w:eastAsia="宋体" w:cs="Times New Roman"/>
                      <w:color w:val="auto"/>
                      <w:kern w:val="28"/>
                      <w:sz w:val="21"/>
                      <w:szCs w:val="21"/>
                      <w:highlight w:val="none"/>
                      <w:lang w:val="en-US" w:eastAsia="zh-CN"/>
                    </w:rPr>
                    <w:t>T</w:t>
                  </w:r>
                </w:p>
              </w:tc>
              <w:tc>
                <w:tcPr>
                  <w:tcW w:w="837" w:type="pct"/>
                  <w:tcBorders>
                    <w:tl2br w:val="nil"/>
                    <w:tr2bl w:val="nil"/>
                  </w:tcBorders>
                  <w:noWrap w:val="0"/>
                  <w:vAlign w:val="center"/>
                </w:tcPr>
                <w:p w14:paraId="5263103A">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500g</w:t>
                  </w:r>
                </w:p>
              </w:tc>
              <w:tc>
                <w:tcPr>
                  <w:tcW w:w="735" w:type="pct"/>
                  <w:tcBorders>
                    <w:tl2br w:val="nil"/>
                    <w:tr2bl w:val="nil"/>
                  </w:tcBorders>
                  <w:noWrap w:val="0"/>
                  <w:vAlign w:val="center"/>
                </w:tcPr>
                <w:p w14:paraId="7AA8B12F">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500g</w:t>
                  </w:r>
                </w:p>
              </w:tc>
              <w:tc>
                <w:tcPr>
                  <w:tcW w:w="897" w:type="pct"/>
                  <w:tcBorders>
                    <w:tl2br w:val="nil"/>
                    <w:tr2bl w:val="nil"/>
                  </w:tcBorders>
                  <w:noWrap w:val="0"/>
                  <w:vAlign w:val="center"/>
                </w:tcPr>
                <w:p w14:paraId="51F789ED">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34E8F48C">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固态粉末</w:t>
                  </w:r>
                </w:p>
              </w:tc>
              <w:tc>
                <w:tcPr>
                  <w:tcW w:w="664" w:type="pct"/>
                  <w:tcBorders>
                    <w:tl2br w:val="nil"/>
                    <w:tr2bl w:val="nil"/>
                  </w:tcBorders>
                  <w:noWrap w:val="0"/>
                  <w:vAlign w:val="center"/>
                </w:tcPr>
                <w:p w14:paraId="34A8C277">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5300BF5A">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57CC5A36">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1A1C5D69">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异烟酸</w:t>
                  </w:r>
                </w:p>
              </w:tc>
              <w:tc>
                <w:tcPr>
                  <w:tcW w:w="837" w:type="pct"/>
                  <w:tcBorders>
                    <w:tl2br w:val="nil"/>
                    <w:tr2bl w:val="nil"/>
                  </w:tcBorders>
                  <w:noWrap w:val="0"/>
                  <w:vAlign w:val="center"/>
                </w:tcPr>
                <w:p w14:paraId="35596733">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100g</w:t>
                  </w:r>
                </w:p>
              </w:tc>
              <w:tc>
                <w:tcPr>
                  <w:tcW w:w="735" w:type="pct"/>
                  <w:tcBorders>
                    <w:tl2br w:val="nil"/>
                    <w:tr2bl w:val="nil"/>
                  </w:tcBorders>
                  <w:noWrap w:val="0"/>
                  <w:vAlign w:val="center"/>
                </w:tcPr>
                <w:p w14:paraId="234A3A69">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100g</w:t>
                  </w:r>
                </w:p>
              </w:tc>
              <w:tc>
                <w:tcPr>
                  <w:tcW w:w="897" w:type="pct"/>
                  <w:tcBorders>
                    <w:tl2br w:val="nil"/>
                    <w:tr2bl w:val="nil"/>
                  </w:tcBorders>
                  <w:noWrap w:val="0"/>
                  <w:vAlign w:val="center"/>
                </w:tcPr>
                <w:p w14:paraId="38132DF3">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714B8316">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固态粉末</w:t>
                  </w:r>
                </w:p>
              </w:tc>
              <w:tc>
                <w:tcPr>
                  <w:tcW w:w="664" w:type="pct"/>
                  <w:tcBorders>
                    <w:tl2br w:val="nil"/>
                    <w:tr2bl w:val="nil"/>
                  </w:tcBorders>
                  <w:noWrap w:val="0"/>
                  <w:vAlign w:val="center"/>
                </w:tcPr>
                <w:p w14:paraId="0C15E797">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5C6CF4EB">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56A60D23">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56101D20">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吡唑啉酮</w:t>
                  </w:r>
                </w:p>
              </w:tc>
              <w:tc>
                <w:tcPr>
                  <w:tcW w:w="837" w:type="pct"/>
                  <w:tcBorders>
                    <w:tl2br w:val="nil"/>
                    <w:tr2bl w:val="nil"/>
                  </w:tcBorders>
                  <w:noWrap w:val="0"/>
                  <w:vAlign w:val="center"/>
                </w:tcPr>
                <w:p w14:paraId="38F4612B">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25g</w:t>
                  </w:r>
                </w:p>
              </w:tc>
              <w:tc>
                <w:tcPr>
                  <w:tcW w:w="735" w:type="pct"/>
                  <w:tcBorders>
                    <w:tl2br w:val="nil"/>
                    <w:tr2bl w:val="nil"/>
                  </w:tcBorders>
                  <w:noWrap w:val="0"/>
                  <w:vAlign w:val="center"/>
                </w:tcPr>
                <w:p w14:paraId="0C657397">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25g</w:t>
                  </w:r>
                </w:p>
              </w:tc>
              <w:tc>
                <w:tcPr>
                  <w:tcW w:w="897" w:type="pct"/>
                  <w:tcBorders>
                    <w:tl2br w:val="nil"/>
                    <w:tr2bl w:val="nil"/>
                  </w:tcBorders>
                  <w:noWrap w:val="0"/>
                  <w:vAlign w:val="center"/>
                </w:tcPr>
                <w:p w14:paraId="4D87AA44">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75AFDDB6">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固态粉末</w:t>
                  </w:r>
                </w:p>
              </w:tc>
              <w:tc>
                <w:tcPr>
                  <w:tcW w:w="664" w:type="pct"/>
                  <w:tcBorders>
                    <w:tl2br w:val="nil"/>
                    <w:tr2bl w:val="nil"/>
                  </w:tcBorders>
                  <w:noWrap w:val="0"/>
                  <w:vAlign w:val="center"/>
                </w:tcPr>
                <w:p w14:paraId="3DBD24D4">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752E970C">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0BFF3887">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5BA606A0">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硫酸锌</w:t>
                  </w:r>
                </w:p>
              </w:tc>
              <w:tc>
                <w:tcPr>
                  <w:tcW w:w="837" w:type="pct"/>
                  <w:tcBorders>
                    <w:tl2br w:val="nil"/>
                    <w:tr2bl w:val="nil"/>
                  </w:tcBorders>
                  <w:noWrap w:val="0"/>
                  <w:vAlign w:val="center"/>
                </w:tcPr>
                <w:p w14:paraId="5C748D06">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25g</w:t>
                  </w:r>
                </w:p>
              </w:tc>
              <w:tc>
                <w:tcPr>
                  <w:tcW w:w="735" w:type="pct"/>
                  <w:tcBorders>
                    <w:tl2br w:val="nil"/>
                    <w:tr2bl w:val="nil"/>
                  </w:tcBorders>
                  <w:noWrap w:val="0"/>
                  <w:vAlign w:val="center"/>
                </w:tcPr>
                <w:p w14:paraId="4BF402D4">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25g</w:t>
                  </w:r>
                </w:p>
              </w:tc>
              <w:tc>
                <w:tcPr>
                  <w:tcW w:w="897" w:type="pct"/>
                  <w:tcBorders>
                    <w:tl2br w:val="nil"/>
                    <w:tr2bl w:val="nil"/>
                  </w:tcBorders>
                  <w:noWrap w:val="0"/>
                  <w:vAlign w:val="center"/>
                </w:tcPr>
                <w:p w14:paraId="6B46E9C3">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70841E24">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固态粉末</w:t>
                  </w:r>
                </w:p>
              </w:tc>
              <w:tc>
                <w:tcPr>
                  <w:tcW w:w="664" w:type="pct"/>
                  <w:tcBorders>
                    <w:tl2br w:val="nil"/>
                    <w:tr2bl w:val="nil"/>
                  </w:tcBorders>
                  <w:noWrap w:val="0"/>
                  <w:vAlign w:val="center"/>
                </w:tcPr>
                <w:p w14:paraId="43ADB4DA">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302A9DD0">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1AF03CDC">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5FBDD8B8">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丙酮</w:t>
                  </w:r>
                </w:p>
              </w:tc>
              <w:tc>
                <w:tcPr>
                  <w:tcW w:w="837" w:type="pct"/>
                  <w:tcBorders>
                    <w:tl2br w:val="nil"/>
                    <w:tr2bl w:val="nil"/>
                  </w:tcBorders>
                  <w:noWrap w:val="0"/>
                  <w:vAlign w:val="center"/>
                </w:tcPr>
                <w:p w14:paraId="59252539">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500mL</w:t>
                  </w:r>
                </w:p>
              </w:tc>
              <w:tc>
                <w:tcPr>
                  <w:tcW w:w="735" w:type="pct"/>
                  <w:tcBorders>
                    <w:tl2br w:val="nil"/>
                    <w:tr2bl w:val="nil"/>
                  </w:tcBorders>
                  <w:noWrap w:val="0"/>
                  <w:vAlign w:val="center"/>
                </w:tcPr>
                <w:p w14:paraId="54887A2A">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500mL</w:t>
                  </w:r>
                </w:p>
              </w:tc>
              <w:tc>
                <w:tcPr>
                  <w:tcW w:w="897" w:type="pct"/>
                  <w:tcBorders>
                    <w:tl2br w:val="nil"/>
                    <w:tr2bl w:val="nil"/>
                  </w:tcBorders>
                  <w:noWrap w:val="0"/>
                  <w:vAlign w:val="center"/>
                </w:tcPr>
                <w:p w14:paraId="60BE077D">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2832AC22">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液态</w:t>
                  </w:r>
                </w:p>
              </w:tc>
              <w:tc>
                <w:tcPr>
                  <w:tcW w:w="664" w:type="pct"/>
                  <w:tcBorders>
                    <w:tl2br w:val="nil"/>
                    <w:tr2bl w:val="nil"/>
                  </w:tcBorders>
                  <w:noWrap w:val="0"/>
                  <w:vAlign w:val="center"/>
                </w:tcPr>
                <w:p w14:paraId="480D8D9A">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0AF13883">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04A06159">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062ED609">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二苯碳酰二肼</w:t>
                  </w:r>
                </w:p>
              </w:tc>
              <w:tc>
                <w:tcPr>
                  <w:tcW w:w="837" w:type="pct"/>
                  <w:tcBorders>
                    <w:tl2br w:val="nil"/>
                    <w:tr2bl w:val="nil"/>
                  </w:tcBorders>
                  <w:noWrap w:val="0"/>
                  <w:vAlign w:val="center"/>
                </w:tcPr>
                <w:p w14:paraId="407953F7">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25g</w:t>
                  </w:r>
                </w:p>
              </w:tc>
              <w:tc>
                <w:tcPr>
                  <w:tcW w:w="735" w:type="pct"/>
                  <w:tcBorders>
                    <w:tl2br w:val="nil"/>
                    <w:tr2bl w:val="nil"/>
                  </w:tcBorders>
                  <w:noWrap w:val="0"/>
                  <w:vAlign w:val="center"/>
                </w:tcPr>
                <w:p w14:paraId="7CCC2302">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25g</w:t>
                  </w:r>
                </w:p>
              </w:tc>
              <w:tc>
                <w:tcPr>
                  <w:tcW w:w="897" w:type="pct"/>
                  <w:tcBorders>
                    <w:tl2br w:val="nil"/>
                    <w:tr2bl w:val="nil"/>
                  </w:tcBorders>
                  <w:noWrap w:val="0"/>
                  <w:vAlign w:val="center"/>
                </w:tcPr>
                <w:p w14:paraId="32D97A16">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2C1131F1">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固态粉末</w:t>
                  </w:r>
                </w:p>
              </w:tc>
              <w:tc>
                <w:tcPr>
                  <w:tcW w:w="664" w:type="pct"/>
                  <w:tcBorders>
                    <w:tl2br w:val="nil"/>
                    <w:tr2bl w:val="nil"/>
                  </w:tcBorders>
                  <w:noWrap w:val="0"/>
                  <w:vAlign w:val="center"/>
                </w:tcPr>
                <w:p w14:paraId="7A7CC304">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1BF40F0D">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049B9078">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6471E8C7">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硝酸</w:t>
                  </w:r>
                </w:p>
              </w:tc>
              <w:tc>
                <w:tcPr>
                  <w:tcW w:w="837" w:type="pct"/>
                  <w:tcBorders>
                    <w:tl2br w:val="nil"/>
                    <w:tr2bl w:val="nil"/>
                  </w:tcBorders>
                  <w:noWrap w:val="0"/>
                  <w:vAlign w:val="center"/>
                </w:tcPr>
                <w:p w14:paraId="6306DBB2">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1000</w:t>
                  </w:r>
                  <w:r>
                    <w:rPr>
                      <w:rFonts w:hint="default" w:eastAsia="宋体" w:cs="Times New Roman"/>
                      <w:color w:val="auto"/>
                      <w:kern w:val="28"/>
                      <w:sz w:val="21"/>
                      <w:szCs w:val="21"/>
                      <w:highlight w:val="none"/>
                      <w:lang w:val="en-US" w:eastAsia="zh-CN"/>
                    </w:rPr>
                    <w:t>mL</w:t>
                  </w:r>
                </w:p>
              </w:tc>
              <w:tc>
                <w:tcPr>
                  <w:tcW w:w="735" w:type="pct"/>
                  <w:tcBorders>
                    <w:tl2br w:val="nil"/>
                    <w:tr2bl w:val="nil"/>
                  </w:tcBorders>
                  <w:noWrap w:val="0"/>
                  <w:vAlign w:val="center"/>
                </w:tcPr>
                <w:p w14:paraId="5F578B99">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500mL</w:t>
                  </w:r>
                </w:p>
              </w:tc>
              <w:tc>
                <w:tcPr>
                  <w:tcW w:w="897" w:type="pct"/>
                  <w:tcBorders>
                    <w:tl2br w:val="nil"/>
                    <w:tr2bl w:val="nil"/>
                  </w:tcBorders>
                  <w:noWrap w:val="0"/>
                  <w:vAlign w:val="center"/>
                </w:tcPr>
                <w:p w14:paraId="5EDF780E">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49B5827D">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液态</w:t>
                  </w:r>
                </w:p>
              </w:tc>
              <w:tc>
                <w:tcPr>
                  <w:tcW w:w="664" w:type="pct"/>
                  <w:tcBorders>
                    <w:tl2br w:val="nil"/>
                    <w:tr2bl w:val="nil"/>
                  </w:tcBorders>
                  <w:noWrap w:val="0"/>
                  <w:vAlign w:val="center"/>
                </w:tcPr>
                <w:p w14:paraId="1D07DE10">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7B84A699">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4684AD4D">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5C1A8550">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高锰酸钾</w:t>
                  </w:r>
                </w:p>
              </w:tc>
              <w:tc>
                <w:tcPr>
                  <w:tcW w:w="837" w:type="pct"/>
                  <w:tcBorders>
                    <w:tl2br w:val="nil"/>
                    <w:tr2bl w:val="nil"/>
                  </w:tcBorders>
                  <w:noWrap w:val="0"/>
                  <w:vAlign w:val="center"/>
                </w:tcPr>
                <w:p w14:paraId="3A4787CE">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500g</w:t>
                  </w:r>
                </w:p>
              </w:tc>
              <w:tc>
                <w:tcPr>
                  <w:tcW w:w="735" w:type="pct"/>
                  <w:tcBorders>
                    <w:tl2br w:val="nil"/>
                    <w:tr2bl w:val="nil"/>
                  </w:tcBorders>
                  <w:noWrap w:val="0"/>
                  <w:vAlign w:val="center"/>
                </w:tcPr>
                <w:p w14:paraId="6BDC3BF6">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500g</w:t>
                  </w:r>
                </w:p>
              </w:tc>
              <w:tc>
                <w:tcPr>
                  <w:tcW w:w="897" w:type="pct"/>
                  <w:tcBorders>
                    <w:tl2br w:val="nil"/>
                    <w:tr2bl w:val="nil"/>
                  </w:tcBorders>
                  <w:noWrap w:val="0"/>
                  <w:vAlign w:val="center"/>
                </w:tcPr>
                <w:p w14:paraId="63ED3185">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5D3D4004">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固态粉末</w:t>
                  </w:r>
                </w:p>
              </w:tc>
              <w:tc>
                <w:tcPr>
                  <w:tcW w:w="664" w:type="pct"/>
                  <w:tcBorders>
                    <w:tl2br w:val="nil"/>
                    <w:tr2bl w:val="nil"/>
                  </w:tcBorders>
                  <w:noWrap w:val="0"/>
                  <w:vAlign w:val="center"/>
                </w:tcPr>
                <w:p w14:paraId="304DCA67">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692347FF">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3C755C8B">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2BE71F73">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尿素</w:t>
                  </w:r>
                </w:p>
              </w:tc>
              <w:tc>
                <w:tcPr>
                  <w:tcW w:w="837" w:type="pct"/>
                  <w:tcBorders>
                    <w:tl2br w:val="nil"/>
                    <w:tr2bl w:val="nil"/>
                  </w:tcBorders>
                  <w:noWrap w:val="0"/>
                  <w:vAlign w:val="center"/>
                </w:tcPr>
                <w:p w14:paraId="17C9A777">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500g</w:t>
                  </w:r>
                </w:p>
              </w:tc>
              <w:tc>
                <w:tcPr>
                  <w:tcW w:w="735" w:type="pct"/>
                  <w:tcBorders>
                    <w:tl2br w:val="nil"/>
                    <w:tr2bl w:val="nil"/>
                  </w:tcBorders>
                  <w:noWrap w:val="0"/>
                  <w:vAlign w:val="center"/>
                </w:tcPr>
                <w:p w14:paraId="77EC00E6">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500g</w:t>
                  </w:r>
                </w:p>
              </w:tc>
              <w:tc>
                <w:tcPr>
                  <w:tcW w:w="897" w:type="pct"/>
                  <w:tcBorders>
                    <w:tl2br w:val="nil"/>
                    <w:tr2bl w:val="nil"/>
                  </w:tcBorders>
                  <w:noWrap w:val="0"/>
                  <w:vAlign w:val="center"/>
                </w:tcPr>
                <w:p w14:paraId="65844CC4">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726B30D4">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固态粉末</w:t>
                  </w:r>
                </w:p>
              </w:tc>
              <w:tc>
                <w:tcPr>
                  <w:tcW w:w="664" w:type="pct"/>
                  <w:tcBorders>
                    <w:tl2br w:val="nil"/>
                    <w:tr2bl w:val="nil"/>
                  </w:tcBorders>
                  <w:noWrap w:val="0"/>
                  <w:vAlign w:val="center"/>
                </w:tcPr>
                <w:p w14:paraId="569FB2C6">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67E5FC7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47D3AE4E">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59DF751B">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亚硝酸钠</w:t>
                  </w:r>
                </w:p>
              </w:tc>
              <w:tc>
                <w:tcPr>
                  <w:tcW w:w="837" w:type="pct"/>
                  <w:tcBorders>
                    <w:tl2br w:val="nil"/>
                    <w:tr2bl w:val="nil"/>
                  </w:tcBorders>
                  <w:noWrap w:val="0"/>
                  <w:vAlign w:val="center"/>
                </w:tcPr>
                <w:p w14:paraId="569B45D1">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500g</w:t>
                  </w:r>
                </w:p>
              </w:tc>
              <w:tc>
                <w:tcPr>
                  <w:tcW w:w="735" w:type="pct"/>
                  <w:tcBorders>
                    <w:tl2br w:val="nil"/>
                    <w:tr2bl w:val="nil"/>
                  </w:tcBorders>
                  <w:noWrap w:val="0"/>
                  <w:vAlign w:val="center"/>
                </w:tcPr>
                <w:p w14:paraId="28A6049A">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500g</w:t>
                  </w:r>
                </w:p>
              </w:tc>
              <w:tc>
                <w:tcPr>
                  <w:tcW w:w="897" w:type="pct"/>
                  <w:tcBorders>
                    <w:tl2br w:val="nil"/>
                    <w:tr2bl w:val="nil"/>
                  </w:tcBorders>
                  <w:noWrap w:val="0"/>
                  <w:vAlign w:val="center"/>
                </w:tcPr>
                <w:p w14:paraId="3F2FA83E">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7CCFA9A7">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固态粉末</w:t>
                  </w:r>
                </w:p>
              </w:tc>
              <w:tc>
                <w:tcPr>
                  <w:tcW w:w="664" w:type="pct"/>
                  <w:tcBorders>
                    <w:tl2br w:val="nil"/>
                    <w:tr2bl w:val="nil"/>
                  </w:tcBorders>
                  <w:noWrap w:val="0"/>
                  <w:vAlign w:val="center"/>
                </w:tcPr>
                <w:p w14:paraId="2A325417">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264B6D9B">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22DDD513">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3EB281A1">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氨水</w:t>
                  </w:r>
                </w:p>
              </w:tc>
              <w:tc>
                <w:tcPr>
                  <w:tcW w:w="837" w:type="pct"/>
                  <w:tcBorders>
                    <w:tl2br w:val="nil"/>
                    <w:tr2bl w:val="nil"/>
                  </w:tcBorders>
                  <w:noWrap w:val="0"/>
                  <w:vAlign w:val="center"/>
                </w:tcPr>
                <w:p w14:paraId="6565F6CD">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2500</w:t>
                  </w:r>
                  <w:r>
                    <w:rPr>
                      <w:rFonts w:hint="default" w:eastAsia="宋体" w:cs="Times New Roman"/>
                      <w:color w:val="auto"/>
                      <w:kern w:val="28"/>
                      <w:sz w:val="21"/>
                      <w:szCs w:val="21"/>
                      <w:highlight w:val="none"/>
                      <w:lang w:val="en-US" w:eastAsia="zh-CN"/>
                    </w:rPr>
                    <w:t>mL</w:t>
                  </w:r>
                </w:p>
              </w:tc>
              <w:tc>
                <w:tcPr>
                  <w:tcW w:w="735" w:type="pct"/>
                  <w:tcBorders>
                    <w:tl2br w:val="nil"/>
                    <w:tr2bl w:val="nil"/>
                  </w:tcBorders>
                  <w:noWrap w:val="0"/>
                  <w:vAlign w:val="center"/>
                </w:tcPr>
                <w:p w14:paraId="73101948">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500mL</w:t>
                  </w:r>
                </w:p>
              </w:tc>
              <w:tc>
                <w:tcPr>
                  <w:tcW w:w="897" w:type="pct"/>
                  <w:tcBorders>
                    <w:tl2br w:val="nil"/>
                    <w:tr2bl w:val="nil"/>
                  </w:tcBorders>
                  <w:noWrap w:val="0"/>
                  <w:vAlign w:val="center"/>
                </w:tcPr>
                <w:p w14:paraId="5C839F61">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5F9D2CDA">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液态</w:t>
                  </w:r>
                </w:p>
              </w:tc>
              <w:tc>
                <w:tcPr>
                  <w:tcW w:w="664" w:type="pct"/>
                  <w:tcBorders>
                    <w:tl2br w:val="nil"/>
                    <w:tr2bl w:val="nil"/>
                  </w:tcBorders>
                  <w:noWrap w:val="0"/>
                  <w:vAlign w:val="center"/>
                </w:tcPr>
                <w:p w14:paraId="77C2AD19">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3278BD72">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5E5C56C9">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2DE8B1E8">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盐酸</w:t>
                  </w:r>
                </w:p>
              </w:tc>
              <w:tc>
                <w:tcPr>
                  <w:tcW w:w="837" w:type="pct"/>
                  <w:tcBorders>
                    <w:tl2br w:val="nil"/>
                    <w:tr2bl w:val="nil"/>
                  </w:tcBorders>
                  <w:noWrap w:val="0"/>
                  <w:vAlign w:val="center"/>
                </w:tcPr>
                <w:p w14:paraId="69FB9ED9">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2500</w:t>
                  </w:r>
                  <w:r>
                    <w:rPr>
                      <w:rFonts w:hint="default" w:eastAsia="宋体" w:cs="Times New Roman"/>
                      <w:color w:val="auto"/>
                      <w:kern w:val="28"/>
                      <w:sz w:val="21"/>
                      <w:szCs w:val="21"/>
                      <w:highlight w:val="none"/>
                      <w:lang w:val="en-US" w:eastAsia="zh-CN"/>
                    </w:rPr>
                    <w:t>mL</w:t>
                  </w:r>
                </w:p>
              </w:tc>
              <w:tc>
                <w:tcPr>
                  <w:tcW w:w="735" w:type="pct"/>
                  <w:tcBorders>
                    <w:tl2br w:val="nil"/>
                    <w:tr2bl w:val="nil"/>
                  </w:tcBorders>
                  <w:noWrap w:val="0"/>
                  <w:vAlign w:val="center"/>
                </w:tcPr>
                <w:p w14:paraId="4800AFBC">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500mL</w:t>
                  </w:r>
                </w:p>
              </w:tc>
              <w:tc>
                <w:tcPr>
                  <w:tcW w:w="897" w:type="pct"/>
                  <w:tcBorders>
                    <w:tl2br w:val="nil"/>
                    <w:tr2bl w:val="nil"/>
                  </w:tcBorders>
                  <w:noWrap w:val="0"/>
                  <w:vAlign w:val="center"/>
                </w:tcPr>
                <w:p w14:paraId="3076D516">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4722CA47">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液态</w:t>
                  </w:r>
                </w:p>
              </w:tc>
              <w:tc>
                <w:tcPr>
                  <w:tcW w:w="664" w:type="pct"/>
                  <w:tcBorders>
                    <w:tl2br w:val="nil"/>
                    <w:tr2bl w:val="nil"/>
                  </w:tcBorders>
                  <w:noWrap w:val="0"/>
                  <w:vAlign w:val="center"/>
                </w:tcPr>
                <w:p w14:paraId="7AF69876">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01733664">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7B0B5C63">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5442F8C5">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硼氢化钾</w:t>
                  </w:r>
                </w:p>
              </w:tc>
              <w:tc>
                <w:tcPr>
                  <w:tcW w:w="837" w:type="pct"/>
                  <w:tcBorders>
                    <w:tl2br w:val="nil"/>
                    <w:tr2bl w:val="nil"/>
                  </w:tcBorders>
                  <w:noWrap w:val="0"/>
                  <w:vAlign w:val="center"/>
                </w:tcPr>
                <w:p w14:paraId="24E7B129">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100g</w:t>
                  </w:r>
                </w:p>
              </w:tc>
              <w:tc>
                <w:tcPr>
                  <w:tcW w:w="735" w:type="pct"/>
                  <w:tcBorders>
                    <w:tl2br w:val="nil"/>
                    <w:tr2bl w:val="nil"/>
                  </w:tcBorders>
                  <w:noWrap w:val="0"/>
                  <w:vAlign w:val="center"/>
                </w:tcPr>
                <w:p w14:paraId="6B2A92A9">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100g</w:t>
                  </w:r>
                </w:p>
              </w:tc>
              <w:tc>
                <w:tcPr>
                  <w:tcW w:w="897" w:type="pct"/>
                  <w:tcBorders>
                    <w:tl2br w:val="nil"/>
                    <w:tr2bl w:val="nil"/>
                  </w:tcBorders>
                  <w:noWrap w:val="0"/>
                  <w:vAlign w:val="center"/>
                </w:tcPr>
                <w:p w14:paraId="4F92A542">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5F9DD2B6">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固态粉末</w:t>
                  </w:r>
                </w:p>
              </w:tc>
              <w:tc>
                <w:tcPr>
                  <w:tcW w:w="664" w:type="pct"/>
                  <w:tcBorders>
                    <w:tl2br w:val="nil"/>
                    <w:tr2bl w:val="nil"/>
                  </w:tcBorders>
                  <w:noWrap w:val="0"/>
                  <w:vAlign w:val="center"/>
                </w:tcPr>
                <w:p w14:paraId="0CAC0721">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5D68490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2C8D63E4">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740B476A">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过氧化氢</w:t>
                  </w:r>
                </w:p>
              </w:tc>
              <w:tc>
                <w:tcPr>
                  <w:tcW w:w="837" w:type="pct"/>
                  <w:tcBorders>
                    <w:tl2br w:val="nil"/>
                    <w:tr2bl w:val="nil"/>
                  </w:tcBorders>
                  <w:noWrap w:val="0"/>
                  <w:vAlign w:val="center"/>
                </w:tcPr>
                <w:p w14:paraId="0B06E938">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500mL</w:t>
                  </w:r>
                </w:p>
              </w:tc>
              <w:tc>
                <w:tcPr>
                  <w:tcW w:w="735" w:type="pct"/>
                  <w:tcBorders>
                    <w:tl2br w:val="nil"/>
                    <w:tr2bl w:val="nil"/>
                  </w:tcBorders>
                  <w:noWrap w:val="0"/>
                  <w:vAlign w:val="center"/>
                </w:tcPr>
                <w:p w14:paraId="694E48B1">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500mL</w:t>
                  </w:r>
                </w:p>
              </w:tc>
              <w:tc>
                <w:tcPr>
                  <w:tcW w:w="897" w:type="pct"/>
                  <w:tcBorders>
                    <w:tl2br w:val="nil"/>
                    <w:tr2bl w:val="nil"/>
                  </w:tcBorders>
                  <w:noWrap w:val="0"/>
                  <w:vAlign w:val="center"/>
                </w:tcPr>
                <w:p w14:paraId="4A55B7BC">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70004546">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液态</w:t>
                  </w:r>
                </w:p>
              </w:tc>
              <w:tc>
                <w:tcPr>
                  <w:tcW w:w="664" w:type="pct"/>
                  <w:tcBorders>
                    <w:tl2br w:val="nil"/>
                    <w:tr2bl w:val="nil"/>
                  </w:tcBorders>
                  <w:noWrap w:val="0"/>
                  <w:vAlign w:val="center"/>
                </w:tcPr>
                <w:p w14:paraId="3F8B8E5D">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545FAB8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06BF9A96">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0D4C6120">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高氯酸</w:t>
                  </w:r>
                </w:p>
              </w:tc>
              <w:tc>
                <w:tcPr>
                  <w:tcW w:w="837" w:type="pct"/>
                  <w:tcBorders>
                    <w:tl2br w:val="nil"/>
                    <w:tr2bl w:val="nil"/>
                  </w:tcBorders>
                  <w:noWrap w:val="0"/>
                  <w:vAlign w:val="center"/>
                </w:tcPr>
                <w:p w14:paraId="26C19D32">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500mL</w:t>
                  </w:r>
                </w:p>
              </w:tc>
              <w:tc>
                <w:tcPr>
                  <w:tcW w:w="735" w:type="pct"/>
                  <w:tcBorders>
                    <w:tl2br w:val="nil"/>
                    <w:tr2bl w:val="nil"/>
                  </w:tcBorders>
                  <w:noWrap w:val="0"/>
                  <w:vAlign w:val="center"/>
                </w:tcPr>
                <w:p w14:paraId="5978E7AA">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500mL</w:t>
                  </w:r>
                </w:p>
              </w:tc>
              <w:tc>
                <w:tcPr>
                  <w:tcW w:w="897" w:type="pct"/>
                  <w:tcBorders>
                    <w:tl2br w:val="nil"/>
                    <w:tr2bl w:val="nil"/>
                  </w:tcBorders>
                  <w:noWrap w:val="0"/>
                  <w:vAlign w:val="center"/>
                </w:tcPr>
                <w:p w14:paraId="6112C08E">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37AA4523">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液态</w:t>
                  </w:r>
                </w:p>
              </w:tc>
              <w:tc>
                <w:tcPr>
                  <w:tcW w:w="664" w:type="pct"/>
                  <w:tcBorders>
                    <w:tl2br w:val="nil"/>
                    <w:tr2bl w:val="nil"/>
                  </w:tcBorders>
                  <w:noWrap w:val="0"/>
                  <w:vAlign w:val="center"/>
                </w:tcPr>
                <w:p w14:paraId="0231A0B2">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271FF8F9">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7C905269">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21B4B712">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甲级异丁基甲酮</w:t>
                  </w:r>
                </w:p>
              </w:tc>
              <w:tc>
                <w:tcPr>
                  <w:tcW w:w="837" w:type="pct"/>
                  <w:tcBorders>
                    <w:tl2br w:val="nil"/>
                    <w:tr2bl w:val="nil"/>
                  </w:tcBorders>
                  <w:noWrap w:val="0"/>
                  <w:vAlign w:val="center"/>
                </w:tcPr>
                <w:p w14:paraId="2F15DAC7">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500mL</w:t>
                  </w:r>
                </w:p>
              </w:tc>
              <w:tc>
                <w:tcPr>
                  <w:tcW w:w="735" w:type="pct"/>
                  <w:tcBorders>
                    <w:tl2br w:val="nil"/>
                    <w:tr2bl w:val="nil"/>
                  </w:tcBorders>
                  <w:noWrap w:val="0"/>
                  <w:vAlign w:val="center"/>
                </w:tcPr>
                <w:p w14:paraId="2FC4AD42">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500mL</w:t>
                  </w:r>
                </w:p>
              </w:tc>
              <w:tc>
                <w:tcPr>
                  <w:tcW w:w="897" w:type="pct"/>
                  <w:tcBorders>
                    <w:tl2br w:val="nil"/>
                    <w:tr2bl w:val="nil"/>
                  </w:tcBorders>
                  <w:noWrap w:val="0"/>
                  <w:vAlign w:val="center"/>
                </w:tcPr>
                <w:p w14:paraId="54E019AF">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1F5CA12B">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液态</w:t>
                  </w:r>
                </w:p>
              </w:tc>
              <w:tc>
                <w:tcPr>
                  <w:tcW w:w="664" w:type="pct"/>
                  <w:tcBorders>
                    <w:tl2br w:val="nil"/>
                    <w:tr2bl w:val="nil"/>
                  </w:tcBorders>
                  <w:noWrap w:val="0"/>
                  <w:vAlign w:val="center"/>
                </w:tcPr>
                <w:p w14:paraId="546F662C">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15441F36">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7CF60ED0">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55F7C626">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吡咯烷二硫代氨基甲酸铵</w:t>
                  </w:r>
                </w:p>
              </w:tc>
              <w:tc>
                <w:tcPr>
                  <w:tcW w:w="837" w:type="pct"/>
                  <w:tcBorders>
                    <w:tl2br w:val="nil"/>
                    <w:tr2bl w:val="nil"/>
                  </w:tcBorders>
                  <w:noWrap w:val="0"/>
                  <w:vAlign w:val="center"/>
                </w:tcPr>
                <w:p w14:paraId="7879E207">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25g</w:t>
                  </w:r>
                </w:p>
              </w:tc>
              <w:tc>
                <w:tcPr>
                  <w:tcW w:w="735" w:type="pct"/>
                  <w:tcBorders>
                    <w:tl2br w:val="nil"/>
                    <w:tr2bl w:val="nil"/>
                  </w:tcBorders>
                  <w:noWrap w:val="0"/>
                  <w:vAlign w:val="center"/>
                </w:tcPr>
                <w:p w14:paraId="295A55B3">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25g</w:t>
                  </w:r>
                </w:p>
              </w:tc>
              <w:tc>
                <w:tcPr>
                  <w:tcW w:w="897" w:type="pct"/>
                  <w:tcBorders>
                    <w:tl2br w:val="nil"/>
                    <w:tr2bl w:val="nil"/>
                  </w:tcBorders>
                  <w:noWrap w:val="0"/>
                  <w:vAlign w:val="center"/>
                </w:tcPr>
                <w:p w14:paraId="35B5C34F">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43F98EB3">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固态粉末</w:t>
                  </w:r>
                </w:p>
              </w:tc>
              <w:tc>
                <w:tcPr>
                  <w:tcW w:w="664" w:type="pct"/>
                  <w:tcBorders>
                    <w:tl2br w:val="nil"/>
                    <w:tr2bl w:val="nil"/>
                  </w:tcBorders>
                  <w:noWrap w:val="0"/>
                  <w:vAlign w:val="center"/>
                </w:tcPr>
                <w:p w14:paraId="36637ECA">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50DF5332">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383E4828">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72638F2C">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重铬酸钾标准溶液</w:t>
                  </w:r>
                </w:p>
              </w:tc>
              <w:tc>
                <w:tcPr>
                  <w:tcW w:w="837" w:type="pct"/>
                  <w:tcBorders>
                    <w:tl2br w:val="nil"/>
                    <w:tr2bl w:val="nil"/>
                  </w:tcBorders>
                  <w:noWrap w:val="0"/>
                  <w:vAlign w:val="center"/>
                </w:tcPr>
                <w:p w14:paraId="3675240B">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0.25mol/L</w:t>
                  </w:r>
                </w:p>
              </w:tc>
              <w:tc>
                <w:tcPr>
                  <w:tcW w:w="735" w:type="pct"/>
                  <w:tcBorders>
                    <w:tl2br w:val="nil"/>
                    <w:tr2bl w:val="nil"/>
                  </w:tcBorders>
                  <w:noWrap w:val="0"/>
                  <w:vAlign w:val="center"/>
                </w:tcPr>
                <w:p w14:paraId="3799985D">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0.25mol/L</w:t>
                  </w:r>
                </w:p>
              </w:tc>
              <w:tc>
                <w:tcPr>
                  <w:tcW w:w="897" w:type="pct"/>
                  <w:tcBorders>
                    <w:tl2br w:val="nil"/>
                    <w:tr2bl w:val="nil"/>
                  </w:tcBorders>
                  <w:noWrap w:val="0"/>
                  <w:vAlign w:val="center"/>
                </w:tcPr>
                <w:p w14:paraId="0BAC63E9">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5FBA2FD4">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液态</w:t>
                  </w:r>
                </w:p>
              </w:tc>
              <w:tc>
                <w:tcPr>
                  <w:tcW w:w="664" w:type="pct"/>
                  <w:tcBorders>
                    <w:tl2br w:val="nil"/>
                    <w:tr2bl w:val="nil"/>
                  </w:tcBorders>
                  <w:noWrap w:val="0"/>
                  <w:vAlign w:val="center"/>
                </w:tcPr>
                <w:p w14:paraId="1A33ED0F">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33183A3A">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265D42D8">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7EC1BE7C">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氰化物标准溶液</w:t>
                  </w:r>
                </w:p>
              </w:tc>
              <w:tc>
                <w:tcPr>
                  <w:tcW w:w="837" w:type="pct"/>
                  <w:tcBorders>
                    <w:tl2br w:val="nil"/>
                    <w:tr2bl w:val="nil"/>
                  </w:tcBorders>
                  <w:noWrap w:val="0"/>
                  <w:vAlign w:val="center"/>
                </w:tcPr>
                <w:p w14:paraId="4C79EC32">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50mg/L</w:t>
                  </w:r>
                </w:p>
              </w:tc>
              <w:tc>
                <w:tcPr>
                  <w:tcW w:w="735" w:type="pct"/>
                  <w:tcBorders>
                    <w:tl2br w:val="nil"/>
                    <w:tr2bl w:val="nil"/>
                  </w:tcBorders>
                  <w:noWrap w:val="0"/>
                  <w:vAlign w:val="center"/>
                </w:tcPr>
                <w:p w14:paraId="7BB11671">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50mg/L</w:t>
                  </w:r>
                </w:p>
              </w:tc>
              <w:tc>
                <w:tcPr>
                  <w:tcW w:w="897" w:type="pct"/>
                  <w:tcBorders>
                    <w:tl2br w:val="nil"/>
                    <w:tr2bl w:val="nil"/>
                  </w:tcBorders>
                  <w:noWrap w:val="0"/>
                  <w:vAlign w:val="center"/>
                </w:tcPr>
                <w:p w14:paraId="008B154E">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4110098E">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液态</w:t>
                  </w:r>
                </w:p>
              </w:tc>
              <w:tc>
                <w:tcPr>
                  <w:tcW w:w="664" w:type="pct"/>
                  <w:tcBorders>
                    <w:tl2br w:val="nil"/>
                    <w:tr2bl w:val="nil"/>
                  </w:tcBorders>
                  <w:noWrap w:val="0"/>
                  <w:vAlign w:val="center"/>
                </w:tcPr>
                <w:p w14:paraId="76949399">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69B2053A">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4000B81F">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359DE630">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铬标准溶液</w:t>
                  </w:r>
                </w:p>
              </w:tc>
              <w:tc>
                <w:tcPr>
                  <w:tcW w:w="837" w:type="pct"/>
                  <w:tcBorders>
                    <w:tl2br w:val="nil"/>
                    <w:tr2bl w:val="nil"/>
                  </w:tcBorders>
                  <w:noWrap w:val="0"/>
                  <w:vAlign w:val="center"/>
                </w:tcPr>
                <w:p w14:paraId="28549112">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1000mg/L</w:t>
                  </w:r>
                </w:p>
              </w:tc>
              <w:tc>
                <w:tcPr>
                  <w:tcW w:w="735" w:type="pct"/>
                  <w:tcBorders>
                    <w:tl2br w:val="nil"/>
                    <w:tr2bl w:val="nil"/>
                  </w:tcBorders>
                  <w:noWrap w:val="0"/>
                  <w:vAlign w:val="center"/>
                </w:tcPr>
                <w:p w14:paraId="3892DE6D">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1000mg/L</w:t>
                  </w:r>
                </w:p>
              </w:tc>
              <w:tc>
                <w:tcPr>
                  <w:tcW w:w="897" w:type="pct"/>
                  <w:tcBorders>
                    <w:tl2br w:val="nil"/>
                    <w:tr2bl w:val="nil"/>
                  </w:tcBorders>
                  <w:noWrap w:val="0"/>
                  <w:vAlign w:val="center"/>
                </w:tcPr>
                <w:p w14:paraId="537DBC1B">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2C30931D">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液态</w:t>
                  </w:r>
                </w:p>
              </w:tc>
              <w:tc>
                <w:tcPr>
                  <w:tcW w:w="664" w:type="pct"/>
                  <w:tcBorders>
                    <w:tl2br w:val="nil"/>
                    <w:tr2bl w:val="nil"/>
                  </w:tcBorders>
                  <w:noWrap w:val="0"/>
                  <w:vAlign w:val="center"/>
                </w:tcPr>
                <w:p w14:paraId="20B1D4FB">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48E1D25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7BFE706E">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106FA3C8">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镍标准溶液</w:t>
                  </w:r>
                </w:p>
              </w:tc>
              <w:tc>
                <w:tcPr>
                  <w:tcW w:w="837" w:type="pct"/>
                  <w:tcBorders>
                    <w:tl2br w:val="nil"/>
                    <w:tr2bl w:val="nil"/>
                  </w:tcBorders>
                  <w:noWrap w:val="0"/>
                  <w:vAlign w:val="center"/>
                </w:tcPr>
                <w:p w14:paraId="4FD24F7A">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1000mg/L</w:t>
                  </w:r>
                </w:p>
              </w:tc>
              <w:tc>
                <w:tcPr>
                  <w:tcW w:w="735" w:type="pct"/>
                  <w:tcBorders>
                    <w:tl2br w:val="nil"/>
                    <w:tr2bl w:val="nil"/>
                  </w:tcBorders>
                  <w:noWrap w:val="0"/>
                  <w:vAlign w:val="center"/>
                </w:tcPr>
                <w:p w14:paraId="204A4C84">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1000mg/L</w:t>
                  </w:r>
                </w:p>
              </w:tc>
              <w:tc>
                <w:tcPr>
                  <w:tcW w:w="897" w:type="pct"/>
                  <w:tcBorders>
                    <w:tl2br w:val="nil"/>
                    <w:tr2bl w:val="nil"/>
                  </w:tcBorders>
                  <w:noWrap w:val="0"/>
                  <w:vAlign w:val="center"/>
                </w:tcPr>
                <w:p w14:paraId="6B721771">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125DD57D">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液态</w:t>
                  </w:r>
                </w:p>
              </w:tc>
              <w:tc>
                <w:tcPr>
                  <w:tcW w:w="664" w:type="pct"/>
                  <w:tcBorders>
                    <w:tl2br w:val="nil"/>
                    <w:tr2bl w:val="nil"/>
                  </w:tcBorders>
                  <w:noWrap w:val="0"/>
                  <w:vAlign w:val="center"/>
                </w:tcPr>
                <w:p w14:paraId="6599F8EB">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433E341E">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2E2B9207">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670B0410">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银标准溶液</w:t>
                  </w:r>
                </w:p>
              </w:tc>
              <w:tc>
                <w:tcPr>
                  <w:tcW w:w="837" w:type="pct"/>
                  <w:tcBorders>
                    <w:tl2br w:val="nil"/>
                    <w:tr2bl w:val="nil"/>
                  </w:tcBorders>
                  <w:noWrap w:val="0"/>
                  <w:vAlign w:val="center"/>
                </w:tcPr>
                <w:p w14:paraId="426DEA7E">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1000mg/L</w:t>
                  </w:r>
                </w:p>
              </w:tc>
              <w:tc>
                <w:tcPr>
                  <w:tcW w:w="735" w:type="pct"/>
                  <w:tcBorders>
                    <w:tl2br w:val="nil"/>
                    <w:tr2bl w:val="nil"/>
                  </w:tcBorders>
                  <w:noWrap w:val="0"/>
                  <w:vAlign w:val="center"/>
                </w:tcPr>
                <w:p w14:paraId="75A8491B">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1000mg/L</w:t>
                  </w:r>
                </w:p>
              </w:tc>
              <w:tc>
                <w:tcPr>
                  <w:tcW w:w="897" w:type="pct"/>
                  <w:tcBorders>
                    <w:tl2br w:val="nil"/>
                    <w:tr2bl w:val="nil"/>
                  </w:tcBorders>
                  <w:noWrap w:val="0"/>
                  <w:vAlign w:val="center"/>
                </w:tcPr>
                <w:p w14:paraId="30669979">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00C76ABB">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液态</w:t>
                  </w:r>
                </w:p>
              </w:tc>
              <w:tc>
                <w:tcPr>
                  <w:tcW w:w="664" w:type="pct"/>
                  <w:tcBorders>
                    <w:tl2br w:val="nil"/>
                    <w:tr2bl w:val="nil"/>
                  </w:tcBorders>
                  <w:noWrap w:val="0"/>
                  <w:vAlign w:val="center"/>
                </w:tcPr>
                <w:p w14:paraId="60F004E9">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3FB4DDC3">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5BBB3945">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55CD57B5">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锌标准溶液</w:t>
                  </w:r>
                </w:p>
              </w:tc>
              <w:tc>
                <w:tcPr>
                  <w:tcW w:w="837" w:type="pct"/>
                  <w:tcBorders>
                    <w:tl2br w:val="nil"/>
                    <w:tr2bl w:val="nil"/>
                  </w:tcBorders>
                  <w:noWrap w:val="0"/>
                  <w:vAlign w:val="center"/>
                </w:tcPr>
                <w:p w14:paraId="78ED34D2">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1000mg/L</w:t>
                  </w:r>
                </w:p>
              </w:tc>
              <w:tc>
                <w:tcPr>
                  <w:tcW w:w="735" w:type="pct"/>
                  <w:tcBorders>
                    <w:tl2br w:val="nil"/>
                    <w:tr2bl w:val="nil"/>
                  </w:tcBorders>
                  <w:noWrap w:val="0"/>
                  <w:vAlign w:val="center"/>
                </w:tcPr>
                <w:p w14:paraId="7F6E618C">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1000mg/L</w:t>
                  </w:r>
                </w:p>
              </w:tc>
              <w:tc>
                <w:tcPr>
                  <w:tcW w:w="897" w:type="pct"/>
                  <w:tcBorders>
                    <w:tl2br w:val="nil"/>
                    <w:tr2bl w:val="nil"/>
                  </w:tcBorders>
                  <w:noWrap w:val="0"/>
                  <w:vAlign w:val="center"/>
                </w:tcPr>
                <w:p w14:paraId="0536623B">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43704AC8">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液态</w:t>
                  </w:r>
                </w:p>
              </w:tc>
              <w:tc>
                <w:tcPr>
                  <w:tcW w:w="664" w:type="pct"/>
                  <w:tcBorders>
                    <w:tl2br w:val="nil"/>
                    <w:tr2bl w:val="nil"/>
                  </w:tcBorders>
                  <w:noWrap w:val="0"/>
                  <w:vAlign w:val="center"/>
                </w:tcPr>
                <w:p w14:paraId="05643BBA">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6FD74FD9">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677BCA5F">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021E5F4C">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铅标准溶液</w:t>
                  </w:r>
                </w:p>
              </w:tc>
              <w:tc>
                <w:tcPr>
                  <w:tcW w:w="837" w:type="pct"/>
                  <w:tcBorders>
                    <w:tl2br w:val="nil"/>
                    <w:tr2bl w:val="nil"/>
                  </w:tcBorders>
                  <w:noWrap w:val="0"/>
                  <w:vAlign w:val="center"/>
                </w:tcPr>
                <w:p w14:paraId="6632742A">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1000mg/L</w:t>
                  </w:r>
                </w:p>
              </w:tc>
              <w:tc>
                <w:tcPr>
                  <w:tcW w:w="735" w:type="pct"/>
                  <w:tcBorders>
                    <w:tl2br w:val="nil"/>
                    <w:tr2bl w:val="nil"/>
                  </w:tcBorders>
                  <w:noWrap w:val="0"/>
                  <w:vAlign w:val="center"/>
                </w:tcPr>
                <w:p w14:paraId="6A6CF01E">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1000mg/L</w:t>
                  </w:r>
                </w:p>
              </w:tc>
              <w:tc>
                <w:tcPr>
                  <w:tcW w:w="897" w:type="pct"/>
                  <w:tcBorders>
                    <w:tl2br w:val="nil"/>
                    <w:tr2bl w:val="nil"/>
                  </w:tcBorders>
                  <w:noWrap w:val="0"/>
                  <w:vAlign w:val="center"/>
                </w:tcPr>
                <w:p w14:paraId="40482A05">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6E7D47CC">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液态</w:t>
                  </w:r>
                </w:p>
              </w:tc>
              <w:tc>
                <w:tcPr>
                  <w:tcW w:w="664" w:type="pct"/>
                  <w:tcBorders>
                    <w:tl2br w:val="nil"/>
                    <w:tr2bl w:val="nil"/>
                  </w:tcBorders>
                  <w:noWrap w:val="0"/>
                  <w:vAlign w:val="center"/>
                </w:tcPr>
                <w:p w14:paraId="4EE7BBFD">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3D3777BE">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2E72C131">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55ED495A">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镉标准溶液</w:t>
                  </w:r>
                </w:p>
              </w:tc>
              <w:tc>
                <w:tcPr>
                  <w:tcW w:w="837" w:type="pct"/>
                  <w:tcBorders>
                    <w:tl2br w:val="nil"/>
                    <w:tr2bl w:val="nil"/>
                  </w:tcBorders>
                  <w:noWrap w:val="0"/>
                  <w:vAlign w:val="center"/>
                </w:tcPr>
                <w:p w14:paraId="3EB702E2">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1000mg/L</w:t>
                  </w:r>
                </w:p>
              </w:tc>
              <w:tc>
                <w:tcPr>
                  <w:tcW w:w="735" w:type="pct"/>
                  <w:tcBorders>
                    <w:tl2br w:val="nil"/>
                    <w:tr2bl w:val="nil"/>
                  </w:tcBorders>
                  <w:noWrap w:val="0"/>
                  <w:vAlign w:val="center"/>
                </w:tcPr>
                <w:p w14:paraId="0F660F85">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1000mg/L</w:t>
                  </w:r>
                </w:p>
              </w:tc>
              <w:tc>
                <w:tcPr>
                  <w:tcW w:w="897" w:type="pct"/>
                  <w:tcBorders>
                    <w:tl2br w:val="nil"/>
                    <w:tr2bl w:val="nil"/>
                  </w:tcBorders>
                  <w:noWrap w:val="0"/>
                  <w:vAlign w:val="center"/>
                </w:tcPr>
                <w:p w14:paraId="3A1838B8">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20FD8C78">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液态</w:t>
                  </w:r>
                </w:p>
              </w:tc>
              <w:tc>
                <w:tcPr>
                  <w:tcW w:w="664" w:type="pct"/>
                  <w:tcBorders>
                    <w:tl2br w:val="nil"/>
                    <w:tr2bl w:val="nil"/>
                  </w:tcBorders>
                  <w:noWrap w:val="0"/>
                  <w:vAlign w:val="center"/>
                </w:tcPr>
                <w:p w14:paraId="737653E9">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774570E8">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68E2936E">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527DE013">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铜标准溶液</w:t>
                  </w:r>
                </w:p>
              </w:tc>
              <w:tc>
                <w:tcPr>
                  <w:tcW w:w="837" w:type="pct"/>
                  <w:tcBorders>
                    <w:tl2br w:val="nil"/>
                    <w:tr2bl w:val="nil"/>
                  </w:tcBorders>
                  <w:noWrap w:val="0"/>
                  <w:vAlign w:val="center"/>
                </w:tcPr>
                <w:p w14:paraId="1CD4609A">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1000mg/L</w:t>
                  </w:r>
                </w:p>
              </w:tc>
              <w:tc>
                <w:tcPr>
                  <w:tcW w:w="735" w:type="pct"/>
                  <w:tcBorders>
                    <w:tl2br w:val="nil"/>
                    <w:tr2bl w:val="nil"/>
                  </w:tcBorders>
                  <w:noWrap w:val="0"/>
                  <w:vAlign w:val="center"/>
                </w:tcPr>
                <w:p w14:paraId="75C38956">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1000mg/L</w:t>
                  </w:r>
                </w:p>
              </w:tc>
              <w:tc>
                <w:tcPr>
                  <w:tcW w:w="897" w:type="pct"/>
                  <w:tcBorders>
                    <w:tl2br w:val="nil"/>
                    <w:tr2bl w:val="nil"/>
                  </w:tcBorders>
                  <w:noWrap w:val="0"/>
                  <w:vAlign w:val="center"/>
                </w:tcPr>
                <w:p w14:paraId="0F273557">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687CC959">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液态</w:t>
                  </w:r>
                </w:p>
              </w:tc>
              <w:tc>
                <w:tcPr>
                  <w:tcW w:w="664" w:type="pct"/>
                  <w:tcBorders>
                    <w:tl2br w:val="nil"/>
                    <w:tr2bl w:val="nil"/>
                  </w:tcBorders>
                  <w:noWrap w:val="0"/>
                  <w:vAlign w:val="center"/>
                </w:tcPr>
                <w:p w14:paraId="32F9FC78">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139D5B22">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6987E824">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5EB7A131">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汞标准溶液</w:t>
                  </w:r>
                </w:p>
              </w:tc>
              <w:tc>
                <w:tcPr>
                  <w:tcW w:w="837" w:type="pct"/>
                  <w:tcBorders>
                    <w:tl2br w:val="nil"/>
                    <w:tr2bl w:val="nil"/>
                  </w:tcBorders>
                  <w:noWrap w:val="0"/>
                  <w:vAlign w:val="center"/>
                </w:tcPr>
                <w:p w14:paraId="3B0D3175">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kern w:val="28"/>
                      <w:sz w:val="21"/>
                      <w:szCs w:val="21"/>
                      <w:highlight w:val="none"/>
                      <w:lang w:val="en-US" w:eastAsia="zh-CN"/>
                    </w:rPr>
                  </w:pPr>
                  <w:r>
                    <w:rPr>
                      <w:rFonts w:hint="default" w:eastAsia="宋体" w:cs="Times New Roman"/>
                      <w:color w:val="auto"/>
                      <w:kern w:val="28"/>
                      <w:sz w:val="21"/>
                      <w:szCs w:val="21"/>
                      <w:highlight w:val="none"/>
                      <w:lang w:val="en-US" w:eastAsia="zh-CN"/>
                    </w:rPr>
                    <w:t>1000mg/L</w:t>
                  </w:r>
                </w:p>
              </w:tc>
              <w:tc>
                <w:tcPr>
                  <w:tcW w:w="735" w:type="pct"/>
                  <w:tcBorders>
                    <w:tl2br w:val="nil"/>
                    <w:tr2bl w:val="nil"/>
                  </w:tcBorders>
                  <w:noWrap w:val="0"/>
                  <w:vAlign w:val="center"/>
                </w:tcPr>
                <w:p w14:paraId="3FBD8BB1">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1000mg/L</w:t>
                  </w:r>
                </w:p>
              </w:tc>
              <w:tc>
                <w:tcPr>
                  <w:tcW w:w="897" w:type="pct"/>
                  <w:tcBorders>
                    <w:tl2br w:val="nil"/>
                    <w:tr2bl w:val="nil"/>
                  </w:tcBorders>
                  <w:noWrap w:val="0"/>
                  <w:vAlign w:val="center"/>
                </w:tcPr>
                <w:p w14:paraId="10D378B2">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试剂柜内储存</w:t>
                  </w:r>
                </w:p>
              </w:tc>
              <w:tc>
                <w:tcPr>
                  <w:tcW w:w="619" w:type="pct"/>
                  <w:tcBorders>
                    <w:tl2br w:val="nil"/>
                    <w:tr2bl w:val="nil"/>
                  </w:tcBorders>
                  <w:noWrap w:val="0"/>
                  <w:vAlign w:val="center"/>
                </w:tcPr>
                <w:p w14:paraId="05F8C2B3">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液态</w:t>
                  </w:r>
                </w:p>
              </w:tc>
              <w:tc>
                <w:tcPr>
                  <w:tcW w:w="664" w:type="pct"/>
                  <w:tcBorders>
                    <w:tl2br w:val="nil"/>
                    <w:tr2bl w:val="nil"/>
                  </w:tcBorders>
                  <w:noWrap w:val="0"/>
                  <w:vAlign w:val="center"/>
                </w:tcPr>
                <w:p w14:paraId="64928EFA">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0DDD9CF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tcBorders>
                    <w:tl2br w:val="nil"/>
                    <w:tr2bl w:val="nil"/>
                  </w:tcBorders>
                  <w:noWrap w:val="0"/>
                  <w:tcMar>
                    <w:left w:w="0" w:type="dxa"/>
                    <w:right w:w="0" w:type="dxa"/>
                  </w:tcMar>
                  <w:vAlign w:val="center"/>
                </w:tcPr>
                <w:p w14:paraId="7216D67A">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ascii="Times New Roman" w:hAnsi="Times New Roman" w:eastAsia="宋体" w:cs="Times New Roman"/>
                      <w:color w:val="auto"/>
                      <w:kern w:val="28"/>
                      <w:sz w:val="21"/>
                      <w:szCs w:val="21"/>
                      <w:highlight w:val="none"/>
                      <w:lang w:val="en-US" w:eastAsia="zh-CN"/>
                    </w:rPr>
                    <w:t>气体</w:t>
                  </w:r>
                </w:p>
              </w:tc>
              <w:tc>
                <w:tcPr>
                  <w:tcW w:w="852" w:type="pct"/>
                  <w:tcBorders>
                    <w:tl2br w:val="nil"/>
                    <w:tr2bl w:val="nil"/>
                  </w:tcBorders>
                  <w:noWrap w:val="0"/>
                  <w:vAlign w:val="center"/>
                </w:tcPr>
                <w:p w14:paraId="23CC893F">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ascii="Times New Roman" w:hAnsi="Times New Roman" w:eastAsia="宋体" w:cs="Times New Roman"/>
                      <w:color w:val="auto"/>
                      <w:kern w:val="28"/>
                      <w:sz w:val="21"/>
                      <w:szCs w:val="21"/>
                      <w:highlight w:val="none"/>
                      <w:lang w:val="en-US" w:eastAsia="zh-CN"/>
                    </w:rPr>
                    <w:t>乙炔</w:t>
                  </w:r>
                </w:p>
              </w:tc>
              <w:tc>
                <w:tcPr>
                  <w:tcW w:w="837" w:type="pct"/>
                  <w:tcBorders>
                    <w:tl2br w:val="nil"/>
                    <w:tr2bl w:val="nil"/>
                  </w:tcBorders>
                  <w:noWrap w:val="0"/>
                  <w:vAlign w:val="center"/>
                </w:tcPr>
                <w:p w14:paraId="458419C0">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1瓶</w:t>
                  </w:r>
                </w:p>
              </w:tc>
              <w:tc>
                <w:tcPr>
                  <w:tcW w:w="735" w:type="pct"/>
                  <w:tcBorders>
                    <w:tl2br w:val="nil"/>
                    <w:tr2bl w:val="nil"/>
                  </w:tcBorders>
                  <w:noWrap w:val="0"/>
                  <w:vAlign w:val="center"/>
                </w:tcPr>
                <w:p w14:paraId="50566B6F">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40L</w:t>
                  </w:r>
                </w:p>
              </w:tc>
              <w:tc>
                <w:tcPr>
                  <w:tcW w:w="897" w:type="pct"/>
                  <w:tcBorders>
                    <w:tl2br w:val="nil"/>
                    <w:tr2bl w:val="nil"/>
                  </w:tcBorders>
                  <w:noWrap w:val="0"/>
                  <w:vAlign w:val="center"/>
                </w:tcPr>
                <w:p w14:paraId="4169FAC6">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气瓶柜（有通风系统）</w:t>
                  </w:r>
                </w:p>
              </w:tc>
              <w:tc>
                <w:tcPr>
                  <w:tcW w:w="619" w:type="pct"/>
                  <w:tcBorders>
                    <w:tl2br w:val="nil"/>
                    <w:tr2bl w:val="nil"/>
                  </w:tcBorders>
                  <w:noWrap w:val="0"/>
                  <w:vAlign w:val="center"/>
                </w:tcPr>
                <w:p w14:paraId="3087E37B">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气态</w:t>
                  </w:r>
                </w:p>
              </w:tc>
              <w:tc>
                <w:tcPr>
                  <w:tcW w:w="664" w:type="pct"/>
                  <w:tcBorders>
                    <w:tl2br w:val="nil"/>
                    <w:tr2bl w:val="nil"/>
                  </w:tcBorders>
                  <w:noWrap w:val="0"/>
                  <w:vAlign w:val="center"/>
                </w:tcPr>
                <w:p w14:paraId="251DC2EF">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49D401B6">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tcBorders>
                    <w:tl2br w:val="nil"/>
                    <w:tr2bl w:val="nil"/>
                  </w:tcBorders>
                  <w:noWrap w:val="0"/>
                  <w:tcMar>
                    <w:left w:w="0" w:type="dxa"/>
                    <w:right w:w="0" w:type="dxa"/>
                  </w:tcMar>
                  <w:vAlign w:val="center"/>
                </w:tcPr>
                <w:p w14:paraId="172EB0F1">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其他</w:t>
                  </w:r>
                </w:p>
              </w:tc>
              <w:tc>
                <w:tcPr>
                  <w:tcW w:w="852" w:type="pct"/>
                  <w:tcBorders>
                    <w:tl2br w:val="nil"/>
                    <w:tr2bl w:val="nil"/>
                  </w:tcBorders>
                  <w:noWrap w:val="0"/>
                  <w:vAlign w:val="center"/>
                </w:tcPr>
                <w:p w14:paraId="77638F87">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活性炭</w:t>
                  </w:r>
                </w:p>
              </w:tc>
              <w:tc>
                <w:tcPr>
                  <w:tcW w:w="837" w:type="pct"/>
                  <w:tcBorders>
                    <w:tl2br w:val="nil"/>
                    <w:tr2bl w:val="nil"/>
                  </w:tcBorders>
                  <w:noWrap w:val="0"/>
                  <w:vAlign w:val="center"/>
                </w:tcPr>
                <w:p w14:paraId="4E2515DC">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1000kg</w:t>
                  </w:r>
                </w:p>
              </w:tc>
              <w:tc>
                <w:tcPr>
                  <w:tcW w:w="735" w:type="pct"/>
                  <w:tcBorders>
                    <w:tl2br w:val="nil"/>
                    <w:tr2bl w:val="nil"/>
                  </w:tcBorders>
                  <w:noWrap w:val="0"/>
                  <w:vAlign w:val="center"/>
                </w:tcPr>
                <w:p w14:paraId="0813CDC8">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w:t>
                  </w:r>
                </w:p>
              </w:tc>
              <w:tc>
                <w:tcPr>
                  <w:tcW w:w="897" w:type="pct"/>
                  <w:tcBorders>
                    <w:tl2br w:val="nil"/>
                    <w:tr2bl w:val="nil"/>
                  </w:tcBorders>
                  <w:noWrap w:val="0"/>
                  <w:vAlign w:val="center"/>
                </w:tcPr>
                <w:p w14:paraId="54D5906D">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w:t>
                  </w:r>
                </w:p>
              </w:tc>
              <w:tc>
                <w:tcPr>
                  <w:tcW w:w="619" w:type="pct"/>
                  <w:tcBorders>
                    <w:tl2br w:val="nil"/>
                    <w:tr2bl w:val="nil"/>
                  </w:tcBorders>
                  <w:noWrap w:val="0"/>
                  <w:vAlign w:val="center"/>
                </w:tcPr>
                <w:p w14:paraId="0CFBE3BE">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w:t>
                  </w:r>
                </w:p>
              </w:tc>
              <w:tc>
                <w:tcPr>
                  <w:tcW w:w="664" w:type="pct"/>
                  <w:tcBorders>
                    <w:tl2br w:val="nil"/>
                    <w:tr2bl w:val="nil"/>
                  </w:tcBorders>
                  <w:noWrap w:val="0"/>
                  <w:vAlign w:val="center"/>
                </w:tcPr>
                <w:p w14:paraId="6960EFD8">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外购</w:t>
                  </w:r>
                </w:p>
              </w:tc>
            </w:tr>
            <w:tr w14:paraId="440B9C18">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restart"/>
                  <w:tcBorders>
                    <w:tl2br w:val="nil"/>
                    <w:tr2bl w:val="nil"/>
                  </w:tcBorders>
                  <w:noWrap w:val="0"/>
                  <w:tcMar>
                    <w:left w:w="0" w:type="dxa"/>
                    <w:right w:w="0" w:type="dxa"/>
                  </w:tcMar>
                  <w:vAlign w:val="center"/>
                </w:tcPr>
                <w:p w14:paraId="2055F37E">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default" w:ascii="Times New Roman" w:hAnsi="Times New Roman" w:eastAsia="宋体" w:cs="Times New Roman"/>
                      <w:color w:val="auto"/>
                      <w:kern w:val="28"/>
                      <w:sz w:val="21"/>
                      <w:szCs w:val="21"/>
                      <w:highlight w:val="none"/>
                      <w:lang w:val="en-US" w:eastAsia="zh-CN"/>
                    </w:rPr>
                    <w:t>能源</w:t>
                  </w:r>
                </w:p>
              </w:tc>
              <w:tc>
                <w:tcPr>
                  <w:tcW w:w="852" w:type="pct"/>
                  <w:tcBorders>
                    <w:tl2br w:val="nil"/>
                    <w:tr2bl w:val="nil"/>
                  </w:tcBorders>
                  <w:noWrap w:val="0"/>
                  <w:vAlign w:val="center"/>
                </w:tcPr>
                <w:p w14:paraId="24977975">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default" w:ascii="Times New Roman" w:hAnsi="Times New Roman" w:eastAsia="宋体" w:cs="Times New Roman"/>
                      <w:color w:val="auto"/>
                      <w:kern w:val="28"/>
                      <w:sz w:val="21"/>
                      <w:szCs w:val="21"/>
                      <w:highlight w:val="none"/>
                      <w:lang w:val="en-US" w:eastAsia="zh-CN"/>
                    </w:rPr>
                    <w:t>电</w:t>
                  </w:r>
                </w:p>
              </w:tc>
              <w:tc>
                <w:tcPr>
                  <w:tcW w:w="837" w:type="pct"/>
                  <w:tcBorders>
                    <w:tl2br w:val="nil"/>
                    <w:tr2bl w:val="nil"/>
                  </w:tcBorders>
                  <w:noWrap w:val="0"/>
                  <w:vAlign w:val="center"/>
                </w:tcPr>
                <w:p w14:paraId="3056FC06">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42</w:t>
                  </w:r>
                  <w:r>
                    <w:rPr>
                      <w:rFonts w:hint="default" w:ascii="Times New Roman" w:hAnsi="Times New Roman" w:eastAsia="宋体" w:cs="Times New Roman"/>
                      <w:color w:val="auto"/>
                      <w:kern w:val="28"/>
                      <w:sz w:val="21"/>
                      <w:szCs w:val="21"/>
                      <w:highlight w:val="none"/>
                      <w:lang w:val="en-US" w:eastAsia="zh-CN"/>
                    </w:rPr>
                    <w:t>00kwh/</w:t>
                  </w:r>
                  <w:r>
                    <w:rPr>
                      <w:rFonts w:hint="eastAsia" w:cs="Times New Roman"/>
                      <w:color w:val="auto"/>
                      <w:kern w:val="28"/>
                      <w:sz w:val="21"/>
                      <w:szCs w:val="21"/>
                      <w:highlight w:val="none"/>
                      <w:lang w:val="en-US" w:eastAsia="zh-CN"/>
                    </w:rPr>
                    <w:t>a</w:t>
                  </w:r>
                </w:p>
              </w:tc>
              <w:tc>
                <w:tcPr>
                  <w:tcW w:w="735" w:type="pct"/>
                  <w:tcBorders>
                    <w:tl2br w:val="nil"/>
                    <w:tr2bl w:val="nil"/>
                  </w:tcBorders>
                  <w:noWrap w:val="0"/>
                  <w:vAlign w:val="center"/>
                </w:tcPr>
                <w:p w14:paraId="2874A6BA">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default" w:ascii="Times New Roman" w:hAnsi="Times New Roman" w:eastAsia="宋体" w:cs="Times New Roman"/>
                      <w:color w:val="auto"/>
                      <w:kern w:val="28"/>
                      <w:sz w:val="21"/>
                      <w:szCs w:val="21"/>
                      <w:highlight w:val="none"/>
                      <w:lang w:val="en-US" w:eastAsia="zh-CN"/>
                    </w:rPr>
                    <w:t>/</w:t>
                  </w:r>
                </w:p>
              </w:tc>
              <w:tc>
                <w:tcPr>
                  <w:tcW w:w="897" w:type="pct"/>
                  <w:tcBorders>
                    <w:tl2br w:val="nil"/>
                    <w:tr2bl w:val="nil"/>
                  </w:tcBorders>
                  <w:noWrap w:val="0"/>
                  <w:vAlign w:val="center"/>
                </w:tcPr>
                <w:p w14:paraId="043A06DE">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default" w:ascii="Times New Roman" w:hAnsi="Times New Roman" w:eastAsia="宋体" w:cs="Times New Roman"/>
                      <w:color w:val="auto"/>
                      <w:kern w:val="28"/>
                      <w:sz w:val="21"/>
                      <w:szCs w:val="21"/>
                      <w:highlight w:val="none"/>
                      <w:lang w:val="en-US" w:eastAsia="zh-CN"/>
                    </w:rPr>
                    <w:t>/</w:t>
                  </w:r>
                </w:p>
              </w:tc>
              <w:tc>
                <w:tcPr>
                  <w:tcW w:w="619" w:type="pct"/>
                  <w:tcBorders>
                    <w:tl2br w:val="nil"/>
                    <w:tr2bl w:val="nil"/>
                  </w:tcBorders>
                  <w:noWrap w:val="0"/>
                  <w:vAlign w:val="center"/>
                </w:tcPr>
                <w:p w14:paraId="40573AB4">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default" w:ascii="Times New Roman" w:hAnsi="Times New Roman" w:eastAsia="宋体" w:cs="Times New Roman"/>
                      <w:color w:val="auto"/>
                      <w:kern w:val="28"/>
                      <w:sz w:val="21"/>
                      <w:szCs w:val="21"/>
                      <w:highlight w:val="none"/>
                      <w:lang w:val="en-US" w:eastAsia="zh-CN"/>
                    </w:rPr>
                    <w:t>/</w:t>
                  </w:r>
                </w:p>
              </w:tc>
              <w:tc>
                <w:tcPr>
                  <w:tcW w:w="664" w:type="pct"/>
                  <w:tcBorders>
                    <w:tl2br w:val="nil"/>
                    <w:tr2bl w:val="nil"/>
                  </w:tcBorders>
                  <w:noWrap w:val="0"/>
                  <w:vAlign w:val="center"/>
                </w:tcPr>
                <w:p w14:paraId="1394FA46">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default" w:ascii="Times New Roman" w:hAnsi="Times New Roman" w:eastAsia="宋体" w:cs="Times New Roman"/>
                      <w:color w:val="auto"/>
                      <w:kern w:val="28"/>
                      <w:sz w:val="21"/>
                      <w:szCs w:val="21"/>
                      <w:highlight w:val="none"/>
                      <w:lang w:val="en-US" w:eastAsia="zh-CN"/>
                    </w:rPr>
                    <w:t>/</w:t>
                  </w:r>
                </w:p>
              </w:tc>
            </w:tr>
            <w:tr w14:paraId="3DB6F08F">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 w:type="pct"/>
                  <w:vMerge w:val="continue"/>
                  <w:tcBorders>
                    <w:tl2br w:val="nil"/>
                    <w:tr2bl w:val="nil"/>
                  </w:tcBorders>
                  <w:noWrap w:val="0"/>
                  <w:tcMar>
                    <w:left w:w="0" w:type="dxa"/>
                    <w:right w:w="0" w:type="dxa"/>
                  </w:tcMar>
                  <w:vAlign w:val="center"/>
                </w:tcPr>
                <w:p w14:paraId="49DD705E">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kern w:val="28"/>
                      <w:sz w:val="21"/>
                      <w:szCs w:val="21"/>
                      <w:highlight w:val="none"/>
                      <w:lang w:val="en-US" w:eastAsia="zh-CN"/>
                    </w:rPr>
                  </w:pPr>
                </w:p>
              </w:tc>
              <w:tc>
                <w:tcPr>
                  <w:tcW w:w="852" w:type="pct"/>
                  <w:tcBorders>
                    <w:tl2br w:val="nil"/>
                    <w:tr2bl w:val="nil"/>
                  </w:tcBorders>
                  <w:noWrap w:val="0"/>
                  <w:vAlign w:val="center"/>
                </w:tcPr>
                <w:p w14:paraId="1BB563FC">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default" w:ascii="Times New Roman" w:hAnsi="Times New Roman" w:eastAsia="宋体" w:cs="Times New Roman"/>
                      <w:color w:val="auto"/>
                      <w:kern w:val="28"/>
                      <w:sz w:val="21"/>
                      <w:szCs w:val="21"/>
                      <w:highlight w:val="none"/>
                      <w:lang w:val="en-US" w:eastAsia="zh-CN"/>
                    </w:rPr>
                    <w:t>水</w:t>
                  </w:r>
                </w:p>
              </w:tc>
              <w:tc>
                <w:tcPr>
                  <w:tcW w:w="837" w:type="pct"/>
                  <w:tcBorders>
                    <w:tl2br w:val="nil"/>
                    <w:tr2bl w:val="nil"/>
                  </w:tcBorders>
                  <w:noWrap w:val="0"/>
                  <w:vAlign w:val="center"/>
                </w:tcPr>
                <w:p w14:paraId="74D18599">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hAnsi="宋体" w:cs="Times New Roman"/>
                      <w:color w:val="auto"/>
                      <w:sz w:val="21"/>
                      <w:szCs w:val="21"/>
                      <w:highlight w:val="none"/>
                      <w:lang w:val="en-US" w:eastAsia="zh-CN"/>
                    </w:rPr>
                    <w:t>11.18</w:t>
                  </w:r>
                  <w:r>
                    <w:rPr>
                      <w:rFonts w:hint="eastAsia" w:cs="Times New Roman"/>
                      <w:color w:val="auto"/>
                      <w:kern w:val="28"/>
                      <w:sz w:val="21"/>
                      <w:szCs w:val="21"/>
                      <w:highlight w:val="none"/>
                      <w:lang w:val="en-US" w:eastAsia="zh-CN"/>
                    </w:rPr>
                    <w:t>m</w:t>
                  </w:r>
                  <w:r>
                    <w:rPr>
                      <w:rFonts w:hint="eastAsia" w:cs="Times New Roman"/>
                      <w:color w:val="auto"/>
                      <w:kern w:val="28"/>
                      <w:sz w:val="21"/>
                      <w:szCs w:val="21"/>
                      <w:highlight w:val="none"/>
                      <w:vertAlign w:val="superscript"/>
                      <w:lang w:val="en-US" w:eastAsia="zh-CN"/>
                    </w:rPr>
                    <w:t>3</w:t>
                  </w:r>
                  <w:r>
                    <w:rPr>
                      <w:rFonts w:hint="eastAsia" w:cs="Times New Roman"/>
                      <w:color w:val="auto"/>
                      <w:kern w:val="28"/>
                      <w:sz w:val="21"/>
                      <w:szCs w:val="21"/>
                      <w:highlight w:val="none"/>
                      <w:lang w:val="en-US" w:eastAsia="zh-CN"/>
                    </w:rPr>
                    <w:t>/a</w:t>
                  </w:r>
                </w:p>
              </w:tc>
              <w:tc>
                <w:tcPr>
                  <w:tcW w:w="735" w:type="pct"/>
                  <w:tcBorders>
                    <w:tl2br w:val="nil"/>
                    <w:tr2bl w:val="nil"/>
                  </w:tcBorders>
                  <w:noWrap w:val="0"/>
                  <w:vAlign w:val="center"/>
                </w:tcPr>
                <w:p w14:paraId="0589C0BF">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default" w:ascii="Times New Roman" w:hAnsi="Times New Roman" w:eastAsia="宋体" w:cs="Times New Roman"/>
                      <w:color w:val="auto"/>
                      <w:kern w:val="28"/>
                      <w:sz w:val="21"/>
                      <w:szCs w:val="21"/>
                      <w:highlight w:val="none"/>
                      <w:lang w:val="en-US" w:eastAsia="zh-CN"/>
                    </w:rPr>
                    <w:t>/</w:t>
                  </w:r>
                </w:p>
              </w:tc>
              <w:tc>
                <w:tcPr>
                  <w:tcW w:w="897" w:type="pct"/>
                  <w:tcBorders>
                    <w:tl2br w:val="nil"/>
                    <w:tr2bl w:val="nil"/>
                  </w:tcBorders>
                  <w:noWrap w:val="0"/>
                  <w:vAlign w:val="center"/>
                </w:tcPr>
                <w:p w14:paraId="3E57C201">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default" w:ascii="Times New Roman" w:hAnsi="Times New Roman" w:eastAsia="宋体" w:cs="Times New Roman"/>
                      <w:color w:val="auto"/>
                      <w:kern w:val="28"/>
                      <w:sz w:val="21"/>
                      <w:szCs w:val="21"/>
                      <w:highlight w:val="none"/>
                      <w:lang w:val="en-US" w:eastAsia="zh-CN"/>
                    </w:rPr>
                    <w:t>/</w:t>
                  </w:r>
                </w:p>
              </w:tc>
              <w:tc>
                <w:tcPr>
                  <w:tcW w:w="619" w:type="pct"/>
                  <w:tcBorders>
                    <w:tl2br w:val="nil"/>
                    <w:tr2bl w:val="nil"/>
                  </w:tcBorders>
                  <w:noWrap w:val="0"/>
                  <w:vAlign w:val="center"/>
                </w:tcPr>
                <w:p w14:paraId="72BE0003">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default" w:ascii="Times New Roman" w:hAnsi="Times New Roman" w:eastAsia="宋体" w:cs="Times New Roman"/>
                      <w:color w:val="auto"/>
                      <w:kern w:val="28"/>
                      <w:sz w:val="21"/>
                      <w:szCs w:val="21"/>
                      <w:highlight w:val="none"/>
                      <w:lang w:val="en-US" w:eastAsia="zh-CN"/>
                    </w:rPr>
                    <w:t>/</w:t>
                  </w:r>
                </w:p>
              </w:tc>
              <w:tc>
                <w:tcPr>
                  <w:tcW w:w="664" w:type="pct"/>
                  <w:tcBorders>
                    <w:tl2br w:val="nil"/>
                    <w:tr2bl w:val="nil"/>
                  </w:tcBorders>
                  <w:noWrap w:val="0"/>
                  <w:vAlign w:val="center"/>
                </w:tcPr>
                <w:p w14:paraId="3CE82126">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default" w:ascii="Times New Roman" w:hAnsi="Times New Roman" w:eastAsia="宋体" w:cs="Times New Roman"/>
                      <w:color w:val="auto"/>
                      <w:kern w:val="28"/>
                      <w:sz w:val="21"/>
                      <w:szCs w:val="21"/>
                      <w:highlight w:val="none"/>
                      <w:lang w:val="en-US" w:eastAsia="zh-CN"/>
                    </w:rPr>
                    <w:t>/</w:t>
                  </w:r>
                </w:p>
              </w:tc>
            </w:tr>
          </w:tbl>
          <w:p w14:paraId="26A78FA9">
            <w:pPr>
              <w:autoSpaceDE w:val="0"/>
              <w:autoSpaceDN w:val="0"/>
              <w:adjustRightInd w:val="0"/>
              <w:snapToGrid w:val="0"/>
              <w:spacing w:line="240" w:lineRule="auto"/>
              <w:jc w:val="center"/>
              <w:rPr>
                <w:rFonts w:hint="default" w:ascii="Times New Roman" w:hAnsi="Times New Roman" w:eastAsia="宋体" w:cs="Times New Roman"/>
                <w:b/>
                <w:bCs/>
                <w:color w:val="auto"/>
                <w:sz w:val="21"/>
                <w:szCs w:val="18"/>
                <w:highlight w:val="none"/>
                <w:lang w:val="en-US" w:eastAsia="zh-CN"/>
              </w:rPr>
            </w:pPr>
            <w:bookmarkStart w:id="1" w:name="_Toc24012_WPSOffice_Level3"/>
            <w:r>
              <w:rPr>
                <w:rFonts w:hint="eastAsia" w:ascii="Times New Roman" w:hAnsi="Times New Roman" w:eastAsia="宋体" w:cs="Times New Roman"/>
                <w:b/>
                <w:bCs/>
                <w:color w:val="auto"/>
                <w:sz w:val="21"/>
                <w:szCs w:val="18"/>
                <w:highlight w:val="none"/>
                <w:lang w:val="en-US" w:eastAsia="zh-CN"/>
              </w:rPr>
              <w:t>表</w:t>
            </w:r>
            <w:r>
              <w:rPr>
                <w:rFonts w:hint="eastAsia" w:cs="Times New Roman"/>
                <w:b/>
                <w:bCs/>
                <w:color w:val="auto"/>
                <w:sz w:val="21"/>
                <w:szCs w:val="18"/>
                <w:highlight w:val="none"/>
                <w:lang w:val="en-US" w:eastAsia="zh-CN"/>
              </w:rPr>
              <w:t>7</w:t>
            </w:r>
            <w:r>
              <w:rPr>
                <w:rFonts w:hint="eastAsia" w:ascii="Times New Roman" w:hAnsi="Times New Roman" w:eastAsia="宋体" w:cs="Times New Roman"/>
                <w:b/>
                <w:bCs/>
                <w:color w:val="auto"/>
                <w:sz w:val="21"/>
                <w:szCs w:val="18"/>
                <w:highlight w:val="none"/>
                <w:lang w:val="en-US" w:eastAsia="zh-CN"/>
              </w:rPr>
              <w:t xml:space="preserve">  主要原辅材料理化性质一览表</w:t>
            </w:r>
          </w:p>
          <w:bookmarkEnd w:id="1"/>
          <w:tbl>
            <w:tblPr>
              <w:tblStyle w:val="46"/>
              <w:tblW w:w="0" w:type="auto"/>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085"/>
              <w:gridCol w:w="2035"/>
              <w:gridCol w:w="5032"/>
            </w:tblGrid>
            <w:tr w14:paraId="37A8A0E6">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0" w:type="dxa"/>
                  <w:tcBorders>
                    <w:tl2br w:val="nil"/>
                    <w:tr2bl w:val="nil"/>
                  </w:tcBorders>
                  <w:vAlign w:val="center"/>
                </w:tcPr>
                <w:p w14:paraId="7B23622D">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ascii="Times New Roman" w:hAnsi="Times New Roman" w:eastAsia="宋体" w:cs="Times New Roman"/>
                      <w:color w:val="auto"/>
                      <w:kern w:val="28"/>
                      <w:sz w:val="21"/>
                      <w:szCs w:val="21"/>
                      <w:highlight w:val="none"/>
                      <w:lang w:val="en-US" w:eastAsia="zh-CN"/>
                    </w:rPr>
                    <w:t>序号</w:t>
                  </w:r>
                </w:p>
              </w:tc>
              <w:tc>
                <w:tcPr>
                  <w:tcW w:w="1085" w:type="dxa"/>
                  <w:tcBorders>
                    <w:tl2br w:val="nil"/>
                    <w:tr2bl w:val="nil"/>
                  </w:tcBorders>
                  <w:vAlign w:val="center"/>
                </w:tcPr>
                <w:p w14:paraId="64914D6A">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ascii="Times New Roman" w:hAnsi="Times New Roman" w:eastAsia="宋体" w:cs="Times New Roman"/>
                      <w:color w:val="auto"/>
                      <w:kern w:val="28"/>
                      <w:sz w:val="21"/>
                      <w:szCs w:val="21"/>
                      <w:highlight w:val="none"/>
                      <w:lang w:val="en-US" w:eastAsia="zh-CN"/>
                    </w:rPr>
                    <w:t>化学品名称</w:t>
                  </w:r>
                </w:p>
              </w:tc>
              <w:tc>
                <w:tcPr>
                  <w:tcW w:w="2035" w:type="dxa"/>
                  <w:tcBorders>
                    <w:tl2br w:val="nil"/>
                    <w:tr2bl w:val="nil"/>
                  </w:tcBorders>
                  <w:vAlign w:val="center"/>
                </w:tcPr>
                <w:p w14:paraId="126F2A55">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ascii="Times New Roman" w:hAnsi="Times New Roman" w:eastAsia="宋体" w:cs="Times New Roman"/>
                      <w:color w:val="auto"/>
                      <w:kern w:val="28"/>
                      <w:sz w:val="21"/>
                      <w:szCs w:val="21"/>
                      <w:highlight w:val="none"/>
                      <w:lang w:val="en-US" w:eastAsia="zh-CN"/>
                    </w:rPr>
                    <w:t>标识</w:t>
                  </w:r>
                </w:p>
              </w:tc>
              <w:tc>
                <w:tcPr>
                  <w:tcW w:w="5032" w:type="dxa"/>
                  <w:tcBorders>
                    <w:tl2br w:val="nil"/>
                    <w:tr2bl w:val="nil"/>
                  </w:tcBorders>
                  <w:vAlign w:val="center"/>
                </w:tcPr>
                <w:p w14:paraId="20C2F1D9">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8"/>
                      <w:sz w:val="21"/>
                      <w:szCs w:val="21"/>
                      <w:highlight w:val="none"/>
                      <w:lang w:val="en-US" w:eastAsia="zh-CN"/>
                    </w:rPr>
                  </w:pPr>
                  <w:r>
                    <w:rPr>
                      <w:rFonts w:hint="eastAsia" w:ascii="Times New Roman" w:hAnsi="Times New Roman" w:eastAsia="宋体" w:cs="Times New Roman"/>
                      <w:color w:val="auto"/>
                      <w:kern w:val="28"/>
                      <w:sz w:val="21"/>
                      <w:szCs w:val="21"/>
                      <w:highlight w:val="none"/>
                      <w:lang w:val="en-US" w:eastAsia="zh-CN"/>
                    </w:rPr>
                    <w:t>理化性质</w:t>
                  </w:r>
                </w:p>
              </w:tc>
            </w:tr>
            <w:tr w14:paraId="5FAF0E59">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0" w:type="dxa"/>
                  <w:tcBorders>
                    <w:tl2br w:val="nil"/>
                    <w:tr2bl w:val="nil"/>
                  </w:tcBorders>
                  <w:vAlign w:val="center"/>
                </w:tcPr>
                <w:p w14:paraId="1A1FABFA">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8"/>
                      <w:sz w:val="21"/>
                      <w:szCs w:val="21"/>
                      <w:highlight w:val="none"/>
                      <w:lang w:val="en-US" w:eastAsia="zh-CN"/>
                    </w:rPr>
                  </w:pPr>
                  <w:r>
                    <w:rPr>
                      <w:rFonts w:hint="eastAsia" w:ascii="Times New Roman" w:hAnsi="Times New Roman" w:eastAsia="宋体" w:cs="Times New Roman"/>
                      <w:color w:val="auto"/>
                      <w:kern w:val="28"/>
                      <w:sz w:val="21"/>
                      <w:szCs w:val="21"/>
                      <w:highlight w:val="none"/>
                      <w:lang w:val="en-US" w:eastAsia="zh-CN"/>
                    </w:rPr>
                    <w:t>1</w:t>
                  </w:r>
                </w:p>
              </w:tc>
              <w:tc>
                <w:tcPr>
                  <w:tcW w:w="1085" w:type="dxa"/>
                  <w:tcBorders>
                    <w:tl2br w:val="nil"/>
                    <w:tr2bl w:val="nil"/>
                  </w:tcBorders>
                  <w:vAlign w:val="center"/>
                </w:tcPr>
                <w:p w14:paraId="00F10B5C">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8"/>
                      <w:sz w:val="21"/>
                      <w:szCs w:val="21"/>
                      <w:highlight w:val="none"/>
                      <w:lang w:val="en-US" w:eastAsia="zh-CN"/>
                    </w:rPr>
                  </w:pPr>
                  <w:r>
                    <w:rPr>
                      <w:rFonts w:hint="eastAsia" w:ascii="Times New Roman" w:hAnsi="Times New Roman" w:eastAsia="宋体" w:cs="Times New Roman"/>
                      <w:color w:val="auto"/>
                      <w:kern w:val="28"/>
                      <w:sz w:val="21"/>
                      <w:szCs w:val="21"/>
                      <w:highlight w:val="none"/>
                      <w:lang w:val="en-US" w:eastAsia="zh-CN"/>
                    </w:rPr>
                    <w:t>硫酸</w:t>
                  </w:r>
                </w:p>
              </w:tc>
              <w:tc>
                <w:tcPr>
                  <w:tcW w:w="2035" w:type="dxa"/>
                  <w:tcBorders>
                    <w:tl2br w:val="nil"/>
                    <w:tr2bl w:val="nil"/>
                  </w:tcBorders>
                  <w:vAlign w:val="center"/>
                </w:tcPr>
                <w:p w14:paraId="2D1991E8">
                  <w:pPr>
                    <w:keepNext w:val="0"/>
                    <w:keepLines w:val="0"/>
                    <w:pageBreakBefore w:val="0"/>
                    <w:kinsoku/>
                    <w:wordWrap/>
                    <w:overflowPunct/>
                    <w:topLinePunct w:val="0"/>
                    <w:autoSpaceDE/>
                    <w:autoSpaceDN/>
                    <w:bidi w:val="0"/>
                    <w:adjustRightInd w:val="0"/>
                    <w:snapToGrid w:val="0"/>
                    <w:spacing w:line="24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分子式：</w:t>
                  </w:r>
                  <w:r>
                    <w:rPr>
                      <w:rFonts w:ascii="Times New Roman" w:hAnsi="Times New Roman" w:eastAsia="宋体" w:cs="Times New Roman"/>
                      <w:color w:val="auto"/>
                      <w:sz w:val="21"/>
                      <w:szCs w:val="21"/>
                      <w:shd w:val="clear" w:color="auto" w:fill="FFFFFF"/>
                    </w:rPr>
                    <w:t>H</w:t>
                  </w:r>
                  <w:r>
                    <w:rPr>
                      <w:rFonts w:ascii="Times New Roman" w:hAnsi="Times New Roman" w:eastAsia="宋体" w:cs="Times New Roman"/>
                      <w:color w:val="auto"/>
                      <w:sz w:val="21"/>
                      <w:szCs w:val="21"/>
                      <w:shd w:val="clear" w:color="auto" w:fill="FFFFFF"/>
                      <w:vertAlign w:val="subscript"/>
                    </w:rPr>
                    <w:t>2</w:t>
                  </w:r>
                  <w:r>
                    <w:rPr>
                      <w:rFonts w:ascii="Times New Roman" w:hAnsi="Times New Roman" w:eastAsia="宋体" w:cs="Times New Roman"/>
                      <w:color w:val="auto"/>
                      <w:sz w:val="21"/>
                      <w:szCs w:val="21"/>
                      <w:shd w:val="clear" w:color="auto" w:fill="FFFFFF"/>
                    </w:rPr>
                    <w:t>SO</w:t>
                  </w:r>
                  <w:r>
                    <w:rPr>
                      <w:rFonts w:ascii="Times New Roman" w:hAnsi="Times New Roman" w:eastAsia="宋体" w:cs="Times New Roman"/>
                      <w:color w:val="auto"/>
                      <w:sz w:val="21"/>
                      <w:szCs w:val="21"/>
                      <w:shd w:val="clear" w:color="auto" w:fill="FFFFFF"/>
                      <w:vertAlign w:val="subscript"/>
                    </w:rPr>
                    <w:t>4</w:t>
                  </w:r>
                </w:p>
                <w:p w14:paraId="7199B87F">
                  <w:pPr>
                    <w:pStyle w:val="44"/>
                    <w:keepNext w:val="0"/>
                    <w:keepLines w:val="0"/>
                    <w:pageBreakBefore w:val="0"/>
                    <w:tabs>
                      <w:tab w:val="left" w:pos="420"/>
                      <w:tab w:val="left" w:pos="870"/>
                      <w:tab w:val="left" w:pos="3150"/>
                    </w:tabs>
                    <w:kinsoku/>
                    <w:wordWrap/>
                    <w:overflowPunct/>
                    <w:topLinePunct w:val="0"/>
                    <w:autoSpaceDE/>
                    <w:autoSpaceDN/>
                    <w:bidi w:val="0"/>
                    <w:adjustRightInd w:val="0"/>
                    <w:snapToGrid w:val="0"/>
                    <w:spacing w:after="0" w:line="240" w:lineRule="auto"/>
                    <w:ind w:left="0" w:leftChars="0" w:firstLine="0" w:firstLineChars="0"/>
                    <w:jc w:val="center"/>
                    <w:rPr>
                      <w:rFonts w:ascii="Times New Roman" w:hAnsi="Times New Roman"/>
                      <w:color w:val="auto"/>
                      <w:sz w:val="21"/>
                      <w:szCs w:val="21"/>
                    </w:rPr>
                  </w:pPr>
                  <w:r>
                    <w:rPr>
                      <w:rFonts w:ascii="Times New Roman" w:hAnsi="Times New Roman"/>
                      <w:color w:val="auto"/>
                      <w:sz w:val="21"/>
                      <w:szCs w:val="21"/>
                    </w:rPr>
                    <w:t>分子量：98.04</w:t>
                  </w:r>
                </w:p>
                <w:p w14:paraId="04DD06D9">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kern w:val="28"/>
                      <w:sz w:val="21"/>
                      <w:szCs w:val="21"/>
                      <w:highlight w:val="none"/>
                      <w:lang w:val="en-US" w:eastAsia="zh-CN"/>
                    </w:rPr>
                  </w:pPr>
                  <w:r>
                    <w:rPr>
                      <w:rFonts w:ascii="Times New Roman" w:hAnsi="Times New Roman" w:eastAsia="宋体" w:cs="Times New Roman"/>
                      <w:color w:val="auto"/>
                      <w:sz w:val="21"/>
                      <w:szCs w:val="21"/>
                    </w:rPr>
                    <w:t>CAS号：</w:t>
                  </w:r>
                  <w:r>
                    <w:rPr>
                      <w:rFonts w:ascii="Times New Roman" w:hAnsi="Times New Roman" w:eastAsia="宋体" w:cs="Times New Roman"/>
                      <w:color w:val="auto"/>
                      <w:sz w:val="21"/>
                      <w:szCs w:val="21"/>
                      <w:shd w:val="clear" w:color="auto" w:fill="FFFFFF"/>
                    </w:rPr>
                    <w:t>7664-93-9</w:t>
                  </w:r>
                </w:p>
              </w:tc>
              <w:tc>
                <w:tcPr>
                  <w:tcW w:w="5032" w:type="dxa"/>
                  <w:tcBorders>
                    <w:tl2br w:val="nil"/>
                    <w:tr2bl w:val="nil"/>
                  </w:tcBorders>
                  <w:vAlign w:val="center"/>
                </w:tcPr>
                <w:p w14:paraId="4A89690D">
                  <w:pPr>
                    <w:keepNext w:val="0"/>
                    <w:keepLines w:val="0"/>
                    <w:pageBreakBefore w:val="0"/>
                    <w:kinsoku/>
                    <w:wordWrap/>
                    <w:overflowPunct/>
                    <w:topLinePunct w:val="0"/>
                    <w:autoSpaceDE/>
                    <w:autoSpaceDN/>
                    <w:bidi w:val="0"/>
                    <w:adjustRightInd w:val="0"/>
                    <w:snapToGrid w:val="0"/>
                    <w:spacing w:line="240" w:lineRule="auto"/>
                    <w:jc w:val="center"/>
                    <w:rPr>
                      <w:rFonts w:ascii="Times New Roman" w:hAnsi="Times New Roman" w:eastAsia="宋体" w:cs="Times New Roman"/>
                      <w:b w:val="0"/>
                      <w:bCs w:val="0"/>
                      <w:color w:val="auto"/>
                      <w:sz w:val="21"/>
                      <w:szCs w:val="21"/>
                    </w:rPr>
                  </w:pPr>
                  <w:r>
                    <w:rPr>
                      <w:rFonts w:ascii="Times New Roman" w:hAnsi="Times New Roman" w:eastAsia="宋体" w:cs="Times New Roman"/>
                      <w:b w:val="0"/>
                      <w:bCs w:val="0"/>
                      <w:color w:val="auto"/>
                      <w:sz w:val="21"/>
                      <w:szCs w:val="21"/>
                    </w:rPr>
                    <w:t>熔点10.5℃，沸点330℃，相对密度1.83（水=1），相对密度3.4(空气=1)，纯品为无色透明油状液体，无臭。与水混溶。是一种重要的工业原料，常用作化学试剂，也可用于制造肥料、药物、炸药、颜料、洗涤剂、蓄电池等。</w:t>
                  </w:r>
                </w:p>
              </w:tc>
            </w:tr>
            <w:tr w14:paraId="26A19A5C">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0" w:type="dxa"/>
                  <w:tcBorders>
                    <w:tl2br w:val="nil"/>
                    <w:tr2bl w:val="nil"/>
                  </w:tcBorders>
                  <w:vAlign w:val="center"/>
                </w:tcPr>
                <w:p w14:paraId="0F29E3A2">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8"/>
                      <w:sz w:val="21"/>
                      <w:szCs w:val="21"/>
                      <w:highlight w:val="none"/>
                      <w:lang w:val="en-US" w:eastAsia="zh-CN"/>
                    </w:rPr>
                  </w:pPr>
                  <w:r>
                    <w:rPr>
                      <w:rFonts w:hint="eastAsia" w:ascii="Times New Roman" w:hAnsi="Times New Roman" w:eastAsia="宋体" w:cs="Times New Roman"/>
                      <w:color w:val="auto"/>
                      <w:kern w:val="28"/>
                      <w:sz w:val="21"/>
                      <w:szCs w:val="21"/>
                      <w:highlight w:val="none"/>
                      <w:lang w:val="en-US" w:eastAsia="zh-CN"/>
                    </w:rPr>
                    <w:t>2</w:t>
                  </w:r>
                </w:p>
              </w:tc>
              <w:tc>
                <w:tcPr>
                  <w:tcW w:w="1085" w:type="dxa"/>
                  <w:tcBorders>
                    <w:tl2br w:val="nil"/>
                    <w:tr2bl w:val="nil"/>
                  </w:tcBorders>
                  <w:vAlign w:val="center"/>
                </w:tcPr>
                <w:p w14:paraId="54EF9E53">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8"/>
                      <w:sz w:val="21"/>
                      <w:szCs w:val="21"/>
                      <w:highlight w:val="none"/>
                      <w:lang w:val="en-US" w:eastAsia="zh-CN"/>
                    </w:rPr>
                  </w:pPr>
                  <w:r>
                    <w:rPr>
                      <w:rFonts w:hint="eastAsia" w:ascii="Times New Roman" w:hAnsi="Times New Roman" w:eastAsia="宋体" w:cs="Times New Roman"/>
                      <w:color w:val="auto"/>
                      <w:kern w:val="28"/>
                      <w:sz w:val="21"/>
                      <w:szCs w:val="21"/>
                      <w:highlight w:val="none"/>
                      <w:lang w:val="en-US" w:eastAsia="zh-CN"/>
                    </w:rPr>
                    <w:t>硫酸银</w:t>
                  </w:r>
                </w:p>
              </w:tc>
              <w:tc>
                <w:tcPr>
                  <w:tcW w:w="2035" w:type="dxa"/>
                  <w:tcBorders>
                    <w:tl2br w:val="nil"/>
                    <w:tr2bl w:val="nil"/>
                  </w:tcBorders>
                  <w:vAlign w:val="center"/>
                </w:tcPr>
                <w:p w14:paraId="434216D2">
                  <w:pPr>
                    <w:keepNext w:val="0"/>
                    <w:keepLines w:val="0"/>
                    <w:pageBreakBefore w:val="0"/>
                    <w:kinsoku/>
                    <w:wordWrap/>
                    <w:overflowPunct/>
                    <w:topLinePunct w:val="0"/>
                    <w:autoSpaceDE/>
                    <w:autoSpaceDN/>
                    <w:bidi w:val="0"/>
                    <w:adjustRightInd w:val="0"/>
                    <w:snapToGrid w:val="0"/>
                    <w:spacing w:line="24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分子式：Ag</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SO</w:t>
                  </w:r>
                  <w:r>
                    <w:rPr>
                      <w:rFonts w:ascii="Times New Roman" w:hAnsi="Times New Roman" w:eastAsia="宋体" w:cs="Times New Roman"/>
                      <w:color w:val="auto"/>
                      <w:sz w:val="21"/>
                      <w:szCs w:val="21"/>
                      <w:vertAlign w:val="subscript"/>
                    </w:rPr>
                    <w:t>4</w:t>
                  </w:r>
                </w:p>
                <w:p w14:paraId="3F0CFB7A">
                  <w:pPr>
                    <w:pStyle w:val="44"/>
                    <w:keepNext w:val="0"/>
                    <w:keepLines w:val="0"/>
                    <w:pageBreakBefore w:val="0"/>
                    <w:tabs>
                      <w:tab w:val="left" w:pos="420"/>
                      <w:tab w:val="left" w:pos="870"/>
                      <w:tab w:val="left" w:pos="3150"/>
                    </w:tabs>
                    <w:kinsoku/>
                    <w:wordWrap/>
                    <w:overflowPunct/>
                    <w:topLinePunct w:val="0"/>
                    <w:autoSpaceDE/>
                    <w:autoSpaceDN/>
                    <w:bidi w:val="0"/>
                    <w:adjustRightInd w:val="0"/>
                    <w:snapToGrid w:val="0"/>
                    <w:spacing w:after="0" w:line="240" w:lineRule="auto"/>
                    <w:ind w:left="0" w:leftChars="0" w:firstLine="0" w:firstLineChars="0"/>
                    <w:jc w:val="center"/>
                    <w:rPr>
                      <w:rFonts w:ascii="Times New Roman" w:hAnsi="Times New Roman"/>
                      <w:color w:val="auto"/>
                      <w:sz w:val="21"/>
                      <w:szCs w:val="21"/>
                    </w:rPr>
                  </w:pPr>
                  <w:r>
                    <w:rPr>
                      <w:rFonts w:ascii="Times New Roman" w:hAnsi="Times New Roman"/>
                      <w:color w:val="auto"/>
                      <w:sz w:val="21"/>
                      <w:szCs w:val="21"/>
                    </w:rPr>
                    <w:t>分子量：311.80</w:t>
                  </w:r>
                </w:p>
                <w:p w14:paraId="344B7741">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8"/>
                      <w:sz w:val="21"/>
                      <w:szCs w:val="21"/>
                      <w:highlight w:val="none"/>
                      <w:lang w:val="en-US" w:eastAsia="zh-CN"/>
                    </w:rPr>
                  </w:pPr>
                  <w:r>
                    <w:rPr>
                      <w:rFonts w:ascii="Times New Roman" w:hAnsi="Times New Roman" w:eastAsia="宋体" w:cs="Times New Roman"/>
                      <w:color w:val="auto"/>
                      <w:sz w:val="21"/>
                      <w:szCs w:val="21"/>
                    </w:rPr>
                    <w:t>CAS号：10294-26-5</w:t>
                  </w:r>
                </w:p>
              </w:tc>
              <w:tc>
                <w:tcPr>
                  <w:tcW w:w="5032" w:type="dxa"/>
                  <w:tcBorders>
                    <w:tl2br w:val="nil"/>
                    <w:tr2bl w:val="nil"/>
                  </w:tcBorders>
                  <w:vAlign w:val="center"/>
                </w:tcPr>
                <w:p w14:paraId="454583A6">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b w:val="0"/>
                      <w:bCs w:val="0"/>
                      <w:color w:val="auto"/>
                      <w:sz w:val="21"/>
                      <w:szCs w:val="21"/>
                      <w:highlight w:val="none"/>
                    </w:rPr>
                  </w:pPr>
                  <w:r>
                    <w:rPr>
                      <w:rFonts w:ascii="Times New Roman" w:hAnsi="Times New Roman" w:eastAsia="宋体" w:cs="Times New Roman"/>
                      <w:b w:val="0"/>
                      <w:bCs w:val="0"/>
                      <w:color w:val="auto"/>
                      <w:sz w:val="21"/>
                      <w:szCs w:val="21"/>
                    </w:rPr>
                    <w:t>无色结晶或白色结晶性粉末。熔点657℃，密度5.45g/cm</w:t>
                  </w:r>
                  <w:r>
                    <w:rPr>
                      <w:rFonts w:ascii="Times New Roman" w:hAnsi="Times New Roman" w:eastAsia="宋体" w:cs="Times New Roman"/>
                      <w:b w:val="0"/>
                      <w:bCs w:val="0"/>
                      <w:color w:val="auto"/>
                      <w:sz w:val="21"/>
                      <w:szCs w:val="21"/>
                      <w:vertAlign w:val="superscript"/>
                    </w:rPr>
                    <w:t>3</w:t>
                  </w:r>
                  <w:r>
                    <w:rPr>
                      <w:rFonts w:ascii="Times New Roman" w:hAnsi="Times New Roman" w:eastAsia="宋体" w:cs="Times New Roman"/>
                      <w:b w:val="0"/>
                      <w:bCs w:val="0"/>
                      <w:color w:val="auto"/>
                      <w:sz w:val="21"/>
                      <w:szCs w:val="21"/>
                    </w:rPr>
                    <w:t>。微溶于水。溶于氨水、</w:t>
                  </w:r>
                  <w:r>
                    <w:rPr>
                      <w:b w:val="0"/>
                      <w:bCs w:val="0"/>
                      <w:color w:val="auto"/>
                      <w:sz w:val="21"/>
                      <w:szCs w:val="21"/>
                    </w:rPr>
                    <w:fldChar w:fldCharType="begin"/>
                  </w:r>
                  <w:r>
                    <w:rPr>
                      <w:b w:val="0"/>
                      <w:bCs w:val="0"/>
                      <w:color w:val="auto"/>
                      <w:sz w:val="21"/>
                      <w:szCs w:val="21"/>
                    </w:rPr>
                    <w:instrText xml:space="preserve"> HYPERLINK "https://baike.so.com/doc/5251437.html" \t "https://baike.so.com/doc/_blank" </w:instrText>
                  </w:r>
                  <w:r>
                    <w:rPr>
                      <w:b w:val="0"/>
                      <w:bCs w:val="0"/>
                      <w:color w:val="auto"/>
                      <w:sz w:val="21"/>
                      <w:szCs w:val="21"/>
                    </w:rPr>
                    <w:fldChar w:fldCharType="separate"/>
                  </w:r>
                  <w:r>
                    <w:rPr>
                      <w:rFonts w:ascii="Times New Roman" w:hAnsi="Times New Roman" w:eastAsia="宋体" w:cs="Times New Roman"/>
                      <w:b w:val="0"/>
                      <w:bCs w:val="0"/>
                      <w:color w:val="auto"/>
                      <w:sz w:val="21"/>
                      <w:szCs w:val="21"/>
                    </w:rPr>
                    <w:t>硝酸</w:t>
                  </w:r>
                  <w:r>
                    <w:rPr>
                      <w:rFonts w:ascii="Times New Roman" w:hAnsi="Times New Roman" w:eastAsia="宋体" w:cs="Times New Roman"/>
                      <w:b w:val="0"/>
                      <w:bCs w:val="0"/>
                      <w:color w:val="auto"/>
                      <w:sz w:val="21"/>
                      <w:szCs w:val="21"/>
                    </w:rPr>
                    <w:fldChar w:fldCharType="end"/>
                  </w:r>
                  <w:r>
                    <w:rPr>
                      <w:rFonts w:ascii="Times New Roman" w:hAnsi="Times New Roman" w:eastAsia="宋体" w:cs="Times New Roman"/>
                      <w:b w:val="0"/>
                      <w:bCs w:val="0"/>
                      <w:color w:val="auto"/>
                      <w:sz w:val="21"/>
                      <w:szCs w:val="21"/>
                    </w:rPr>
                    <w:t>、</w:t>
                  </w:r>
                  <w:r>
                    <w:rPr>
                      <w:b w:val="0"/>
                      <w:bCs w:val="0"/>
                      <w:color w:val="auto"/>
                      <w:sz w:val="21"/>
                      <w:szCs w:val="21"/>
                    </w:rPr>
                    <w:fldChar w:fldCharType="begin"/>
                  </w:r>
                  <w:r>
                    <w:rPr>
                      <w:b w:val="0"/>
                      <w:bCs w:val="0"/>
                      <w:color w:val="auto"/>
                      <w:sz w:val="21"/>
                      <w:szCs w:val="21"/>
                    </w:rPr>
                    <w:instrText xml:space="preserve"> HYPERLINK "https://baike.so.com/doc/1246072.html" \t "https://baike.so.com/doc/_blank" </w:instrText>
                  </w:r>
                  <w:r>
                    <w:rPr>
                      <w:b w:val="0"/>
                      <w:bCs w:val="0"/>
                      <w:color w:val="auto"/>
                      <w:sz w:val="21"/>
                      <w:szCs w:val="21"/>
                    </w:rPr>
                    <w:fldChar w:fldCharType="separate"/>
                  </w:r>
                  <w:r>
                    <w:rPr>
                      <w:rFonts w:ascii="Times New Roman" w:hAnsi="Times New Roman" w:eastAsia="宋体" w:cs="Times New Roman"/>
                      <w:b w:val="0"/>
                      <w:bCs w:val="0"/>
                      <w:color w:val="auto"/>
                      <w:sz w:val="21"/>
                      <w:szCs w:val="21"/>
                    </w:rPr>
                    <w:t>硫酸</w:t>
                  </w:r>
                  <w:r>
                    <w:rPr>
                      <w:rFonts w:ascii="Times New Roman" w:hAnsi="Times New Roman" w:eastAsia="宋体" w:cs="Times New Roman"/>
                      <w:b w:val="0"/>
                      <w:bCs w:val="0"/>
                      <w:color w:val="auto"/>
                      <w:sz w:val="21"/>
                      <w:szCs w:val="21"/>
                    </w:rPr>
                    <w:fldChar w:fldCharType="end"/>
                  </w:r>
                  <w:r>
                    <w:rPr>
                      <w:rFonts w:ascii="Times New Roman" w:hAnsi="Times New Roman" w:eastAsia="宋体" w:cs="Times New Roman"/>
                      <w:b w:val="0"/>
                      <w:bCs w:val="0"/>
                      <w:color w:val="auto"/>
                      <w:sz w:val="21"/>
                      <w:szCs w:val="21"/>
                    </w:rPr>
                    <w:t>，不溶于乙醇。用作分析试剂，用于亚硝酸盐、钒酸盐、磷酸盐和氟的比色测定，乙烯以及水质分析中钴和铬的测定。</w:t>
                  </w:r>
                </w:p>
              </w:tc>
            </w:tr>
            <w:tr w14:paraId="38A7CFE0">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0" w:type="dxa"/>
                  <w:tcBorders>
                    <w:tl2br w:val="nil"/>
                    <w:tr2bl w:val="nil"/>
                  </w:tcBorders>
                  <w:vAlign w:val="center"/>
                </w:tcPr>
                <w:p w14:paraId="41635E1B">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3</w:t>
                  </w:r>
                </w:p>
              </w:tc>
              <w:tc>
                <w:tcPr>
                  <w:tcW w:w="1085" w:type="dxa"/>
                  <w:tcBorders>
                    <w:tl2br w:val="nil"/>
                    <w:tr2bl w:val="nil"/>
                  </w:tcBorders>
                  <w:vAlign w:val="center"/>
                </w:tcPr>
                <w:p w14:paraId="3E4EC161">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8"/>
                      <w:sz w:val="21"/>
                      <w:szCs w:val="21"/>
                      <w:highlight w:val="none"/>
                      <w:lang w:val="en-US" w:eastAsia="zh-CN"/>
                    </w:rPr>
                  </w:pPr>
                  <w:r>
                    <w:rPr>
                      <w:rFonts w:hint="eastAsia" w:ascii="Times New Roman" w:hAnsi="Times New Roman" w:eastAsia="宋体" w:cs="Times New Roman"/>
                      <w:color w:val="auto"/>
                      <w:kern w:val="28"/>
                      <w:sz w:val="21"/>
                      <w:szCs w:val="21"/>
                      <w:highlight w:val="none"/>
                      <w:lang w:val="en-US" w:eastAsia="zh-CN"/>
                    </w:rPr>
                    <w:t>硫酸汞</w:t>
                  </w:r>
                </w:p>
              </w:tc>
              <w:tc>
                <w:tcPr>
                  <w:tcW w:w="2035" w:type="dxa"/>
                  <w:tcBorders>
                    <w:tl2br w:val="nil"/>
                    <w:tr2bl w:val="nil"/>
                  </w:tcBorders>
                  <w:vAlign w:val="center"/>
                </w:tcPr>
                <w:p w14:paraId="69DDD96B">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8"/>
                      <w:sz w:val="21"/>
                      <w:szCs w:val="21"/>
                      <w:highlight w:val="none"/>
                      <w:lang w:val="en-US" w:eastAsia="zh-CN"/>
                    </w:rPr>
                  </w:pPr>
                  <w:r>
                    <w:rPr>
                      <w:rFonts w:hint="eastAsia" w:ascii="Times New Roman" w:hAnsi="Times New Roman" w:eastAsia="宋体" w:cs="Times New Roman"/>
                      <w:color w:val="auto"/>
                      <w:kern w:val="28"/>
                      <w:sz w:val="21"/>
                      <w:szCs w:val="21"/>
                      <w:highlight w:val="none"/>
                      <w:lang w:val="en-US" w:eastAsia="zh-CN"/>
                    </w:rPr>
                    <w:t>分子式：</w:t>
                  </w:r>
                  <w:r>
                    <w:rPr>
                      <w:rFonts w:hint="default" w:ascii="Times New Roman" w:hAnsi="Times New Roman" w:eastAsia="宋体" w:cs="Times New Roman"/>
                      <w:color w:val="auto"/>
                      <w:kern w:val="28"/>
                      <w:sz w:val="21"/>
                      <w:szCs w:val="21"/>
                      <w:highlight w:val="none"/>
                      <w:lang w:val="en-US" w:eastAsia="zh-CN"/>
                    </w:rPr>
                    <w:t>HgSO</w:t>
                  </w:r>
                  <w:r>
                    <w:rPr>
                      <w:rFonts w:hint="default" w:ascii="Times New Roman" w:hAnsi="Times New Roman" w:eastAsia="宋体" w:cs="Times New Roman"/>
                      <w:color w:val="auto"/>
                      <w:kern w:val="28"/>
                      <w:sz w:val="21"/>
                      <w:szCs w:val="21"/>
                      <w:highlight w:val="none"/>
                      <w:vertAlign w:val="subscript"/>
                      <w:lang w:val="en-US" w:eastAsia="zh-CN"/>
                    </w:rPr>
                    <w:t>4</w:t>
                  </w:r>
                </w:p>
                <w:p w14:paraId="2C63FB24">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8"/>
                      <w:sz w:val="21"/>
                      <w:szCs w:val="21"/>
                      <w:highlight w:val="none"/>
                      <w:lang w:val="en-US" w:eastAsia="zh-CN"/>
                    </w:rPr>
                  </w:pPr>
                  <w:r>
                    <w:rPr>
                      <w:rFonts w:hint="eastAsia" w:ascii="Times New Roman" w:hAnsi="Times New Roman" w:eastAsia="宋体" w:cs="Times New Roman"/>
                      <w:color w:val="auto"/>
                      <w:kern w:val="28"/>
                      <w:sz w:val="21"/>
                      <w:szCs w:val="21"/>
                      <w:highlight w:val="none"/>
                      <w:lang w:val="en-US" w:eastAsia="zh-CN"/>
                    </w:rPr>
                    <w:t>分子量：296.65</w:t>
                  </w:r>
                </w:p>
                <w:p w14:paraId="17A3C1C7">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kern w:val="28"/>
                      <w:sz w:val="21"/>
                      <w:szCs w:val="21"/>
                      <w:highlight w:val="none"/>
                      <w:lang w:val="en-US" w:eastAsia="zh-CN"/>
                    </w:rPr>
                    <w:t>CAS号：778</w:t>
                  </w:r>
                  <w:r>
                    <w:rPr>
                      <w:rFonts w:hint="default" w:ascii="Times New Roman" w:hAnsi="Times New Roman" w:eastAsia="宋体" w:cs="Times New Roman"/>
                      <w:color w:val="auto"/>
                      <w:kern w:val="28"/>
                      <w:sz w:val="21"/>
                      <w:szCs w:val="21"/>
                      <w:highlight w:val="none"/>
                      <w:lang w:val="en-US" w:eastAsia="zh-CN"/>
                    </w:rPr>
                    <w:t>3-35-9</w:t>
                  </w:r>
                </w:p>
              </w:tc>
              <w:tc>
                <w:tcPr>
                  <w:tcW w:w="5032" w:type="dxa"/>
                  <w:tcBorders>
                    <w:tl2br w:val="nil"/>
                    <w:tr2bl w:val="nil"/>
                  </w:tcBorders>
                  <w:vAlign w:val="center"/>
                </w:tcPr>
                <w:p w14:paraId="204EABBA">
                  <w:pPr>
                    <w:keepNext w:val="0"/>
                    <w:keepLines w:val="0"/>
                    <w:pageBreakBefore w:val="0"/>
                    <w:widowControl w:val="0"/>
                    <w:kinsoku/>
                    <w:wordWrap/>
                    <w:overflowPunct/>
                    <w:topLinePunct w:val="0"/>
                    <w:autoSpaceDE/>
                    <w:autoSpaceDN/>
                    <w:bidi w:val="0"/>
                    <w:snapToGrid w:val="0"/>
                    <w:spacing w:line="240" w:lineRule="auto"/>
                    <w:jc w:val="both"/>
                    <w:textAlignment w:val="auto"/>
                    <w:rPr>
                      <w:rFonts w:hint="default" w:ascii="Times New Roman" w:hAnsi="Times New Roman" w:eastAsia="宋体" w:cs="Times New Roman"/>
                      <w:b w:val="0"/>
                      <w:bCs w:val="0"/>
                      <w:color w:val="auto"/>
                      <w:sz w:val="21"/>
                      <w:szCs w:val="21"/>
                      <w:highlight w:val="none"/>
                    </w:rPr>
                  </w:pPr>
                  <w:r>
                    <w:rPr>
                      <w:rFonts w:ascii="Helvetica" w:hAnsi="Helvetica" w:eastAsia="Helvetica" w:cs="Helvetica"/>
                      <w:b w:val="0"/>
                      <w:bCs w:val="0"/>
                      <w:i w:val="0"/>
                      <w:iCs w:val="0"/>
                      <w:caps w:val="0"/>
                      <w:color w:val="auto"/>
                      <w:spacing w:val="0"/>
                      <w:sz w:val="21"/>
                      <w:szCs w:val="21"/>
                      <w:shd w:val="clear" w:fill="FFFFFF"/>
                    </w:rPr>
                    <w:t>是一种</w:t>
                  </w:r>
                  <w:r>
                    <w:rPr>
                      <w:rFonts w:hint="default" w:ascii="Helvetica" w:hAnsi="Helvetica" w:eastAsia="Helvetica" w:cs="Helvetica"/>
                      <w:b w:val="0"/>
                      <w:bCs w:val="0"/>
                      <w:i w:val="0"/>
                      <w:iCs w:val="0"/>
                      <w:caps w:val="0"/>
                      <w:color w:val="auto"/>
                      <w:spacing w:val="0"/>
                      <w:sz w:val="21"/>
                      <w:szCs w:val="21"/>
                      <w:u w:val="none"/>
                      <w:shd w:val="clear" w:fill="FFFFFF"/>
                    </w:rPr>
                    <w:fldChar w:fldCharType="begin"/>
                  </w:r>
                  <w:r>
                    <w:rPr>
                      <w:rFonts w:hint="default" w:ascii="Helvetica" w:hAnsi="Helvetica" w:eastAsia="Helvetica" w:cs="Helvetica"/>
                      <w:b w:val="0"/>
                      <w:bCs w:val="0"/>
                      <w:i w:val="0"/>
                      <w:iCs w:val="0"/>
                      <w:caps w:val="0"/>
                      <w:color w:val="auto"/>
                      <w:spacing w:val="0"/>
                      <w:sz w:val="21"/>
                      <w:szCs w:val="21"/>
                      <w:u w:val="none"/>
                      <w:shd w:val="clear" w:fill="FFFFFF"/>
                    </w:rPr>
                    <w:instrText xml:space="preserve"> HYPERLINK "https://baike.baidu.com/item/%E6%97%A0%E6%9C%BA%E5%8C%96%E5%90%88%E7%89%A9/10716655?fromModule=lemma_inlink" \t "https://baike.baidu.com/item/%E7%A1%AB%E9%85%B8%E6%B1%9E/_blank" </w:instrText>
                  </w:r>
                  <w:r>
                    <w:rPr>
                      <w:rFonts w:hint="default" w:ascii="Helvetica" w:hAnsi="Helvetica" w:eastAsia="Helvetica" w:cs="Helvetica"/>
                      <w:b w:val="0"/>
                      <w:bCs w:val="0"/>
                      <w:i w:val="0"/>
                      <w:iCs w:val="0"/>
                      <w:caps w:val="0"/>
                      <w:color w:val="auto"/>
                      <w:spacing w:val="0"/>
                      <w:sz w:val="21"/>
                      <w:szCs w:val="21"/>
                      <w:u w:val="none"/>
                      <w:shd w:val="clear" w:fill="FFFFFF"/>
                    </w:rPr>
                    <w:fldChar w:fldCharType="separate"/>
                  </w:r>
                  <w:r>
                    <w:rPr>
                      <w:rStyle w:val="56"/>
                      <w:rFonts w:hint="default" w:ascii="Helvetica" w:hAnsi="Helvetica" w:eastAsia="Helvetica" w:cs="Helvetica"/>
                      <w:b w:val="0"/>
                      <w:bCs w:val="0"/>
                      <w:i w:val="0"/>
                      <w:iCs w:val="0"/>
                      <w:caps w:val="0"/>
                      <w:color w:val="auto"/>
                      <w:spacing w:val="0"/>
                      <w:sz w:val="21"/>
                      <w:szCs w:val="21"/>
                      <w:u w:val="none"/>
                      <w:shd w:val="clear" w:fill="FFFFFF"/>
                    </w:rPr>
                    <w:t>无机化合物</w:t>
                  </w:r>
                  <w:r>
                    <w:rPr>
                      <w:rFonts w:hint="default" w:ascii="Helvetica" w:hAnsi="Helvetica" w:eastAsia="Helvetica" w:cs="Helvetica"/>
                      <w:b w:val="0"/>
                      <w:bCs w:val="0"/>
                      <w:i w:val="0"/>
                      <w:iCs w:val="0"/>
                      <w:caps w:val="0"/>
                      <w:color w:val="auto"/>
                      <w:spacing w:val="0"/>
                      <w:sz w:val="21"/>
                      <w:szCs w:val="21"/>
                      <w:u w:val="none"/>
                      <w:shd w:val="clear" w:fill="FFFFFF"/>
                    </w:rPr>
                    <w:fldChar w:fldCharType="end"/>
                  </w:r>
                  <w:r>
                    <w:rPr>
                      <w:rFonts w:hint="default" w:ascii="Helvetica" w:hAnsi="Helvetica" w:eastAsia="Helvetica" w:cs="Helvetica"/>
                      <w:b w:val="0"/>
                      <w:bCs w:val="0"/>
                      <w:i w:val="0"/>
                      <w:iCs w:val="0"/>
                      <w:caps w:val="0"/>
                      <w:color w:val="auto"/>
                      <w:spacing w:val="0"/>
                      <w:sz w:val="21"/>
                      <w:szCs w:val="21"/>
                      <w:shd w:val="clear" w:fill="FFFFFF"/>
                    </w:rPr>
                    <w:t>，为白色</w:t>
                  </w:r>
                  <w:r>
                    <w:rPr>
                      <w:rFonts w:hint="default" w:ascii="Helvetica" w:hAnsi="Helvetica" w:eastAsia="Helvetica" w:cs="Helvetica"/>
                      <w:b w:val="0"/>
                      <w:bCs w:val="0"/>
                      <w:i w:val="0"/>
                      <w:iCs w:val="0"/>
                      <w:caps w:val="0"/>
                      <w:color w:val="auto"/>
                      <w:spacing w:val="0"/>
                      <w:sz w:val="21"/>
                      <w:szCs w:val="21"/>
                      <w:u w:val="none"/>
                      <w:shd w:val="clear" w:fill="FFFFFF"/>
                    </w:rPr>
                    <w:fldChar w:fldCharType="begin"/>
                  </w:r>
                  <w:r>
                    <w:rPr>
                      <w:rFonts w:hint="default" w:ascii="Helvetica" w:hAnsi="Helvetica" w:eastAsia="Helvetica" w:cs="Helvetica"/>
                      <w:b w:val="0"/>
                      <w:bCs w:val="0"/>
                      <w:i w:val="0"/>
                      <w:iCs w:val="0"/>
                      <w:caps w:val="0"/>
                      <w:color w:val="auto"/>
                      <w:spacing w:val="0"/>
                      <w:sz w:val="21"/>
                      <w:szCs w:val="21"/>
                      <w:u w:val="none"/>
                      <w:shd w:val="clear" w:fill="FFFFFF"/>
                    </w:rPr>
                    <w:instrText xml:space="preserve"> HYPERLINK "https://baike.baidu.com/item/%E7%BB%93%E6%99%B6%E6%80%A7/6830050?fromModule=lemma_inlink" \t "https://baike.baidu.com/item/%E7%A1%AB%E9%85%B8%E6%B1%9E/_blank" </w:instrText>
                  </w:r>
                  <w:r>
                    <w:rPr>
                      <w:rFonts w:hint="default" w:ascii="Helvetica" w:hAnsi="Helvetica" w:eastAsia="Helvetica" w:cs="Helvetica"/>
                      <w:b w:val="0"/>
                      <w:bCs w:val="0"/>
                      <w:i w:val="0"/>
                      <w:iCs w:val="0"/>
                      <w:caps w:val="0"/>
                      <w:color w:val="auto"/>
                      <w:spacing w:val="0"/>
                      <w:sz w:val="21"/>
                      <w:szCs w:val="21"/>
                      <w:u w:val="none"/>
                      <w:shd w:val="clear" w:fill="FFFFFF"/>
                    </w:rPr>
                    <w:fldChar w:fldCharType="separate"/>
                  </w:r>
                  <w:r>
                    <w:rPr>
                      <w:rStyle w:val="56"/>
                      <w:rFonts w:hint="default" w:ascii="Helvetica" w:hAnsi="Helvetica" w:eastAsia="Helvetica" w:cs="Helvetica"/>
                      <w:b w:val="0"/>
                      <w:bCs w:val="0"/>
                      <w:i w:val="0"/>
                      <w:iCs w:val="0"/>
                      <w:caps w:val="0"/>
                      <w:color w:val="auto"/>
                      <w:spacing w:val="0"/>
                      <w:sz w:val="21"/>
                      <w:szCs w:val="21"/>
                      <w:u w:val="none"/>
                      <w:shd w:val="clear" w:fill="FFFFFF"/>
                    </w:rPr>
                    <w:t>结晶性</w:t>
                  </w:r>
                  <w:r>
                    <w:rPr>
                      <w:rFonts w:hint="default" w:ascii="Helvetica" w:hAnsi="Helvetica" w:eastAsia="Helvetica" w:cs="Helvetica"/>
                      <w:b w:val="0"/>
                      <w:bCs w:val="0"/>
                      <w:i w:val="0"/>
                      <w:iCs w:val="0"/>
                      <w:caps w:val="0"/>
                      <w:color w:val="auto"/>
                      <w:spacing w:val="0"/>
                      <w:sz w:val="21"/>
                      <w:szCs w:val="21"/>
                      <w:u w:val="none"/>
                      <w:shd w:val="clear" w:fill="FFFFFF"/>
                    </w:rPr>
                    <w:fldChar w:fldCharType="end"/>
                  </w:r>
                  <w:r>
                    <w:rPr>
                      <w:rFonts w:hint="default" w:ascii="Helvetica" w:hAnsi="Helvetica" w:eastAsia="Helvetica" w:cs="Helvetica"/>
                      <w:b w:val="0"/>
                      <w:bCs w:val="0"/>
                      <w:i w:val="0"/>
                      <w:iCs w:val="0"/>
                      <w:caps w:val="0"/>
                      <w:color w:val="auto"/>
                      <w:spacing w:val="0"/>
                      <w:sz w:val="21"/>
                      <w:szCs w:val="21"/>
                      <w:shd w:val="clear" w:fill="FFFFFF"/>
                    </w:rPr>
                    <w:t>粉末，</w:t>
                  </w:r>
                  <w:r>
                    <w:rPr>
                      <w:rFonts w:hint="eastAsia" w:ascii="Helvetica" w:hAnsi="Helvetica" w:eastAsia="宋体" w:cs="Helvetica"/>
                      <w:b w:val="0"/>
                      <w:bCs w:val="0"/>
                      <w:i w:val="0"/>
                      <w:iCs w:val="0"/>
                      <w:caps w:val="0"/>
                      <w:color w:val="auto"/>
                      <w:spacing w:val="0"/>
                      <w:sz w:val="21"/>
                      <w:szCs w:val="21"/>
                      <w:shd w:val="clear" w:fill="FFFFFF"/>
                      <w:lang w:val="en-US" w:eastAsia="zh-CN"/>
                    </w:rPr>
                    <w:t>密度：</w:t>
                  </w:r>
                  <w:r>
                    <w:rPr>
                      <w:rFonts w:ascii="Times New Roman" w:hAnsi="Times New Roman" w:eastAsia="宋体" w:cs="Times New Roman"/>
                      <w:b w:val="0"/>
                      <w:bCs w:val="0"/>
                      <w:color w:val="auto"/>
                      <w:sz w:val="21"/>
                      <w:szCs w:val="21"/>
                    </w:rPr>
                    <w:t>6.47g/cm³</w:t>
                  </w:r>
                  <w:r>
                    <w:rPr>
                      <w:rFonts w:hint="eastAsia" w:ascii="Helvetica" w:hAnsi="Helvetica" w:eastAsia="宋体" w:cs="Helvetica"/>
                      <w:b w:val="0"/>
                      <w:bCs w:val="0"/>
                      <w:i w:val="0"/>
                      <w:iCs w:val="0"/>
                      <w:caps w:val="0"/>
                      <w:color w:val="auto"/>
                      <w:spacing w:val="0"/>
                      <w:sz w:val="21"/>
                      <w:szCs w:val="21"/>
                      <w:shd w:val="clear" w:fill="FFFFFF"/>
                      <w:lang w:val="en-US" w:eastAsia="zh-CN"/>
                    </w:rPr>
                    <w:t>，可溶，</w:t>
                  </w:r>
                  <w:r>
                    <w:rPr>
                      <w:rFonts w:hint="default" w:ascii="Helvetica" w:hAnsi="Helvetica" w:eastAsia="Helvetica" w:cs="Helvetica"/>
                      <w:b w:val="0"/>
                      <w:bCs w:val="0"/>
                      <w:i w:val="0"/>
                      <w:iCs w:val="0"/>
                      <w:caps w:val="0"/>
                      <w:color w:val="auto"/>
                      <w:spacing w:val="0"/>
                      <w:sz w:val="21"/>
                      <w:szCs w:val="21"/>
                      <w:shd w:val="clear" w:fill="FFFFFF"/>
                    </w:rPr>
                    <w:t>主要用于制备</w:t>
                  </w:r>
                  <w:r>
                    <w:rPr>
                      <w:rFonts w:hint="default" w:ascii="Helvetica" w:hAnsi="Helvetica" w:eastAsia="Helvetica" w:cs="Helvetica"/>
                      <w:b w:val="0"/>
                      <w:bCs w:val="0"/>
                      <w:i w:val="0"/>
                      <w:iCs w:val="0"/>
                      <w:caps w:val="0"/>
                      <w:color w:val="auto"/>
                      <w:spacing w:val="0"/>
                      <w:sz w:val="21"/>
                      <w:szCs w:val="21"/>
                      <w:u w:val="none"/>
                      <w:shd w:val="clear" w:fill="FFFFFF"/>
                    </w:rPr>
                    <w:fldChar w:fldCharType="begin"/>
                  </w:r>
                  <w:r>
                    <w:rPr>
                      <w:rFonts w:hint="default" w:ascii="Helvetica" w:hAnsi="Helvetica" w:eastAsia="Helvetica" w:cs="Helvetica"/>
                      <w:b w:val="0"/>
                      <w:bCs w:val="0"/>
                      <w:i w:val="0"/>
                      <w:iCs w:val="0"/>
                      <w:caps w:val="0"/>
                      <w:color w:val="auto"/>
                      <w:spacing w:val="0"/>
                      <w:sz w:val="21"/>
                      <w:szCs w:val="21"/>
                      <w:u w:val="none"/>
                      <w:shd w:val="clear" w:fill="FFFFFF"/>
                    </w:rPr>
                    <w:instrText xml:space="preserve"> HYPERLINK "https://baike.baidu.com/item/%E7%94%98%E6%B1%9E/11021558?fromModule=lemma_inlink" \t "https://baike.baidu.com/item/%E7%A1%AB%E9%85%B8%E6%B1%9E/_blank" </w:instrText>
                  </w:r>
                  <w:r>
                    <w:rPr>
                      <w:rFonts w:hint="default" w:ascii="Helvetica" w:hAnsi="Helvetica" w:eastAsia="Helvetica" w:cs="Helvetica"/>
                      <w:b w:val="0"/>
                      <w:bCs w:val="0"/>
                      <w:i w:val="0"/>
                      <w:iCs w:val="0"/>
                      <w:caps w:val="0"/>
                      <w:color w:val="auto"/>
                      <w:spacing w:val="0"/>
                      <w:sz w:val="21"/>
                      <w:szCs w:val="21"/>
                      <w:u w:val="none"/>
                      <w:shd w:val="clear" w:fill="FFFFFF"/>
                    </w:rPr>
                    <w:fldChar w:fldCharType="separate"/>
                  </w:r>
                  <w:r>
                    <w:rPr>
                      <w:rStyle w:val="56"/>
                      <w:rFonts w:hint="default" w:ascii="Helvetica" w:hAnsi="Helvetica" w:eastAsia="Helvetica" w:cs="Helvetica"/>
                      <w:b w:val="0"/>
                      <w:bCs w:val="0"/>
                      <w:i w:val="0"/>
                      <w:iCs w:val="0"/>
                      <w:caps w:val="0"/>
                      <w:color w:val="auto"/>
                      <w:spacing w:val="0"/>
                      <w:sz w:val="21"/>
                      <w:szCs w:val="21"/>
                      <w:u w:val="none"/>
                      <w:shd w:val="clear" w:fill="FFFFFF"/>
                    </w:rPr>
                    <w:t>甘汞</w:t>
                  </w:r>
                  <w:r>
                    <w:rPr>
                      <w:rFonts w:hint="default" w:ascii="Helvetica" w:hAnsi="Helvetica" w:eastAsia="Helvetica" w:cs="Helvetica"/>
                      <w:b w:val="0"/>
                      <w:bCs w:val="0"/>
                      <w:i w:val="0"/>
                      <w:iCs w:val="0"/>
                      <w:caps w:val="0"/>
                      <w:color w:val="auto"/>
                      <w:spacing w:val="0"/>
                      <w:sz w:val="21"/>
                      <w:szCs w:val="21"/>
                      <w:u w:val="none"/>
                      <w:shd w:val="clear" w:fill="FFFFFF"/>
                    </w:rPr>
                    <w:fldChar w:fldCharType="end"/>
                  </w:r>
                  <w:r>
                    <w:rPr>
                      <w:rFonts w:hint="default" w:ascii="Helvetica" w:hAnsi="Helvetica" w:eastAsia="Helvetica" w:cs="Helvetica"/>
                      <w:b w:val="0"/>
                      <w:bCs w:val="0"/>
                      <w:i w:val="0"/>
                      <w:iCs w:val="0"/>
                      <w:caps w:val="0"/>
                      <w:color w:val="auto"/>
                      <w:spacing w:val="0"/>
                      <w:sz w:val="21"/>
                      <w:szCs w:val="21"/>
                      <w:shd w:val="clear" w:fill="FFFFFF"/>
                    </w:rPr>
                    <w:t>、</w:t>
                  </w:r>
                  <w:r>
                    <w:rPr>
                      <w:rFonts w:hint="default" w:ascii="Helvetica" w:hAnsi="Helvetica" w:eastAsia="Helvetica" w:cs="Helvetica"/>
                      <w:b w:val="0"/>
                      <w:bCs w:val="0"/>
                      <w:i w:val="0"/>
                      <w:iCs w:val="0"/>
                      <w:caps w:val="0"/>
                      <w:color w:val="auto"/>
                      <w:spacing w:val="0"/>
                      <w:sz w:val="21"/>
                      <w:szCs w:val="21"/>
                      <w:u w:val="none"/>
                      <w:shd w:val="clear" w:fill="FFFFFF"/>
                    </w:rPr>
                    <w:fldChar w:fldCharType="begin"/>
                  </w:r>
                  <w:r>
                    <w:rPr>
                      <w:rFonts w:hint="default" w:ascii="Helvetica" w:hAnsi="Helvetica" w:eastAsia="Helvetica" w:cs="Helvetica"/>
                      <w:b w:val="0"/>
                      <w:bCs w:val="0"/>
                      <w:i w:val="0"/>
                      <w:iCs w:val="0"/>
                      <w:caps w:val="0"/>
                      <w:color w:val="auto"/>
                      <w:spacing w:val="0"/>
                      <w:sz w:val="21"/>
                      <w:szCs w:val="21"/>
                      <w:u w:val="none"/>
                      <w:shd w:val="clear" w:fill="FFFFFF"/>
                    </w:rPr>
                    <w:instrText xml:space="preserve"> HYPERLINK "https://baike.baidu.com/item/%E5%8D%87%E6%B1%9E/1922334?fromModule=lemma_inlink" \t "https://baike.baidu.com/item/%E7%A1%AB%E9%85%B8%E6%B1%9E/_blank" </w:instrText>
                  </w:r>
                  <w:r>
                    <w:rPr>
                      <w:rFonts w:hint="default" w:ascii="Helvetica" w:hAnsi="Helvetica" w:eastAsia="Helvetica" w:cs="Helvetica"/>
                      <w:b w:val="0"/>
                      <w:bCs w:val="0"/>
                      <w:i w:val="0"/>
                      <w:iCs w:val="0"/>
                      <w:caps w:val="0"/>
                      <w:color w:val="auto"/>
                      <w:spacing w:val="0"/>
                      <w:sz w:val="21"/>
                      <w:szCs w:val="21"/>
                      <w:u w:val="none"/>
                      <w:shd w:val="clear" w:fill="FFFFFF"/>
                    </w:rPr>
                    <w:fldChar w:fldCharType="separate"/>
                  </w:r>
                  <w:r>
                    <w:rPr>
                      <w:rStyle w:val="56"/>
                      <w:rFonts w:hint="default" w:ascii="Helvetica" w:hAnsi="Helvetica" w:eastAsia="Helvetica" w:cs="Helvetica"/>
                      <w:b w:val="0"/>
                      <w:bCs w:val="0"/>
                      <w:i w:val="0"/>
                      <w:iCs w:val="0"/>
                      <w:caps w:val="0"/>
                      <w:color w:val="auto"/>
                      <w:spacing w:val="0"/>
                      <w:sz w:val="21"/>
                      <w:szCs w:val="21"/>
                      <w:u w:val="none"/>
                      <w:shd w:val="clear" w:fill="FFFFFF"/>
                    </w:rPr>
                    <w:t>升汞</w:t>
                  </w:r>
                  <w:r>
                    <w:rPr>
                      <w:rFonts w:hint="default" w:ascii="Helvetica" w:hAnsi="Helvetica" w:eastAsia="Helvetica" w:cs="Helvetica"/>
                      <w:b w:val="0"/>
                      <w:bCs w:val="0"/>
                      <w:i w:val="0"/>
                      <w:iCs w:val="0"/>
                      <w:caps w:val="0"/>
                      <w:color w:val="auto"/>
                      <w:spacing w:val="0"/>
                      <w:sz w:val="21"/>
                      <w:szCs w:val="21"/>
                      <w:u w:val="none"/>
                      <w:shd w:val="clear" w:fill="FFFFFF"/>
                    </w:rPr>
                    <w:fldChar w:fldCharType="end"/>
                  </w:r>
                  <w:r>
                    <w:rPr>
                      <w:rFonts w:hint="default" w:ascii="Helvetica" w:hAnsi="Helvetica" w:eastAsia="Helvetica" w:cs="Helvetica"/>
                      <w:b w:val="0"/>
                      <w:bCs w:val="0"/>
                      <w:i w:val="0"/>
                      <w:iCs w:val="0"/>
                      <w:caps w:val="0"/>
                      <w:color w:val="auto"/>
                      <w:spacing w:val="0"/>
                      <w:sz w:val="21"/>
                      <w:szCs w:val="21"/>
                      <w:shd w:val="clear" w:fill="FFFFFF"/>
                    </w:rPr>
                    <w:t>、</w:t>
                  </w:r>
                  <w:r>
                    <w:rPr>
                      <w:rFonts w:hint="default" w:ascii="Helvetica" w:hAnsi="Helvetica" w:eastAsia="Helvetica" w:cs="Helvetica"/>
                      <w:b w:val="0"/>
                      <w:bCs w:val="0"/>
                      <w:i w:val="0"/>
                      <w:iCs w:val="0"/>
                      <w:caps w:val="0"/>
                      <w:color w:val="auto"/>
                      <w:spacing w:val="0"/>
                      <w:sz w:val="21"/>
                      <w:szCs w:val="21"/>
                      <w:u w:val="none"/>
                      <w:shd w:val="clear" w:fill="FFFFFF"/>
                    </w:rPr>
                    <w:fldChar w:fldCharType="begin"/>
                  </w:r>
                  <w:r>
                    <w:rPr>
                      <w:rFonts w:hint="default" w:ascii="Helvetica" w:hAnsi="Helvetica" w:eastAsia="Helvetica" w:cs="Helvetica"/>
                      <w:b w:val="0"/>
                      <w:bCs w:val="0"/>
                      <w:i w:val="0"/>
                      <w:iCs w:val="0"/>
                      <w:caps w:val="0"/>
                      <w:color w:val="auto"/>
                      <w:spacing w:val="0"/>
                      <w:sz w:val="21"/>
                      <w:szCs w:val="21"/>
                      <w:u w:val="none"/>
                      <w:shd w:val="clear" w:fill="FFFFFF"/>
                    </w:rPr>
                    <w:instrText xml:space="preserve"> HYPERLINK "https://baike.baidu.com/item/%E8%93%84%E7%94%B5%E6%B1%A0%E7%BB%84/8216816?fromModule=lemma_inlink" \t "https://baike.baidu.com/item/%E7%A1%AB%E9%85%B8%E6%B1%9E/_blank" </w:instrText>
                  </w:r>
                  <w:r>
                    <w:rPr>
                      <w:rFonts w:hint="default" w:ascii="Helvetica" w:hAnsi="Helvetica" w:eastAsia="Helvetica" w:cs="Helvetica"/>
                      <w:b w:val="0"/>
                      <w:bCs w:val="0"/>
                      <w:i w:val="0"/>
                      <w:iCs w:val="0"/>
                      <w:caps w:val="0"/>
                      <w:color w:val="auto"/>
                      <w:spacing w:val="0"/>
                      <w:sz w:val="21"/>
                      <w:szCs w:val="21"/>
                      <w:u w:val="none"/>
                      <w:shd w:val="clear" w:fill="FFFFFF"/>
                    </w:rPr>
                    <w:fldChar w:fldCharType="separate"/>
                  </w:r>
                  <w:r>
                    <w:rPr>
                      <w:rStyle w:val="56"/>
                      <w:rFonts w:hint="default" w:ascii="Helvetica" w:hAnsi="Helvetica" w:eastAsia="Helvetica" w:cs="Helvetica"/>
                      <w:b w:val="0"/>
                      <w:bCs w:val="0"/>
                      <w:i w:val="0"/>
                      <w:iCs w:val="0"/>
                      <w:caps w:val="0"/>
                      <w:color w:val="auto"/>
                      <w:spacing w:val="0"/>
                      <w:sz w:val="21"/>
                      <w:szCs w:val="21"/>
                      <w:u w:val="none"/>
                      <w:shd w:val="clear" w:fill="FFFFFF"/>
                    </w:rPr>
                    <w:t>蓄电池组</w:t>
                  </w:r>
                  <w:r>
                    <w:rPr>
                      <w:rFonts w:hint="default" w:ascii="Helvetica" w:hAnsi="Helvetica" w:eastAsia="Helvetica" w:cs="Helvetica"/>
                      <w:b w:val="0"/>
                      <w:bCs w:val="0"/>
                      <w:i w:val="0"/>
                      <w:iCs w:val="0"/>
                      <w:caps w:val="0"/>
                      <w:color w:val="auto"/>
                      <w:spacing w:val="0"/>
                      <w:sz w:val="21"/>
                      <w:szCs w:val="21"/>
                      <w:u w:val="none"/>
                      <w:shd w:val="clear" w:fill="FFFFFF"/>
                    </w:rPr>
                    <w:fldChar w:fldCharType="end"/>
                  </w:r>
                  <w:r>
                    <w:rPr>
                      <w:rFonts w:hint="default" w:ascii="Helvetica" w:hAnsi="Helvetica" w:eastAsia="Helvetica" w:cs="Helvetica"/>
                      <w:b w:val="0"/>
                      <w:bCs w:val="0"/>
                      <w:i w:val="0"/>
                      <w:iCs w:val="0"/>
                      <w:caps w:val="0"/>
                      <w:color w:val="auto"/>
                      <w:spacing w:val="0"/>
                      <w:sz w:val="21"/>
                      <w:szCs w:val="21"/>
                      <w:shd w:val="clear" w:fill="FFFFFF"/>
                    </w:rPr>
                    <w:t>，也可用作有机合成的催化剂。</w:t>
                  </w:r>
                </w:p>
              </w:tc>
            </w:tr>
            <w:tr w14:paraId="277E5B6F">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0" w:type="dxa"/>
                  <w:tcBorders>
                    <w:tl2br w:val="nil"/>
                    <w:tr2bl w:val="nil"/>
                  </w:tcBorders>
                  <w:vAlign w:val="center"/>
                </w:tcPr>
                <w:p w14:paraId="0DA5E86C">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4</w:t>
                  </w:r>
                </w:p>
              </w:tc>
              <w:tc>
                <w:tcPr>
                  <w:tcW w:w="1085" w:type="dxa"/>
                  <w:tcBorders>
                    <w:tl2br w:val="nil"/>
                    <w:tr2bl w:val="nil"/>
                  </w:tcBorders>
                  <w:vAlign w:val="center"/>
                </w:tcPr>
                <w:p w14:paraId="0021D4C6">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8"/>
                      <w:sz w:val="21"/>
                      <w:szCs w:val="21"/>
                      <w:highlight w:val="none"/>
                      <w:lang w:val="en-US" w:eastAsia="zh-CN"/>
                    </w:rPr>
                  </w:pPr>
                  <w:r>
                    <w:rPr>
                      <w:rFonts w:hint="eastAsia" w:ascii="Times New Roman" w:hAnsi="Times New Roman" w:eastAsia="宋体" w:cs="Times New Roman"/>
                      <w:color w:val="auto"/>
                      <w:kern w:val="28"/>
                      <w:sz w:val="21"/>
                      <w:szCs w:val="21"/>
                      <w:highlight w:val="none"/>
                      <w:lang w:val="en-US" w:eastAsia="zh-CN"/>
                    </w:rPr>
                    <w:t>硫酸亚铁铵</w:t>
                  </w:r>
                </w:p>
              </w:tc>
              <w:tc>
                <w:tcPr>
                  <w:tcW w:w="2035" w:type="dxa"/>
                  <w:tcBorders>
                    <w:tl2br w:val="nil"/>
                    <w:tr2bl w:val="nil"/>
                  </w:tcBorders>
                  <w:vAlign w:val="center"/>
                </w:tcPr>
                <w:p w14:paraId="7DB00FE5">
                  <w:pPr>
                    <w:keepNext w:val="0"/>
                    <w:keepLines w:val="0"/>
                    <w:pageBreakBefore w:val="0"/>
                    <w:kinsoku/>
                    <w:wordWrap/>
                    <w:overflowPunct/>
                    <w:topLinePunct w:val="0"/>
                    <w:autoSpaceDE/>
                    <w:autoSpaceDN/>
                    <w:bidi w:val="0"/>
                    <w:adjustRightInd w:val="0"/>
                    <w:snapToGrid w:val="0"/>
                    <w:spacing w:line="24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分子式：(NH</w:t>
                  </w:r>
                  <w:r>
                    <w:rPr>
                      <w:rFonts w:ascii="Times New Roman" w:hAnsi="Times New Roman" w:eastAsia="宋体" w:cs="Times New Roman"/>
                      <w:color w:val="000000"/>
                      <w:sz w:val="21"/>
                      <w:szCs w:val="21"/>
                      <w:vertAlign w:val="subscript"/>
                    </w:rPr>
                    <w:t>4</w:t>
                  </w:r>
                  <w:r>
                    <w:rPr>
                      <w:rFonts w:ascii="Times New Roman" w:hAnsi="Times New Roman" w:eastAsia="宋体" w:cs="Times New Roman"/>
                      <w:color w:val="000000"/>
                      <w:sz w:val="21"/>
                      <w:szCs w:val="21"/>
                    </w:rPr>
                    <w:t>)</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Fe(SO</w:t>
                  </w:r>
                  <w:r>
                    <w:rPr>
                      <w:rFonts w:ascii="Times New Roman" w:hAnsi="Times New Roman" w:eastAsia="宋体" w:cs="Times New Roman"/>
                      <w:color w:val="000000"/>
                      <w:sz w:val="21"/>
                      <w:szCs w:val="21"/>
                      <w:vertAlign w:val="subscript"/>
                    </w:rPr>
                    <w:t>4</w:t>
                  </w:r>
                  <w:r>
                    <w:rPr>
                      <w:rFonts w:ascii="Times New Roman" w:hAnsi="Times New Roman" w:eastAsia="宋体" w:cs="Times New Roman"/>
                      <w:color w:val="000000"/>
                      <w:sz w:val="21"/>
                      <w:szCs w:val="21"/>
                    </w:rPr>
                    <w:t>)</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·6H</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O</w:t>
                  </w:r>
                </w:p>
                <w:p w14:paraId="3C57F130">
                  <w:pPr>
                    <w:pStyle w:val="44"/>
                    <w:keepNext w:val="0"/>
                    <w:keepLines w:val="0"/>
                    <w:pageBreakBefore w:val="0"/>
                    <w:tabs>
                      <w:tab w:val="left" w:pos="420"/>
                      <w:tab w:val="left" w:pos="870"/>
                      <w:tab w:val="left" w:pos="3150"/>
                    </w:tabs>
                    <w:kinsoku/>
                    <w:wordWrap/>
                    <w:overflowPunct/>
                    <w:topLinePunct w:val="0"/>
                    <w:autoSpaceDE/>
                    <w:autoSpaceDN/>
                    <w:bidi w:val="0"/>
                    <w:adjustRightInd w:val="0"/>
                    <w:snapToGrid w:val="0"/>
                    <w:spacing w:after="0" w:line="240" w:lineRule="auto"/>
                    <w:ind w:left="0" w:leftChars="0" w:firstLine="0" w:firstLineChars="0"/>
                    <w:jc w:val="center"/>
                    <w:rPr>
                      <w:rFonts w:ascii="Times New Roman" w:hAnsi="Times New Roman"/>
                      <w:color w:val="000000"/>
                      <w:sz w:val="21"/>
                      <w:szCs w:val="21"/>
                    </w:rPr>
                  </w:pPr>
                  <w:r>
                    <w:rPr>
                      <w:rFonts w:ascii="Times New Roman" w:hAnsi="Times New Roman"/>
                      <w:color w:val="000000"/>
                      <w:sz w:val="21"/>
                      <w:szCs w:val="21"/>
                    </w:rPr>
                    <w:t>分子量：392.14</w:t>
                  </w:r>
                </w:p>
                <w:p w14:paraId="7FF25271">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CAS号：10045-89-3</w:t>
                  </w:r>
                </w:p>
              </w:tc>
              <w:tc>
                <w:tcPr>
                  <w:tcW w:w="5032" w:type="dxa"/>
                  <w:tcBorders>
                    <w:tl2br w:val="nil"/>
                    <w:tr2bl w:val="nil"/>
                  </w:tcBorders>
                  <w:vAlign w:val="center"/>
                </w:tcPr>
                <w:p w14:paraId="67B4CF5C">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低毒，浅蓝绿色结晶或粉末，对光敏感。在空气中逐渐</w:t>
                  </w:r>
                  <w:r>
                    <w:rPr>
                      <w:sz w:val="21"/>
                      <w:szCs w:val="21"/>
                    </w:rPr>
                    <w:fldChar w:fldCharType="begin"/>
                  </w:r>
                  <w:r>
                    <w:rPr>
                      <w:sz w:val="21"/>
                      <w:szCs w:val="21"/>
                    </w:rPr>
                    <w:instrText xml:space="preserve"> HYPERLINK "https://baike.so.com/doc/5159692-5389987.html" \t "https://baike.so.com/doc/_blank" </w:instrText>
                  </w:r>
                  <w:r>
                    <w:rPr>
                      <w:sz w:val="21"/>
                      <w:szCs w:val="21"/>
                    </w:rPr>
                    <w:fldChar w:fldCharType="separate"/>
                  </w:r>
                  <w:r>
                    <w:rPr>
                      <w:rFonts w:ascii="Times New Roman" w:hAnsi="Times New Roman" w:eastAsia="宋体" w:cs="Times New Roman"/>
                      <w:color w:val="000000"/>
                      <w:sz w:val="21"/>
                      <w:szCs w:val="21"/>
                    </w:rPr>
                    <w:t>风化</w:t>
                  </w:r>
                  <w:r>
                    <w:rPr>
                      <w:rFonts w:ascii="Times New Roman" w:hAnsi="Times New Roman" w:eastAsia="宋体" w:cs="Times New Roman"/>
                      <w:color w:val="000000"/>
                      <w:sz w:val="21"/>
                      <w:szCs w:val="21"/>
                    </w:rPr>
                    <w:fldChar w:fldCharType="end"/>
                  </w:r>
                  <w:r>
                    <w:rPr>
                      <w:rFonts w:ascii="Times New Roman" w:hAnsi="Times New Roman" w:eastAsia="宋体" w:cs="Times New Roman"/>
                      <w:color w:val="000000"/>
                      <w:sz w:val="21"/>
                      <w:szCs w:val="21"/>
                    </w:rPr>
                    <w:t>及氧化。约在100℃失去</w:t>
                  </w:r>
                  <w:r>
                    <w:rPr>
                      <w:sz w:val="21"/>
                      <w:szCs w:val="21"/>
                    </w:rPr>
                    <w:fldChar w:fldCharType="begin"/>
                  </w:r>
                  <w:r>
                    <w:rPr>
                      <w:sz w:val="21"/>
                      <w:szCs w:val="21"/>
                    </w:rPr>
                    <w:instrText xml:space="preserve"> HYPERLINK "https://baike.so.com/doc/6031438-6244439.html" \t "https://baike.so.com/doc/_blank" </w:instrText>
                  </w:r>
                  <w:r>
                    <w:rPr>
                      <w:sz w:val="21"/>
                      <w:szCs w:val="21"/>
                    </w:rPr>
                    <w:fldChar w:fldCharType="separate"/>
                  </w:r>
                  <w:r>
                    <w:rPr>
                      <w:rFonts w:ascii="Times New Roman" w:hAnsi="Times New Roman" w:eastAsia="宋体" w:cs="Times New Roman"/>
                      <w:color w:val="000000"/>
                      <w:sz w:val="21"/>
                      <w:szCs w:val="21"/>
                    </w:rPr>
                    <w:t>结晶水</w:t>
                  </w:r>
                  <w:r>
                    <w:rPr>
                      <w:rFonts w:ascii="Times New Roman" w:hAnsi="Times New Roman" w:eastAsia="宋体" w:cs="Times New Roman"/>
                      <w:color w:val="000000"/>
                      <w:sz w:val="21"/>
                      <w:szCs w:val="21"/>
                    </w:rPr>
                    <w:fldChar w:fldCharType="end"/>
                  </w:r>
                  <w:r>
                    <w:rPr>
                      <w:rFonts w:ascii="Times New Roman" w:hAnsi="Times New Roman" w:eastAsia="宋体" w:cs="Times New Roman"/>
                      <w:color w:val="000000"/>
                      <w:sz w:val="21"/>
                      <w:szCs w:val="21"/>
                    </w:rPr>
                    <w:t>，</w:t>
                  </w:r>
                  <w:r>
                    <w:rPr>
                      <w:sz w:val="21"/>
                      <w:szCs w:val="21"/>
                    </w:rPr>
                    <w:fldChar w:fldCharType="begin"/>
                  </w:r>
                  <w:r>
                    <w:rPr>
                      <w:sz w:val="21"/>
                      <w:szCs w:val="21"/>
                    </w:rPr>
                    <w:instrText xml:space="preserve"> HYPERLINK "https://baike.so.com/doc/2751462-2903816.html" \t "https://baike.so.com/doc/_blank" </w:instrText>
                  </w:r>
                  <w:r>
                    <w:rPr>
                      <w:sz w:val="21"/>
                      <w:szCs w:val="21"/>
                    </w:rPr>
                    <w:fldChar w:fldCharType="separate"/>
                  </w:r>
                  <w:r>
                    <w:rPr>
                      <w:rFonts w:ascii="Times New Roman" w:hAnsi="Times New Roman" w:eastAsia="宋体" w:cs="Times New Roman"/>
                      <w:color w:val="000000"/>
                      <w:sz w:val="21"/>
                      <w:szCs w:val="21"/>
                    </w:rPr>
                    <w:t>相对密度</w:t>
                  </w:r>
                  <w:r>
                    <w:rPr>
                      <w:rFonts w:ascii="Times New Roman" w:hAnsi="Times New Roman" w:eastAsia="宋体" w:cs="Times New Roman"/>
                      <w:color w:val="000000"/>
                      <w:sz w:val="21"/>
                      <w:szCs w:val="21"/>
                    </w:rPr>
                    <w:fldChar w:fldCharType="end"/>
                  </w:r>
                  <w:r>
                    <w:rPr>
                      <w:rFonts w:ascii="Times New Roman" w:hAnsi="Times New Roman" w:eastAsia="宋体" w:cs="Times New Roman"/>
                      <w:color w:val="000000"/>
                      <w:sz w:val="21"/>
                      <w:szCs w:val="21"/>
                    </w:rPr>
                    <w:t>1.86(水=1)。能溶于水，几乎不溶于乙醇。在分析化学中用以配制亚铁离子标准溶液；也用于印刷铅字版镀层，以使字版延长使用寿命；还用于医药、电镀等。</w:t>
                  </w:r>
                </w:p>
              </w:tc>
            </w:tr>
            <w:tr w14:paraId="152EFC70">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0" w:type="dxa"/>
                  <w:tcBorders>
                    <w:tl2br w:val="nil"/>
                    <w:tr2bl w:val="nil"/>
                  </w:tcBorders>
                  <w:vAlign w:val="center"/>
                </w:tcPr>
                <w:p w14:paraId="5AA83022">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5</w:t>
                  </w:r>
                </w:p>
              </w:tc>
              <w:tc>
                <w:tcPr>
                  <w:tcW w:w="1085" w:type="dxa"/>
                  <w:tcBorders>
                    <w:tl2br w:val="nil"/>
                    <w:tr2bl w:val="nil"/>
                  </w:tcBorders>
                  <w:vAlign w:val="center"/>
                </w:tcPr>
                <w:p w14:paraId="24E5D345">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kern w:val="28"/>
                      <w:sz w:val="21"/>
                      <w:szCs w:val="21"/>
                      <w:highlight w:val="none"/>
                      <w:lang w:val="en-US" w:eastAsia="zh-CN"/>
                    </w:rPr>
                  </w:pPr>
                  <w:r>
                    <w:rPr>
                      <w:rFonts w:hint="eastAsia" w:ascii="Times New Roman" w:hAnsi="Times New Roman" w:eastAsia="宋体" w:cs="Times New Roman"/>
                      <w:color w:val="auto"/>
                      <w:kern w:val="28"/>
                      <w:sz w:val="21"/>
                      <w:szCs w:val="21"/>
                      <w:highlight w:val="none"/>
                      <w:lang w:val="en-US" w:eastAsia="zh-CN"/>
                    </w:rPr>
                    <w:t>七水合硫酸亚铁</w:t>
                  </w:r>
                </w:p>
              </w:tc>
              <w:tc>
                <w:tcPr>
                  <w:tcW w:w="2035" w:type="dxa"/>
                  <w:tcBorders>
                    <w:tl2br w:val="nil"/>
                    <w:tr2bl w:val="nil"/>
                  </w:tcBorders>
                  <w:vAlign w:val="center"/>
                </w:tcPr>
                <w:p w14:paraId="48137DB3">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分子式：</w:t>
                  </w:r>
                  <w:r>
                    <w:rPr>
                      <w:rFonts w:hint="default" w:ascii="Times New Roman" w:hAnsi="Times New Roman" w:eastAsia="Helvetica" w:cs="Times New Roman"/>
                      <w:i w:val="0"/>
                      <w:iCs w:val="0"/>
                      <w:caps w:val="0"/>
                      <w:color w:val="auto"/>
                      <w:spacing w:val="0"/>
                      <w:sz w:val="21"/>
                      <w:szCs w:val="21"/>
                      <w:shd w:val="clear" w:fill="FFFFFF"/>
                    </w:rPr>
                    <w:t>FeSO</w:t>
                  </w:r>
                  <w:r>
                    <w:rPr>
                      <w:rFonts w:hint="default" w:ascii="Times New Roman" w:hAnsi="Times New Roman" w:eastAsia="Helvetica" w:cs="Times New Roman"/>
                      <w:i w:val="0"/>
                      <w:iCs w:val="0"/>
                      <w:caps w:val="0"/>
                      <w:color w:val="auto"/>
                      <w:spacing w:val="0"/>
                      <w:sz w:val="21"/>
                      <w:szCs w:val="21"/>
                      <w:shd w:val="clear" w:fill="FFFFFF"/>
                      <w:vertAlign w:val="subscript"/>
                    </w:rPr>
                    <w:t>4</w:t>
                  </w:r>
                  <w:r>
                    <w:rPr>
                      <w:rFonts w:hint="default" w:ascii="Times New Roman" w:hAnsi="Times New Roman" w:eastAsia="Helvetica" w:cs="Times New Roman"/>
                      <w:i w:val="0"/>
                      <w:iCs w:val="0"/>
                      <w:caps w:val="0"/>
                      <w:color w:val="auto"/>
                      <w:spacing w:val="0"/>
                      <w:sz w:val="21"/>
                      <w:szCs w:val="21"/>
                      <w:shd w:val="clear" w:fill="FFFFFF"/>
                    </w:rPr>
                    <w:t>·7H</w:t>
                  </w:r>
                  <w:r>
                    <w:rPr>
                      <w:rFonts w:hint="default" w:ascii="Times New Roman" w:hAnsi="Times New Roman" w:eastAsia="Helvetica" w:cs="Times New Roman"/>
                      <w:i w:val="0"/>
                      <w:iCs w:val="0"/>
                      <w:caps w:val="0"/>
                      <w:color w:val="auto"/>
                      <w:spacing w:val="0"/>
                      <w:sz w:val="21"/>
                      <w:szCs w:val="21"/>
                      <w:shd w:val="clear" w:fill="FFFFFF"/>
                      <w:vertAlign w:val="subscript"/>
                    </w:rPr>
                    <w:t>2</w:t>
                  </w:r>
                  <w:r>
                    <w:rPr>
                      <w:rFonts w:hint="default" w:ascii="Times New Roman" w:hAnsi="Times New Roman" w:eastAsia="Helvetica" w:cs="Times New Roman"/>
                      <w:i w:val="0"/>
                      <w:iCs w:val="0"/>
                      <w:caps w:val="0"/>
                      <w:color w:val="auto"/>
                      <w:spacing w:val="0"/>
                      <w:sz w:val="21"/>
                      <w:szCs w:val="21"/>
                      <w:shd w:val="clear" w:fill="FFFFFF"/>
                    </w:rPr>
                    <w:t>O</w:t>
                  </w:r>
                </w:p>
                <w:p w14:paraId="706673D9">
                  <w:pPr>
                    <w:pStyle w:val="44"/>
                    <w:keepNext w:val="0"/>
                    <w:keepLines w:val="0"/>
                    <w:pageBreakBefore w:val="0"/>
                    <w:widowControl w:val="0"/>
                    <w:tabs>
                      <w:tab w:val="left" w:pos="420"/>
                      <w:tab w:val="left" w:pos="870"/>
                      <w:tab w:val="left" w:pos="3150"/>
                    </w:tabs>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分子量：</w:t>
                  </w:r>
                  <w:r>
                    <w:rPr>
                      <w:rFonts w:hint="default" w:ascii="Times New Roman" w:hAnsi="Times New Roman" w:cs="Times New Roman"/>
                      <w:color w:val="auto"/>
                      <w:sz w:val="21"/>
                      <w:szCs w:val="21"/>
                      <w:lang w:val="en-US" w:eastAsia="zh-CN"/>
                    </w:rPr>
                    <w:t>278.01</w:t>
                  </w:r>
                </w:p>
                <w:p w14:paraId="79CF8448">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rPr>
                    <w:t>CAS号：</w:t>
                  </w:r>
                  <w:r>
                    <w:rPr>
                      <w:rFonts w:hint="default" w:ascii="Times New Roman" w:hAnsi="Times New Roman" w:eastAsia="Helvetica" w:cs="Times New Roman"/>
                      <w:i w:val="0"/>
                      <w:iCs w:val="0"/>
                      <w:caps w:val="0"/>
                      <w:color w:val="auto"/>
                      <w:spacing w:val="0"/>
                      <w:sz w:val="21"/>
                      <w:szCs w:val="21"/>
                      <w:shd w:val="clear" w:fill="FFFFFF"/>
                    </w:rPr>
                    <w:t>7782-63-0</w:t>
                  </w:r>
                </w:p>
              </w:tc>
              <w:tc>
                <w:tcPr>
                  <w:tcW w:w="5032" w:type="dxa"/>
                  <w:tcBorders>
                    <w:tl2br w:val="nil"/>
                    <w:tr2bl w:val="nil"/>
                  </w:tcBorders>
                  <w:vAlign w:val="center"/>
                </w:tcPr>
                <w:p w14:paraId="1CF895A5">
                  <w:pPr>
                    <w:keepNext w:val="0"/>
                    <w:keepLines w:val="0"/>
                    <w:pageBreakBefore w:val="0"/>
                    <w:widowControl w:val="0"/>
                    <w:kinsoku/>
                    <w:wordWrap/>
                    <w:overflowPunct/>
                    <w:topLinePunct w:val="0"/>
                    <w:autoSpaceDE/>
                    <w:autoSpaceDN/>
                    <w:bidi w:val="0"/>
                    <w:snapToGrid w:val="0"/>
                    <w:spacing w:line="240" w:lineRule="auto"/>
                    <w:jc w:val="both"/>
                    <w:textAlignment w:val="auto"/>
                    <w:rPr>
                      <w:rFonts w:hint="default" w:ascii="Times New Roman" w:hAnsi="Times New Roman" w:eastAsia="Helvetica" w:cs="Times New Roman"/>
                      <w:i w:val="0"/>
                      <w:iCs w:val="0"/>
                      <w:caps w:val="0"/>
                      <w:color w:val="auto"/>
                      <w:spacing w:val="0"/>
                      <w:sz w:val="21"/>
                      <w:szCs w:val="21"/>
                      <w:shd w:val="clear" w:fill="FFFFFF"/>
                    </w:rPr>
                  </w:pPr>
                  <w:r>
                    <w:rPr>
                      <w:rFonts w:hint="default" w:ascii="Times New Roman" w:hAnsi="Times New Roman" w:eastAsia="Helvetica" w:cs="Times New Roman"/>
                      <w:i w:val="0"/>
                      <w:iCs w:val="0"/>
                      <w:caps w:val="0"/>
                      <w:color w:val="auto"/>
                      <w:spacing w:val="0"/>
                      <w:sz w:val="21"/>
                      <w:szCs w:val="21"/>
                      <w:shd w:val="clear" w:fill="FFFFFF"/>
                    </w:rPr>
                    <w:t>俗称绿矾，是一种无机化合物，</w:t>
                  </w:r>
                  <w:r>
                    <w:rPr>
                      <w:rFonts w:hint="default" w:ascii="Times New Roman" w:hAnsi="Times New Roman" w:eastAsia="Helvetica" w:cs="Times New Roman"/>
                      <w:i w:val="0"/>
                      <w:iCs w:val="0"/>
                      <w:caps w:val="0"/>
                      <w:color w:val="auto"/>
                      <w:spacing w:val="0"/>
                      <w:sz w:val="21"/>
                      <w:szCs w:val="21"/>
                      <w:shd w:val="clear" w:fill="FFFFFF"/>
                      <w:lang w:val="en-US" w:eastAsia="zh-CN"/>
                    </w:rPr>
                    <w:t>密度</w:t>
                  </w:r>
                  <w:r>
                    <w:rPr>
                      <w:rFonts w:hint="default" w:ascii="Times New Roman" w:hAnsi="Times New Roman" w:eastAsia="Helvetica" w:cs="Times New Roman"/>
                      <w:i w:val="0"/>
                      <w:iCs w:val="0"/>
                      <w:caps w:val="0"/>
                      <w:color w:val="auto"/>
                      <w:spacing w:val="0"/>
                      <w:sz w:val="21"/>
                      <w:szCs w:val="21"/>
                      <w:shd w:val="clear" w:fill="FFFFFF"/>
                    </w:rPr>
                    <w:t>0.999g/cm³</w:t>
                  </w:r>
                  <w:r>
                    <w:rPr>
                      <w:rFonts w:hint="default" w:ascii="Times New Roman" w:hAnsi="Times New Roman" w:eastAsia="Helvetica" w:cs="Times New Roman"/>
                      <w:i w:val="0"/>
                      <w:iCs w:val="0"/>
                      <w:caps w:val="0"/>
                      <w:color w:val="auto"/>
                      <w:spacing w:val="0"/>
                      <w:sz w:val="21"/>
                      <w:szCs w:val="21"/>
                      <w:shd w:val="clear" w:fill="FFFFFF"/>
                      <w:lang w:eastAsia="zh-CN"/>
                    </w:rPr>
                    <w:t>，</w:t>
                  </w:r>
                  <w:r>
                    <w:rPr>
                      <w:rFonts w:hint="default" w:ascii="Times New Roman" w:hAnsi="Times New Roman" w:eastAsia="Helvetica" w:cs="Times New Roman"/>
                      <w:i w:val="0"/>
                      <w:iCs w:val="0"/>
                      <w:caps w:val="0"/>
                      <w:color w:val="auto"/>
                      <w:spacing w:val="0"/>
                      <w:sz w:val="21"/>
                      <w:szCs w:val="21"/>
                      <w:shd w:val="clear" w:fill="FFFFFF"/>
                      <w:lang w:val="en-US" w:eastAsia="zh-CN"/>
                    </w:rPr>
                    <w:t>熔点64℃</w:t>
                  </w:r>
                  <w:r>
                    <w:rPr>
                      <w:rFonts w:hint="default" w:ascii="Times New Roman" w:hAnsi="Times New Roman" w:eastAsia="Helvetica" w:cs="Times New Roman"/>
                      <w:i w:val="0"/>
                      <w:iCs w:val="0"/>
                      <w:caps w:val="0"/>
                      <w:color w:val="auto"/>
                      <w:spacing w:val="0"/>
                      <w:sz w:val="21"/>
                      <w:szCs w:val="21"/>
                      <w:shd w:val="clear" w:fill="FFFFFF"/>
                    </w:rPr>
                    <w:t>。对人呼吸道有刺激性，吸入引起咳嗽和气短。对眼睛、皮肤和粘膜有刺激性。主要用于制造铁盐,墨水,</w:t>
                  </w:r>
                  <w:r>
                    <w:rPr>
                      <w:rFonts w:hint="default" w:ascii="Times New Roman" w:hAnsi="Times New Roman" w:eastAsia="Helvetica" w:cs="Times New Roman"/>
                      <w:i w:val="0"/>
                      <w:iCs w:val="0"/>
                      <w:caps w:val="0"/>
                      <w:color w:val="auto"/>
                      <w:spacing w:val="0"/>
                      <w:sz w:val="21"/>
                      <w:szCs w:val="21"/>
                      <w:shd w:val="clear" w:fill="FFFFFF"/>
                    </w:rPr>
                    <w:fldChar w:fldCharType="begin"/>
                  </w:r>
                  <w:r>
                    <w:rPr>
                      <w:rFonts w:hint="default" w:ascii="Times New Roman" w:hAnsi="Times New Roman" w:eastAsia="Helvetica" w:cs="Times New Roman"/>
                      <w:i w:val="0"/>
                      <w:iCs w:val="0"/>
                      <w:caps w:val="0"/>
                      <w:color w:val="auto"/>
                      <w:spacing w:val="0"/>
                      <w:sz w:val="21"/>
                      <w:szCs w:val="21"/>
                      <w:shd w:val="clear" w:fill="FFFFFF"/>
                    </w:rPr>
                    <w:instrText xml:space="preserve"> HYPERLINK "https://baike.baidu.com/item/%E7%A3%81%E6%80%A7%E6%B0%A7%E5%8C%96%E9%93%81/8305391?fromModule=lemma_inlink" \t "https://baike.baidu.com/item/_blank" </w:instrText>
                  </w:r>
                  <w:r>
                    <w:rPr>
                      <w:rFonts w:hint="default" w:ascii="Times New Roman" w:hAnsi="Times New Roman" w:eastAsia="Helvetica" w:cs="Times New Roman"/>
                      <w:i w:val="0"/>
                      <w:iCs w:val="0"/>
                      <w:caps w:val="0"/>
                      <w:color w:val="auto"/>
                      <w:spacing w:val="0"/>
                      <w:sz w:val="21"/>
                      <w:szCs w:val="21"/>
                      <w:shd w:val="clear" w:fill="FFFFFF"/>
                    </w:rPr>
                    <w:fldChar w:fldCharType="separate"/>
                  </w:r>
                  <w:r>
                    <w:rPr>
                      <w:rFonts w:hint="default" w:ascii="Times New Roman" w:hAnsi="Times New Roman" w:eastAsia="Helvetica" w:cs="Times New Roman"/>
                      <w:i w:val="0"/>
                      <w:iCs w:val="0"/>
                      <w:caps w:val="0"/>
                      <w:color w:val="auto"/>
                      <w:spacing w:val="0"/>
                      <w:sz w:val="21"/>
                      <w:szCs w:val="21"/>
                      <w:shd w:val="clear" w:fill="FFFFFF"/>
                    </w:rPr>
                    <w:t>磁性氧化铁</w:t>
                  </w:r>
                  <w:r>
                    <w:rPr>
                      <w:rFonts w:hint="default" w:ascii="Times New Roman" w:hAnsi="Times New Roman" w:eastAsia="Helvetica" w:cs="Times New Roman"/>
                      <w:i w:val="0"/>
                      <w:iCs w:val="0"/>
                      <w:caps w:val="0"/>
                      <w:color w:val="auto"/>
                      <w:spacing w:val="0"/>
                      <w:sz w:val="21"/>
                      <w:szCs w:val="21"/>
                      <w:shd w:val="clear" w:fill="FFFFFF"/>
                    </w:rPr>
                    <w:fldChar w:fldCharType="end"/>
                  </w:r>
                  <w:r>
                    <w:rPr>
                      <w:rFonts w:hint="default" w:ascii="Times New Roman" w:hAnsi="Times New Roman" w:eastAsia="Helvetica" w:cs="Times New Roman"/>
                      <w:i w:val="0"/>
                      <w:iCs w:val="0"/>
                      <w:caps w:val="0"/>
                      <w:color w:val="auto"/>
                      <w:spacing w:val="0"/>
                      <w:sz w:val="21"/>
                      <w:szCs w:val="21"/>
                      <w:shd w:val="clear" w:fill="FFFFFF"/>
                    </w:rPr>
                    <w:t>、净水剂、消毒剂、铁触媒催化剂；用作煤染剂、鞣草剂、漂水剂、</w:t>
                  </w:r>
                  <w:r>
                    <w:rPr>
                      <w:rFonts w:hint="default" w:ascii="Times New Roman" w:hAnsi="Times New Roman" w:eastAsia="Helvetica" w:cs="Times New Roman"/>
                      <w:i w:val="0"/>
                      <w:iCs w:val="0"/>
                      <w:caps w:val="0"/>
                      <w:color w:val="auto"/>
                      <w:spacing w:val="0"/>
                      <w:sz w:val="21"/>
                      <w:szCs w:val="21"/>
                      <w:shd w:val="clear" w:fill="FFFFFF"/>
                    </w:rPr>
                    <w:fldChar w:fldCharType="begin"/>
                  </w:r>
                  <w:r>
                    <w:rPr>
                      <w:rFonts w:hint="default" w:ascii="Times New Roman" w:hAnsi="Times New Roman" w:eastAsia="Helvetica" w:cs="Times New Roman"/>
                      <w:i w:val="0"/>
                      <w:iCs w:val="0"/>
                      <w:caps w:val="0"/>
                      <w:color w:val="auto"/>
                      <w:spacing w:val="0"/>
                      <w:sz w:val="21"/>
                      <w:szCs w:val="21"/>
                      <w:shd w:val="clear" w:fill="FFFFFF"/>
                    </w:rPr>
                    <w:instrText xml:space="preserve"> HYPERLINK "https://baike.baidu.com/item/%E6%9C%A8%E6%9D%90%E9%98%B2%E8%85%90%E5%89%82/3475224?fromModule=lemma_inlink" \t "https://baike.baidu.com/item/_blank" </w:instrText>
                  </w:r>
                  <w:r>
                    <w:rPr>
                      <w:rFonts w:hint="default" w:ascii="Times New Roman" w:hAnsi="Times New Roman" w:eastAsia="Helvetica" w:cs="Times New Roman"/>
                      <w:i w:val="0"/>
                      <w:iCs w:val="0"/>
                      <w:caps w:val="0"/>
                      <w:color w:val="auto"/>
                      <w:spacing w:val="0"/>
                      <w:sz w:val="21"/>
                      <w:szCs w:val="21"/>
                      <w:shd w:val="clear" w:fill="FFFFFF"/>
                    </w:rPr>
                    <w:fldChar w:fldCharType="separate"/>
                  </w:r>
                  <w:r>
                    <w:rPr>
                      <w:rFonts w:hint="default" w:ascii="Times New Roman" w:hAnsi="Times New Roman" w:eastAsia="Helvetica" w:cs="Times New Roman"/>
                      <w:i w:val="0"/>
                      <w:iCs w:val="0"/>
                      <w:caps w:val="0"/>
                      <w:color w:val="auto"/>
                      <w:spacing w:val="0"/>
                      <w:sz w:val="21"/>
                      <w:szCs w:val="21"/>
                      <w:shd w:val="clear" w:fill="FFFFFF"/>
                    </w:rPr>
                    <w:t>木材防腐剂</w:t>
                  </w:r>
                  <w:r>
                    <w:rPr>
                      <w:rFonts w:hint="default" w:ascii="Times New Roman" w:hAnsi="Times New Roman" w:eastAsia="Helvetica" w:cs="Times New Roman"/>
                      <w:i w:val="0"/>
                      <w:iCs w:val="0"/>
                      <w:caps w:val="0"/>
                      <w:color w:val="auto"/>
                      <w:spacing w:val="0"/>
                      <w:sz w:val="21"/>
                      <w:szCs w:val="21"/>
                      <w:shd w:val="clear" w:fill="FFFFFF"/>
                    </w:rPr>
                    <w:fldChar w:fldCharType="end"/>
                  </w:r>
                  <w:r>
                    <w:rPr>
                      <w:rFonts w:hint="default" w:ascii="Times New Roman" w:hAnsi="Times New Roman" w:eastAsia="Helvetica" w:cs="Times New Roman"/>
                      <w:i w:val="0"/>
                      <w:iCs w:val="0"/>
                      <w:caps w:val="0"/>
                      <w:color w:val="auto"/>
                      <w:spacing w:val="0"/>
                      <w:sz w:val="21"/>
                      <w:szCs w:val="21"/>
                      <w:shd w:val="clear" w:fill="FFFFFF"/>
                    </w:rPr>
                    <w:t>及和复合</w:t>
                  </w:r>
                  <w:r>
                    <w:rPr>
                      <w:rFonts w:hint="default" w:ascii="Times New Roman" w:hAnsi="Times New Roman" w:eastAsia="Helvetica" w:cs="Times New Roman"/>
                      <w:i w:val="0"/>
                      <w:iCs w:val="0"/>
                      <w:caps w:val="0"/>
                      <w:color w:val="auto"/>
                      <w:spacing w:val="0"/>
                      <w:sz w:val="21"/>
                      <w:szCs w:val="21"/>
                      <w:shd w:val="clear" w:fill="FFFFFF"/>
                    </w:rPr>
                    <w:fldChar w:fldCharType="begin"/>
                  </w:r>
                  <w:r>
                    <w:rPr>
                      <w:rFonts w:hint="default" w:ascii="Times New Roman" w:hAnsi="Times New Roman" w:eastAsia="Helvetica" w:cs="Times New Roman"/>
                      <w:i w:val="0"/>
                      <w:iCs w:val="0"/>
                      <w:caps w:val="0"/>
                      <w:color w:val="auto"/>
                      <w:spacing w:val="0"/>
                      <w:sz w:val="21"/>
                      <w:szCs w:val="21"/>
                      <w:shd w:val="clear" w:fill="FFFFFF"/>
                    </w:rPr>
                    <w:instrText xml:space="preserve"> HYPERLINK "https://baike.baidu.com/item/%E8%82%A5%E6%96%99%E6%B7%BB%E5%8A%A0%E5%89%82/2202633?fromModule=lemma_inlink" \t "https://baike.baidu.com/item/_blank" </w:instrText>
                  </w:r>
                  <w:r>
                    <w:rPr>
                      <w:rFonts w:hint="default" w:ascii="Times New Roman" w:hAnsi="Times New Roman" w:eastAsia="Helvetica" w:cs="Times New Roman"/>
                      <w:i w:val="0"/>
                      <w:iCs w:val="0"/>
                      <w:caps w:val="0"/>
                      <w:color w:val="auto"/>
                      <w:spacing w:val="0"/>
                      <w:sz w:val="21"/>
                      <w:szCs w:val="21"/>
                      <w:shd w:val="clear" w:fill="FFFFFF"/>
                    </w:rPr>
                    <w:fldChar w:fldCharType="separate"/>
                  </w:r>
                  <w:r>
                    <w:rPr>
                      <w:rFonts w:hint="default" w:ascii="Times New Roman" w:hAnsi="Times New Roman" w:eastAsia="Helvetica" w:cs="Times New Roman"/>
                      <w:i w:val="0"/>
                      <w:iCs w:val="0"/>
                      <w:caps w:val="0"/>
                      <w:color w:val="auto"/>
                      <w:spacing w:val="0"/>
                      <w:sz w:val="21"/>
                      <w:szCs w:val="21"/>
                      <w:shd w:val="clear" w:fill="FFFFFF"/>
                    </w:rPr>
                    <w:t>肥料添加剂</w:t>
                  </w:r>
                  <w:r>
                    <w:rPr>
                      <w:rFonts w:hint="default" w:ascii="Times New Roman" w:hAnsi="Times New Roman" w:eastAsia="Helvetica" w:cs="Times New Roman"/>
                      <w:i w:val="0"/>
                      <w:iCs w:val="0"/>
                      <w:caps w:val="0"/>
                      <w:color w:val="auto"/>
                      <w:spacing w:val="0"/>
                      <w:sz w:val="21"/>
                      <w:szCs w:val="21"/>
                      <w:shd w:val="clear" w:fill="FFFFFF"/>
                    </w:rPr>
                    <w:fldChar w:fldCharType="end"/>
                  </w:r>
                  <w:r>
                    <w:rPr>
                      <w:rFonts w:hint="default" w:ascii="Times New Roman" w:hAnsi="Times New Roman" w:eastAsia="Helvetica" w:cs="Times New Roman"/>
                      <w:i w:val="0"/>
                      <w:iCs w:val="0"/>
                      <w:caps w:val="0"/>
                      <w:color w:val="auto"/>
                      <w:spacing w:val="0"/>
                      <w:sz w:val="21"/>
                      <w:szCs w:val="21"/>
                      <w:shd w:val="clear" w:fill="FFFFFF"/>
                    </w:rPr>
                    <w:t>以及加工</w:t>
                  </w:r>
                  <w:r>
                    <w:rPr>
                      <w:rFonts w:hint="default" w:ascii="Times New Roman" w:hAnsi="Times New Roman" w:eastAsia="Helvetica" w:cs="Times New Roman"/>
                      <w:i w:val="0"/>
                      <w:iCs w:val="0"/>
                      <w:caps w:val="0"/>
                      <w:color w:val="auto"/>
                      <w:spacing w:val="0"/>
                      <w:sz w:val="21"/>
                      <w:szCs w:val="21"/>
                      <w:shd w:val="clear" w:fill="FFFFFF"/>
                    </w:rPr>
                    <w:fldChar w:fldCharType="begin"/>
                  </w:r>
                  <w:r>
                    <w:rPr>
                      <w:rFonts w:hint="default" w:ascii="Times New Roman" w:hAnsi="Times New Roman" w:eastAsia="Helvetica" w:cs="Times New Roman"/>
                      <w:i w:val="0"/>
                      <w:iCs w:val="0"/>
                      <w:caps w:val="0"/>
                      <w:color w:val="auto"/>
                      <w:spacing w:val="0"/>
                      <w:sz w:val="21"/>
                      <w:szCs w:val="21"/>
                      <w:shd w:val="clear" w:fill="FFFFFF"/>
                    </w:rPr>
                    <w:instrText xml:space="preserve"> HYPERLINK "https://baike.baidu.com/item/%E4%B8%80%E6%B0%B4%E7%A1%AB%E9%85%B8%E4%BA%9A%E9%93%81/4323288?fromModule=lemma_inlink" \t "https://baike.baidu.com/item/_blank" </w:instrText>
                  </w:r>
                  <w:r>
                    <w:rPr>
                      <w:rFonts w:hint="default" w:ascii="Times New Roman" w:hAnsi="Times New Roman" w:eastAsia="Helvetica" w:cs="Times New Roman"/>
                      <w:i w:val="0"/>
                      <w:iCs w:val="0"/>
                      <w:caps w:val="0"/>
                      <w:color w:val="auto"/>
                      <w:spacing w:val="0"/>
                      <w:sz w:val="21"/>
                      <w:szCs w:val="21"/>
                      <w:shd w:val="clear" w:fill="FFFFFF"/>
                    </w:rPr>
                    <w:fldChar w:fldCharType="separate"/>
                  </w:r>
                  <w:r>
                    <w:rPr>
                      <w:rFonts w:hint="default" w:ascii="Times New Roman" w:hAnsi="Times New Roman" w:eastAsia="Helvetica" w:cs="Times New Roman"/>
                      <w:i w:val="0"/>
                      <w:iCs w:val="0"/>
                      <w:caps w:val="0"/>
                      <w:color w:val="auto"/>
                      <w:spacing w:val="0"/>
                      <w:sz w:val="21"/>
                      <w:szCs w:val="21"/>
                      <w:shd w:val="clear" w:fill="FFFFFF"/>
                    </w:rPr>
                    <w:t>一水硫酸亚铁</w:t>
                  </w:r>
                  <w:r>
                    <w:rPr>
                      <w:rFonts w:hint="default" w:ascii="Times New Roman" w:hAnsi="Times New Roman" w:eastAsia="Helvetica" w:cs="Times New Roman"/>
                      <w:i w:val="0"/>
                      <w:iCs w:val="0"/>
                      <w:caps w:val="0"/>
                      <w:color w:val="auto"/>
                      <w:spacing w:val="0"/>
                      <w:sz w:val="21"/>
                      <w:szCs w:val="21"/>
                      <w:shd w:val="clear" w:fill="FFFFFF"/>
                    </w:rPr>
                    <w:fldChar w:fldCharType="end"/>
                  </w:r>
                  <w:r>
                    <w:rPr>
                      <w:rFonts w:hint="default" w:ascii="Times New Roman" w:hAnsi="Times New Roman" w:eastAsia="Helvetica" w:cs="Times New Roman"/>
                      <w:i w:val="0"/>
                      <w:iCs w:val="0"/>
                      <w:caps w:val="0"/>
                      <w:color w:val="auto"/>
                      <w:spacing w:val="0"/>
                      <w:sz w:val="21"/>
                      <w:szCs w:val="21"/>
                      <w:shd w:val="clear" w:fill="FFFFFF"/>
                    </w:rPr>
                    <w:t>等</w:t>
                  </w:r>
                </w:p>
              </w:tc>
            </w:tr>
            <w:tr w14:paraId="5A23EC6B">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0" w:type="dxa"/>
                  <w:tcBorders>
                    <w:tl2br w:val="nil"/>
                    <w:tr2bl w:val="nil"/>
                  </w:tcBorders>
                  <w:vAlign w:val="center"/>
                </w:tcPr>
                <w:p w14:paraId="5E3A3FD4">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6</w:t>
                  </w:r>
                </w:p>
              </w:tc>
              <w:tc>
                <w:tcPr>
                  <w:tcW w:w="1085" w:type="dxa"/>
                  <w:tcBorders>
                    <w:tl2br w:val="nil"/>
                    <w:tr2bl w:val="nil"/>
                  </w:tcBorders>
                  <w:vAlign w:val="center"/>
                </w:tcPr>
                <w:p w14:paraId="259D6BE0">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邻菲罗啉</w:t>
                  </w:r>
                </w:p>
              </w:tc>
              <w:tc>
                <w:tcPr>
                  <w:tcW w:w="2035" w:type="dxa"/>
                  <w:tcBorders>
                    <w:tl2br w:val="nil"/>
                    <w:tr2bl w:val="nil"/>
                  </w:tcBorders>
                  <w:vAlign w:val="center"/>
                </w:tcPr>
                <w:p w14:paraId="1868EE44">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分子式：C</w:t>
                  </w:r>
                  <w:r>
                    <w:rPr>
                      <w:rFonts w:hint="eastAsia" w:cs="Times New Roman"/>
                      <w:color w:val="auto"/>
                      <w:sz w:val="21"/>
                      <w:szCs w:val="21"/>
                      <w:vertAlign w:val="subscript"/>
                      <w:lang w:val="en-US" w:eastAsia="zh-CN"/>
                    </w:rPr>
                    <w:t>12</w:t>
                  </w:r>
                  <w:r>
                    <w:rPr>
                      <w:rFonts w:hint="default" w:ascii="Times New Roman" w:hAnsi="Times New Roman" w:eastAsia="宋体" w:cs="Times New Roman"/>
                      <w:color w:val="auto"/>
                      <w:sz w:val="21"/>
                      <w:szCs w:val="21"/>
                    </w:rPr>
                    <w:t>H</w:t>
                  </w:r>
                  <w:r>
                    <w:rPr>
                      <w:rFonts w:hint="eastAsia" w:cs="Times New Roman"/>
                      <w:color w:val="auto"/>
                      <w:sz w:val="21"/>
                      <w:szCs w:val="21"/>
                      <w:vertAlign w:val="subscript"/>
                      <w:lang w:val="en-US" w:eastAsia="zh-CN"/>
                    </w:rPr>
                    <w:t>8</w:t>
                  </w:r>
                  <w:r>
                    <w:rPr>
                      <w:rFonts w:hint="default" w:ascii="Times New Roman" w:hAnsi="Times New Roman" w:eastAsia="宋体" w:cs="Times New Roman"/>
                      <w:color w:val="auto"/>
                      <w:sz w:val="21"/>
                      <w:szCs w:val="21"/>
                    </w:rPr>
                    <w:t>N</w:t>
                  </w:r>
                  <w:r>
                    <w:rPr>
                      <w:rFonts w:hint="eastAsia" w:cs="Times New Roman"/>
                      <w:color w:val="auto"/>
                      <w:sz w:val="21"/>
                      <w:szCs w:val="21"/>
                      <w:vertAlign w:val="subscript"/>
                      <w:lang w:val="en-US" w:eastAsia="zh-CN"/>
                    </w:rPr>
                    <w:t>2</w:t>
                  </w:r>
                </w:p>
                <w:p w14:paraId="4C28E53C">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分子量：180.205</w:t>
                  </w:r>
                </w:p>
                <w:p w14:paraId="15587A30">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Helvetica" w:hAnsi="Helvetica" w:eastAsia="Helvetica" w:cs="Helvetica"/>
                      <w:i w:val="0"/>
                      <w:iCs w:val="0"/>
                      <w:caps w:val="0"/>
                      <w:color w:val="333333"/>
                      <w:spacing w:val="0"/>
                      <w:sz w:val="21"/>
                      <w:szCs w:val="21"/>
                      <w:shd w:val="clear" w:fill="FFFFFF"/>
                    </w:rPr>
                  </w:pPr>
                  <w:r>
                    <w:rPr>
                      <w:rFonts w:hint="default" w:ascii="Times New Roman" w:hAnsi="Times New Roman" w:eastAsia="宋体" w:cs="Times New Roman"/>
                      <w:color w:val="auto"/>
                      <w:sz w:val="21"/>
                      <w:szCs w:val="21"/>
                    </w:rPr>
                    <w:t>CAS号：66-71-7</w:t>
                  </w:r>
                </w:p>
              </w:tc>
              <w:tc>
                <w:tcPr>
                  <w:tcW w:w="5032" w:type="dxa"/>
                  <w:tcBorders>
                    <w:tl2br w:val="nil"/>
                    <w:tr2bl w:val="nil"/>
                  </w:tcBorders>
                  <w:vAlign w:val="center"/>
                </w:tcPr>
                <w:p w14:paraId="469372C3">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Times New Roman" w:hAnsi="Times New Roman" w:eastAsia="Helvetica" w:cs="Times New Roman"/>
                      <w:i w:val="0"/>
                      <w:iCs w:val="0"/>
                      <w:caps w:val="0"/>
                      <w:color w:val="auto"/>
                      <w:spacing w:val="0"/>
                      <w:sz w:val="21"/>
                      <w:szCs w:val="21"/>
                      <w:shd w:val="clear" w:fill="FFFFFF"/>
                      <w:lang w:eastAsia="zh-CN"/>
                    </w:rPr>
                  </w:pPr>
                  <w:r>
                    <w:rPr>
                      <w:rFonts w:hint="default" w:ascii="Times New Roman" w:hAnsi="Times New Roman" w:eastAsia="Helvetica" w:cs="Times New Roman"/>
                      <w:i w:val="0"/>
                      <w:iCs w:val="0"/>
                      <w:caps w:val="0"/>
                      <w:color w:val="auto"/>
                      <w:spacing w:val="0"/>
                      <w:sz w:val="21"/>
                      <w:szCs w:val="21"/>
                      <w:shd w:val="clear" w:fill="FFFFFF"/>
                    </w:rPr>
                    <w:fldChar w:fldCharType="begin"/>
                  </w:r>
                  <w:r>
                    <w:rPr>
                      <w:rFonts w:hint="default" w:ascii="Times New Roman" w:hAnsi="Times New Roman" w:eastAsia="Helvetica" w:cs="Times New Roman"/>
                      <w:i w:val="0"/>
                      <w:iCs w:val="0"/>
                      <w:caps w:val="0"/>
                      <w:color w:val="auto"/>
                      <w:spacing w:val="0"/>
                      <w:sz w:val="21"/>
                      <w:szCs w:val="21"/>
                      <w:shd w:val="clear" w:fill="FFFFFF"/>
                    </w:rPr>
                    <w:instrText xml:space="preserve"> HYPERLINK "https://baike.baidu.com/item/%E4%B8%80%E6%B0%B4%E5%90%88%E7%89%A9/53190273?fromModule=lemma_inlink" \t "https://baike.baidu.com/item/1%2C10-%E8%8F%B2%E7%BD%97%E5%95%89/_blank" </w:instrText>
                  </w:r>
                  <w:r>
                    <w:rPr>
                      <w:rFonts w:hint="default" w:ascii="Times New Roman" w:hAnsi="Times New Roman" w:eastAsia="Helvetica" w:cs="Times New Roman"/>
                      <w:i w:val="0"/>
                      <w:iCs w:val="0"/>
                      <w:caps w:val="0"/>
                      <w:color w:val="auto"/>
                      <w:spacing w:val="0"/>
                      <w:sz w:val="21"/>
                      <w:szCs w:val="21"/>
                      <w:shd w:val="clear" w:fill="FFFFFF"/>
                    </w:rPr>
                    <w:fldChar w:fldCharType="separate"/>
                  </w:r>
                  <w:r>
                    <w:rPr>
                      <w:rFonts w:hint="default" w:ascii="Times New Roman" w:hAnsi="Times New Roman" w:eastAsia="Helvetica" w:cs="Times New Roman"/>
                      <w:i w:val="0"/>
                      <w:iCs w:val="0"/>
                      <w:caps w:val="0"/>
                      <w:color w:val="auto"/>
                      <w:spacing w:val="0"/>
                      <w:sz w:val="21"/>
                      <w:szCs w:val="21"/>
                      <w:shd w:val="clear" w:fill="FFFFFF"/>
                    </w:rPr>
                    <w:t>一水合物</w:t>
                  </w:r>
                  <w:r>
                    <w:rPr>
                      <w:rFonts w:hint="default" w:ascii="Times New Roman" w:hAnsi="Times New Roman" w:eastAsia="Helvetica" w:cs="Times New Roman"/>
                      <w:i w:val="0"/>
                      <w:iCs w:val="0"/>
                      <w:caps w:val="0"/>
                      <w:color w:val="auto"/>
                      <w:spacing w:val="0"/>
                      <w:sz w:val="21"/>
                      <w:szCs w:val="21"/>
                      <w:shd w:val="clear" w:fill="FFFFFF"/>
                    </w:rPr>
                    <w:fldChar w:fldCharType="end"/>
                  </w:r>
                  <w:r>
                    <w:rPr>
                      <w:rFonts w:hint="default" w:ascii="Times New Roman" w:hAnsi="Times New Roman" w:eastAsia="Helvetica" w:cs="Times New Roman"/>
                      <w:i w:val="0"/>
                      <w:iCs w:val="0"/>
                      <w:caps w:val="0"/>
                      <w:color w:val="auto"/>
                      <w:spacing w:val="0"/>
                      <w:sz w:val="21"/>
                      <w:szCs w:val="21"/>
                      <w:shd w:val="clear" w:fill="FFFFFF"/>
                    </w:rPr>
                    <w:t>为白色</w:t>
                  </w:r>
                  <w:r>
                    <w:rPr>
                      <w:rFonts w:hint="default" w:ascii="Times New Roman" w:hAnsi="Times New Roman" w:eastAsia="Helvetica" w:cs="Times New Roman"/>
                      <w:i w:val="0"/>
                      <w:iCs w:val="0"/>
                      <w:caps w:val="0"/>
                      <w:color w:val="auto"/>
                      <w:spacing w:val="0"/>
                      <w:sz w:val="21"/>
                      <w:szCs w:val="21"/>
                      <w:shd w:val="clear" w:fill="FFFFFF"/>
                    </w:rPr>
                    <w:fldChar w:fldCharType="begin"/>
                  </w:r>
                  <w:r>
                    <w:rPr>
                      <w:rFonts w:hint="default" w:ascii="Times New Roman" w:hAnsi="Times New Roman" w:eastAsia="Helvetica" w:cs="Times New Roman"/>
                      <w:i w:val="0"/>
                      <w:iCs w:val="0"/>
                      <w:caps w:val="0"/>
                      <w:color w:val="auto"/>
                      <w:spacing w:val="0"/>
                      <w:sz w:val="21"/>
                      <w:szCs w:val="21"/>
                      <w:shd w:val="clear" w:fill="FFFFFF"/>
                    </w:rPr>
                    <w:instrText xml:space="preserve"> HYPERLINK "https://baike.baidu.com/item/%E7%BB%93%E6%99%B6%E6%80%A7/6830050?fromModule=lemma_inlink" \t "https://baike.baidu.com/item/1%2C10-%E8%8F%B2%E7%BD%97%E5%95%89/_blank" </w:instrText>
                  </w:r>
                  <w:r>
                    <w:rPr>
                      <w:rFonts w:hint="default" w:ascii="Times New Roman" w:hAnsi="Times New Roman" w:eastAsia="Helvetica" w:cs="Times New Roman"/>
                      <w:i w:val="0"/>
                      <w:iCs w:val="0"/>
                      <w:caps w:val="0"/>
                      <w:color w:val="auto"/>
                      <w:spacing w:val="0"/>
                      <w:sz w:val="21"/>
                      <w:szCs w:val="21"/>
                      <w:shd w:val="clear" w:fill="FFFFFF"/>
                    </w:rPr>
                    <w:fldChar w:fldCharType="separate"/>
                  </w:r>
                  <w:r>
                    <w:rPr>
                      <w:rFonts w:hint="default" w:ascii="Times New Roman" w:hAnsi="Times New Roman" w:eastAsia="Helvetica" w:cs="Times New Roman"/>
                      <w:i w:val="0"/>
                      <w:iCs w:val="0"/>
                      <w:caps w:val="0"/>
                      <w:color w:val="auto"/>
                      <w:spacing w:val="0"/>
                      <w:sz w:val="21"/>
                      <w:szCs w:val="21"/>
                      <w:shd w:val="clear" w:fill="FFFFFF"/>
                    </w:rPr>
                    <w:t>结晶性</w:t>
                  </w:r>
                  <w:r>
                    <w:rPr>
                      <w:rFonts w:hint="default" w:ascii="Times New Roman" w:hAnsi="Times New Roman" w:eastAsia="Helvetica" w:cs="Times New Roman"/>
                      <w:i w:val="0"/>
                      <w:iCs w:val="0"/>
                      <w:caps w:val="0"/>
                      <w:color w:val="auto"/>
                      <w:spacing w:val="0"/>
                      <w:sz w:val="21"/>
                      <w:szCs w:val="21"/>
                      <w:shd w:val="clear" w:fill="FFFFFF"/>
                    </w:rPr>
                    <w:fldChar w:fldCharType="end"/>
                  </w:r>
                  <w:r>
                    <w:rPr>
                      <w:rFonts w:hint="default" w:ascii="Times New Roman" w:hAnsi="Times New Roman" w:eastAsia="Helvetica" w:cs="Times New Roman"/>
                      <w:i w:val="0"/>
                      <w:iCs w:val="0"/>
                      <w:caps w:val="0"/>
                      <w:color w:val="auto"/>
                      <w:spacing w:val="0"/>
                      <w:sz w:val="21"/>
                      <w:szCs w:val="21"/>
                      <w:shd w:val="clear" w:fill="FFFFFF"/>
                    </w:rPr>
                    <w:t>粉末</w:t>
                  </w:r>
                  <w:r>
                    <w:rPr>
                      <w:rFonts w:hint="eastAsia" w:ascii="Times New Roman" w:hAnsi="Times New Roman" w:eastAsia="Helvetica" w:cs="Times New Roman"/>
                      <w:i w:val="0"/>
                      <w:iCs w:val="0"/>
                      <w:caps w:val="0"/>
                      <w:color w:val="auto"/>
                      <w:spacing w:val="0"/>
                      <w:sz w:val="21"/>
                      <w:szCs w:val="21"/>
                      <w:shd w:val="clear" w:fill="FFFFFF"/>
                      <w:lang w:eastAsia="zh-CN"/>
                    </w:rPr>
                    <w:t>，</w:t>
                  </w:r>
                  <w:r>
                    <w:rPr>
                      <w:rFonts w:hint="default" w:ascii="Times New Roman" w:hAnsi="Times New Roman" w:eastAsia="Helvetica" w:cs="Times New Roman"/>
                      <w:i w:val="0"/>
                      <w:iCs w:val="0"/>
                      <w:caps w:val="0"/>
                      <w:color w:val="auto"/>
                      <w:spacing w:val="0"/>
                      <w:sz w:val="21"/>
                      <w:szCs w:val="21"/>
                      <w:shd w:val="clear" w:fill="FFFFFF"/>
                      <w:lang w:val="en-US" w:eastAsia="zh-CN"/>
                    </w:rPr>
                    <w:t>密度：1.10</w:t>
                  </w:r>
                  <w:r>
                    <w:rPr>
                      <w:rFonts w:hint="default" w:ascii="Times New Roman" w:hAnsi="Times New Roman" w:eastAsia="Helvetica" w:cs="Times New Roman"/>
                      <w:i w:val="0"/>
                      <w:iCs w:val="0"/>
                      <w:caps w:val="0"/>
                      <w:color w:val="auto"/>
                      <w:spacing w:val="0"/>
                      <w:sz w:val="21"/>
                      <w:szCs w:val="21"/>
                      <w:shd w:val="clear" w:fill="FFFFFF"/>
                    </w:rPr>
                    <w:t>g/cm³</w:t>
                  </w:r>
                  <w:r>
                    <w:rPr>
                      <w:rFonts w:hint="eastAsia" w:eastAsia="宋体" w:cs="Times New Roman"/>
                      <w:i w:val="0"/>
                      <w:iCs w:val="0"/>
                      <w:caps w:val="0"/>
                      <w:color w:val="auto"/>
                      <w:spacing w:val="0"/>
                      <w:sz w:val="21"/>
                      <w:szCs w:val="21"/>
                      <w:shd w:val="clear" w:fill="FFFFFF"/>
                      <w:lang w:eastAsia="zh-CN"/>
                    </w:rPr>
                    <w:t>，</w:t>
                  </w:r>
                  <w:r>
                    <w:rPr>
                      <w:rFonts w:hint="default" w:ascii="Times New Roman" w:hAnsi="Times New Roman" w:eastAsia="Helvetica" w:cs="Times New Roman"/>
                      <w:i w:val="0"/>
                      <w:iCs w:val="0"/>
                      <w:caps w:val="0"/>
                      <w:color w:val="auto"/>
                      <w:spacing w:val="0"/>
                      <w:sz w:val="21"/>
                      <w:szCs w:val="21"/>
                      <w:shd w:val="clear" w:fill="FFFFFF"/>
                      <w:lang w:val="en-US" w:eastAsia="zh-CN"/>
                    </w:rPr>
                    <w:t>熔点：93-94℃，</w:t>
                  </w:r>
                  <w:r>
                    <w:rPr>
                      <w:rFonts w:hint="default" w:ascii="Times New Roman" w:hAnsi="Times New Roman" w:eastAsia="Helvetica" w:cs="Times New Roman"/>
                      <w:i w:val="0"/>
                      <w:iCs w:val="0"/>
                      <w:caps w:val="0"/>
                      <w:color w:val="auto"/>
                      <w:spacing w:val="0"/>
                      <w:sz w:val="21"/>
                      <w:szCs w:val="21"/>
                      <w:shd w:val="clear" w:fill="FFFFFF"/>
                      <w:lang w:val="en-US" w:eastAsia="zh-CN"/>
                    </w:rPr>
                    <w:fldChar w:fldCharType="begin"/>
                  </w:r>
                  <w:r>
                    <w:rPr>
                      <w:rFonts w:hint="default" w:ascii="Times New Roman" w:hAnsi="Times New Roman" w:eastAsia="Helvetica" w:cs="Times New Roman"/>
                      <w:i w:val="0"/>
                      <w:iCs w:val="0"/>
                      <w:caps w:val="0"/>
                      <w:color w:val="auto"/>
                      <w:spacing w:val="0"/>
                      <w:sz w:val="21"/>
                      <w:szCs w:val="21"/>
                      <w:shd w:val="clear" w:fill="FFFFFF"/>
                      <w:lang w:val="en-US" w:eastAsia="zh-CN"/>
                    </w:rPr>
                    <w:instrText xml:space="preserve"> HYPERLINK "https://baike.baidu.com/item/%E6%97%A0%E6%B0%B4%E7%89%A9/9789868?fromModule=lemma_inlink" \t "https://baike.baidu.com/item/1%2C10-%E8%8F%B2%E7%BD%97%E5%95%89/_blank" </w:instrText>
                  </w:r>
                  <w:r>
                    <w:rPr>
                      <w:rFonts w:hint="default" w:ascii="Times New Roman" w:hAnsi="Times New Roman" w:eastAsia="Helvetica" w:cs="Times New Roman"/>
                      <w:i w:val="0"/>
                      <w:iCs w:val="0"/>
                      <w:caps w:val="0"/>
                      <w:color w:val="auto"/>
                      <w:spacing w:val="0"/>
                      <w:sz w:val="21"/>
                      <w:szCs w:val="21"/>
                      <w:shd w:val="clear" w:fill="FFFFFF"/>
                      <w:lang w:val="en-US" w:eastAsia="zh-CN"/>
                    </w:rPr>
                    <w:fldChar w:fldCharType="separate"/>
                  </w:r>
                  <w:r>
                    <w:rPr>
                      <w:rFonts w:hint="default" w:ascii="Times New Roman" w:hAnsi="Times New Roman" w:eastAsia="Helvetica" w:cs="Times New Roman"/>
                      <w:i w:val="0"/>
                      <w:iCs w:val="0"/>
                      <w:caps w:val="0"/>
                      <w:color w:val="auto"/>
                      <w:spacing w:val="0"/>
                      <w:sz w:val="21"/>
                      <w:szCs w:val="21"/>
                      <w:shd w:val="clear" w:fill="FFFFFF"/>
                    </w:rPr>
                    <w:t>无水物</w:t>
                  </w:r>
                  <w:r>
                    <w:rPr>
                      <w:rFonts w:hint="default" w:ascii="Times New Roman" w:hAnsi="Times New Roman" w:eastAsia="Helvetica" w:cs="Times New Roman"/>
                      <w:i w:val="0"/>
                      <w:iCs w:val="0"/>
                      <w:caps w:val="0"/>
                      <w:color w:val="auto"/>
                      <w:spacing w:val="0"/>
                      <w:sz w:val="21"/>
                      <w:szCs w:val="21"/>
                      <w:shd w:val="clear" w:fill="FFFFFF"/>
                      <w:lang w:val="en-US" w:eastAsia="zh-CN"/>
                    </w:rPr>
                    <w:fldChar w:fldCharType="end"/>
                  </w:r>
                  <w:r>
                    <w:rPr>
                      <w:rFonts w:hint="default" w:ascii="Times New Roman" w:hAnsi="Times New Roman" w:eastAsia="Helvetica" w:cs="Times New Roman"/>
                      <w:i w:val="0"/>
                      <w:iCs w:val="0"/>
                      <w:caps w:val="0"/>
                      <w:color w:val="auto"/>
                      <w:spacing w:val="0"/>
                      <w:sz w:val="21"/>
                      <w:szCs w:val="21"/>
                      <w:shd w:val="clear" w:fill="FFFFFF"/>
                      <w:lang w:val="en-US" w:eastAsia="zh-CN"/>
                    </w:rPr>
                    <w:t>熔点为117℃</w:t>
                  </w:r>
                  <w:r>
                    <w:rPr>
                      <w:rFonts w:hint="eastAsia" w:eastAsia="宋体" w:cs="Times New Roman"/>
                      <w:i w:val="0"/>
                      <w:iCs w:val="0"/>
                      <w:caps w:val="0"/>
                      <w:color w:val="auto"/>
                      <w:spacing w:val="0"/>
                      <w:sz w:val="21"/>
                      <w:szCs w:val="21"/>
                      <w:shd w:val="clear" w:fill="FFFFFF"/>
                      <w:lang w:eastAsia="zh-CN"/>
                    </w:rPr>
                    <w:t>，</w:t>
                  </w:r>
                  <w:r>
                    <w:rPr>
                      <w:rFonts w:hint="default" w:ascii="Times New Roman" w:hAnsi="Times New Roman" w:eastAsia="Helvetica" w:cs="Times New Roman"/>
                      <w:i w:val="0"/>
                      <w:iCs w:val="0"/>
                      <w:caps w:val="0"/>
                      <w:color w:val="auto"/>
                      <w:spacing w:val="0"/>
                      <w:sz w:val="21"/>
                      <w:szCs w:val="21"/>
                      <w:shd w:val="clear" w:fill="FFFFFF"/>
                      <w:lang w:val="en-US" w:eastAsia="zh-CN"/>
                    </w:rPr>
                    <w:fldChar w:fldCharType="begin"/>
                  </w:r>
                  <w:r>
                    <w:rPr>
                      <w:rFonts w:hint="default" w:ascii="Times New Roman" w:hAnsi="Times New Roman" w:eastAsia="Helvetica" w:cs="Times New Roman"/>
                      <w:i w:val="0"/>
                      <w:iCs w:val="0"/>
                      <w:caps w:val="0"/>
                      <w:color w:val="auto"/>
                      <w:spacing w:val="0"/>
                      <w:sz w:val="21"/>
                      <w:szCs w:val="21"/>
                      <w:shd w:val="clear" w:fill="FFFFFF"/>
                      <w:lang w:val="en-US" w:eastAsia="zh-CN"/>
                    </w:rPr>
                    <w:instrText xml:space="preserve"> HYPERLINK "https://baike.baidu.com/item/%E6%BA%B6%E8%A7%A3%E6%80%A7/1134279?fromModule=lemma_inlink" \t "https://baike.baidu.com/item/1%2C10-%E8%8F%B2%E7%BD%97%E5%95%89/_blank" </w:instrText>
                  </w:r>
                  <w:r>
                    <w:rPr>
                      <w:rFonts w:hint="default" w:ascii="Times New Roman" w:hAnsi="Times New Roman" w:eastAsia="Helvetica" w:cs="Times New Roman"/>
                      <w:i w:val="0"/>
                      <w:iCs w:val="0"/>
                      <w:caps w:val="0"/>
                      <w:color w:val="auto"/>
                      <w:spacing w:val="0"/>
                      <w:sz w:val="21"/>
                      <w:szCs w:val="21"/>
                      <w:shd w:val="clear" w:fill="FFFFFF"/>
                      <w:lang w:val="en-US" w:eastAsia="zh-CN"/>
                    </w:rPr>
                    <w:fldChar w:fldCharType="separate"/>
                  </w:r>
                  <w:r>
                    <w:rPr>
                      <w:rFonts w:hint="default" w:ascii="Times New Roman" w:hAnsi="Times New Roman" w:eastAsia="Helvetica" w:cs="Times New Roman"/>
                      <w:i w:val="0"/>
                      <w:iCs w:val="0"/>
                      <w:caps w:val="0"/>
                      <w:color w:val="auto"/>
                      <w:spacing w:val="0"/>
                      <w:sz w:val="21"/>
                      <w:szCs w:val="21"/>
                      <w:shd w:val="clear" w:fill="FFFFFF"/>
                    </w:rPr>
                    <w:t>溶解性</w:t>
                  </w:r>
                  <w:r>
                    <w:rPr>
                      <w:rFonts w:hint="default" w:ascii="Times New Roman" w:hAnsi="Times New Roman" w:eastAsia="Helvetica" w:cs="Times New Roman"/>
                      <w:i w:val="0"/>
                      <w:iCs w:val="0"/>
                      <w:caps w:val="0"/>
                      <w:color w:val="auto"/>
                      <w:spacing w:val="0"/>
                      <w:sz w:val="21"/>
                      <w:szCs w:val="21"/>
                      <w:shd w:val="clear" w:fill="FFFFFF"/>
                      <w:lang w:val="en-US" w:eastAsia="zh-CN"/>
                    </w:rPr>
                    <w:fldChar w:fldCharType="end"/>
                  </w:r>
                  <w:r>
                    <w:rPr>
                      <w:rFonts w:hint="default" w:ascii="Times New Roman" w:hAnsi="Times New Roman" w:eastAsia="Helvetica" w:cs="Times New Roman"/>
                      <w:i w:val="0"/>
                      <w:iCs w:val="0"/>
                      <w:caps w:val="0"/>
                      <w:color w:val="auto"/>
                      <w:spacing w:val="0"/>
                      <w:sz w:val="21"/>
                      <w:szCs w:val="21"/>
                      <w:shd w:val="clear" w:fill="FFFFFF"/>
                      <w:lang w:val="en-US" w:eastAsia="zh-CN"/>
                    </w:rPr>
                    <w:t>：溶于300份水，70份苯，溶于</w:t>
                  </w:r>
                  <w:r>
                    <w:rPr>
                      <w:rFonts w:hint="default" w:ascii="Times New Roman" w:hAnsi="Times New Roman" w:eastAsia="Helvetica" w:cs="Times New Roman"/>
                      <w:i w:val="0"/>
                      <w:iCs w:val="0"/>
                      <w:caps w:val="0"/>
                      <w:color w:val="auto"/>
                      <w:spacing w:val="0"/>
                      <w:sz w:val="21"/>
                      <w:szCs w:val="21"/>
                      <w:shd w:val="clear" w:fill="FFFFFF"/>
                      <w:lang w:val="en-US" w:eastAsia="zh-CN"/>
                    </w:rPr>
                    <w:fldChar w:fldCharType="begin"/>
                  </w:r>
                  <w:r>
                    <w:rPr>
                      <w:rFonts w:hint="default" w:ascii="Times New Roman" w:hAnsi="Times New Roman" w:eastAsia="Helvetica" w:cs="Times New Roman"/>
                      <w:i w:val="0"/>
                      <w:iCs w:val="0"/>
                      <w:caps w:val="0"/>
                      <w:color w:val="auto"/>
                      <w:spacing w:val="0"/>
                      <w:sz w:val="21"/>
                      <w:szCs w:val="21"/>
                      <w:shd w:val="clear" w:fill="FFFFFF"/>
                      <w:lang w:val="en-US" w:eastAsia="zh-CN"/>
                    </w:rPr>
                    <w:instrText xml:space="preserve"> HYPERLINK "https://baike.baidu.com/item/%E9%86%87/13011860?fromModule=lemma_inlink" \t "https://baike.baidu.com/item/1%2C10-%E8%8F%B2%E7%BD%97%E5%95%89/_blank" </w:instrText>
                  </w:r>
                  <w:r>
                    <w:rPr>
                      <w:rFonts w:hint="default" w:ascii="Times New Roman" w:hAnsi="Times New Roman" w:eastAsia="Helvetica" w:cs="Times New Roman"/>
                      <w:i w:val="0"/>
                      <w:iCs w:val="0"/>
                      <w:caps w:val="0"/>
                      <w:color w:val="auto"/>
                      <w:spacing w:val="0"/>
                      <w:sz w:val="21"/>
                      <w:szCs w:val="21"/>
                      <w:shd w:val="clear" w:fill="FFFFFF"/>
                      <w:lang w:val="en-US" w:eastAsia="zh-CN"/>
                    </w:rPr>
                    <w:fldChar w:fldCharType="separate"/>
                  </w:r>
                  <w:r>
                    <w:rPr>
                      <w:rFonts w:hint="default" w:ascii="Times New Roman" w:hAnsi="Times New Roman" w:eastAsia="Helvetica" w:cs="Times New Roman"/>
                      <w:i w:val="0"/>
                      <w:iCs w:val="0"/>
                      <w:caps w:val="0"/>
                      <w:color w:val="auto"/>
                      <w:spacing w:val="0"/>
                      <w:sz w:val="21"/>
                      <w:szCs w:val="21"/>
                      <w:shd w:val="clear" w:fill="FFFFFF"/>
                    </w:rPr>
                    <w:t>醇</w:t>
                  </w:r>
                  <w:r>
                    <w:rPr>
                      <w:rFonts w:hint="default" w:ascii="Times New Roman" w:hAnsi="Times New Roman" w:eastAsia="Helvetica" w:cs="Times New Roman"/>
                      <w:i w:val="0"/>
                      <w:iCs w:val="0"/>
                      <w:caps w:val="0"/>
                      <w:color w:val="auto"/>
                      <w:spacing w:val="0"/>
                      <w:sz w:val="21"/>
                      <w:szCs w:val="21"/>
                      <w:shd w:val="clear" w:fill="FFFFFF"/>
                      <w:lang w:val="en-US" w:eastAsia="zh-CN"/>
                    </w:rPr>
                    <w:fldChar w:fldCharType="end"/>
                  </w:r>
                  <w:r>
                    <w:rPr>
                      <w:rFonts w:hint="default" w:ascii="Times New Roman" w:hAnsi="Times New Roman" w:eastAsia="Helvetica" w:cs="Times New Roman"/>
                      <w:i w:val="0"/>
                      <w:iCs w:val="0"/>
                      <w:caps w:val="0"/>
                      <w:color w:val="auto"/>
                      <w:spacing w:val="0"/>
                      <w:sz w:val="21"/>
                      <w:szCs w:val="21"/>
                      <w:shd w:val="clear" w:fill="FFFFFF"/>
                      <w:lang w:val="en-US" w:eastAsia="zh-CN"/>
                    </w:rPr>
                    <w:t>和</w:t>
                  </w:r>
                  <w:r>
                    <w:rPr>
                      <w:rFonts w:hint="default" w:ascii="Times New Roman" w:hAnsi="Times New Roman" w:eastAsia="Helvetica" w:cs="Times New Roman"/>
                      <w:i w:val="0"/>
                      <w:iCs w:val="0"/>
                      <w:caps w:val="0"/>
                      <w:color w:val="auto"/>
                      <w:spacing w:val="0"/>
                      <w:sz w:val="21"/>
                      <w:szCs w:val="21"/>
                      <w:shd w:val="clear" w:fill="FFFFFF"/>
                      <w:lang w:val="en-US" w:eastAsia="zh-CN"/>
                    </w:rPr>
                    <w:fldChar w:fldCharType="begin"/>
                  </w:r>
                  <w:r>
                    <w:rPr>
                      <w:rFonts w:hint="default" w:ascii="Times New Roman" w:hAnsi="Times New Roman" w:eastAsia="Helvetica" w:cs="Times New Roman"/>
                      <w:i w:val="0"/>
                      <w:iCs w:val="0"/>
                      <w:caps w:val="0"/>
                      <w:color w:val="auto"/>
                      <w:spacing w:val="0"/>
                      <w:sz w:val="21"/>
                      <w:szCs w:val="21"/>
                      <w:shd w:val="clear" w:fill="FFFFFF"/>
                      <w:lang w:val="en-US" w:eastAsia="zh-CN"/>
                    </w:rPr>
                    <w:instrText xml:space="preserve"> HYPERLINK "https://baike.baidu.com/item/%E4%B8%99%E9%85%AE/955883?fromModule=lemma_inlink" \t "https://baike.baidu.com/item/1%2C10-%E8%8F%B2%E7%BD%97%E5%95%89/_blank" </w:instrText>
                  </w:r>
                  <w:r>
                    <w:rPr>
                      <w:rFonts w:hint="default" w:ascii="Times New Roman" w:hAnsi="Times New Roman" w:eastAsia="Helvetica" w:cs="Times New Roman"/>
                      <w:i w:val="0"/>
                      <w:iCs w:val="0"/>
                      <w:caps w:val="0"/>
                      <w:color w:val="auto"/>
                      <w:spacing w:val="0"/>
                      <w:sz w:val="21"/>
                      <w:szCs w:val="21"/>
                      <w:shd w:val="clear" w:fill="FFFFFF"/>
                      <w:lang w:val="en-US" w:eastAsia="zh-CN"/>
                    </w:rPr>
                    <w:fldChar w:fldCharType="separate"/>
                  </w:r>
                  <w:r>
                    <w:rPr>
                      <w:rFonts w:hint="default" w:ascii="Times New Roman" w:hAnsi="Times New Roman" w:eastAsia="Helvetica" w:cs="Times New Roman"/>
                      <w:i w:val="0"/>
                      <w:iCs w:val="0"/>
                      <w:caps w:val="0"/>
                      <w:color w:val="auto"/>
                      <w:spacing w:val="0"/>
                      <w:sz w:val="21"/>
                      <w:szCs w:val="21"/>
                      <w:shd w:val="clear" w:fill="FFFFFF"/>
                    </w:rPr>
                    <w:t>丙酮</w:t>
                  </w:r>
                  <w:r>
                    <w:rPr>
                      <w:rFonts w:hint="default" w:ascii="Times New Roman" w:hAnsi="Times New Roman" w:eastAsia="Helvetica" w:cs="Times New Roman"/>
                      <w:i w:val="0"/>
                      <w:iCs w:val="0"/>
                      <w:caps w:val="0"/>
                      <w:color w:val="auto"/>
                      <w:spacing w:val="0"/>
                      <w:sz w:val="21"/>
                      <w:szCs w:val="21"/>
                      <w:shd w:val="clear" w:fill="FFFFFF"/>
                      <w:lang w:val="en-US" w:eastAsia="zh-CN"/>
                    </w:rPr>
                    <w:fldChar w:fldCharType="end"/>
                  </w:r>
                  <w:r>
                    <w:rPr>
                      <w:rFonts w:hint="default" w:ascii="Times New Roman" w:hAnsi="Times New Roman" w:eastAsia="Helvetica" w:cs="Times New Roman"/>
                      <w:i w:val="0"/>
                      <w:iCs w:val="0"/>
                      <w:caps w:val="0"/>
                      <w:color w:val="auto"/>
                      <w:spacing w:val="0"/>
                      <w:sz w:val="21"/>
                      <w:szCs w:val="21"/>
                      <w:shd w:val="clear" w:fill="FFFFFF"/>
                      <w:lang w:val="en-US" w:eastAsia="zh-CN"/>
                    </w:rPr>
                    <w:t>，不溶于</w:t>
                  </w:r>
                  <w:r>
                    <w:rPr>
                      <w:rFonts w:hint="default" w:ascii="Times New Roman" w:hAnsi="Times New Roman" w:eastAsia="Helvetica" w:cs="Times New Roman"/>
                      <w:i w:val="0"/>
                      <w:iCs w:val="0"/>
                      <w:caps w:val="0"/>
                      <w:color w:val="auto"/>
                      <w:spacing w:val="0"/>
                      <w:sz w:val="21"/>
                      <w:szCs w:val="21"/>
                      <w:shd w:val="clear" w:fill="FFFFFF"/>
                      <w:lang w:val="en-US" w:eastAsia="zh-CN"/>
                    </w:rPr>
                    <w:fldChar w:fldCharType="begin"/>
                  </w:r>
                  <w:r>
                    <w:rPr>
                      <w:rFonts w:hint="default" w:ascii="Times New Roman" w:hAnsi="Times New Roman" w:eastAsia="Helvetica" w:cs="Times New Roman"/>
                      <w:i w:val="0"/>
                      <w:iCs w:val="0"/>
                      <w:caps w:val="0"/>
                      <w:color w:val="auto"/>
                      <w:spacing w:val="0"/>
                      <w:sz w:val="21"/>
                      <w:szCs w:val="21"/>
                      <w:shd w:val="clear" w:fill="FFFFFF"/>
                      <w:lang w:val="en-US" w:eastAsia="zh-CN"/>
                    </w:rPr>
                    <w:instrText xml:space="preserve"> HYPERLINK "https://baike.baidu.com/item/%E7%9F%B3%E6%B2%B9%E9%86%9A/2519986?fromModule=lemma_inlink" \t "https://baike.baidu.com/item/1%2C10-%E8%8F%B2%E7%BD%97%E5%95%89/_blank" </w:instrText>
                  </w:r>
                  <w:r>
                    <w:rPr>
                      <w:rFonts w:hint="default" w:ascii="Times New Roman" w:hAnsi="Times New Roman" w:eastAsia="Helvetica" w:cs="Times New Roman"/>
                      <w:i w:val="0"/>
                      <w:iCs w:val="0"/>
                      <w:caps w:val="0"/>
                      <w:color w:val="auto"/>
                      <w:spacing w:val="0"/>
                      <w:sz w:val="21"/>
                      <w:szCs w:val="21"/>
                      <w:shd w:val="clear" w:fill="FFFFFF"/>
                      <w:lang w:val="en-US" w:eastAsia="zh-CN"/>
                    </w:rPr>
                    <w:fldChar w:fldCharType="separate"/>
                  </w:r>
                  <w:r>
                    <w:rPr>
                      <w:rFonts w:hint="default" w:ascii="Times New Roman" w:hAnsi="Times New Roman" w:eastAsia="Helvetica" w:cs="Times New Roman"/>
                      <w:i w:val="0"/>
                      <w:iCs w:val="0"/>
                      <w:caps w:val="0"/>
                      <w:color w:val="auto"/>
                      <w:spacing w:val="0"/>
                      <w:sz w:val="21"/>
                      <w:szCs w:val="21"/>
                      <w:shd w:val="clear" w:fill="FFFFFF"/>
                    </w:rPr>
                    <w:t>石油醚</w:t>
                  </w:r>
                  <w:r>
                    <w:rPr>
                      <w:rFonts w:hint="default" w:ascii="Times New Roman" w:hAnsi="Times New Roman" w:eastAsia="Helvetica" w:cs="Times New Roman"/>
                      <w:i w:val="0"/>
                      <w:iCs w:val="0"/>
                      <w:caps w:val="0"/>
                      <w:color w:val="auto"/>
                      <w:spacing w:val="0"/>
                      <w:sz w:val="21"/>
                      <w:szCs w:val="21"/>
                      <w:shd w:val="clear" w:fill="FFFFFF"/>
                      <w:lang w:val="en-US" w:eastAsia="zh-CN"/>
                    </w:rPr>
                    <w:fldChar w:fldCharType="end"/>
                  </w:r>
                  <w:r>
                    <w:rPr>
                      <w:rFonts w:hint="default" w:ascii="Times New Roman" w:hAnsi="Times New Roman" w:eastAsia="Helvetica" w:cs="Times New Roman"/>
                      <w:i w:val="0"/>
                      <w:iCs w:val="0"/>
                      <w:caps w:val="0"/>
                      <w:color w:val="auto"/>
                      <w:spacing w:val="0"/>
                      <w:sz w:val="21"/>
                      <w:szCs w:val="21"/>
                      <w:shd w:val="clear" w:fill="FFFFFF"/>
                      <w:lang w:val="en-US" w:eastAsia="zh-CN"/>
                    </w:rPr>
                    <w:t>。是光谱测定金属和光谱分析CO₂还原的常用配体</w:t>
                  </w:r>
                  <w:r>
                    <w:rPr>
                      <w:rFonts w:hint="eastAsia" w:eastAsia="Helvetica" w:cs="Times New Roman"/>
                      <w:i w:val="0"/>
                      <w:iCs w:val="0"/>
                      <w:caps w:val="0"/>
                      <w:color w:val="auto"/>
                      <w:spacing w:val="0"/>
                      <w:sz w:val="21"/>
                      <w:szCs w:val="21"/>
                      <w:shd w:val="clear" w:fill="FFFFFF"/>
                      <w:lang w:val="en-US" w:eastAsia="zh-CN"/>
                    </w:rPr>
                    <w:t>。</w:t>
                  </w:r>
                </w:p>
              </w:tc>
            </w:tr>
            <w:tr w14:paraId="651C82DD">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0" w:type="dxa"/>
                  <w:tcBorders>
                    <w:tl2br w:val="nil"/>
                    <w:tr2bl w:val="nil"/>
                  </w:tcBorders>
                  <w:vAlign w:val="center"/>
                </w:tcPr>
                <w:p w14:paraId="5237218D">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7</w:t>
                  </w:r>
                </w:p>
              </w:tc>
              <w:tc>
                <w:tcPr>
                  <w:tcW w:w="1085" w:type="dxa"/>
                  <w:tcBorders>
                    <w:tl2br w:val="nil"/>
                    <w:tr2bl w:val="nil"/>
                  </w:tcBorders>
                  <w:vAlign w:val="center"/>
                </w:tcPr>
                <w:p w14:paraId="014CB507">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氢氧化钠</w:t>
                  </w:r>
                </w:p>
              </w:tc>
              <w:tc>
                <w:tcPr>
                  <w:tcW w:w="2035" w:type="dxa"/>
                  <w:tcBorders>
                    <w:tl2br w:val="nil"/>
                    <w:tr2bl w:val="nil"/>
                  </w:tcBorders>
                  <w:vAlign w:val="center"/>
                </w:tcPr>
                <w:p w14:paraId="27EFED25">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分子式：NaO</w:t>
                  </w:r>
                  <w:r>
                    <w:rPr>
                      <w:rFonts w:ascii="Times New Roman" w:hAnsi="Times New Roman" w:eastAsia="宋体" w:cs="Times New Roman"/>
                      <w:color w:val="000000"/>
                      <w:sz w:val="21"/>
                      <w:szCs w:val="21"/>
                      <w:shd w:val="clear" w:color="auto" w:fill="FFFFFF"/>
                    </w:rPr>
                    <w:t>H</w:t>
                  </w:r>
                </w:p>
                <w:p w14:paraId="5A756DB0">
                  <w:pPr>
                    <w:pStyle w:val="44"/>
                    <w:keepNext w:val="0"/>
                    <w:keepLines w:val="0"/>
                    <w:pageBreakBefore w:val="0"/>
                    <w:widowControl w:val="0"/>
                    <w:tabs>
                      <w:tab w:val="left" w:pos="420"/>
                      <w:tab w:val="left" w:pos="870"/>
                      <w:tab w:val="left" w:pos="3150"/>
                    </w:tabs>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000000"/>
                      <w:sz w:val="21"/>
                      <w:szCs w:val="21"/>
                    </w:rPr>
                  </w:pPr>
                  <w:r>
                    <w:rPr>
                      <w:rFonts w:ascii="Times New Roman" w:hAnsi="Times New Roman"/>
                      <w:color w:val="000000"/>
                      <w:sz w:val="21"/>
                      <w:szCs w:val="21"/>
                    </w:rPr>
                    <w:t>分子量：40.01</w:t>
                  </w:r>
                </w:p>
                <w:p w14:paraId="06142D8E">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CAS号：</w:t>
                  </w:r>
                  <w:r>
                    <w:rPr>
                      <w:rFonts w:ascii="Times New Roman" w:hAnsi="Times New Roman" w:eastAsia="宋体" w:cs="Times New Roman"/>
                      <w:color w:val="000000"/>
                      <w:sz w:val="21"/>
                      <w:szCs w:val="21"/>
                      <w:shd w:val="clear" w:color="auto" w:fill="FFFFFF"/>
                    </w:rPr>
                    <w:t>1310-73-2</w:t>
                  </w:r>
                </w:p>
              </w:tc>
              <w:tc>
                <w:tcPr>
                  <w:tcW w:w="5032" w:type="dxa"/>
                  <w:tcBorders>
                    <w:tl2br w:val="nil"/>
                    <w:tr2bl w:val="nil"/>
                  </w:tcBorders>
                  <w:vAlign w:val="center"/>
                </w:tcPr>
                <w:p w14:paraId="5C917025">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碱性腐蚀品，白色不透明固体，易潮解，熔点318.4℃，沸点1390℃，相对密度2.12(水=1)，易溶于水、乙醇、甘油，不溶于丙酮；用于肥皂工业、石油精炼、造纸、人造丝、染色、制革、医药、有机合成等。</w:t>
                  </w:r>
                </w:p>
              </w:tc>
            </w:tr>
            <w:tr w14:paraId="3F0DAF2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0" w:type="dxa"/>
                  <w:tcBorders>
                    <w:tl2br w:val="nil"/>
                    <w:tr2bl w:val="nil"/>
                  </w:tcBorders>
                  <w:vAlign w:val="center"/>
                </w:tcPr>
                <w:p w14:paraId="0B0A9637">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8</w:t>
                  </w:r>
                </w:p>
              </w:tc>
              <w:tc>
                <w:tcPr>
                  <w:tcW w:w="1085" w:type="dxa"/>
                  <w:tcBorders>
                    <w:tl2br w:val="nil"/>
                    <w:tr2bl w:val="nil"/>
                  </w:tcBorders>
                  <w:vAlign w:val="center"/>
                </w:tcPr>
                <w:p w14:paraId="48E5E584">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磷酸</w:t>
                  </w:r>
                </w:p>
              </w:tc>
              <w:tc>
                <w:tcPr>
                  <w:tcW w:w="2035" w:type="dxa"/>
                  <w:tcBorders>
                    <w:tl2br w:val="nil"/>
                    <w:tr2bl w:val="nil"/>
                  </w:tcBorders>
                  <w:vAlign w:val="center"/>
                </w:tcPr>
                <w:p w14:paraId="2CBC968D">
                  <w:pPr>
                    <w:keepNext w:val="0"/>
                    <w:keepLines w:val="0"/>
                    <w:pageBreakBefore w:val="0"/>
                    <w:kinsoku/>
                    <w:wordWrap/>
                    <w:overflowPunct/>
                    <w:topLinePunct w:val="0"/>
                    <w:autoSpaceDE/>
                    <w:autoSpaceDN/>
                    <w:bidi w:val="0"/>
                    <w:adjustRightInd w:val="0"/>
                    <w:snapToGrid w:val="0"/>
                    <w:spacing w:line="24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分子式：</w:t>
                  </w:r>
                  <w:r>
                    <w:rPr>
                      <w:rFonts w:ascii="Times New Roman" w:hAnsi="Times New Roman" w:eastAsia="宋体" w:cs="Times New Roman"/>
                      <w:color w:val="000000"/>
                      <w:sz w:val="21"/>
                      <w:szCs w:val="21"/>
                      <w:shd w:val="clear" w:color="auto" w:fill="FFFFFF"/>
                    </w:rPr>
                    <w:t>H</w:t>
                  </w:r>
                  <w:r>
                    <w:rPr>
                      <w:rFonts w:ascii="Times New Roman" w:hAnsi="Times New Roman" w:eastAsia="宋体" w:cs="Times New Roman"/>
                      <w:color w:val="000000"/>
                      <w:sz w:val="21"/>
                      <w:szCs w:val="21"/>
                      <w:shd w:val="clear" w:color="auto" w:fill="FFFFFF"/>
                      <w:vertAlign w:val="subscript"/>
                    </w:rPr>
                    <w:t>3</w:t>
                  </w:r>
                  <w:r>
                    <w:rPr>
                      <w:rFonts w:ascii="Times New Roman" w:hAnsi="Times New Roman" w:eastAsia="宋体" w:cs="Times New Roman"/>
                      <w:color w:val="000000"/>
                      <w:sz w:val="21"/>
                      <w:szCs w:val="21"/>
                      <w:shd w:val="clear" w:color="auto" w:fill="FFFFFF"/>
                    </w:rPr>
                    <w:t>PO</w:t>
                  </w:r>
                  <w:r>
                    <w:rPr>
                      <w:rFonts w:ascii="Times New Roman" w:hAnsi="Times New Roman" w:eastAsia="宋体" w:cs="Times New Roman"/>
                      <w:color w:val="000000"/>
                      <w:sz w:val="21"/>
                      <w:szCs w:val="21"/>
                      <w:shd w:val="clear" w:color="auto" w:fill="FFFFFF"/>
                      <w:vertAlign w:val="subscript"/>
                    </w:rPr>
                    <w:t>4</w:t>
                  </w:r>
                </w:p>
                <w:p w14:paraId="26ABCBC3">
                  <w:pPr>
                    <w:pStyle w:val="44"/>
                    <w:keepNext w:val="0"/>
                    <w:keepLines w:val="0"/>
                    <w:pageBreakBefore w:val="0"/>
                    <w:tabs>
                      <w:tab w:val="left" w:pos="420"/>
                      <w:tab w:val="left" w:pos="870"/>
                      <w:tab w:val="left" w:pos="3150"/>
                    </w:tabs>
                    <w:kinsoku/>
                    <w:wordWrap/>
                    <w:overflowPunct/>
                    <w:topLinePunct w:val="0"/>
                    <w:autoSpaceDE/>
                    <w:autoSpaceDN/>
                    <w:bidi w:val="0"/>
                    <w:adjustRightInd w:val="0"/>
                    <w:snapToGrid w:val="0"/>
                    <w:spacing w:after="0" w:line="240" w:lineRule="auto"/>
                    <w:ind w:left="0" w:leftChars="0" w:firstLine="0" w:firstLineChars="0"/>
                    <w:jc w:val="center"/>
                    <w:rPr>
                      <w:rFonts w:ascii="Times New Roman" w:hAnsi="Times New Roman"/>
                      <w:color w:val="000000"/>
                      <w:sz w:val="21"/>
                      <w:szCs w:val="21"/>
                    </w:rPr>
                  </w:pPr>
                  <w:r>
                    <w:rPr>
                      <w:rFonts w:ascii="Times New Roman" w:hAnsi="Times New Roman"/>
                      <w:color w:val="000000"/>
                      <w:sz w:val="21"/>
                      <w:szCs w:val="21"/>
                    </w:rPr>
                    <w:t>分子量：97.97</w:t>
                  </w:r>
                </w:p>
                <w:p w14:paraId="6085C282">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CAS号</w:t>
                  </w:r>
                  <w:r>
                    <w:rPr>
                      <w:rFonts w:ascii="Times New Roman" w:hAnsi="Times New Roman" w:eastAsia="宋体" w:cs="Times New Roman"/>
                      <w:color w:val="000000"/>
                      <w:sz w:val="21"/>
                      <w:szCs w:val="21"/>
                      <w:shd w:val="clear" w:color="auto" w:fill="FFFFFF"/>
                    </w:rPr>
                    <w:t>：7664-38-2</w:t>
                  </w:r>
                </w:p>
              </w:tc>
              <w:tc>
                <w:tcPr>
                  <w:tcW w:w="5032" w:type="dxa"/>
                  <w:tcBorders>
                    <w:tl2br w:val="nil"/>
                    <w:tr2bl w:val="nil"/>
                  </w:tcBorders>
                  <w:vAlign w:val="center"/>
                </w:tcPr>
                <w:p w14:paraId="4F420505">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是一种常见的</w:t>
                  </w:r>
                  <w:r>
                    <w:rPr>
                      <w:sz w:val="21"/>
                      <w:szCs w:val="21"/>
                    </w:rPr>
                    <w:fldChar w:fldCharType="begin"/>
                  </w:r>
                  <w:r>
                    <w:rPr>
                      <w:sz w:val="21"/>
                      <w:szCs w:val="21"/>
                    </w:rPr>
                    <w:instrText xml:space="preserve"> HYPERLINK "https://baike.so.com/doc/6275961-6489395.html" \t "https://baike.so.com/doc/_blank" </w:instrText>
                  </w:r>
                  <w:r>
                    <w:rPr>
                      <w:sz w:val="21"/>
                      <w:szCs w:val="21"/>
                    </w:rPr>
                    <w:fldChar w:fldCharType="separate"/>
                  </w:r>
                  <w:r>
                    <w:rPr>
                      <w:rFonts w:ascii="Times New Roman" w:hAnsi="Times New Roman" w:eastAsia="宋体" w:cs="Times New Roman"/>
                      <w:color w:val="000000"/>
                      <w:sz w:val="21"/>
                      <w:szCs w:val="21"/>
                    </w:rPr>
                    <w:t>无机酸</w:t>
                  </w:r>
                  <w:r>
                    <w:rPr>
                      <w:rFonts w:ascii="Times New Roman" w:hAnsi="Times New Roman" w:eastAsia="宋体" w:cs="Times New Roman"/>
                      <w:color w:val="000000"/>
                      <w:sz w:val="21"/>
                      <w:szCs w:val="21"/>
                    </w:rPr>
                    <w:fldChar w:fldCharType="end"/>
                  </w:r>
                  <w:r>
                    <w:rPr>
                      <w:rFonts w:ascii="Times New Roman" w:hAnsi="Times New Roman" w:eastAsia="宋体" w:cs="Times New Roman"/>
                      <w:color w:val="000000"/>
                      <w:sz w:val="21"/>
                      <w:szCs w:val="21"/>
                    </w:rPr>
                    <w:t>，是</w:t>
                  </w:r>
                  <w:r>
                    <w:rPr>
                      <w:sz w:val="21"/>
                      <w:szCs w:val="21"/>
                    </w:rPr>
                    <w:fldChar w:fldCharType="begin"/>
                  </w:r>
                  <w:r>
                    <w:rPr>
                      <w:sz w:val="21"/>
                      <w:szCs w:val="21"/>
                    </w:rPr>
                    <w:instrText xml:space="preserve"> HYPERLINK "https://baike.so.com/doc/7777042-8051137.html" \t "https://baike.so.com/doc/_blank" </w:instrText>
                  </w:r>
                  <w:r>
                    <w:rPr>
                      <w:sz w:val="21"/>
                      <w:szCs w:val="21"/>
                    </w:rPr>
                    <w:fldChar w:fldCharType="separate"/>
                  </w:r>
                  <w:r>
                    <w:rPr>
                      <w:rFonts w:ascii="Times New Roman" w:hAnsi="Times New Roman" w:eastAsia="宋体" w:cs="Times New Roman"/>
                      <w:color w:val="000000"/>
                      <w:sz w:val="21"/>
                      <w:szCs w:val="21"/>
                    </w:rPr>
                    <w:t>中强酸</w:t>
                  </w:r>
                  <w:r>
                    <w:rPr>
                      <w:rFonts w:ascii="Times New Roman" w:hAnsi="Times New Roman" w:eastAsia="宋体" w:cs="Times New Roman"/>
                      <w:color w:val="000000"/>
                      <w:sz w:val="21"/>
                      <w:szCs w:val="21"/>
                    </w:rPr>
                    <w:fldChar w:fldCharType="end"/>
                  </w:r>
                  <w:r>
                    <w:rPr>
                      <w:rFonts w:ascii="Times New Roman" w:hAnsi="Times New Roman" w:eastAsia="宋体" w:cs="Times New Roman"/>
                      <w:color w:val="000000"/>
                      <w:sz w:val="21"/>
                      <w:szCs w:val="21"/>
                    </w:rPr>
                    <w:t>。磷酸液体密度是1.87g/cm</w:t>
                  </w:r>
                  <w:r>
                    <w:rPr>
                      <w:rFonts w:ascii="Times New Roman" w:hAnsi="Times New Roman" w:eastAsia="宋体" w:cs="Times New Roman"/>
                      <w:color w:val="000000"/>
                      <w:sz w:val="21"/>
                      <w:szCs w:val="21"/>
                      <w:vertAlign w:val="superscript"/>
                    </w:rPr>
                    <w:t>3</w:t>
                  </w:r>
                  <w:r>
                    <w:rPr>
                      <w:rFonts w:ascii="Times New Roman" w:hAnsi="Times New Roman" w:eastAsia="宋体" w:cs="Times New Roman"/>
                      <w:color w:val="000000"/>
                      <w:sz w:val="21"/>
                      <w:szCs w:val="21"/>
                    </w:rPr>
                    <w:t>，沸点是261℃，熔点是42℃。可与水以任意比互溶，磷酸在空气中容易</w:t>
                  </w:r>
                  <w:r>
                    <w:rPr>
                      <w:sz w:val="21"/>
                      <w:szCs w:val="21"/>
                    </w:rPr>
                    <w:fldChar w:fldCharType="begin"/>
                  </w:r>
                  <w:r>
                    <w:rPr>
                      <w:sz w:val="21"/>
                      <w:szCs w:val="21"/>
                    </w:rPr>
                    <w:instrText xml:space="preserve"> HYPERLINK "https://baike.so.com/doc/5791570-6004362.html" \t "https://baike.so.com/doc/_blank" </w:instrText>
                  </w:r>
                  <w:r>
                    <w:rPr>
                      <w:sz w:val="21"/>
                      <w:szCs w:val="21"/>
                    </w:rPr>
                    <w:fldChar w:fldCharType="separate"/>
                  </w:r>
                  <w:r>
                    <w:rPr>
                      <w:rFonts w:ascii="Times New Roman" w:hAnsi="Times New Roman" w:eastAsia="宋体" w:cs="Times New Roman"/>
                      <w:color w:val="000000"/>
                      <w:sz w:val="21"/>
                      <w:szCs w:val="21"/>
                    </w:rPr>
                    <w:t>潮解</w:t>
                  </w:r>
                  <w:r>
                    <w:rPr>
                      <w:rFonts w:ascii="Times New Roman" w:hAnsi="Times New Roman" w:eastAsia="宋体" w:cs="Times New Roman"/>
                      <w:color w:val="000000"/>
                      <w:sz w:val="21"/>
                      <w:szCs w:val="21"/>
                    </w:rPr>
                    <w:fldChar w:fldCharType="end"/>
                  </w:r>
                  <w:r>
                    <w:rPr>
                      <w:rFonts w:ascii="Times New Roman" w:hAnsi="Times New Roman" w:eastAsia="宋体" w:cs="Times New Roman"/>
                      <w:color w:val="000000"/>
                      <w:sz w:val="21"/>
                      <w:szCs w:val="21"/>
                    </w:rPr>
                    <w:t>，加热会失水得到</w:t>
                  </w:r>
                  <w:r>
                    <w:rPr>
                      <w:sz w:val="21"/>
                      <w:szCs w:val="21"/>
                    </w:rPr>
                    <w:fldChar w:fldCharType="begin"/>
                  </w:r>
                  <w:r>
                    <w:rPr>
                      <w:sz w:val="21"/>
                      <w:szCs w:val="21"/>
                    </w:rPr>
                    <w:instrText xml:space="preserve"> HYPERLINK "https://baike.so.com/doc/5575148-7117205.html" \t "https://baike.so.com/doc/_blank" </w:instrText>
                  </w:r>
                  <w:r>
                    <w:rPr>
                      <w:sz w:val="21"/>
                      <w:szCs w:val="21"/>
                    </w:rPr>
                    <w:fldChar w:fldCharType="separate"/>
                  </w:r>
                  <w:r>
                    <w:rPr>
                      <w:rFonts w:ascii="Times New Roman" w:hAnsi="Times New Roman" w:eastAsia="宋体" w:cs="Times New Roman"/>
                      <w:color w:val="000000"/>
                      <w:sz w:val="21"/>
                      <w:szCs w:val="21"/>
                    </w:rPr>
                    <w:t>焦磷酸</w:t>
                  </w:r>
                  <w:r>
                    <w:rPr>
                      <w:rFonts w:ascii="Times New Roman" w:hAnsi="Times New Roman" w:eastAsia="宋体" w:cs="Times New Roman"/>
                      <w:color w:val="000000"/>
                      <w:sz w:val="21"/>
                      <w:szCs w:val="21"/>
                    </w:rPr>
                    <w:fldChar w:fldCharType="end"/>
                  </w:r>
                  <w:r>
                    <w:rPr>
                      <w:rFonts w:ascii="Times New Roman" w:hAnsi="Times New Roman" w:eastAsia="宋体" w:cs="Times New Roman"/>
                      <w:color w:val="000000"/>
                      <w:sz w:val="21"/>
                      <w:szCs w:val="21"/>
                    </w:rPr>
                    <w:t>。磷酸主要用于制药、食品、肥料等工业，也可用作化学试剂。</w:t>
                  </w:r>
                </w:p>
              </w:tc>
            </w:tr>
            <w:tr w14:paraId="77F98E16">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0" w:type="dxa"/>
                  <w:tcBorders>
                    <w:tl2br w:val="nil"/>
                    <w:tr2bl w:val="nil"/>
                  </w:tcBorders>
                  <w:vAlign w:val="center"/>
                </w:tcPr>
                <w:p w14:paraId="691A590C">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9</w:t>
                  </w:r>
                </w:p>
              </w:tc>
              <w:tc>
                <w:tcPr>
                  <w:tcW w:w="1085" w:type="dxa"/>
                  <w:tcBorders>
                    <w:tl2br w:val="nil"/>
                    <w:tr2bl w:val="nil"/>
                  </w:tcBorders>
                  <w:vAlign w:val="center"/>
                </w:tcPr>
                <w:p w14:paraId="1322BC37">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乙二胺四乙酸二钠盐</w:t>
                  </w:r>
                </w:p>
              </w:tc>
              <w:tc>
                <w:tcPr>
                  <w:tcW w:w="2035" w:type="dxa"/>
                  <w:tcBorders>
                    <w:tl2br w:val="nil"/>
                    <w:tr2bl w:val="nil"/>
                  </w:tcBorders>
                  <w:vAlign w:val="center"/>
                </w:tcPr>
                <w:p w14:paraId="6C876FF4">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分子式：</w:t>
                  </w:r>
                  <w:r>
                    <w:rPr>
                      <w:rFonts w:hint="eastAsia" w:ascii="Times New Roman" w:hAnsi="Times New Roman" w:eastAsia="宋体" w:cs="Times New Roman"/>
                      <w:color w:val="000000"/>
                      <w:sz w:val="21"/>
                      <w:szCs w:val="21"/>
                    </w:rPr>
                    <w:t>C</w:t>
                  </w:r>
                  <w:r>
                    <w:rPr>
                      <w:rFonts w:hint="eastAsia" w:ascii="Times New Roman" w:hAnsi="Times New Roman" w:eastAsia="宋体" w:cs="Times New Roman"/>
                      <w:color w:val="000000"/>
                      <w:sz w:val="21"/>
                      <w:szCs w:val="21"/>
                      <w:vertAlign w:val="subscript"/>
                    </w:rPr>
                    <w:t>10</w:t>
                  </w:r>
                  <w:r>
                    <w:rPr>
                      <w:rFonts w:hint="eastAsia" w:ascii="Times New Roman" w:hAnsi="Times New Roman" w:eastAsia="宋体" w:cs="Times New Roman"/>
                      <w:color w:val="000000"/>
                      <w:sz w:val="21"/>
                      <w:szCs w:val="21"/>
                    </w:rPr>
                    <w:t>H</w:t>
                  </w:r>
                  <w:r>
                    <w:rPr>
                      <w:rFonts w:hint="eastAsia" w:ascii="Times New Roman" w:hAnsi="Times New Roman" w:eastAsia="宋体" w:cs="Times New Roman"/>
                      <w:color w:val="000000"/>
                      <w:sz w:val="21"/>
                      <w:szCs w:val="21"/>
                      <w:vertAlign w:val="subscript"/>
                    </w:rPr>
                    <w:t>14</w:t>
                  </w:r>
                  <w:r>
                    <w:rPr>
                      <w:rFonts w:hint="eastAsia" w:ascii="Times New Roman" w:hAnsi="Times New Roman" w:eastAsia="宋体" w:cs="Times New Roman"/>
                      <w:color w:val="000000"/>
                      <w:sz w:val="21"/>
                      <w:szCs w:val="21"/>
                    </w:rPr>
                    <w:t>N</w:t>
                  </w:r>
                  <w:r>
                    <w:rPr>
                      <w:rFonts w:hint="eastAsia" w:ascii="Times New Roman" w:hAnsi="Times New Roman" w:eastAsia="宋体" w:cs="Times New Roman"/>
                      <w:color w:val="000000"/>
                      <w:sz w:val="21"/>
                      <w:szCs w:val="21"/>
                      <w:vertAlign w:val="subscript"/>
                    </w:rPr>
                    <w:t>2</w:t>
                  </w:r>
                  <w:r>
                    <w:rPr>
                      <w:rFonts w:hint="eastAsia" w:ascii="Times New Roman" w:hAnsi="Times New Roman" w:eastAsia="宋体" w:cs="Times New Roman"/>
                      <w:color w:val="000000"/>
                      <w:sz w:val="21"/>
                      <w:szCs w:val="21"/>
                    </w:rPr>
                    <w:t>Na</w:t>
                  </w:r>
                  <w:r>
                    <w:rPr>
                      <w:rFonts w:hint="eastAsia" w:ascii="Times New Roman" w:hAnsi="Times New Roman" w:eastAsia="宋体" w:cs="Times New Roman"/>
                      <w:color w:val="000000"/>
                      <w:sz w:val="21"/>
                      <w:szCs w:val="21"/>
                      <w:vertAlign w:val="subscript"/>
                    </w:rPr>
                    <w:t>2</w:t>
                  </w:r>
                  <w:r>
                    <w:rPr>
                      <w:rFonts w:hint="eastAsia" w:ascii="Times New Roman" w:hAnsi="Times New Roman" w:eastAsia="宋体" w:cs="Times New Roman"/>
                      <w:color w:val="000000"/>
                      <w:sz w:val="21"/>
                      <w:szCs w:val="21"/>
                    </w:rPr>
                    <w:t>O</w:t>
                  </w:r>
                  <w:r>
                    <w:rPr>
                      <w:rFonts w:hint="eastAsia" w:ascii="Times New Roman" w:hAnsi="Times New Roman" w:eastAsia="宋体" w:cs="Times New Roman"/>
                      <w:color w:val="000000"/>
                      <w:sz w:val="21"/>
                      <w:szCs w:val="21"/>
                      <w:vertAlign w:val="subscript"/>
                    </w:rPr>
                    <w:t>8</w:t>
                  </w:r>
                </w:p>
                <w:p w14:paraId="0EC1DC88">
                  <w:pPr>
                    <w:pStyle w:val="44"/>
                    <w:keepNext w:val="0"/>
                    <w:keepLines w:val="0"/>
                    <w:pageBreakBefore w:val="0"/>
                    <w:widowControl w:val="0"/>
                    <w:tabs>
                      <w:tab w:val="left" w:pos="420"/>
                      <w:tab w:val="left" w:pos="870"/>
                      <w:tab w:val="left" w:pos="3150"/>
                    </w:tabs>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000000"/>
                      <w:sz w:val="21"/>
                      <w:szCs w:val="21"/>
                    </w:rPr>
                  </w:pPr>
                  <w:r>
                    <w:rPr>
                      <w:rFonts w:ascii="Times New Roman" w:hAnsi="Times New Roman"/>
                      <w:color w:val="000000"/>
                      <w:sz w:val="21"/>
                      <w:szCs w:val="21"/>
                    </w:rPr>
                    <w:t>分子量：336.206</w:t>
                  </w:r>
                </w:p>
                <w:p w14:paraId="27ED69DA">
                  <w:pPr>
                    <w:pStyle w:val="44"/>
                    <w:keepNext w:val="0"/>
                    <w:keepLines w:val="0"/>
                    <w:pageBreakBefore w:val="0"/>
                    <w:widowControl w:val="0"/>
                    <w:tabs>
                      <w:tab w:val="left" w:pos="420"/>
                      <w:tab w:val="left" w:pos="870"/>
                      <w:tab w:val="left" w:pos="3150"/>
                    </w:tabs>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ascii="Times New Roman" w:hAnsi="Times New Roman"/>
                      <w:color w:val="000000"/>
                      <w:sz w:val="21"/>
                      <w:szCs w:val="21"/>
                    </w:rPr>
                    <w:t>CAS号：139-33-3</w:t>
                  </w:r>
                </w:p>
              </w:tc>
              <w:tc>
                <w:tcPr>
                  <w:tcW w:w="5032" w:type="dxa"/>
                  <w:tcBorders>
                    <w:tl2br w:val="nil"/>
                    <w:tr2bl w:val="nil"/>
                  </w:tcBorders>
                  <w:vAlign w:val="center"/>
                </w:tcPr>
                <w:p w14:paraId="6DCDBD67">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乙二胺四乙酸二钠，又叫作EDTA-2Na，是化学中一种良好的配合剂。EDTA在配位滴定中经常用到，一般是测定金属离子的含量。为无味无臭或微咸的白色或乳白色结晶或颗粒状粉末，无臭、无味。它能溶于水，极难溶于乙醇。它是一种重要的螯合剂，能螯合溶液中的金属离子。防止金属引起的变色、变质、变浊和维生素C的氧化损失，还能提高油脂的抗氧化性</w:t>
                  </w:r>
                  <w:r>
                    <w:rPr>
                      <w:rFonts w:hint="eastAsia" w:cs="Times New Roman"/>
                      <w:color w:val="auto"/>
                      <w:sz w:val="21"/>
                      <w:szCs w:val="21"/>
                      <w:highlight w:val="none"/>
                      <w:lang w:eastAsia="zh-CN"/>
                    </w:rPr>
                    <w:t>。</w:t>
                  </w:r>
                </w:p>
              </w:tc>
            </w:tr>
            <w:tr w14:paraId="4480CBE6">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0" w:type="dxa"/>
                  <w:tcBorders>
                    <w:tl2br w:val="nil"/>
                    <w:tr2bl w:val="nil"/>
                  </w:tcBorders>
                  <w:vAlign w:val="center"/>
                </w:tcPr>
                <w:p w14:paraId="75AD6D65">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10</w:t>
                  </w:r>
                </w:p>
              </w:tc>
              <w:tc>
                <w:tcPr>
                  <w:tcW w:w="1085" w:type="dxa"/>
                  <w:tcBorders>
                    <w:tl2br w:val="nil"/>
                    <w:tr2bl w:val="nil"/>
                  </w:tcBorders>
                  <w:vAlign w:val="center"/>
                </w:tcPr>
                <w:p w14:paraId="4B4BEC2C">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酒石酸</w:t>
                  </w:r>
                </w:p>
              </w:tc>
              <w:tc>
                <w:tcPr>
                  <w:tcW w:w="2035" w:type="dxa"/>
                  <w:tcBorders>
                    <w:tl2br w:val="nil"/>
                    <w:tr2bl w:val="nil"/>
                  </w:tcBorders>
                  <w:vAlign w:val="center"/>
                </w:tcPr>
                <w:p w14:paraId="0CBC3CC6">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分子式：</w:t>
                  </w:r>
                  <w:r>
                    <w:rPr>
                      <w:rFonts w:ascii="Helvetica" w:hAnsi="Helvetica" w:eastAsia="Helvetica" w:cs="Helvetica"/>
                      <w:i w:val="0"/>
                      <w:iCs w:val="0"/>
                      <w:caps w:val="0"/>
                      <w:color w:val="333333"/>
                      <w:spacing w:val="0"/>
                      <w:sz w:val="18"/>
                      <w:szCs w:val="18"/>
                      <w:shd w:val="clear" w:fill="FFFFFF"/>
                    </w:rPr>
                    <w:t>C</w:t>
                  </w:r>
                  <w:r>
                    <w:rPr>
                      <w:rFonts w:hint="default" w:ascii="Helvetica" w:hAnsi="Helvetica" w:eastAsia="Helvetica" w:cs="Helvetica"/>
                      <w:i w:val="0"/>
                      <w:iCs w:val="0"/>
                      <w:caps w:val="0"/>
                      <w:color w:val="333333"/>
                      <w:spacing w:val="0"/>
                      <w:sz w:val="18"/>
                      <w:szCs w:val="18"/>
                      <w:shd w:val="clear" w:fill="FFFFFF"/>
                      <w:vertAlign w:val="baseline"/>
                    </w:rPr>
                    <w:t>4</w:t>
                  </w:r>
                  <w:r>
                    <w:rPr>
                      <w:rFonts w:hint="default" w:ascii="Helvetica" w:hAnsi="Helvetica" w:eastAsia="Helvetica" w:cs="Helvetica"/>
                      <w:i w:val="0"/>
                      <w:iCs w:val="0"/>
                      <w:caps w:val="0"/>
                      <w:color w:val="333333"/>
                      <w:spacing w:val="0"/>
                      <w:sz w:val="18"/>
                      <w:szCs w:val="18"/>
                      <w:shd w:val="clear" w:fill="FFFFFF"/>
                    </w:rPr>
                    <w:t>H</w:t>
                  </w:r>
                  <w:r>
                    <w:rPr>
                      <w:rFonts w:hint="default" w:ascii="Helvetica" w:hAnsi="Helvetica" w:eastAsia="Helvetica" w:cs="Helvetica"/>
                      <w:i w:val="0"/>
                      <w:iCs w:val="0"/>
                      <w:caps w:val="0"/>
                      <w:color w:val="333333"/>
                      <w:spacing w:val="0"/>
                      <w:sz w:val="18"/>
                      <w:szCs w:val="18"/>
                      <w:shd w:val="clear" w:fill="FFFFFF"/>
                      <w:vertAlign w:val="baseline"/>
                    </w:rPr>
                    <w:t>6</w:t>
                  </w:r>
                  <w:r>
                    <w:rPr>
                      <w:rFonts w:hint="default" w:ascii="Helvetica" w:hAnsi="Helvetica" w:eastAsia="Helvetica" w:cs="Helvetica"/>
                      <w:i w:val="0"/>
                      <w:iCs w:val="0"/>
                      <w:caps w:val="0"/>
                      <w:color w:val="333333"/>
                      <w:spacing w:val="0"/>
                      <w:sz w:val="18"/>
                      <w:szCs w:val="18"/>
                      <w:shd w:val="clear" w:fill="FFFFFF"/>
                    </w:rPr>
                    <w:t>O</w:t>
                  </w:r>
                  <w:r>
                    <w:rPr>
                      <w:rFonts w:hint="default" w:ascii="Helvetica" w:hAnsi="Helvetica" w:eastAsia="Helvetica" w:cs="Helvetica"/>
                      <w:i w:val="0"/>
                      <w:iCs w:val="0"/>
                      <w:caps w:val="0"/>
                      <w:color w:val="333333"/>
                      <w:spacing w:val="0"/>
                      <w:sz w:val="18"/>
                      <w:szCs w:val="18"/>
                      <w:shd w:val="clear" w:fill="FFFFFF"/>
                      <w:vertAlign w:val="baseline"/>
                    </w:rPr>
                    <w:t>6</w:t>
                  </w:r>
                </w:p>
                <w:p w14:paraId="14E20418">
                  <w:pPr>
                    <w:pStyle w:val="44"/>
                    <w:keepNext w:val="0"/>
                    <w:keepLines w:val="0"/>
                    <w:pageBreakBefore w:val="0"/>
                    <w:widowControl w:val="0"/>
                    <w:tabs>
                      <w:tab w:val="left" w:pos="420"/>
                      <w:tab w:val="left" w:pos="870"/>
                      <w:tab w:val="left" w:pos="3150"/>
                    </w:tabs>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olor w:val="000000"/>
                      <w:sz w:val="21"/>
                      <w:szCs w:val="21"/>
                      <w:lang w:val="en-US" w:eastAsia="zh-CN"/>
                    </w:rPr>
                  </w:pPr>
                  <w:r>
                    <w:rPr>
                      <w:rFonts w:ascii="Times New Roman" w:hAnsi="Times New Roman"/>
                      <w:color w:val="000000"/>
                      <w:sz w:val="21"/>
                      <w:szCs w:val="21"/>
                    </w:rPr>
                    <w:t>分子量：</w:t>
                  </w:r>
                  <w:r>
                    <w:rPr>
                      <w:rFonts w:hint="eastAsia"/>
                      <w:color w:val="000000"/>
                      <w:sz w:val="21"/>
                      <w:szCs w:val="21"/>
                      <w:lang w:val="en-US" w:eastAsia="zh-CN"/>
                    </w:rPr>
                    <w:t>150.09</w:t>
                  </w:r>
                </w:p>
                <w:p w14:paraId="332DCD41">
                  <w:pPr>
                    <w:pStyle w:val="44"/>
                    <w:keepNext w:val="0"/>
                    <w:keepLines w:val="0"/>
                    <w:pageBreakBefore w:val="0"/>
                    <w:widowControl w:val="0"/>
                    <w:tabs>
                      <w:tab w:val="left" w:pos="420"/>
                      <w:tab w:val="left" w:pos="870"/>
                      <w:tab w:val="left" w:pos="3150"/>
                    </w:tabs>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000000"/>
                      <w:sz w:val="21"/>
                      <w:szCs w:val="21"/>
                    </w:rPr>
                  </w:pPr>
                  <w:r>
                    <w:rPr>
                      <w:rFonts w:ascii="Times New Roman" w:hAnsi="Times New Roman" w:eastAsia="宋体" w:cs="Times New Roman"/>
                      <w:color w:val="000000"/>
                      <w:sz w:val="21"/>
                      <w:szCs w:val="21"/>
                    </w:rPr>
                    <w:t>CAS号：</w:t>
                  </w:r>
                  <w:r>
                    <w:rPr>
                      <w:rFonts w:ascii="Helvetica" w:hAnsi="Helvetica" w:eastAsia="Helvetica" w:cs="Helvetica"/>
                      <w:i w:val="0"/>
                      <w:iCs w:val="0"/>
                      <w:caps w:val="0"/>
                      <w:color w:val="333333"/>
                      <w:spacing w:val="0"/>
                      <w:sz w:val="18"/>
                      <w:szCs w:val="18"/>
                      <w:shd w:val="clear" w:fill="FFFFFF"/>
                    </w:rPr>
                    <w:t>133-37-9</w:t>
                  </w:r>
                </w:p>
              </w:tc>
              <w:tc>
                <w:tcPr>
                  <w:tcW w:w="5032" w:type="dxa"/>
                  <w:tcBorders>
                    <w:tl2br w:val="nil"/>
                    <w:tr2bl w:val="nil"/>
                  </w:tcBorders>
                  <w:vAlign w:val="center"/>
                </w:tcPr>
                <w:p w14:paraId="14A428E9">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highlight w:val="none"/>
                    </w:rPr>
                    <w:t>白色结晶性粉末</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000000"/>
                      <w:sz w:val="21"/>
                      <w:szCs w:val="21"/>
                      <w:lang w:val="en-US" w:eastAsia="zh-CN"/>
                    </w:rPr>
                    <w:t>熔点：200-206℃</w:t>
                  </w:r>
                  <w:r>
                    <w:rPr>
                      <w:rFonts w:hint="eastAsia" w:cs="Times New Roman"/>
                      <w:color w:val="000000"/>
                      <w:sz w:val="21"/>
                      <w:szCs w:val="21"/>
                      <w:lang w:eastAsia="zh-CN"/>
                    </w:rPr>
                    <w:t>，</w:t>
                  </w:r>
                  <w:r>
                    <w:rPr>
                      <w:rFonts w:hint="default" w:ascii="Times New Roman" w:hAnsi="Times New Roman" w:eastAsia="宋体" w:cs="Times New Roman"/>
                      <w:color w:val="000000"/>
                      <w:sz w:val="21"/>
                      <w:szCs w:val="21"/>
                      <w:lang w:val="en-US" w:eastAsia="zh-CN"/>
                    </w:rPr>
                    <w:t>沸点：399.3℃</w:t>
                  </w:r>
                  <w:r>
                    <w:rPr>
                      <w:rFonts w:hint="eastAsia" w:cs="Times New Roman"/>
                      <w:color w:val="000000"/>
                      <w:sz w:val="21"/>
                      <w:szCs w:val="21"/>
                      <w:lang w:eastAsia="zh-CN"/>
                    </w:rPr>
                    <w:t>，</w:t>
                  </w:r>
                  <w:r>
                    <w:rPr>
                      <w:rFonts w:hint="default" w:ascii="Times New Roman" w:hAnsi="Times New Roman" w:eastAsia="宋体" w:cs="Times New Roman"/>
                      <w:color w:val="000000"/>
                      <w:sz w:val="21"/>
                      <w:szCs w:val="21"/>
                      <w:lang w:val="en-US" w:eastAsia="zh-CN"/>
                    </w:rPr>
                    <w:t>密度：1.886g/cm</w:t>
                  </w:r>
                  <w:r>
                    <w:rPr>
                      <w:rFonts w:hint="default" w:ascii="Times New Roman" w:hAnsi="Times New Roman" w:eastAsia="宋体" w:cs="Times New Roman"/>
                      <w:color w:val="000000"/>
                      <w:sz w:val="21"/>
                      <w:szCs w:val="21"/>
                      <w:vertAlign w:val="superscript"/>
                      <w:lang w:val="en-US" w:eastAsia="zh-CN"/>
                    </w:rPr>
                    <w:t>3</w:t>
                  </w:r>
                  <w:r>
                    <w:rPr>
                      <w:rFonts w:hint="eastAsia" w:cs="Times New Roman"/>
                      <w:color w:val="000000"/>
                      <w:sz w:val="21"/>
                      <w:szCs w:val="21"/>
                      <w:lang w:eastAsia="zh-CN"/>
                    </w:rPr>
                    <w:t>，</w:t>
                  </w:r>
                  <w:r>
                    <w:rPr>
                      <w:rFonts w:hint="default" w:ascii="Times New Roman" w:hAnsi="Times New Roman" w:eastAsia="宋体" w:cs="Times New Roman"/>
                      <w:color w:val="000000"/>
                      <w:sz w:val="21"/>
                      <w:szCs w:val="21"/>
                      <w:lang w:val="en-US" w:eastAsia="zh-CN"/>
                    </w:rPr>
                    <w:t>闪点：210℃</w:t>
                  </w:r>
                  <w:r>
                    <w:rPr>
                      <w:rFonts w:hint="eastAsia" w:cs="Times New Roman"/>
                      <w:color w:val="000000"/>
                      <w:sz w:val="21"/>
                      <w:szCs w:val="21"/>
                      <w:lang w:eastAsia="zh-CN"/>
                    </w:rPr>
                    <w:t>，</w:t>
                  </w:r>
                  <w:r>
                    <w:rPr>
                      <w:rFonts w:hint="default" w:ascii="Times New Roman" w:hAnsi="Times New Roman" w:eastAsia="宋体" w:cs="Times New Roman"/>
                      <w:color w:val="000000"/>
                      <w:sz w:val="21"/>
                      <w:szCs w:val="21"/>
                      <w:lang w:val="en-US" w:eastAsia="zh-CN"/>
                    </w:rPr>
                    <w:t>溶解性：溶于水和乙醇，微溶于乙醚。</w:t>
                  </w:r>
                  <w:r>
                    <w:rPr>
                      <w:rFonts w:ascii="Times New Roman" w:hAnsi="Times New Roman" w:eastAsia="宋体" w:cs="Times New Roman"/>
                      <w:color w:val="000000"/>
                      <w:sz w:val="21"/>
                      <w:szCs w:val="21"/>
                    </w:rPr>
                    <w:t>作为食品中添加的</w:t>
                  </w:r>
                  <w:r>
                    <w:rPr>
                      <w:rFonts w:hint="default" w:ascii="Times New Roman" w:hAnsi="Times New Roman" w:eastAsia="宋体" w:cs="Times New Roman"/>
                      <w:color w:val="000000"/>
                      <w:sz w:val="21"/>
                      <w:szCs w:val="21"/>
                    </w:rPr>
                    <w:fldChar w:fldCharType="begin"/>
                  </w:r>
                  <w:r>
                    <w:rPr>
                      <w:rFonts w:hint="default" w:ascii="Times New Roman" w:hAnsi="Times New Roman" w:eastAsia="宋体" w:cs="Times New Roman"/>
                      <w:color w:val="000000"/>
                      <w:sz w:val="21"/>
                      <w:szCs w:val="21"/>
                    </w:rPr>
                    <w:instrText xml:space="preserve"> HYPERLINK "https://baike.baidu.com/item/%E6%8A%97%E6%B0%A7%E5%8C%96%E5%89%82/971282?fromModule=lemma_inlink" \t "https://baike.baidu.com/item/_blank" </w:instrText>
                  </w:r>
                  <w:r>
                    <w:rPr>
                      <w:rFonts w:hint="default" w:ascii="Times New Roman" w:hAnsi="Times New Roman" w:eastAsia="宋体" w:cs="Times New Roman"/>
                      <w:color w:val="000000"/>
                      <w:sz w:val="21"/>
                      <w:szCs w:val="21"/>
                    </w:rPr>
                    <w:fldChar w:fldCharType="separate"/>
                  </w:r>
                  <w:r>
                    <w:rPr>
                      <w:rFonts w:hint="default" w:ascii="Times New Roman" w:hAnsi="Times New Roman" w:eastAsia="宋体" w:cs="Times New Roman"/>
                      <w:color w:val="000000"/>
                      <w:sz w:val="21"/>
                      <w:szCs w:val="21"/>
                    </w:rPr>
                    <w:t>抗氧化剂</w:t>
                  </w:r>
                  <w:r>
                    <w:rPr>
                      <w:rFonts w:hint="default" w:ascii="Times New Roman" w:hAnsi="Times New Roman" w:eastAsia="宋体" w:cs="Times New Roman"/>
                      <w:color w:val="000000"/>
                      <w:sz w:val="21"/>
                      <w:szCs w:val="21"/>
                    </w:rPr>
                    <w:fldChar w:fldCharType="end"/>
                  </w:r>
                  <w:r>
                    <w:rPr>
                      <w:rFonts w:hint="default" w:ascii="Times New Roman" w:hAnsi="Times New Roman" w:eastAsia="宋体" w:cs="Times New Roman"/>
                      <w:color w:val="000000"/>
                      <w:sz w:val="21"/>
                      <w:szCs w:val="21"/>
                    </w:rPr>
                    <w:t>﹐可以使食物具有酸味。酒石酸最大的用途是饮料添加剂，也是药物工业原料。</w:t>
                  </w:r>
                </w:p>
              </w:tc>
            </w:tr>
            <w:tr w14:paraId="0BD3FD6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0" w:type="dxa"/>
                  <w:tcBorders>
                    <w:tl2br w:val="nil"/>
                    <w:tr2bl w:val="nil"/>
                  </w:tcBorders>
                  <w:vAlign w:val="center"/>
                </w:tcPr>
                <w:p w14:paraId="7CB131C7">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11</w:t>
                  </w:r>
                </w:p>
              </w:tc>
              <w:tc>
                <w:tcPr>
                  <w:tcW w:w="1085" w:type="dxa"/>
                  <w:tcBorders>
                    <w:tl2br w:val="nil"/>
                    <w:tr2bl w:val="nil"/>
                  </w:tcBorders>
                  <w:vAlign w:val="center"/>
                </w:tcPr>
                <w:p w14:paraId="10E5AE46">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硝酸锌</w:t>
                  </w:r>
                </w:p>
              </w:tc>
              <w:tc>
                <w:tcPr>
                  <w:tcW w:w="2035" w:type="dxa"/>
                  <w:tcBorders>
                    <w:tl2br w:val="nil"/>
                    <w:tr2bl w:val="nil"/>
                  </w:tcBorders>
                  <w:vAlign w:val="center"/>
                </w:tcPr>
                <w:p w14:paraId="50B86ED9">
                  <w:pPr>
                    <w:pStyle w:val="44"/>
                    <w:keepNext w:val="0"/>
                    <w:keepLines w:val="0"/>
                    <w:pageBreakBefore w:val="0"/>
                    <w:widowControl w:val="0"/>
                    <w:tabs>
                      <w:tab w:val="left" w:pos="420"/>
                      <w:tab w:val="left" w:pos="870"/>
                      <w:tab w:val="left" w:pos="3150"/>
                    </w:tabs>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000000"/>
                      <w:sz w:val="21"/>
                      <w:szCs w:val="21"/>
                    </w:rPr>
                  </w:pPr>
                  <w:r>
                    <w:rPr>
                      <w:rFonts w:ascii="Times New Roman" w:hAnsi="Times New Roman" w:eastAsia="宋体" w:cs="Times New Roman"/>
                      <w:color w:val="000000"/>
                      <w:sz w:val="21"/>
                      <w:szCs w:val="21"/>
                    </w:rPr>
                    <w:t>分子式：Zn</w:t>
                  </w:r>
                  <w:r>
                    <w:rPr>
                      <w:rFonts w:hint="eastAsia" w:ascii="Times New Roman" w:hAnsi="Times New Roman" w:eastAsia="宋体" w:cs="Times New Roman"/>
                      <w:color w:val="000000"/>
                      <w:sz w:val="21"/>
                      <w:szCs w:val="21"/>
                      <w:lang w:eastAsia="zh-CN"/>
                    </w:rPr>
                    <w:t>（</w:t>
                  </w:r>
                  <w:r>
                    <w:rPr>
                      <w:rFonts w:ascii="Times New Roman" w:hAnsi="Times New Roman" w:eastAsia="宋体" w:cs="Times New Roman"/>
                      <w:color w:val="000000"/>
                      <w:sz w:val="21"/>
                      <w:szCs w:val="21"/>
                    </w:rPr>
                    <w:t>NO</w:t>
                  </w:r>
                  <w:r>
                    <w:rPr>
                      <w:rFonts w:hint="default" w:ascii="Times New Roman" w:hAnsi="Times New Roman" w:eastAsia="宋体" w:cs="Times New Roman"/>
                      <w:color w:val="000000"/>
                      <w:sz w:val="21"/>
                      <w:szCs w:val="21"/>
                      <w:vertAlign w:val="subscript"/>
                    </w:rPr>
                    <w:t>3</w:t>
                  </w:r>
                  <w:r>
                    <w:rPr>
                      <w:rFonts w:hint="eastAsia"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vertAlign w:val="subscript"/>
                    </w:rPr>
                    <w:t>2</w:t>
                  </w:r>
                </w:p>
                <w:p w14:paraId="239D6D29">
                  <w:pPr>
                    <w:pStyle w:val="44"/>
                    <w:keepNext w:val="0"/>
                    <w:keepLines w:val="0"/>
                    <w:pageBreakBefore w:val="0"/>
                    <w:widowControl w:val="0"/>
                    <w:tabs>
                      <w:tab w:val="left" w:pos="420"/>
                      <w:tab w:val="left" w:pos="870"/>
                      <w:tab w:val="left" w:pos="3150"/>
                    </w:tabs>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000000"/>
                      <w:sz w:val="21"/>
                      <w:szCs w:val="21"/>
                    </w:rPr>
                  </w:pPr>
                  <w:r>
                    <w:rPr>
                      <w:rFonts w:ascii="Times New Roman" w:hAnsi="Times New Roman" w:eastAsia="宋体" w:cs="Times New Roman"/>
                      <w:color w:val="000000"/>
                      <w:sz w:val="21"/>
                      <w:szCs w:val="21"/>
                    </w:rPr>
                    <w:t>分子量：189.4</w:t>
                  </w:r>
                </w:p>
                <w:p w14:paraId="2705DABA">
                  <w:pPr>
                    <w:pStyle w:val="44"/>
                    <w:keepNext w:val="0"/>
                    <w:keepLines w:val="0"/>
                    <w:pageBreakBefore w:val="0"/>
                    <w:widowControl w:val="0"/>
                    <w:tabs>
                      <w:tab w:val="left" w:pos="420"/>
                      <w:tab w:val="left" w:pos="870"/>
                      <w:tab w:val="left" w:pos="3150"/>
                    </w:tabs>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Helvetica" w:hAnsi="Helvetica" w:eastAsia="Helvetica" w:cs="Helvetica"/>
                      <w:i w:val="0"/>
                      <w:iCs w:val="0"/>
                      <w:caps w:val="0"/>
                      <w:color w:val="333333"/>
                      <w:spacing w:val="0"/>
                      <w:sz w:val="18"/>
                      <w:szCs w:val="18"/>
                      <w:shd w:val="clear" w:fill="FFFFFF"/>
                      <w:vertAlign w:val="baseline"/>
                    </w:rPr>
                  </w:pPr>
                  <w:r>
                    <w:rPr>
                      <w:rFonts w:ascii="Times New Roman" w:hAnsi="Times New Roman" w:eastAsia="宋体" w:cs="Times New Roman"/>
                      <w:color w:val="000000"/>
                      <w:sz w:val="21"/>
                      <w:szCs w:val="21"/>
                    </w:rPr>
                    <w:t>CAS号：7779-88-6</w:t>
                  </w:r>
                </w:p>
              </w:tc>
              <w:tc>
                <w:tcPr>
                  <w:tcW w:w="5032" w:type="dxa"/>
                  <w:tcBorders>
                    <w:tl2br w:val="nil"/>
                    <w:tr2bl w:val="nil"/>
                  </w:tcBorders>
                  <w:vAlign w:val="center"/>
                </w:tcPr>
                <w:p w14:paraId="13F7271C">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无色四方晶系晶体，易潮解，需避光储存</w:t>
                  </w:r>
                  <w:r>
                    <w:rPr>
                      <w:rFonts w:hint="eastAsia" w:cs="Times New Roman"/>
                      <w:color w:val="auto"/>
                      <w:sz w:val="21"/>
                      <w:szCs w:val="21"/>
                      <w:highlight w:val="none"/>
                      <w:lang w:eastAsia="zh-CN"/>
                    </w:rPr>
                    <w:t>，熔点：36℃，沸点：105℃，密度：2.065g/cm</w:t>
                  </w:r>
                  <w:r>
                    <w:rPr>
                      <w:rFonts w:hint="eastAsia" w:cs="Times New Roman"/>
                      <w:color w:val="auto"/>
                      <w:sz w:val="21"/>
                      <w:szCs w:val="21"/>
                      <w:highlight w:val="none"/>
                      <w:vertAlign w:val="superscript"/>
                      <w:lang w:eastAsia="zh-CN"/>
                    </w:rPr>
                    <w:t>3</w:t>
                  </w:r>
                  <w:r>
                    <w:rPr>
                      <w:rFonts w:hint="eastAsia" w:cs="Times New Roman"/>
                      <w:color w:val="auto"/>
                      <w:sz w:val="21"/>
                      <w:szCs w:val="21"/>
                      <w:highlight w:val="none"/>
                      <w:lang w:eastAsia="zh-CN"/>
                    </w:rPr>
                    <w:t>。</w:t>
                  </w:r>
                </w:p>
              </w:tc>
            </w:tr>
            <w:tr w14:paraId="285EFC45">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0" w:type="dxa"/>
                  <w:tcBorders>
                    <w:tl2br w:val="nil"/>
                    <w:tr2bl w:val="nil"/>
                  </w:tcBorders>
                  <w:vAlign w:val="center"/>
                </w:tcPr>
                <w:p w14:paraId="00C7B2EF">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12</w:t>
                  </w:r>
                </w:p>
              </w:tc>
              <w:tc>
                <w:tcPr>
                  <w:tcW w:w="1085" w:type="dxa"/>
                  <w:tcBorders>
                    <w:tl2br w:val="nil"/>
                    <w:tr2bl w:val="nil"/>
                  </w:tcBorders>
                  <w:vAlign w:val="center"/>
                </w:tcPr>
                <w:p w14:paraId="195AC609">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甲基橙</w:t>
                  </w:r>
                </w:p>
              </w:tc>
              <w:tc>
                <w:tcPr>
                  <w:tcW w:w="2035" w:type="dxa"/>
                  <w:tcBorders>
                    <w:tl2br w:val="nil"/>
                    <w:tr2bl w:val="nil"/>
                  </w:tcBorders>
                  <w:vAlign w:val="center"/>
                </w:tcPr>
                <w:p w14:paraId="1584EE1F">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分子式：</w:t>
                  </w:r>
                  <w:r>
                    <w:rPr>
                      <w:rFonts w:hint="default" w:ascii="Times New Roman" w:hAnsi="Times New Roman" w:eastAsia="宋体" w:cs="Times New Roman"/>
                      <w:color w:val="auto"/>
                      <w:sz w:val="21"/>
                      <w:szCs w:val="21"/>
                      <w:highlight w:val="none"/>
                    </w:rPr>
                    <w:t>C</w:t>
                  </w:r>
                  <w:r>
                    <w:rPr>
                      <w:rFonts w:hint="default" w:ascii="Times New Roman" w:hAnsi="Times New Roman" w:eastAsia="宋体" w:cs="Times New Roman"/>
                      <w:color w:val="auto"/>
                      <w:sz w:val="21"/>
                      <w:szCs w:val="21"/>
                      <w:highlight w:val="none"/>
                      <w:vertAlign w:val="subscript"/>
                    </w:rPr>
                    <w:t>14</w:t>
                  </w:r>
                  <w:r>
                    <w:rPr>
                      <w:rFonts w:hint="default" w:ascii="Times New Roman" w:hAnsi="Times New Roman" w:eastAsia="宋体" w:cs="Times New Roman"/>
                      <w:color w:val="auto"/>
                      <w:sz w:val="21"/>
                      <w:szCs w:val="21"/>
                      <w:highlight w:val="none"/>
                    </w:rPr>
                    <w:t>H</w:t>
                  </w:r>
                  <w:r>
                    <w:rPr>
                      <w:rFonts w:hint="default" w:ascii="Times New Roman" w:hAnsi="Times New Roman" w:eastAsia="宋体" w:cs="Times New Roman"/>
                      <w:color w:val="auto"/>
                      <w:sz w:val="21"/>
                      <w:szCs w:val="21"/>
                      <w:highlight w:val="none"/>
                      <w:vertAlign w:val="subscript"/>
                    </w:rPr>
                    <w:t>14</w:t>
                  </w:r>
                  <w:r>
                    <w:rPr>
                      <w:rFonts w:hint="default" w:ascii="Times New Roman" w:hAnsi="Times New Roman" w:eastAsia="宋体" w:cs="Times New Roman"/>
                      <w:color w:val="auto"/>
                      <w:sz w:val="21"/>
                      <w:szCs w:val="21"/>
                      <w:highlight w:val="none"/>
                    </w:rPr>
                    <w:t>N</w:t>
                  </w:r>
                  <w:r>
                    <w:rPr>
                      <w:rFonts w:hint="default" w:ascii="Times New Roman" w:hAnsi="Times New Roman" w:eastAsia="宋体" w:cs="Times New Roman"/>
                      <w:color w:val="auto"/>
                      <w:sz w:val="21"/>
                      <w:szCs w:val="21"/>
                      <w:highlight w:val="none"/>
                      <w:vertAlign w:val="subscript"/>
                    </w:rPr>
                    <w:t>3</w:t>
                  </w:r>
                  <w:r>
                    <w:rPr>
                      <w:rFonts w:hint="default" w:ascii="Times New Roman" w:hAnsi="Times New Roman" w:eastAsia="宋体" w:cs="Times New Roman"/>
                      <w:color w:val="auto"/>
                      <w:sz w:val="21"/>
                      <w:szCs w:val="21"/>
                      <w:highlight w:val="none"/>
                    </w:rPr>
                    <w:t>SO</w:t>
                  </w:r>
                  <w:r>
                    <w:rPr>
                      <w:rFonts w:hint="default" w:ascii="Times New Roman" w:hAnsi="Times New Roman" w:eastAsia="宋体" w:cs="Times New Roman"/>
                      <w:color w:val="auto"/>
                      <w:sz w:val="21"/>
                      <w:szCs w:val="21"/>
                      <w:highlight w:val="none"/>
                      <w:vertAlign w:val="subscript"/>
                    </w:rPr>
                    <w:t>3</w:t>
                  </w:r>
                  <w:r>
                    <w:rPr>
                      <w:rFonts w:hint="default" w:ascii="Times New Roman" w:hAnsi="Times New Roman" w:eastAsia="宋体" w:cs="Times New Roman"/>
                      <w:color w:val="auto"/>
                      <w:sz w:val="21"/>
                      <w:szCs w:val="21"/>
                      <w:highlight w:val="none"/>
                    </w:rPr>
                    <w:t>Na</w:t>
                  </w:r>
                </w:p>
                <w:p w14:paraId="046199AD">
                  <w:pPr>
                    <w:pStyle w:val="44"/>
                    <w:keepNext w:val="0"/>
                    <w:keepLines w:val="0"/>
                    <w:pageBreakBefore w:val="0"/>
                    <w:widowControl w:val="0"/>
                    <w:tabs>
                      <w:tab w:val="left" w:pos="420"/>
                      <w:tab w:val="left" w:pos="870"/>
                      <w:tab w:val="left" w:pos="3150"/>
                    </w:tabs>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分子量：327.33</w:t>
                  </w:r>
                </w:p>
                <w:p w14:paraId="7DF1B6F1">
                  <w:pPr>
                    <w:pStyle w:val="44"/>
                    <w:keepNext w:val="0"/>
                    <w:keepLines w:val="0"/>
                    <w:pageBreakBefore w:val="0"/>
                    <w:widowControl w:val="0"/>
                    <w:tabs>
                      <w:tab w:val="left" w:pos="420"/>
                      <w:tab w:val="left" w:pos="870"/>
                      <w:tab w:val="left" w:pos="3150"/>
                    </w:tabs>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CAS号：547-58-0</w:t>
                  </w:r>
                </w:p>
              </w:tc>
              <w:tc>
                <w:tcPr>
                  <w:tcW w:w="5032" w:type="dxa"/>
                  <w:tcBorders>
                    <w:tl2br w:val="nil"/>
                    <w:tr2bl w:val="nil"/>
                  </w:tcBorders>
                  <w:vAlign w:val="center"/>
                </w:tcPr>
                <w:p w14:paraId="2F232DFC">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甲基橙是一种有机物，常用作酸碱指示剂。熔点：300℃</w:t>
                  </w:r>
                  <w:r>
                    <w:rPr>
                      <w:rFonts w:hint="eastAsia"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密度：0.987g/cm3</w:t>
                  </w:r>
                  <w:r>
                    <w:rPr>
                      <w:rFonts w:hint="eastAsia"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闪点：37℃</w:t>
                  </w:r>
                  <w:r>
                    <w:rPr>
                      <w:rFonts w:hint="eastAsia" w:cs="Times New Roman"/>
                      <w:color w:val="auto"/>
                      <w:sz w:val="21"/>
                      <w:szCs w:val="21"/>
                      <w:highlight w:val="none"/>
                      <w:lang w:eastAsia="zh-CN"/>
                    </w:rPr>
                    <w:t>，甲基橙本身为弱碱性，变色范围介于pH值3.1~4.4。甲基橙的变色范围是pH≦3.1时呈红色，3.1~4.4时呈橙色，pH≧4.4时呈黄色。</w:t>
                  </w:r>
                </w:p>
              </w:tc>
            </w:tr>
            <w:tr w14:paraId="32F9A1F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0" w:type="dxa"/>
                  <w:tcBorders>
                    <w:tl2br w:val="nil"/>
                    <w:tr2bl w:val="nil"/>
                  </w:tcBorders>
                  <w:vAlign w:val="center"/>
                </w:tcPr>
                <w:p w14:paraId="38497E07">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13</w:t>
                  </w:r>
                </w:p>
              </w:tc>
              <w:tc>
                <w:tcPr>
                  <w:tcW w:w="1085" w:type="dxa"/>
                  <w:tcBorders>
                    <w:tl2br w:val="nil"/>
                    <w:tr2bl w:val="nil"/>
                  </w:tcBorders>
                  <w:vAlign w:val="center"/>
                </w:tcPr>
                <w:p w14:paraId="6887AF7D">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无水磷酸二氢钾</w:t>
                  </w:r>
                </w:p>
              </w:tc>
              <w:tc>
                <w:tcPr>
                  <w:tcW w:w="2035" w:type="dxa"/>
                  <w:tcBorders>
                    <w:tl2br w:val="nil"/>
                    <w:tr2bl w:val="nil"/>
                  </w:tcBorders>
                  <w:vAlign w:val="center"/>
                </w:tcPr>
                <w:p w14:paraId="6AE12B99">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分子式：</w:t>
                  </w:r>
                  <w:r>
                    <w:rPr>
                      <w:rFonts w:hint="default" w:ascii="Times New Roman" w:hAnsi="Times New Roman" w:eastAsia="宋体" w:cs="Times New Roman"/>
                      <w:color w:val="auto"/>
                      <w:sz w:val="21"/>
                      <w:szCs w:val="21"/>
                      <w:highlight w:val="none"/>
                    </w:rPr>
                    <w:t>H</w:t>
                  </w:r>
                  <w:r>
                    <w:rPr>
                      <w:rFonts w:hint="default" w:ascii="Times New Roman" w:hAnsi="Times New Roman" w:eastAsia="宋体" w:cs="Times New Roman"/>
                      <w:color w:val="auto"/>
                      <w:sz w:val="21"/>
                      <w:szCs w:val="21"/>
                      <w:highlight w:val="none"/>
                      <w:vertAlign w:val="subscript"/>
                    </w:rPr>
                    <w:t>2</w:t>
                  </w:r>
                  <w:r>
                    <w:rPr>
                      <w:rFonts w:hint="default" w:ascii="Times New Roman" w:hAnsi="Times New Roman" w:eastAsia="宋体" w:cs="Times New Roman"/>
                      <w:color w:val="auto"/>
                      <w:sz w:val="21"/>
                      <w:szCs w:val="21"/>
                      <w:highlight w:val="none"/>
                    </w:rPr>
                    <w:t>KO</w:t>
                  </w:r>
                  <w:r>
                    <w:rPr>
                      <w:rFonts w:hint="default" w:ascii="Times New Roman" w:hAnsi="Times New Roman" w:eastAsia="宋体" w:cs="Times New Roman"/>
                      <w:color w:val="auto"/>
                      <w:sz w:val="21"/>
                      <w:szCs w:val="21"/>
                      <w:highlight w:val="none"/>
                      <w:vertAlign w:val="subscript"/>
                    </w:rPr>
                    <w:t>4</w:t>
                  </w:r>
                  <w:r>
                    <w:rPr>
                      <w:rFonts w:hint="default" w:ascii="Times New Roman" w:hAnsi="Times New Roman" w:eastAsia="宋体" w:cs="Times New Roman"/>
                      <w:color w:val="auto"/>
                      <w:sz w:val="21"/>
                      <w:szCs w:val="21"/>
                      <w:highlight w:val="none"/>
                    </w:rPr>
                    <w:t>P</w:t>
                  </w:r>
                </w:p>
                <w:p w14:paraId="52C95649">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分子量：</w:t>
                  </w:r>
                  <w:r>
                    <w:rPr>
                      <w:rFonts w:hint="eastAsia" w:ascii="Times New Roman" w:hAnsi="Times New Roman" w:eastAsia="宋体" w:cs="Times New Roman"/>
                      <w:color w:val="000000"/>
                      <w:sz w:val="21"/>
                      <w:szCs w:val="21"/>
                    </w:rPr>
                    <w:t>136.085541</w:t>
                  </w:r>
                </w:p>
                <w:p w14:paraId="052E605D">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CAS号：</w:t>
                  </w:r>
                  <w:r>
                    <w:rPr>
                      <w:rFonts w:hint="eastAsia" w:ascii="Times New Roman" w:hAnsi="Times New Roman" w:eastAsia="宋体" w:cs="Times New Roman"/>
                      <w:color w:val="000000"/>
                      <w:sz w:val="21"/>
                      <w:szCs w:val="21"/>
                    </w:rPr>
                    <w:t>7778-77-0</w:t>
                  </w:r>
                </w:p>
              </w:tc>
              <w:tc>
                <w:tcPr>
                  <w:tcW w:w="5032" w:type="dxa"/>
                  <w:tcBorders>
                    <w:tl2br w:val="nil"/>
                    <w:tr2bl w:val="nil"/>
                  </w:tcBorders>
                  <w:vAlign w:val="center"/>
                </w:tcPr>
                <w:p w14:paraId="467C2231">
                  <w:pPr>
                    <w:keepNext w:val="0"/>
                    <w:keepLines w:val="0"/>
                    <w:pageBreakBefore w:val="0"/>
                    <w:widowControl w:val="0"/>
                    <w:kinsoku/>
                    <w:wordWrap/>
                    <w:overflowPunct/>
                    <w:topLinePunct w:val="0"/>
                    <w:autoSpaceDE/>
                    <w:autoSpaceDN/>
                    <w:bidi w:val="0"/>
                    <w:snapToGrid w:val="0"/>
                    <w:spacing w:line="240" w:lineRule="auto"/>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无色柱状结晶或白色结晶性粉末。熔点96°C。在空气中稳定。溶于约4.5份水,水溶液呈酸性，pH值4.4~4.7。不溶于乙醇。在400°C失水生成偏磷酸钾。分析试剂、pH缓冲剂。用于配制缓冲液，测定砷、锑、磷、铝和铁I配制磷标准液及单倍体育种用各种培养基，测定血清中无机磷、碱性酸酶活力，制备细菌血清检验钩端螺旋体的培养基等。也用于压电元件、电光学元件和激光光谐波的发生</w:t>
                  </w:r>
                </w:p>
              </w:tc>
            </w:tr>
            <w:tr w14:paraId="42A50A9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0" w:type="dxa"/>
                  <w:tcBorders>
                    <w:tl2br w:val="nil"/>
                    <w:tr2bl w:val="nil"/>
                  </w:tcBorders>
                  <w:vAlign w:val="center"/>
                </w:tcPr>
                <w:p w14:paraId="6EE96A4C">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14</w:t>
                  </w:r>
                </w:p>
              </w:tc>
              <w:tc>
                <w:tcPr>
                  <w:tcW w:w="1085" w:type="dxa"/>
                  <w:tcBorders>
                    <w:tl2br w:val="nil"/>
                    <w:tr2bl w:val="nil"/>
                  </w:tcBorders>
                  <w:vAlign w:val="center"/>
                </w:tcPr>
                <w:p w14:paraId="4DEEAE01">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无水磷酸氢二钠</w:t>
                  </w:r>
                </w:p>
              </w:tc>
              <w:tc>
                <w:tcPr>
                  <w:tcW w:w="2035" w:type="dxa"/>
                  <w:tcBorders>
                    <w:tl2br w:val="nil"/>
                    <w:tr2bl w:val="nil"/>
                  </w:tcBorders>
                  <w:vAlign w:val="center"/>
                </w:tcPr>
                <w:p w14:paraId="49BE3150">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分子式：</w:t>
                  </w:r>
                  <w:r>
                    <w:rPr>
                      <w:rFonts w:hint="default" w:ascii="Times New Roman" w:hAnsi="Times New Roman" w:eastAsia="宋体" w:cs="Times New Roman"/>
                      <w:color w:val="auto"/>
                      <w:sz w:val="21"/>
                      <w:szCs w:val="21"/>
                      <w:highlight w:val="none"/>
                    </w:rPr>
                    <w:t>NaH</w:t>
                  </w:r>
                  <w:r>
                    <w:rPr>
                      <w:rFonts w:hint="default" w:ascii="Times New Roman" w:hAnsi="Times New Roman" w:eastAsia="宋体" w:cs="Times New Roman"/>
                      <w:color w:val="auto"/>
                      <w:sz w:val="21"/>
                      <w:szCs w:val="21"/>
                      <w:highlight w:val="none"/>
                      <w:vertAlign w:val="subscript"/>
                    </w:rPr>
                    <w:t>2</w:t>
                  </w:r>
                  <w:r>
                    <w:rPr>
                      <w:rFonts w:hint="default" w:ascii="Times New Roman" w:hAnsi="Times New Roman" w:eastAsia="宋体" w:cs="Times New Roman"/>
                      <w:color w:val="auto"/>
                      <w:sz w:val="21"/>
                      <w:szCs w:val="21"/>
                      <w:highlight w:val="none"/>
                    </w:rPr>
                    <w:t>PO</w:t>
                  </w:r>
                  <w:r>
                    <w:rPr>
                      <w:rFonts w:hint="default" w:ascii="Times New Roman" w:hAnsi="Times New Roman" w:eastAsia="宋体" w:cs="Times New Roman"/>
                      <w:color w:val="auto"/>
                      <w:sz w:val="21"/>
                      <w:szCs w:val="21"/>
                      <w:highlight w:val="none"/>
                      <w:vertAlign w:val="subscript"/>
                    </w:rPr>
                    <w:t>4</w:t>
                  </w:r>
                </w:p>
                <w:p w14:paraId="14FFCD07">
                  <w:pPr>
                    <w:pStyle w:val="44"/>
                    <w:keepNext w:val="0"/>
                    <w:keepLines w:val="0"/>
                    <w:pageBreakBefore w:val="0"/>
                    <w:widowControl w:val="0"/>
                    <w:tabs>
                      <w:tab w:val="left" w:pos="420"/>
                      <w:tab w:val="left" w:pos="870"/>
                      <w:tab w:val="left" w:pos="3150"/>
                    </w:tabs>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分子量：</w:t>
                  </w:r>
                  <w:r>
                    <w:rPr>
                      <w:rFonts w:hint="eastAsia" w:ascii="Times New Roman" w:hAnsi="Times New Roman" w:eastAsia="宋体" w:cs="Times New Roman"/>
                      <w:color w:val="000000"/>
                      <w:sz w:val="21"/>
                      <w:szCs w:val="21"/>
                    </w:rPr>
                    <w:t>119.959</w:t>
                  </w:r>
                </w:p>
                <w:p w14:paraId="293049D6">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CAS号：</w:t>
                  </w:r>
                  <w:r>
                    <w:rPr>
                      <w:rFonts w:hint="eastAsia" w:ascii="Times New Roman" w:hAnsi="Times New Roman" w:eastAsia="宋体" w:cs="Times New Roman"/>
                      <w:color w:val="000000"/>
                      <w:sz w:val="21"/>
                      <w:szCs w:val="21"/>
                    </w:rPr>
                    <w:t>7558-80-7</w:t>
                  </w:r>
                </w:p>
              </w:tc>
              <w:tc>
                <w:tcPr>
                  <w:tcW w:w="5032" w:type="dxa"/>
                  <w:tcBorders>
                    <w:tl2br w:val="nil"/>
                    <w:tr2bl w:val="nil"/>
                  </w:tcBorders>
                  <w:vAlign w:val="center"/>
                </w:tcPr>
                <w:p w14:paraId="1B6E9309">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又称酸性磷酸钠，是一种无机酸式盐，易溶于水，几乎不溶于乙醇。熔点：60℃</w:t>
                  </w:r>
                  <w:r>
                    <w:rPr>
                      <w:rFonts w:hint="eastAsia"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沸点：100℃</w:t>
                  </w:r>
                  <w:r>
                    <w:rPr>
                      <w:rFonts w:hint="eastAsia"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密度：1.40g/cm</w:t>
                  </w:r>
                  <w:r>
                    <w:rPr>
                      <w:rFonts w:hint="default" w:ascii="Times New Roman" w:hAnsi="Times New Roman" w:eastAsia="宋体" w:cs="Times New Roman"/>
                      <w:color w:val="auto"/>
                      <w:sz w:val="21"/>
                      <w:szCs w:val="21"/>
                      <w:highlight w:val="none"/>
                      <w:vertAlign w:val="superscript"/>
                    </w:rPr>
                    <w:t>3</w:t>
                  </w:r>
                  <w:r>
                    <w:rPr>
                      <w:rFonts w:hint="eastAsia" w:cs="Times New Roman"/>
                      <w:color w:val="auto"/>
                      <w:sz w:val="21"/>
                      <w:szCs w:val="21"/>
                      <w:highlight w:val="none"/>
                      <w:lang w:eastAsia="zh-CN"/>
                    </w:rPr>
                    <w:t>，主要用于制革、处理锅炉水，作为品质改良剂和制焙粉，及在食品工业、发酵工业中作缓冲剂和发酵粉原料，还用作饲料添加剂、洗涤剂及染助剂等</w:t>
                  </w:r>
                </w:p>
              </w:tc>
            </w:tr>
            <w:tr w14:paraId="3F6D54A6">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0" w:type="dxa"/>
                  <w:tcBorders>
                    <w:tl2br w:val="nil"/>
                    <w:tr2bl w:val="nil"/>
                  </w:tcBorders>
                  <w:vAlign w:val="center"/>
                </w:tcPr>
                <w:p w14:paraId="77F76F35">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15</w:t>
                  </w:r>
                </w:p>
              </w:tc>
              <w:tc>
                <w:tcPr>
                  <w:tcW w:w="1085" w:type="dxa"/>
                  <w:tcBorders>
                    <w:tl2br w:val="nil"/>
                    <w:tr2bl w:val="nil"/>
                  </w:tcBorders>
                  <w:vAlign w:val="center"/>
                </w:tcPr>
                <w:p w14:paraId="1641D57F">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氯胺</w:t>
                  </w:r>
                  <w:r>
                    <w:rPr>
                      <w:rFonts w:hint="default" w:eastAsia="宋体" w:cs="Times New Roman"/>
                      <w:color w:val="auto"/>
                      <w:kern w:val="28"/>
                      <w:sz w:val="21"/>
                      <w:szCs w:val="21"/>
                      <w:highlight w:val="none"/>
                      <w:lang w:val="en-US" w:eastAsia="zh-CN"/>
                    </w:rPr>
                    <w:t>T</w:t>
                  </w:r>
                </w:p>
              </w:tc>
              <w:tc>
                <w:tcPr>
                  <w:tcW w:w="2035" w:type="dxa"/>
                  <w:tcBorders>
                    <w:tl2br w:val="nil"/>
                    <w:tr2bl w:val="nil"/>
                  </w:tcBorders>
                  <w:vAlign w:val="center"/>
                </w:tcPr>
                <w:p w14:paraId="507408BD">
                  <w:pPr>
                    <w:keepNext w:val="0"/>
                    <w:keepLines w:val="0"/>
                    <w:pageBreakBefore w:val="0"/>
                    <w:kinsoku/>
                    <w:wordWrap/>
                    <w:overflowPunct/>
                    <w:topLinePunct w:val="0"/>
                    <w:autoSpaceDE/>
                    <w:autoSpaceDN/>
                    <w:bidi w:val="0"/>
                    <w:adjustRightInd w:val="0"/>
                    <w:snapToGrid w:val="0"/>
                    <w:spacing w:line="24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分子式：C</w:t>
                  </w:r>
                  <w:r>
                    <w:rPr>
                      <w:rFonts w:ascii="Times New Roman" w:hAnsi="Times New Roman" w:eastAsia="宋体" w:cs="Times New Roman"/>
                      <w:color w:val="000000"/>
                      <w:sz w:val="21"/>
                      <w:szCs w:val="21"/>
                      <w:vertAlign w:val="subscript"/>
                    </w:rPr>
                    <w:t>7</w:t>
                  </w:r>
                  <w:r>
                    <w:rPr>
                      <w:rFonts w:ascii="Times New Roman" w:hAnsi="Times New Roman" w:eastAsia="宋体" w:cs="Times New Roman"/>
                      <w:color w:val="000000"/>
                      <w:sz w:val="21"/>
                      <w:szCs w:val="21"/>
                    </w:rPr>
                    <w:t>H</w:t>
                  </w:r>
                  <w:r>
                    <w:rPr>
                      <w:rFonts w:ascii="Times New Roman" w:hAnsi="Times New Roman" w:eastAsia="宋体" w:cs="Times New Roman"/>
                      <w:color w:val="000000"/>
                      <w:sz w:val="21"/>
                      <w:szCs w:val="21"/>
                      <w:vertAlign w:val="subscript"/>
                    </w:rPr>
                    <w:t>8</w:t>
                  </w:r>
                  <w:r>
                    <w:rPr>
                      <w:rFonts w:ascii="Times New Roman" w:hAnsi="Times New Roman" w:eastAsia="宋体" w:cs="Times New Roman"/>
                      <w:color w:val="000000"/>
                      <w:sz w:val="21"/>
                      <w:szCs w:val="21"/>
                    </w:rPr>
                    <w:t>ClNNaO</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S</w:t>
                  </w:r>
                </w:p>
                <w:p w14:paraId="15B161EA">
                  <w:pPr>
                    <w:pStyle w:val="44"/>
                    <w:keepNext w:val="0"/>
                    <w:keepLines w:val="0"/>
                    <w:pageBreakBefore w:val="0"/>
                    <w:tabs>
                      <w:tab w:val="left" w:pos="420"/>
                      <w:tab w:val="left" w:pos="870"/>
                      <w:tab w:val="left" w:pos="3150"/>
                    </w:tabs>
                    <w:kinsoku/>
                    <w:wordWrap/>
                    <w:overflowPunct/>
                    <w:topLinePunct w:val="0"/>
                    <w:autoSpaceDE/>
                    <w:autoSpaceDN/>
                    <w:bidi w:val="0"/>
                    <w:adjustRightInd w:val="0"/>
                    <w:snapToGrid w:val="0"/>
                    <w:spacing w:after="0" w:line="240" w:lineRule="auto"/>
                    <w:ind w:left="0" w:leftChars="0" w:firstLine="0" w:firstLineChars="0"/>
                    <w:jc w:val="center"/>
                    <w:rPr>
                      <w:rFonts w:ascii="Times New Roman" w:hAnsi="Times New Roman"/>
                      <w:color w:val="000000"/>
                      <w:sz w:val="21"/>
                      <w:szCs w:val="21"/>
                    </w:rPr>
                  </w:pPr>
                  <w:r>
                    <w:rPr>
                      <w:rFonts w:ascii="Times New Roman" w:hAnsi="Times New Roman"/>
                      <w:color w:val="000000"/>
                      <w:sz w:val="21"/>
                      <w:szCs w:val="21"/>
                    </w:rPr>
                    <w:t>分子量：228.65</w:t>
                  </w:r>
                </w:p>
                <w:p w14:paraId="7353DA9D">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CAS号：127-65-1</w:t>
                  </w:r>
                </w:p>
              </w:tc>
              <w:tc>
                <w:tcPr>
                  <w:tcW w:w="5032" w:type="dxa"/>
                  <w:tcBorders>
                    <w:tl2br w:val="nil"/>
                    <w:tr2bl w:val="nil"/>
                  </w:tcBorders>
                  <w:vAlign w:val="center"/>
                </w:tcPr>
                <w:p w14:paraId="5F8EBF6B">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shd w:val="clear" w:color="auto" w:fill="FFFFFF"/>
                    </w:rPr>
                    <w:t>中毒，棱柱状结晶，熔点167℃，沸点314.3℃，相对密度1.401(水=1)。溶于水，实际上不溶于苯、氯仿和乙醚。在乙醇中分解。制药工业用以制备灭菌剂，磺胺类药物的测定、指示剂。</w:t>
                  </w:r>
                </w:p>
              </w:tc>
            </w:tr>
            <w:tr w14:paraId="2E4E9112">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0" w:type="dxa"/>
                  <w:tcBorders>
                    <w:tl2br w:val="nil"/>
                    <w:tr2bl w:val="nil"/>
                  </w:tcBorders>
                  <w:vAlign w:val="center"/>
                </w:tcPr>
                <w:p w14:paraId="0EF0B561">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16</w:t>
                  </w:r>
                </w:p>
              </w:tc>
              <w:tc>
                <w:tcPr>
                  <w:tcW w:w="1085" w:type="dxa"/>
                  <w:tcBorders>
                    <w:tl2br w:val="nil"/>
                    <w:tr2bl w:val="nil"/>
                  </w:tcBorders>
                  <w:vAlign w:val="center"/>
                </w:tcPr>
                <w:p w14:paraId="05E6B239">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异烟酸</w:t>
                  </w:r>
                </w:p>
              </w:tc>
              <w:tc>
                <w:tcPr>
                  <w:tcW w:w="2035" w:type="dxa"/>
                  <w:tcBorders>
                    <w:tl2br w:val="nil"/>
                    <w:tr2bl w:val="nil"/>
                  </w:tcBorders>
                  <w:vAlign w:val="center"/>
                </w:tcPr>
                <w:p w14:paraId="41D4E714">
                  <w:pPr>
                    <w:keepNext w:val="0"/>
                    <w:keepLines w:val="0"/>
                    <w:pageBreakBefore w:val="0"/>
                    <w:kinsoku/>
                    <w:wordWrap/>
                    <w:overflowPunct/>
                    <w:topLinePunct w:val="0"/>
                    <w:autoSpaceDE/>
                    <w:autoSpaceDN/>
                    <w:bidi w:val="0"/>
                    <w:adjustRightInd w:val="0"/>
                    <w:snapToGrid w:val="0"/>
                    <w:spacing w:line="24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分子式：C</w:t>
                  </w:r>
                  <w:r>
                    <w:rPr>
                      <w:rFonts w:ascii="Times New Roman" w:hAnsi="Times New Roman" w:eastAsia="宋体" w:cs="Times New Roman"/>
                      <w:color w:val="000000"/>
                      <w:sz w:val="21"/>
                      <w:szCs w:val="21"/>
                      <w:vertAlign w:val="subscript"/>
                    </w:rPr>
                    <w:t>6</w:t>
                  </w:r>
                  <w:r>
                    <w:rPr>
                      <w:rFonts w:ascii="Times New Roman" w:hAnsi="Times New Roman" w:eastAsia="宋体" w:cs="Times New Roman"/>
                      <w:color w:val="000000"/>
                      <w:sz w:val="21"/>
                      <w:szCs w:val="21"/>
                      <w:shd w:val="clear" w:color="auto" w:fill="FFFFFF"/>
                    </w:rPr>
                    <w:t>H</w:t>
                  </w:r>
                  <w:r>
                    <w:rPr>
                      <w:rFonts w:ascii="Times New Roman" w:hAnsi="Times New Roman" w:eastAsia="宋体" w:cs="Times New Roman"/>
                      <w:color w:val="000000"/>
                      <w:sz w:val="21"/>
                      <w:szCs w:val="21"/>
                      <w:shd w:val="clear" w:color="auto" w:fill="FFFFFF"/>
                      <w:vertAlign w:val="subscript"/>
                    </w:rPr>
                    <w:t>5</w:t>
                  </w:r>
                  <w:r>
                    <w:rPr>
                      <w:rFonts w:ascii="Times New Roman" w:hAnsi="Times New Roman" w:eastAsia="宋体" w:cs="Times New Roman"/>
                      <w:color w:val="000000"/>
                      <w:sz w:val="21"/>
                      <w:szCs w:val="21"/>
                      <w:shd w:val="clear" w:color="auto" w:fill="FFFFFF"/>
                    </w:rPr>
                    <w:t>NO</w:t>
                  </w:r>
                  <w:r>
                    <w:rPr>
                      <w:rFonts w:ascii="Times New Roman" w:hAnsi="Times New Roman" w:eastAsia="宋体" w:cs="Times New Roman"/>
                      <w:color w:val="000000"/>
                      <w:sz w:val="21"/>
                      <w:szCs w:val="21"/>
                      <w:shd w:val="clear" w:color="auto" w:fill="FFFFFF"/>
                      <w:vertAlign w:val="subscript"/>
                    </w:rPr>
                    <w:t>2</w:t>
                  </w:r>
                </w:p>
                <w:p w14:paraId="2E35B683">
                  <w:pPr>
                    <w:pStyle w:val="44"/>
                    <w:keepNext w:val="0"/>
                    <w:keepLines w:val="0"/>
                    <w:pageBreakBefore w:val="0"/>
                    <w:tabs>
                      <w:tab w:val="left" w:pos="420"/>
                      <w:tab w:val="left" w:pos="870"/>
                      <w:tab w:val="left" w:pos="3150"/>
                    </w:tabs>
                    <w:kinsoku/>
                    <w:wordWrap/>
                    <w:overflowPunct/>
                    <w:topLinePunct w:val="0"/>
                    <w:autoSpaceDE/>
                    <w:autoSpaceDN/>
                    <w:bidi w:val="0"/>
                    <w:adjustRightInd w:val="0"/>
                    <w:snapToGrid w:val="0"/>
                    <w:spacing w:after="0" w:line="240" w:lineRule="auto"/>
                    <w:ind w:left="0" w:leftChars="0" w:firstLine="0" w:firstLineChars="0"/>
                    <w:jc w:val="center"/>
                    <w:rPr>
                      <w:rFonts w:ascii="Times New Roman" w:hAnsi="Times New Roman"/>
                      <w:color w:val="000000"/>
                      <w:sz w:val="21"/>
                      <w:szCs w:val="21"/>
                    </w:rPr>
                  </w:pPr>
                  <w:r>
                    <w:rPr>
                      <w:rFonts w:ascii="Times New Roman" w:hAnsi="Times New Roman"/>
                      <w:color w:val="000000"/>
                      <w:sz w:val="21"/>
                      <w:szCs w:val="21"/>
                    </w:rPr>
                    <w:t>分子量：123.10</w:t>
                  </w:r>
                </w:p>
                <w:p w14:paraId="119452F1">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CAS号：</w:t>
                  </w:r>
                  <w:r>
                    <w:rPr>
                      <w:rFonts w:ascii="Times New Roman" w:hAnsi="Times New Roman" w:eastAsia="宋体" w:cs="Times New Roman"/>
                      <w:color w:val="000000"/>
                      <w:sz w:val="21"/>
                      <w:szCs w:val="21"/>
                      <w:shd w:val="clear" w:color="auto" w:fill="FFFFFF"/>
                    </w:rPr>
                    <w:t>55-22-1</w:t>
                  </w:r>
                </w:p>
              </w:tc>
              <w:tc>
                <w:tcPr>
                  <w:tcW w:w="5032" w:type="dxa"/>
                  <w:tcBorders>
                    <w:tl2br w:val="nil"/>
                    <w:tr2bl w:val="nil"/>
                  </w:tcBorders>
                  <w:vAlign w:val="center"/>
                </w:tcPr>
                <w:p w14:paraId="3DB3F12A">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低毒，白色片状结晶,无气味。260℃能升华，熔点319℃，微溶于冷水，较多溶于热水，几乎不溶于苯、乙醚、沸乙醇。主要用于制抗结核病药物异烟肼,也用于合成酰胺、酰肼、酯类等衍生物。</w:t>
                  </w:r>
                </w:p>
              </w:tc>
            </w:tr>
            <w:tr w14:paraId="0DF4C409">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0" w:type="dxa"/>
                  <w:tcBorders>
                    <w:tl2br w:val="nil"/>
                    <w:tr2bl w:val="nil"/>
                  </w:tcBorders>
                  <w:vAlign w:val="center"/>
                </w:tcPr>
                <w:p w14:paraId="008FCB66">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17</w:t>
                  </w:r>
                </w:p>
              </w:tc>
              <w:tc>
                <w:tcPr>
                  <w:tcW w:w="1085" w:type="dxa"/>
                  <w:tcBorders>
                    <w:tl2br w:val="nil"/>
                    <w:tr2bl w:val="nil"/>
                  </w:tcBorders>
                  <w:vAlign w:val="center"/>
                </w:tcPr>
                <w:p w14:paraId="5531A460">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吡唑啉酮</w:t>
                  </w:r>
                </w:p>
              </w:tc>
              <w:tc>
                <w:tcPr>
                  <w:tcW w:w="2035" w:type="dxa"/>
                  <w:tcBorders>
                    <w:tl2br w:val="nil"/>
                    <w:tr2bl w:val="nil"/>
                  </w:tcBorders>
                  <w:vAlign w:val="center"/>
                </w:tcPr>
                <w:p w14:paraId="20884D7B">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000000"/>
                      <w:sz w:val="21"/>
                      <w:szCs w:val="21"/>
                    </w:rPr>
                  </w:pPr>
                  <w:r>
                    <w:rPr>
                      <w:rFonts w:ascii="Times New Roman" w:hAnsi="Times New Roman" w:eastAsia="宋体" w:cs="Times New Roman"/>
                      <w:color w:val="000000"/>
                      <w:sz w:val="21"/>
                      <w:szCs w:val="21"/>
                    </w:rPr>
                    <w:t>分子式：</w:t>
                  </w:r>
                  <w:r>
                    <w:rPr>
                      <w:rFonts w:hint="default" w:ascii="Times New Roman" w:hAnsi="Times New Roman" w:eastAsia="宋体" w:cs="Times New Roman"/>
                      <w:color w:val="000000"/>
                      <w:sz w:val="21"/>
                      <w:szCs w:val="21"/>
                    </w:rPr>
                    <w:t>C</w:t>
                  </w:r>
                  <w:r>
                    <w:rPr>
                      <w:rFonts w:hint="default" w:ascii="Times New Roman" w:hAnsi="Times New Roman" w:eastAsia="宋体" w:cs="Times New Roman"/>
                      <w:color w:val="000000"/>
                      <w:sz w:val="21"/>
                      <w:szCs w:val="21"/>
                      <w:vertAlign w:val="subscript"/>
                    </w:rPr>
                    <w:t>10</w:t>
                  </w:r>
                  <w:r>
                    <w:rPr>
                      <w:rFonts w:hint="default" w:ascii="Times New Roman" w:hAnsi="Times New Roman" w:eastAsia="宋体" w:cs="Times New Roman"/>
                      <w:color w:val="000000"/>
                      <w:sz w:val="21"/>
                      <w:szCs w:val="21"/>
                    </w:rPr>
                    <w:t>H</w:t>
                  </w:r>
                  <w:r>
                    <w:rPr>
                      <w:rFonts w:hint="default" w:ascii="Times New Roman" w:hAnsi="Times New Roman" w:eastAsia="宋体" w:cs="Times New Roman"/>
                      <w:color w:val="000000"/>
                      <w:sz w:val="21"/>
                      <w:szCs w:val="21"/>
                      <w:vertAlign w:val="subscript"/>
                    </w:rPr>
                    <w:t>10</w:t>
                  </w:r>
                  <w:r>
                    <w:rPr>
                      <w:rFonts w:hint="default" w:ascii="Times New Roman" w:hAnsi="Times New Roman" w:eastAsia="宋体" w:cs="Times New Roman"/>
                      <w:color w:val="000000"/>
                      <w:sz w:val="21"/>
                      <w:szCs w:val="21"/>
                    </w:rPr>
                    <w:t>N</w:t>
                  </w:r>
                  <w:r>
                    <w:rPr>
                      <w:rFonts w:hint="default" w:ascii="Times New Roman" w:hAnsi="Times New Roman" w:eastAsia="宋体" w:cs="Times New Roman"/>
                      <w:color w:val="000000"/>
                      <w:sz w:val="21"/>
                      <w:szCs w:val="21"/>
                      <w:vertAlign w:val="subscript"/>
                    </w:rPr>
                    <w:t>2</w:t>
                  </w:r>
                  <w:r>
                    <w:rPr>
                      <w:rFonts w:hint="default" w:ascii="Times New Roman" w:hAnsi="Times New Roman" w:eastAsia="宋体" w:cs="Times New Roman"/>
                      <w:color w:val="000000"/>
                      <w:sz w:val="21"/>
                      <w:szCs w:val="21"/>
                    </w:rPr>
                    <w:t>O</w:t>
                  </w:r>
                </w:p>
                <w:p w14:paraId="2FFAEA26">
                  <w:pPr>
                    <w:pStyle w:val="44"/>
                    <w:keepNext w:val="0"/>
                    <w:keepLines w:val="0"/>
                    <w:pageBreakBefore w:val="0"/>
                    <w:tabs>
                      <w:tab w:val="left" w:pos="420"/>
                      <w:tab w:val="left" w:pos="870"/>
                      <w:tab w:val="left" w:pos="3150"/>
                    </w:tabs>
                    <w:kinsoku/>
                    <w:wordWrap/>
                    <w:overflowPunct/>
                    <w:topLinePunct w:val="0"/>
                    <w:autoSpaceDE/>
                    <w:autoSpaceDN/>
                    <w:bidi w:val="0"/>
                    <w:adjustRightInd w:val="0"/>
                    <w:snapToGrid w:val="0"/>
                    <w:spacing w:after="0" w:line="240" w:lineRule="auto"/>
                    <w:ind w:left="0" w:leftChars="0" w:firstLine="0" w:firstLineChars="0"/>
                    <w:jc w:val="center"/>
                    <w:rPr>
                      <w:rFonts w:ascii="Times New Roman" w:hAnsi="Times New Roman"/>
                      <w:color w:val="000000"/>
                      <w:sz w:val="21"/>
                      <w:szCs w:val="21"/>
                    </w:rPr>
                  </w:pPr>
                  <w:r>
                    <w:rPr>
                      <w:rFonts w:ascii="Times New Roman" w:hAnsi="Times New Roman"/>
                      <w:color w:val="000000"/>
                      <w:sz w:val="21"/>
                      <w:szCs w:val="21"/>
                    </w:rPr>
                    <w:t>分子量：</w:t>
                  </w:r>
                  <w:r>
                    <w:rPr>
                      <w:rFonts w:hint="eastAsia" w:ascii="Times New Roman" w:hAnsi="Times New Roman"/>
                      <w:color w:val="000000"/>
                      <w:sz w:val="21"/>
                      <w:szCs w:val="21"/>
                    </w:rPr>
                    <w:t>174.2</w:t>
                  </w:r>
                </w:p>
                <w:p w14:paraId="6B30D98A">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CAS号：</w:t>
                  </w:r>
                  <w:r>
                    <w:rPr>
                      <w:rFonts w:hint="eastAsia" w:ascii="Times New Roman" w:hAnsi="Times New Roman" w:eastAsia="宋体" w:cs="Times New Roman"/>
                      <w:color w:val="000000"/>
                      <w:sz w:val="21"/>
                      <w:szCs w:val="21"/>
                      <w:shd w:val="clear" w:color="auto" w:fill="FFFFFF"/>
                    </w:rPr>
                    <w:t>89-25-8</w:t>
                  </w:r>
                </w:p>
              </w:tc>
              <w:tc>
                <w:tcPr>
                  <w:tcW w:w="5032" w:type="dxa"/>
                  <w:tcBorders>
                    <w:tl2br w:val="nil"/>
                    <w:tr2bl w:val="nil"/>
                  </w:tcBorders>
                  <w:vAlign w:val="center"/>
                </w:tcPr>
                <w:p w14:paraId="50150C69">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白色粉末或结晶。溶于水，微溶于乙醇或苯，难溶于冷水、石油醚、乙醚。沸点(27.33kPa)287℃。熔点129～130℃。蒸气压(20℃)&lt;1.33Pa。折射率1.637</w:t>
                  </w:r>
                  <w:r>
                    <w:rPr>
                      <w:rFonts w:hint="eastAsia" w:cs="Times New Roman"/>
                      <w:color w:val="auto"/>
                      <w:sz w:val="21"/>
                      <w:szCs w:val="21"/>
                      <w:highlight w:val="none"/>
                      <w:lang w:eastAsia="zh-CN"/>
                    </w:rPr>
                    <w:t>，主要用于生产医药安替比林、氨基比林、安乃近。也用于染料（永固黄G、酸性媒介枣红BN等）及彩色胶片染料、农药及有机合成工业中。并可用作检测维生素B</w:t>
                  </w:r>
                  <w:r>
                    <w:rPr>
                      <w:rFonts w:hint="eastAsia" w:cs="Times New Roman"/>
                      <w:color w:val="auto"/>
                      <w:sz w:val="21"/>
                      <w:szCs w:val="21"/>
                      <w:highlight w:val="none"/>
                      <w:vertAlign w:val="subscript"/>
                      <w:lang w:eastAsia="zh-CN"/>
                    </w:rPr>
                    <w:t>12</w:t>
                  </w:r>
                  <w:r>
                    <w:rPr>
                      <w:rFonts w:hint="eastAsia" w:cs="Times New Roman"/>
                      <w:color w:val="auto"/>
                      <w:sz w:val="21"/>
                      <w:szCs w:val="21"/>
                      <w:highlight w:val="none"/>
                      <w:lang w:eastAsia="zh-CN"/>
                    </w:rPr>
                    <w:t>，CO，Fe，Cu，Ni等的化学试剂</w:t>
                  </w:r>
                </w:p>
              </w:tc>
            </w:tr>
            <w:tr w14:paraId="01B3C8B9">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0" w:type="dxa"/>
                  <w:tcBorders>
                    <w:tl2br w:val="nil"/>
                    <w:tr2bl w:val="nil"/>
                  </w:tcBorders>
                  <w:vAlign w:val="center"/>
                </w:tcPr>
                <w:p w14:paraId="7D9AC834">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18</w:t>
                  </w:r>
                </w:p>
              </w:tc>
              <w:tc>
                <w:tcPr>
                  <w:tcW w:w="1085" w:type="dxa"/>
                  <w:tcBorders>
                    <w:tl2br w:val="nil"/>
                    <w:tr2bl w:val="nil"/>
                  </w:tcBorders>
                  <w:vAlign w:val="center"/>
                </w:tcPr>
                <w:p w14:paraId="3FF94162">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硫酸锌</w:t>
                  </w:r>
                </w:p>
              </w:tc>
              <w:tc>
                <w:tcPr>
                  <w:tcW w:w="2035" w:type="dxa"/>
                  <w:tcBorders>
                    <w:tl2br w:val="nil"/>
                    <w:tr2bl w:val="nil"/>
                  </w:tcBorders>
                  <w:vAlign w:val="center"/>
                </w:tcPr>
                <w:p w14:paraId="07AF6B72">
                  <w:pPr>
                    <w:keepNext w:val="0"/>
                    <w:keepLines w:val="0"/>
                    <w:pageBreakBefore w:val="0"/>
                    <w:kinsoku/>
                    <w:wordWrap/>
                    <w:overflowPunct/>
                    <w:topLinePunct w:val="0"/>
                    <w:autoSpaceDE/>
                    <w:autoSpaceDN/>
                    <w:bidi w:val="0"/>
                    <w:adjustRightInd w:val="0"/>
                    <w:snapToGrid w:val="0"/>
                    <w:spacing w:line="24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分子式：ZnSO</w:t>
                  </w:r>
                  <w:r>
                    <w:rPr>
                      <w:rFonts w:ascii="Times New Roman" w:hAnsi="Times New Roman" w:eastAsia="宋体" w:cs="Times New Roman"/>
                      <w:color w:val="000000"/>
                      <w:sz w:val="21"/>
                      <w:szCs w:val="21"/>
                      <w:vertAlign w:val="subscript"/>
                    </w:rPr>
                    <w:t>4</w:t>
                  </w:r>
                </w:p>
                <w:p w14:paraId="16A4F65B">
                  <w:pPr>
                    <w:pStyle w:val="44"/>
                    <w:keepNext w:val="0"/>
                    <w:keepLines w:val="0"/>
                    <w:pageBreakBefore w:val="0"/>
                    <w:tabs>
                      <w:tab w:val="left" w:pos="420"/>
                      <w:tab w:val="left" w:pos="870"/>
                      <w:tab w:val="left" w:pos="3150"/>
                    </w:tabs>
                    <w:kinsoku/>
                    <w:wordWrap/>
                    <w:overflowPunct/>
                    <w:topLinePunct w:val="0"/>
                    <w:autoSpaceDE/>
                    <w:autoSpaceDN/>
                    <w:bidi w:val="0"/>
                    <w:adjustRightInd w:val="0"/>
                    <w:snapToGrid w:val="0"/>
                    <w:spacing w:after="0" w:line="240" w:lineRule="auto"/>
                    <w:ind w:left="0" w:leftChars="0" w:firstLine="0" w:firstLineChars="0"/>
                    <w:jc w:val="center"/>
                    <w:rPr>
                      <w:rFonts w:ascii="Times New Roman" w:hAnsi="Times New Roman"/>
                      <w:color w:val="000000"/>
                      <w:sz w:val="21"/>
                      <w:szCs w:val="21"/>
                    </w:rPr>
                  </w:pPr>
                  <w:r>
                    <w:rPr>
                      <w:rFonts w:ascii="Times New Roman" w:hAnsi="Times New Roman"/>
                      <w:color w:val="000000"/>
                      <w:sz w:val="21"/>
                      <w:szCs w:val="21"/>
                    </w:rPr>
                    <w:t>分子量：161</w:t>
                  </w:r>
                </w:p>
                <w:p w14:paraId="7D89282A">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CAS号：7733-02-0</w:t>
                  </w:r>
                </w:p>
              </w:tc>
              <w:tc>
                <w:tcPr>
                  <w:tcW w:w="5032" w:type="dxa"/>
                  <w:tcBorders>
                    <w:tl2br w:val="nil"/>
                    <w:tr2bl w:val="nil"/>
                  </w:tcBorders>
                  <w:vAlign w:val="center"/>
                </w:tcPr>
                <w:p w14:paraId="6429DB32">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无色斜方晶体、颗粒或粉末，无气味，味涩。相对密度3.54(水=1)。硫酸锌易溶于水，水溶液显弱酸性，能溶于甘油，微溶于乙醇。用作印染媒染剂、木材防腐剂、造纸漂白剂，还用于医药、人造纤维、电解、电镀、农药及生产锌盐等。</w:t>
                  </w:r>
                </w:p>
              </w:tc>
            </w:tr>
            <w:tr w14:paraId="50C0839A">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0" w:type="dxa"/>
                  <w:tcBorders>
                    <w:tl2br w:val="nil"/>
                    <w:tr2bl w:val="nil"/>
                  </w:tcBorders>
                  <w:vAlign w:val="center"/>
                </w:tcPr>
                <w:p w14:paraId="3141D315">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19</w:t>
                  </w:r>
                </w:p>
              </w:tc>
              <w:tc>
                <w:tcPr>
                  <w:tcW w:w="1085" w:type="dxa"/>
                  <w:tcBorders>
                    <w:tl2br w:val="nil"/>
                    <w:tr2bl w:val="nil"/>
                  </w:tcBorders>
                  <w:vAlign w:val="center"/>
                </w:tcPr>
                <w:p w14:paraId="3A25E32F">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丙酮</w:t>
                  </w:r>
                </w:p>
              </w:tc>
              <w:tc>
                <w:tcPr>
                  <w:tcW w:w="2035" w:type="dxa"/>
                  <w:tcBorders>
                    <w:tl2br w:val="nil"/>
                    <w:tr2bl w:val="nil"/>
                  </w:tcBorders>
                  <w:vAlign w:val="center"/>
                </w:tcPr>
                <w:p w14:paraId="0EEBE4C8">
                  <w:pPr>
                    <w:keepNext w:val="0"/>
                    <w:keepLines w:val="0"/>
                    <w:pageBreakBefore w:val="0"/>
                    <w:kinsoku/>
                    <w:wordWrap/>
                    <w:overflowPunct/>
                    <w:topLinePunct w:val="0"/>
                    <w:autoSpaceDE/>
                    <w:autoSpaceDN/>
                    <w:bidi w:val="0"/>
                    <w:adjustRightInd w:val="0"/>
                    <w:snapToGrid w:val="0"/>
                    <w:spacing w:line="24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分子式：C</w:t>
                  </w:r>
                  <w:r>
                    <w:rPr>
                      <w:rFonts w:ascii="Times New Roman" w:hAnsi="Times New Roman" w:eastAsia="宋体" w:cs="Times New Roman"/>
                      <w:color w:val="000000"/>
                      <w:sz w:val="21"/>
                      <w:szCs w:val="21"/>
                      <w:shd w:val="clear" w:color="auto" w:fill="FFFFFF"/>
                    </w:rPr>
                    <w:t>H</w:t>
                  </w:r>
                  <w:r>
                    <w:rPr>
                      <w:rFonts w:ascii="Times New Roman" w:hAnsi="Times New Roman" w:eastAsia="宋体" w:cs="Times New Roman"/>
                      <w:color w:val="000000"/>
                      <w:sz w:val="21"/>
                      <w:szCs w:val="21"/>
                      <w:shd w:val="clear" w:color="auto" w:fill="FFFFFF"/>
                      <w:vertAlign w:val="subscript"/>
                    </w:rPr>
                    <w:t>3</w:t>
                  </w:r>
                  <w:r>
                    <w:rPr>
                      <w:rFonts w:ascii="Times New Roman" w:hAnsi="Times New Roman" w:eastAsia="宋体" w:cs="Times New Roman"/>
                      <w:color w:val="000000"/>
                      <w:sz w:val="21"/>
                      <w:szCs w:val="21"/>
                      <w:shd w:val="clear" w:color="auto" w:fill="FFFFFF"/>
                    </w:rPr>
                    <w:t>COCH</w:t>
                  </w:r>
                  <w:r>
                    <w:rPr>
                      <w:rFonts w:ascii="Times New Roman" w:hAnsi="Times New Roman" w:eastAsia="宋体" w:cs="Times New Roman"/>
                      <w:color w:val="000000"/>
                      <w:sz w:val="21"/>
                      <w:szCs w:val="21"/>
                      <w:shd w:val="clear" w:color="auto" w:fill="FFFFFF"/>
                      <w:vertAlign w:val="subscript"/>
                    </w:rPr>
                    <w:t>3</w:t>
                  </w:r>
                </w:p>
                <w:p w14:paraId="22DFD9E4">
                  <w:pPr>
                    <w:pStyle w:val="44"/>
                    <w:keepNext w:val="0"/>
                    <w:keepLines w:val="0"/>
                    <w:pageBreakBefore w:val="0"/>
                    <w:tabs>
                      <w:tab w:val="left" w:pos="420"/>
                      <w:tab w:val="left" w:pos="870"/>
                      <w:tab w:val="left" w:pos="3150"/>
                    </w:tabs>
                    <w:kinsoku/>
                    <w:wordWrap/>
                    <w:overflowPunct/>
                    <w:topLinePunct w:val="0"/>
                    <w:autoSpaceDE/>
                    <w:autoSpaceDN/>
                    <w:bidi w:val="0"/>
                    <w:adjustRightInd w:val="0"/>
                    <w:snapToGrid w:val="0"/>
                    <w:spacing w:after="0" w:line="240" w:lineRule="auto"/>
                    <w:ind w:left="0" w:leftChars="0" w:firstLine="0" w:firstLineChars="0"/>
                    <w:jc w:val="center"/>
                    <w:rPr>
                      <w:rFonts w:ascii="Times New Roman" w:hAnsi="Times New Roman"/>
                      <w:color w:val="000000"/>
                      <w:sz w:val="21"/>
                      <w:szCs w:val="21"/>
                    </w:rPr>
                  </w:pPr>
                  <w:r>
                    <w:rPr>
                      <w:rFonts w:ascii="Times New Roman" w:hAnsi="Times New Roman"/>
                      <w:color w:val="000000"/>
                      <w:sz w:val="21"/>
                      <w:szCs w:val="21"/>
                    </w:rPr>
                    <w:t>分子量：58.08</w:t>
                  </w:r>
                </w:p>
                <w:p w14:paraId="4355DFCF">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CAS号：</w:t>
                  </w:r>
                  <w:r>
                    <w:rPr>
                      <w:rFonts w:ascii="Times New Roman" w:hAnsi="Times New Roman" w:eastAsia="宋体" w:cs="Times New Roman"/>
                      <w:color w:val="000000"/>
                      <w:sz w:val="21"/>
                      <w:szCs w:val="21"/>
                      <w:shd w:val="clear" w:color="auto" w:fill="FFFFFF"/>
                    </w:rPr>
                    <w:t>67-64-1</w:t>
                  </w:r>
                </w:p>
              </w:tc>
              <w:tc>
                <w:tcPr>
                  <w:tcW w:w="5032" w:type="dxa"/>
                  <w:tcBorders>
                    <w:tl2br w:val="nil"/>
                    <w:tr2bl w:val="nil"/>
                  </w:tcBorders>
                  <w:vAlign w:val="center"/>
                </w:tcPr>
                <w:p w14:paraId="6D578FCF">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熔点-94.6℃，沸点56.5℃，闪点-20℃，</w:t>
                  </w:r>
                  <w:r>
                    <w:rPr>
                      <w:rFonts w:hint="eastAsia" w:cs="Times New Roman"/>
                      <w:color w:val="000000"/>
                      <w:sz w:val="21"/>
                      <w:szCs w:val="21"/>
                      <w:lang w:val="en-US" w:eastAsia="zh-CN"/>
                    </w:rPr>
                    <w:t>密度</w:t>
                  </w:r>
                  <w:r>
                    <w:rPr>
                      <w:rFonts w:hint="eastAsia" w:ascii="Times New Roman" w:hAnsi="Times New Roman" w:eastAsia="宋体" w:cs="Times New Roman"/>
                      <w:color w:val="000000"/>
                      <w:sz w:val="21"/>
                      <w:szCs w:val="21"/>
                    </w:rPr>
                    <w:t>0.7899g/cm</w:t>
                  </w:r>
                  <w:r>
                    <w:rPr>
                      <w:rFonts w:hint="eastAsia" w:cs="Times New Roman"/>
                      <w:color w:val="000000"/>
                      <w:sz w:val="21"/>
                      <w:szCs w:val="21"/>
                      <w:vertAlign w:val="superscript"/>
                      <w:lang w:val="en-US" w:eastAsia="zh-CN"/>
                    </w:rPr>
                    <w:t>3</w:t>
                  </w:r>
                  <w:r>
                    <w:rPr>
                      <w:rFonts w:ascii="Times New Roman" w:hAnsi="Times New Roman" w:eastAsia="宋体" w:cs="Times New Roman"/>
                      <w:color w:val="000000"/>
                      <w:sz w:val="21"/>
                      <w:szCs w:val="21"/>
                    </w:rPr>
                    <w:t>，无色透明易流动液体，有芳香气味，极易挥发。与水混溶，可混溶于乙醇、乙醚、氯仿、油类、烃类等多数有机溶剂 。</w:t>
                  </w:r>
                </w:p>
              </w:tc>
            </w:tr>
            <w:tr w14:paraId="2A5DA310">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0" w:type="dxa"/>
                  <w:tcBorders>
                    <w:tl2br w:val="nil"/>
                    <w:tr2bl w:val="nil"/>
                  </w:tcBorders>
                  <w:vAlign w:val="center"/>
                </w:tcPr>
                <w:p w14:paraId="5A010D85">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20</w:t>
                  </w:r>
                </w:p>
              </w:tc>
              <w:tc>
                <w:tcPr>
                  <w:tcW w:w="1085" w:type="dxa"/>
                  <w:tcBorders>
                    <w:tl2br w:val="nil"/>
                    <w:tr2bl w:val="nil"/>
                  </w:tcBorders>
                  <w:vAlign w:val="center"/>
                </w:tcPr>
                <w:p w14:paraId="6C1E21B9">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二苯碳酰二肼</w:t>
                  </w:r>
                </w:p>
              </w:tc>
              <w:tc>
                <w:tcPr>
                  <w:tcW w:w="2035" w:type="dxa"/>
                  <w:tcBorders>
                    <w:tl2br w:val="nil"/>
                    <w:tr2bl w:val="nil"/>
                  </w:tcBorders>
                  <w:vAlign w:val="center"/>
                </w:tcPr>
                <w:p w14:paraId="48CF5210">
                  <w:pPr>
                    <w:keepNext w:val="0"/>
                    <w:keepLines w:val="0"/>
                    <w:pageBreakBefore w:val="0"/>
                    <w:kinsoku/>
                    <w:wordWrap/>
                    <w:overflowPunct/>
                    <w:topLinePunct w:val="0"/>
                    <w:autoSpaceDE/>
                    <w:autoSpaceDN/>
                    <w:bidi w:val="0"/>
                    <w:adjustRightInd w:val="0"/>
                    <w:snapToGrid w:val="0"/>
                    <w:spacing w:line="24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分子式：</w:t>
                  </w:r>
                  <w:r>
                    <w:rPr>
                      <w:rFonts w:hint="eastAsia" w:ascii="Times New Roman" w:hAnsi="Times New Roman" w:eastAsia="宋体" w:cs="Times New Roman"/>
                      <w:color w:val="000000"/>
                      <w:sz w:val="21"/>
                      <w:szCs w:val="21"/>
                    </w:rPr>
                    <w:t>C</w:t>
                  </w:r>
                  <w:r>
                    <w:rPr>
                      <w:rFonts w:hint="eastAsia" w:ascii="Times New Roman" w:hAnsi="Times New Roman" w:eastAsia="宋体" w:cs="Times New Roman"/>
                      <w:color w:val="000000"/>
                      <w:sz w:val="21"/>
                      <w:szCs w:val="21"/>
                      <w:vertAlign w:val="subscript"/>
                    </w:rPr>
                    <w:t>13</w:t>
                  </w:r>
                  <w:r>
                    <w:rPr>
                      <w:rFonts w:hint="eastAsia" w:ascii="Times New Roman" w:hAnsi="Times New Roman" w:eastAsia="宋体" w:cs="Times New Roman"/>
                      <w:color w:val="000000"/>
                      <w:sz w:val="21"/>
                      <w:szCs w:val="21"/>
                    </w:rPr>
                    <w:t>H</w:t>
                  </w:r>
                  <w:r>
                    <w:rPr>
                      <w:rFonts w:hint="eastAsia" w:ascii="Times New Roman" w:hAnsi="Times New Roman" w:eastAsia="宋体" w:cs="Times New Roman"/>
                      <w:color w:val="000000"/>
                      <w:sz w:val="21"/>
                      <w:szCs w:val="21"/>
                      <w:vertAlign w:val="subscript"/>
                    </w:rPr>
                    <w:t>14</w:t>
                  </w:r>
                  <w:r>
                    <w:rPr>
                      <w:rFonts w:hint="eastAsia" w:ascii="Times New Roman" w:hAnsi="Times New Roman" w:eastAsia="宋体" w:cs="Times New Roman"/>
                      <w:color w:val="000000"/>
                      <w:sz w:val="21"/>
                      <w:szCs w:val="21"/>
                    </w:rPr>
                    <w:t>N</w:t>
                  </w:r>
                  <w:r>
                    <w:rPr>
                      <w:rFonts w:hint="eastAsia" w:ascii="Times New Roman" w:hAnsi="Times New Roman" w:eastAsia="宋体" w:cs="Times New Roman"/>
                      <w:color w:val="000000"/>
                      <w:sz w:val="21"/>
                      <w:szCs w:val="21"/>
                      <w:vertAlign w:val="subscript"/>
                    </w:rPr>
                    <w:t>4</w:t>
                  </w:r>
                  <w:r>
                    <w:rPr>
                      <w:rFonts w:hint="eastAsia" w:ascii="Times New Roman" w:hAnsi="Times New Roman" w:eastAsia="宋体" w:cs="Times New Roman"/>
                      <w:color w:val="000000"/>
                      <w:sz w:val="21"/>
                      <w:szCs w:val="21"/>
                    </w:rPr>
                    <w:t>O</w:t>
                  </w:r>
                </w:p>
                <w:p w14:paraId="1430FDAC">
                  <w:pPr>
                    <w:pStyle w:val="44"/>
                    <w:keepNext w:val="0"/>
                    <w:keepLines w:val="0"/>
                    <w:pageBreakBefore w:val="0"/>
                    <w:tabs>
                      <w:tab w:val="left" w:pos="420"/>
                      <w:tab w:val="left" w:pos="870"/>
                      <w:tab w:val="left" w:pos="3150"/>
                    </w:tabs>
                    <w:kinsoku/>
                    <w:wordWrap/>
                    <w:overflowPunct/>
                    <w:topLinePunct w:val="0"/>
                    <w:autoSpaceDE/>
                    <w:autoSpaceDN/>
                    <w:bidi w:val="0"/>
                    <w:adjustRightInd w:val="0"/>
                    <w:snapToGrid w:val="0"/>
                    <w:spacing w:after="0" w:line="240" w:lineRule="auto"/>
                    <w:ind w:left="0" w:leftChars="0" w:firstLine="0" w:firstLineChars="0"/>
                    <w:jc w:val="center"/>
                    <w:rPr>
                      <w:rFonts w:ascii="Times New Roman" w:hAnsi="Times New Roman"/>
                      <w:color w:val="000000"/>
                      <w:sz w:val="21"/>
                      <w:szCs w:val="21"/>
                    </w:rPr>
                  </w:pPr>
                  <w:r>
                    <w:rPr>
                      <w:rFonts w:ascii="Times New Roman" w:hAnsi="Times New Roman"/>
                      <w:color w:val="000000"/>
                      <w:sz w:val="21"/>
                      <w:szCs w:val="21"/>
                    </w:rPr>
                    <w:t>分子量：</w:t>
                  </w:r>
                  <w:r>
                    <w:rPr>
                      <w:rFonts w:hint="eastAsia" w:ascii="Times New Roman" w:hAnsi="Times New Roman"/>
                      <w:color w:val="000000"/>
                      <w:sz w:val="21"/>
                      <w:szCs w:val="21"/>
                    </w:rPr>
                    <w:t>242.2765</w:t>
                  </w:r>
                </w:p>
                <w:p w14:paraId="7079DBB8">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CAS号：</w:t>
                  </w:r>
                  <w:r>
                    <w:rPr>
                      <w:rFonts w:hint="eastAsia" w:ascii="Times New Roman" w:hAnsi="Times New Roman" w:eastAsia="宋体" w:cs="Times New Roman"/>
                      <w:color w:val="000000"/>
                      <w:sz w:val="21"/>
                      <w:szCs w:val="21"/>
                      <w:shd w:val="clear" w:color="auto" w:fill="FFFFFF"/>
                    </w:rPr>
                    <w:t>140-22-7</w:t>
                  </w:r>
                </w:p>
              </w:tc>
              <w:tc>
                <w:tcPr>
                  <w:tcW w:w="5032" w:type="dxa"/>
                  <w:tcBorders>
                    <w:tl2br w:val="nil"/>
                    <w:tr2bl w:val="nil"/>
                  </w:tcBorders>
                  <w:vAlign w:val="center"/>
                </w:tcPr>
                <w:p w14:paraId="19FFBDFD">
                  <w:pPr>
                    <w:keepNext w:val="0"/>
                    <w:keepLines w:val="0"/>
                    <w:pageBreakBefore w:val="0"/>
                    <w:widowControl w:val="0"/>
                    <w:kinsoku/>
                    <w:wordWrap/>
                    <w:overflowPunct/>
                    <w:topLinePunct w:val="0"/>
                    <w:autoSpaceDE/>
                    <w:autoSpaceDN/>
                    <w:bidi w:val="0"/>
                    <w:snapToGrid w:val="0"/>
                    <w:spacing w:line="240" w:lineRule="auto"/>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二苯碳酰二肼，又称二苯胺基脲、二苯碳酰二肼，是Cr(Ⅵ)的高灵敏和选择性显色试剂。微溶于水，溶于热醇、丙酮，在空气中渐变红色。须避光贮存。用作氧化还原指示剂，吸附指示剂，广泛用于光度法的显色剂，测定铬、汞和铅等</w:t>
                  </w:r>
                </w:p>
              </w:tc>
            </w:tr>
            <w:tr w14:paraId="220401C0">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0" w:type="dxa"/>
                  <w:tcBorders>
                    <w:tl2br w:val="nil"/>
                    <w:tr2bl w:val="nil"/>
                  </w:tcBorders>
                  <w:vAlign w:val="center"/>
                </w:tcPr>
                <w:p w14:paraId="7D2862AB">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21</w:t>
                  </w:r>
                </w:p>
              </w:tc>
              <w:tc>
                <w:tcPr>
                  <w:tcW w:w="1085" w:type="dxa"/>
                  <w:tcBorders>
                    <w:tl2br w:val="nil"/>
                    <w:tr2bl w:val="nil"/>
                  </w:tcBorders>
                  <w:vAlign w:val="center"/>
                </w:tcPr>
                <w:p w14:paraId="637D6084">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硝酸</w:t>
                  </w:r>
                </w:p>
              </w:tc>
              <w:tc>
                <w:tcPr>
                  <w:tcW w:w="2035" w:type="dxa"/>
                  <w:tcBorders>
                    <w:tl2br w:val="nil"/>
                    <w:tr2bl w:val="nil"/>
                  </w:tcBorders>
                  <w:vAlign w:val="center"/>
                </w:tcPr>
                <w:p w14:paraId="53765C4C">
                  <w:pPr>
                    <w:keepNext w:val="0"/>
                    <w:keepLines w:val="0"/>
                    <w:pageBreakBefore w:val="0"/>
                    <w:kinsoku/>
                    <w:wordWrap/>
                    <w:overflowPunct/>
                    <w:topLinePunct w:val="0"/>
                    <w:autoSpaceDE/>
                    <w:autoSpaceDN/>
                    <w:bidi w:val="0"/>
                    <w:adjustRightInd w:val="0"/>
                    <w:snapToGrid w:val="0"/>
                    <w:spacing w:line="24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分子式：</w:t>
                  </w:r>
                  <w:r>
                    <w:rPr>
                      <w:rFonts w:ascii="Times New Roman" w:hAnsi="Times New Roman" w:eastAsia="宋体" w:cs="Times New Roman"/>
                      <w:color w:val="000000"/>
                      <w:sz w:val="21"/>
                      <w:szCs w:val="21"/>
                      <w:shd w:val="clear" w:color="auto" w:fill="FFFFFF"/>
                    </w:rPr>
                    <w:t>HNO</w:t>
                  </w:r>
                  <w:r>
                    <w:rPr>
                      <w:rFonts w:ascii="Times New Roman" w:hAnsi="Times New Roman" w:eastAsia="宋体" w:cs="Times New Roman"/>
                      <w:color w:val="000000"/>
                      <w:sz w:val="21"/>
                      <w:szCs w:val="21"/>
                      <w:shd w:val="clear" w:color="auto" w:fill="FFFFFF"/>
                      <w:vertAlign w:val="subscript"/>
                    </w:rPr>
                    <w:t>3</w:t>
                  </w:r>
                </w:p>
                <w:p w14:paraId="59157D4F">
                  <w:pPr>
                    <w:pStyle w:val="44"/>
                    <w:keepNext w:val="0"/>
                    <w:keepLines w:val="0"/>
                    <w:pageBreakBefore w:val="0"/>
                    <w:tabs>
                      <w:tab w:val="left" w:pos="420"/>
                      <w:tab w:val="left" w:pos="870"/>
                      <w:tab w:val="left" w:pos="3150"/>
                    </w:tabs>
                    <w:kinsoku/>
                    <w:wordWrap/>
                    <w:overflowPunct/>
                    <w:topLinePunct w:val="0"/>
                    <w:autoSpaceDE/>
                    <w:autoSpaceDN/>
                    <w:bidi w:val="0"/>
                    <w:adjustRightInd w:val="0"/>
                    <w:snapToGrid w:val="0"/>
                    <w:spacing w:after="0" w:line="240" w:lineRule="auto"/>
                    <w:ind w:left="0" w:leftChars="0" w:firstLine="0" w:firstLineChars="0"/>
                    <w:jc w:val="center"/>
                    <w:rPr>
                      <w:rFonts w:ascii="Times New Roman" w:hAnsi="Times New Roman"/>
                      <w:color w:val="000000"/>
                      <w:sz w:val="21"/>
                      <w:szCs w:val="21"/>
                    </w:rPr>
                  </w:pPr>
                  <w:r>
                    <w:rPr>
                      <w:rFonts w:ascii="Times New Roman" w:hAnsi="Times New Roman"/>
                      <w:color w:val="000000"/>
                      <w:sz w:val="21"/>
                      <w:szCs w:val="21"/>
                    </w:rPr>
                    <w:t>分子量：63.01</w:t>
                  </w:r>
                </w:p>
                <w:p w14:paraId="17AC3E13">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CAS号：</w:t>
                  </w:r>
                  <w:r>
                    <w:rPr>
                      <w:rFonts w:ascii="Times New Roman" w:hAnsi="Times New Roman" w:eastAsia="宋体" w:cs="Times New Roman"/>
                      <w:color w:val="000000"/>
                      <w:sz w:val="21"/>
                      <w:szCs w:val="21"/>
                      <w:shd w:val="clear" w:color="auto" w:fill="FFFFFF"/>
                    </w:rPr>
                    <w:t>7697-37-2</w:t>
                  </w:r>
                </w:p>
              </w:tc>
              <w:tc>
                <w:tcPr>
                  <w:tcW w:w="5032" w:type="dxa"/>
                  <w:tcBorders>
                    <w:tl2br w:val="nil"/>
                    <w:tr2bl w:val="nil"/>
                  </w:tcBorders>
                  <w:vAlign w:val="center"/>
                </w:tcPr>
                <w:p w14:paraId="71707B42">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纯品为无色透明发烟液体，有酸味，相对密度（无水）1.50（水=1），相对密度2.17(空气=1)，熔点-42℃（无水），沸点86℃（无水），与水混溶，用途极广,主要用于化肥、染料、国防、炸药、冶金、医药等工业。</w:t>
                  </w:r>
                </w:p>
              </w:tc>
            </w:tr>
            <w:tr w14:paraId="03BCB66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0" w:type="dxa"/>
                  <w:tcBorders>
                    <w:tl2br w:val="nil"/>
                    <w:tr2bl w:val="nil"/>
                  </w:tcBorders>
                  <w:vAlign w:val="center"/>
                </w:tcPr>
                <w:p w14:paraId="578E777B">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22</w:t>
                  </w:r>
                </w:p>
              </w:tc>
              <w:tc>
                <w:tcPr>
                  <w:tcW w:w="1085" w:type="dxa"/>
                  <w:tcBorders>
                    <w:tl2br w:val="nil"/>
                    <w:tr2bl w:val="nil"/>
                  </w:tcBorders>
                  <w:vAlign w:val="center"/>
                </w:tcPr>
                <w:p w14:paraId="57C4168E">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高锰酸钾</w:t>
                  </w:r>
                </w:p>
              </w:tc>
              <w:tc>
                <w:tcPr>
                  <w:tcW w:w="2035" w:type="dxa"/>
                  <w:tcBorders>
                    <w:tl2br w:val="nil"/>
                    <w:tr2bl w:val="nil"/>
                  </w:tcBorders>
                  <w:vAlign w:val="center"/>
                </w:tcPr>
                <w:p w14:paraId="19747C01">
                  <w:pPr>
                    <w:keepNext w:val="0"/>
                    <w:keepLines w:val="0"/>
                    <w:pageBreakBefore w:val="0"/>
                    <w:kinsoku/>
                    <w:wordWrap/>
                    <w:overflowPunct/>
                    <w:topLinePunct w:val="0"/>
                    <w:autoSpaceDE/>
                    <w:autoSpaceDN/>
                    <w:bidi w:val="0"/>
                    <w:adjustRightInd w:val="0"/>
                    <w:snapToGrid w:val="0"/>
                    <w:spacing w:line="24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分子式：KMnO</w:t>
                  </w:r>
                  <w:r>
                    <w:rPr>
                      <w:rFonts w:ascii="Times New Roman" w:hAnsi="Times New Roman" w:eastAsia="宋体" w:cs="Times New Roman"/>
                      <w:color w:val="000000"/>
                      <w:sz w:val="21"/>
                      <w:szCs w:val="21"/>
                      <w:vertAlign w:val="subscript"/>
                    </w:rPr>
                    <w:t>4</w:t>
                  </w:r>
                </w:p>
                <w:p w14:paraId="150F10F8">
                  <w:pPr>
                    <w:pStyle w:val="44"/>
                    <w:keepNext w:val="0"/>
                    <w:keepLines w:val="0"/>
                    <w:pageBreakBefore w:val="0"/>
                    <w:tabs>
                      <w:tab w:val="left" w:pos="420"/>
                      <w:tab w:val="left" w:pos="870"/>
                      <w:tab w:val="left" w:pos="3150"/>
                    </w:tabs>
                    <w:kinsoku/>
                    <w:wordWrap/>
                    <w:overflowPunct/>
                    <w:topLinePunct w:val="0"/>
                    <w:autoSpaceDE/>
                    <w:autoSpaceDN/>
                    <w:bidi w:val="0"/>
                    <w:adjustRightInd w:val="0"/>
                    <w:snapToGrid w:val="0"/>
                    <w:spacing w:after="0" w:line="240" w:lineRule="auto"/>
                    <w:ind w:left="0" w:leftChars="0" w:firstLine="0" w:firstLineChars="0"/>
                    <w:jc w:val="center"/>
                    <w:rPr>
                      <w:rFonts w:ascii="Times New Roman" w:hAnsi="Times New Roman"/>
                      <w:color w:val="000000"/>
                      <w:sz w:val="21"/>
                      <w:szCs w:val="21"/>
                    </w:rPr>
                  </w:pPr>
                  <w:r>
                    <w:rPr>
                      <w:rFonts w:ascii="Times New Roman" w:hAnsi="Times New Roman"/>
                      <w:color w:val="000000"/>
                      <w:sz w:val="21"/>
                      <w:szCs w:val="21"/>
                    </w:rPr>
                    <w:t>分子量：158.03</w:t>
                  </w:r>
                </w:p>
                <w:p w14:paraId="7034051E">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CAS号：7722-64-7</w:t>
                  </w:r>
                </w:p>
              </w:tc>
              <w:tc>
                <w:tcPr>
                  <w:tcW w:w="5032" w:type="dxa"/>
                  <w:tcBorders>
                    <w:tl2br w:val="nil"/>
                    <w:tr2bl w:val="nil"/>
                  </w:tcBorders>
                  <w:vAlign w:val="center"/>
                </w:tcPr>
                <w:p w14:paraId="6E81800A">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深紫色细长斜方柱状结晶，有金属光泽。熔点240℃，密度1.01g/cm</w:t>
                  </w:r>
                  <w:r>
                    <w:rPr>
                      <w:rFonts w:ascii="Times New Roman" w:hAnsi="Times New Roman" w:eastAsia="宋体" w:cs="Times New Roman"/>
                      <w:color w:val="000000"/>
                      <w:sz w:val="21"/>
                      <w:szCs w:val="21"/>
                      <w:vertAlign w:val="superscript"/>
                    </w:rPr>
                    <w:t>3</w:t>
                  </w:r>
                  <w:r>
                    <w:rPr>
                      <w:rFonts w:ascii="Times New Roman" w:hAnsi="Times New Roman" w:eastAsia="宋体" w:cs="Times New Roman"/>
                      <w:color w:val="000000"/>
                      <w:sz w:val="21"/>
                      <w:szCs w:val="21"/>
                    </w:rPr>
                    <w:t>，溶于水、碱液，微溶于甲醇、</w:t>
                  </w:r>
                  <w:r>
                    <w:rPr>
                      <w:sz w:val="21"/>
                      <w:szCs w:val="21"/>
                    </w:rPr>
                    <w:fldChar w:fldCharType="begin"/>
                  </w:r>
                  <w:r>
                    <w:rPr>
                      <w:sz w:val="21"/>
                      <w:szCs w:val="21"/>
                    </w:rPr>
                    <w:instrText xml:space="preserve"> HYPERLINK "https://baike.so.com/doc/252057-266820.html" \t "https://baike.so.com/doc/_blank" </w:instrText>
                  </w:r>
                  <w:r>
                    <w:rPr>
                      <w:sz w:val="21"/>
                      <w:szCs w:val="21"/>
                    </w:rPr>
                    <w:fldChar w:fldCharType="separate"/>
                  </w:r>
                  <w:r>
                    <w:rPr>
                      <w:rFonts w:ascii="Times New Roman" w:hAnsi="Times New Roman" w:eastAsia="宋体" w:cs="Times New Roman"/>
                      <w:color w:val="000000"/>
                      <w:sz w:val="21"/>
                      <w:szCs w:val="21"/>
                    </w:rPr>
                    <w:t>丙酮</w:t>
                  </w:r>
                  <w:r>
                    <w:rPr>
                      <w:rFonts w:ascii="Times New Roman" w:hAnsi="Times New Roman" w:eastAsia="宋体" w:cs="Times New Roman"/>
                      <w:color w:val="000000"/>
                      <w:sz w:val="21"/>
                      <w:szCs w:val="21"/>
                    </w:rPr>
                    <w:fldChar w:fldCharType="end"/>
                  </w:r>
                  <w:r>
                    <w:rPr>
                      <w:rFonts w:ascii="Times New Roman" w:hAnsi="Times New Roman" w:eastAsia="宋体" w:cs="Times New Roman"/>
                      <w:color w:val="000000"/>
                      <w:sz w:val="21"/>
                      <w:szCs w:val="21"/>
                    </w:rPr>
                    <w:t>、</w:t>
                  </w:r>
                  <w:r>
                    <w:rPr>
                      <w:sz w:val="21"/>
                      <w:szCs w:val="21"/>
                    </w:rPr>
                    <w:fldChar w:fldCharType="begin"/>
                  </w:r>
                  <w:r>
                    <w:rPr>
                      <w:sz w:val="21"/>
                      <w:szCs w:val="21"/>
                    </w:rPr>
                    <w:instrText xml:space="preserve"> HYPERLINK "https://baike.so.com/doc/1246072-1317817.html" \t "https://baike.so.com/doc/_blank" </w:instrText>
                  </w:r>
                  <w:r>
                    <w:rPr>
                      <w:sz w:val="21"/>
                      <w:szCs w:val="21"/>
                    </w:rPr>
                    <w:fldChar w:fldCharType="separate"/>
                  </w:r>
                  <w:r>
                    <w:rPr>
                      <w:rFonts w:ascii="Times New Roman" w:hAnsi="Times New Roman" w:eastAsia="宋体" w:cs="Times New Roman"/>
                      <w:color w:val="000000"/>
                      <w:sz w:val="21"/>
                      <w:szCs w:val="21"/>
                    </w:rPr>
                    <w:t>硫酸</w:t>
                  </w:r>
                  <w:r>
                    <w:rPr>
                      <w:rFonts w:ascii="Times New Roman" w:hAnsi="Times New Roman" w:eastAsia="宋体" w:cs="Times New Roman"/>
                      <w:color w:val="000000"/>
                      <w:sz w:val="21"/>
                      <w:szCs w:val="21"/>
                    </w:rPr>
                    <w:fldChar w:fldCharType="end"/>
                  </w:r>
                  <w:r>
                    <w:rPr>
                      <w:rFonts w:ascii="Times New Roman" w:hAnsi="Times New Roman" w:eastAsia="宋体" w:cs="Times New Roman"/>
                      <w:color w:val="000000"/>
                      <w:sz w:val="21"/>
                      <w:szCs w:val="21"/>
                    </w:rPr>
                    <w:t>。在化学品生产中，广泛用作为氧化剂；在医药上用作防腐剂、消毒剂、除臭剂及解毒剂；还用于作特殊织物、蜡、油脂及树脂的漂白剂，防毒面具的吸附剂，木材及铜的着色剂等。</w:t>
                  </w:r>
                </w:p>
              </w:tc>
            </w:tr>
            <w:tr w14:paraId="4E1C2E8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0" w:type="dxa"/>
                  <w:tcBorders>
                    <w:tl2br w:val="nil"/>
                    <w:tr2bl w:val="nil"/>
                  </w:tcBorders>
                  <w:vAlign w:val="center"/>
                </w:tcPr>
                <w:p w14:paraId="4A4EC25B">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23</w:t>
                  </w:r>
                </w:p>
              </w:tc>
              <w:tc>
                <w:tcPr>
                  <w:tcW w:w="1085" w:type="dxa"/>
                  <w:tcBorders>
                    <w:tl2br w:val="nil"/>
                    <w:tr2bl w:val="nil"/>
                  </w:tcBorders>
                  <w:vAlign w:val="center"/>
                </w:tcPr>
                <w:p w14:paraId="6234F7FD">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尿素</w:t>
                  </w:r>
                </w:p>
              </w:tc>
              <w:tc>
                <w:tcPr>
                  <w:tcW w:w="2035" w:type="dxa"/>
                  <w:tcBorders>
                    <w:tl2br w:val="nil"/>
                    <w:tr2bl w:val="nil"/>
                  </w:tcBorders>
                  <w:vAlign w:val="center"/>
                </w:tcPr>
                <w:p w14:paraId="48E52F4A">
                  <w:pPr>
                    <w:keepNext w:val="0"/>
                    <w:keepLines w:val="0"/>
                    <w:pageBreakBefore w:val="0"/>
                    <w:kinsoku/>
                    <w:wordWrap/>
                    <w:overflowPunct/>
                    <w:topLinePunct w:val="0"/>
                    <w:autoSpaceDE/>
                    <w:autoSpaceDN/>
                    <w:bidi w:val="0"/>
                    <w:adjustRightInd w:val="0"/>
                    <w:snapToGrid w:val="0"/>
                    <w:spacing w:line="24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分子式：</w:t>
                  </w:r>
                  <w:r>
                    <w:rPr>
                      <w:rFonts w:hint="default" w:ascii="Times New Roman" w:hAnsi="Times New Roman" w:eastAsia="宋体" w:cs="Times New Roman"/>
                      <w:color w:val="auto"/>
                      <w:sz w:val="21"/>
                      <w:szCs w:val="21"/>
                      <w:highlight w:val="none"/>
                    </w:rPr>
                    <w:t>CH</w:t>
                  </w:r>
                  <w:r>
                    <w:rPr>
                      <w:rFonts w:hint="default" w:ascii="Times New Roman" w:hAnsi="Times New Roman" w:eastAsia="宋体" w:cs="Times New Roman"/>
                      <w:color w:val="auto"/>
                      <w:sz w:val="21"/>
                      <w:szCs w:val="21"/>
                      <w:highlight w:val="none"/>
                      <w:vertAlign w:val="subscript"/>
                    </w:rPr>
                    <w:t>4</w:t>
                  </w:r>
                  <w:r>
                    <w:rPr>
                      <w:rFonts w:hint="default" w:ascii="Times New Roman" w:hAnsi="Times New Roman" w:eastAsia="宋体" w:cs="Times New Roman"/>
                      <w:color w:val="auto"/>
                      <w:sz w:val="21"/>
                      <w:szCs w:val="21"/>
                      <w:highlight w:val="none"/>
                    </w:rPr>
                    <w:t>N</w:t>
                  </w:r>
                  <w:r>
                    <w:rPr>
                      <w:rFonts w:hint="default" w:ascii="Times New Roman" w:hAnsi="Times New Roman" w:eastAsia="宋体" w:cs="Times New Roman"/>
                      <w:color w:val="auto"/>
                      <w:sz w:val="21"/>
                      <w:szCs w:val="21"/>
                      <w:highlight w:val="none"/>
                      <w:vertAlign w:val="subscript"/>
                    </w:rPr>
                    <w:t>2</w:t>
                  </w:r>
                  <w:r>
                    <w:rPr>
                      <w:rFonts w:hint="default" w:ascii="Times New Roman" w:hAnsi="Times New Roman" w:eastAsia="宋体" w:cs="Times New Roman"/>
                      <w:color w:val="auto"/>
                      <w:sz w:val="21"/>
                      <w:szCs w:val="21"/>
                      <w:highlight w:val="none"/>
                    </w:rPr>
                    <w:t>O或CO(NH</w:t>
                  </w:r>
                  <w:r>
                    <w:rPr>
                      <w:rFonts w:hint="default" w:ascii="Times New Roman" w:hAnsi="Times New Roman" w:eastAsia="宋体" w:cs="Times New Roman"/>
                      <w:color w:val="auto"/>
                      <w:sz w:val="21"/>
                      <w:szCs w:val="21"/>
                      <w:highlight w:val="none"/>
                      <w:vertAlign w:val="subscript"/>
                    </w:rPr>
                    <w:t>2</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vertAlign w:val="subscript"/>
                    </w:rPr>
                    <w:t>2</w:t>
                  </w:r>
                </w:p>
                <w:p w14:paraId="3D523733">
                  <w:pPr>
                    <w:keepNext w:val="0"/>
                    <w:keepLines w:val="0"/>
                    <w:pageBreakBefore w:val="0"/>
                    <w:kinsoku/>
                    <w:wordWrap/>
                    <w:overflowPunct/>
                    <w:topLinePunct w:val="0"/>
                    <w:autoSpaceDE/>
                    <w:autoSpaceDN/>
                    <w:bidi w:val="0"/>
                    <w:adjustRightInd w:val="0"/>
                    <w:snapToGrid w:val="0"/>
                    <w:spacing w:line="24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分子量：158.03</w:t>
                  </w:r>
                </w:p>
                <w:p w14:paraId="6A50B8BB">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CAS号：</w:t>
                  </w:r>
                  <w:r>
                    <w:rPr>
                      <w:rFonts w:hint="eastAsia" w:ascii="Times New Roman" w:hAnsi="Times New Roman" w:eastAsia="宋体" w:cs="Times New Roman"/>
                      <w:color w:val="000000"/>
                      <w:sz w:val="21"/>
                      <w:szCs w:val="21"/>
                    </w:rPr>
                    <w:t>57-13-6</w:t>
                  </w:r>
                </w:p>
              </w:tc>
              <w:tc>
                <w:tcPr>
                  <w:tcW w:w="5032" w:type="dxa"/>
                  <w:tcBorders>
                    <w:tl2br w:val="nil"/>
                    <w:tr2bl w:val="nil"/>
                  </w:tcBorders>
                  <w:vAlign w:val="center"/>
                </w:tcPr>
                <w:p w14:paraId="30A142F1">
                  <w:pPr>
                    <w:keepNext w:val="0"/>
                    <w:keepLines w:val="0"/>
                    <w:pageBreakBefore w:val="0"/>
                    <w:widowControl w:val="0"/>
                    <w:kinsoku/>
                    <w:wordWrap/>
                    <w:overflowPunct/>
                    <w:topLinePunct w:val="0"/>
                    <w:autoSpaceDE/>
                    <w:autoSpaceDN/>
                    <w:bidi w:val="0"/>
                    <w:snapToGrid w:val="0"/>
                    <w:spacing w:line="240" w:lineRule="auto"/>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又称脲、碳酰胺，是由碳、氮、氧、氢组成的有机化合物，是一种白色晶体。最简单的有机化合物之一，是哺乳动物和某些鱼类体内蛋白质代谢分解的主要含氮终产物。作为一种中性肥料，尿素适用于各种土壤和植物。它易保存，使用方便，对土壤的破坏作用小，是使用量较大的一种化学氮肥，也是含氮量最高的氮肥。工业上用氨气和二氧化碳在一定条件下合成尿素</w:t>
                  </w:r>
                </w:p>
              </w:tc>
            </w:tr>
            <w:tr w14:paraId="289D4348">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0" w:type="dxa"/>
                  <w:tcBorders>
                    <w:tl2br w:val="nil"/>
                    <w:tr2bl w:val="nil"/>
                  </w:tcBorders>
                  <w:vAlign w:val="center"/>
                </w:tcPr>
                <w:p w14:paraId="04784416">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24</w:t>
                  </w:r>
                </w:p>
              </w:tc>
              <w:tc>
                <w:tcPr>
                  <w:tcW w:w="1085" w:type="dxa"/>
                  <w:tcBorders>
                    <w:tl2br w:val="nil"/>
                    <w:tr2bl w:val="nil"/>
                  </w:tcBorders>
                  <w:vAlign w:val="center"/>
                </w:tcPr>
                <w:p w14:paraId="62713218">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亚硝酸钠</w:t>
                  </w:r>
                </w:p>
              </w:tc>
              <w:tc>
                <w:tcPr>
                  <w:tcW w:w="2035" w:type="dxa"/>
                  <w:tcBorders>
                    <w:tl2br w:val="nil"/>
                    <w:tr2bl w:val="nil"/>
                  </w:tcBorders>
                  <w:vAlign w:val="center"/>
                </w:tcPr>
                <w:p w14:paraId="015E1146">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分子式：</w:t>
                  </w:r>
                  <w:r>
                    <w:rPr>
                      <w:rFonts w:ascii="Helvetica" w:hAnsi="Helvetica" w:eastAsia="Helvetica" w:cs="Helvetica"/>
                      <w:i w:val="0"/>
                      <w:iCs w:val="0"/>
                      <w:caps w:val="0"/>
                      <w:color w:val="333333"/>
                      <w:spacing w:val="0"/>
                      <w:sz w:val="21"/>
                      <w:szCs w:val="21"/>
                      <w:shd w:val="clear" w:fill="FFFFFF"/>
                    </w:rPr>
                    <w:t>NaNO</w:t>
                  </w:r>
                  <w:r>
                    <w:rPr>
                      <w:rFonts w:hint="default" w:ascii="Helvetica" w:hAnsi="Helvetica" w:eastAsia="Helvetica" w:cs="Helvetica"/>
                      <w:i w:val="0"/>
                      <w:iCs w:val="0"/>
                      <w:caps w:val="0"/>
                      <w:color w:val="333333"/>
                      <w:spacing w:val="0"/>
                      <w:sz w:val="21"/>
                      <w:szCs w:val="21"/>
                      <w:shd w:val="clear" w:fill="FFFFFF"/>
                      <w:vertAlign w:val="baseline"/>
                    </w:rPr>
                    <w:t>2</w:t>
                  </w:r>
                </w:p>
                <w:p w14:paraId="1615DF8F">
                  <w:pPr>
                    <w:pStyle w:val="44"/>
                    <w:keepNext w:val="0"/>
                    <w:keepLines w:val="0"/>
                    <w:pageBreakBefore w:val="0"/>
                    <w:tabs>
                      <w:tab w:val="left" w:pos="420"/>
                      <w:tab w:val="left" w:pos="870"/>
                      <w:tab w:val="left" w:pos="3150"/>
                    </w:tabs>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000000"/>
                      <w:sz w:val="21"/>
                      <w:szCs w:val="21"/>
                    </w:rPr>
                  </w:pPr>
                  <w:r>
                    <w:rPr>
                      <w:rFonts w:ascii="Times New Roman" w:hAnsi="Times New Roman"/>
                      <w:color w:val="000000"/>
                      <w:sz w:val="21"/>
                      <w:szCs w:val="21"/>
                    </w:rPr>
                    <w:t>分子量：</w:t>
                  </w:r>
                  <w:r>
                    <w:rPr>
                      <w:rFonts w:ascii="Helvetica" w:hAnsi="Helvetica" w:eastAsia="Helvetica" w:cs="Helvetica"/>
                      <w:i w:val="0"/>
                      <w:iCs w:val="0"/>
                      <w:caps w:val="0"/>
                      <w:color w:val="333333"/>
                      <w:spacing w:val="0"/>
                      <w:sz w:val="21"/>
                      <w:szCs w:val="21"/>
                      <w:shd w:val="clear" w:fill="FFFFFF"/>
                    </w:rPr>
                    <w:t>68.995</w:t>
                  </w:r>
                </w:p>
                <w:p w14:paraId="50CB5217">
                  <w:pPr>
                    <w:keepNext w:val="0"/>
                    <w:keepLines w:val="0"/>
                    <w:pageBreakBefore w:val="0"/>
                    <w:widowControl w:val="0"/>
                    <w:kinsoku/>
                    <w:wordWrap/>
                    <w:overflowPunct/>
                    <w:topLinePunct w:val="0"/>
                    <w:autoSpaceDE/>
                    <w:autoSpaceDN/>
                    <w:bidi w:val="0"/>
                    <w:snapToGrid w:val="0"/>
                    <w:spacing w:line="240" w:lineRule="auto"/>
                    <w:jc w:val="both"/>
                    <w:textAlignment w:val="auto"/>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CAS号：</w:t>
                  </w:r>
                  <w:r>
                    <w:rPr>
                      <w:rFonts w:ascii="Helvetica" w:hAnsi="Helvetica" w:eastAsia="Helvetica" w:cs="Helvetica"/>
                      <w:i w:val="0"/>
                      <w:iCs w:val="0"/>
                      <w:caps w:val="0"/>
                      <w:color w:val="333333"/>
                      <w:spacing w:val="0"/>
                      <w:sz w:val="21"/>
                      <w:szCs w:val="21"/>
                      <w:shd w:val="clear" w:fill="FFFFFF"/>
                    </w:rPr>
                    <w:t>7632-00-0</w:t>
                  </w:r>
                </w:p>
              </w:tc>
              <w:tc>
                <w:tcPr>
                  <w:tcW w:w="5032" w:type="dxa"/>
                  <w:tcBorders>
                    <w:tl2br w:val="nil"/>
                    <w:tr2bl w:val="nil"/>
                  </w:tcBorders>
                  <w:vAlign w:val="center"/>
                </w:tcPr>
                <w:p w14:paraId="7FFB446A">
                  <w:pPr>
                    <w:keepNext w:val="0"/>
                    <w:keepLines w:val="0"/>
                    <w:pageBreakBefore w:val="0"/>
                    <w:widowControl w:val="0"/>
                    <w:kinsoku/>
                    <w:wordWrap/>
                    <w:overflowPunct/>
                    <w:topLinePunct w:val="0"/>
                    <w:autoSpaceDE/>
                    <w:autoSpaceDN/>
                    <w:bidi w:val="0"/>
                    <w:snapToGrid w:val="0"/>
                    <w:spacing w:line="240" w:lineRule="auto"/>
                    <w:jc w:val="both"/>
                    <w:textAlignment w:val="auto"/>
                    <w:rPr>
                      <w:rFonts w:hint="default" w:ascii="Times New Roman" w:hAnsi="Times New Roman" w:eastAsia="宋体" w:cs="Times New Roman"/>
                      <w:color w:val="auto"/>
                      <w:sz w:val="21"/>
                      <w:szCs w:val="21"/>
                      <w:highlight w:val="none"/>
                    </w:rPr>
                  </w:pPr>
                  <w:r>
                    <w:rPr>
                      <w:rFonts w:ascii="Helvetica" w:hAnsi="Helvetica" w:eastAsia="Helvetica" w:cs="Helvetica"/>
                      <w:i w:val="0"/>
                      <w:iCs w:val="0"/>
                      <w:caps w:val="0"/>
                      <w:color w:val="333333"/>
                      <w:spacing w:val="0"/>
                      <w:sz w:val="21"/>
                      <w:szCs w:val="21"/>
                      <w:shd w:val="clear" w:fill="FFFFFF"/>
                    </w:rPr>
                    <w:t>是一种无机化合物，化学式为NaNO</w:t>
                  </w:r>
                  <w:r>
                    <w:rPr>
                      <w:rFonts w:hint="default" w:ascii="Helvetica" w:hAnsi="Helvetica" w:eastAsia="Helvetica" w:cs="Helvetica"/>
                      <w:i w:val="0"/>
                      <w:iCs w:val="0"/>
                      <w:caps w:val="0"/>
                      <w:color w:val="333333"/>
                      <w:spacing w:val="0"/>
                      <w:sz w:val="21"/>
                      <w:szCs w:val="21"/>
                      <w:shd w:val="clear" w:fill="FFFFFF"/>
                      <w:vertAlign w:val="subscript"/>
                    </w:rPr>
                    <w:t>2</w:t>
                  </w:r>
                  <w:r>
                    <w:rPr>
                      <w:rFonts w:hint="default" w:ascii="Helvetica" w:hAnsi="Helvetica" w:eastAsia="Helvetica" w:cs="Helvetica"/>
                      <w:i w:val="0"/>
                      <w:iCs w:val="0"/>
                      <w:caps w:val="0"/>
                      <w:color w:val="333333"/>
                      <w:spacing w:val="0"/>
                      <w:sz w:val="21"/>
                      <w:szCs w:val="21"/>
                      <w:shd w:val="clear" w:fill="FFFFFF"/>
                    </w:rPr>
                    <w:t>，为白色结晶性粉末，密度2.168g/cm3</w:t>
                  </w:r>
                  <w:r>
                    <w:rPr>
                      <w:rFonts w:hint="eastAsia" w:ascii="Helvetica" w:hAnsi="Helvetica" w:eastAsia="宋体" w:cs="Helvetica"/>
                      <w:i w:val="0"/>
                      <w:iCs w:val="0"/>
                      <w:caps w:val="0"/>
                      <w:color w:val="333333"/>
                      <w:spacing w:val="0"/>
                      <w:sz w:val="21"/>
                      <w:szCs w:val="21"/>
                      <w:shd w:val="clear" w:fill="FFFFFF"/>
                      <w:lang w:eastAsia="zh-CN"/>
                    </w:rPr>
                    <w:t>，</w:t>
                  </w:r>
                  <w:r>
                    <w:rPr>
                      <w:rFonts w:hint="default" w:ascii="Helvetica" w:hAnsi="Helvetica" w:eastAsia="Helvetica" w:cs="Helvetica"/>
                      <w:i w:val="0"/>
                      <w:iCs w:val="0"/>
                      <w:caps w:val="0"/>
                      <w:color w:val="333333"/>
                      <w:spacing w:val="0"/>
                      <w:sz w:val="21"/>
                      <w:szCs w:val="21"/>
                      <w:shd w:val="clear" w:fill="FFFFFF"/>
                    </w:rPr>
                    <w:t>熔点271℃</w:t>
                  </w:r>
                  <w:r>
                    <w:rPr>
                      <w:rFonts w:hint="eastAsia" w:ascii="Helvetica" w:hAnsi="Helvetica" w:eastAsia="宋体" w:cs="Helvetica"/>
                      <w:i w:val="0"/>
                      <w:iCs w:val="0"/>
                      <w:caps w:val="0"/>
                      <w:color w:val="333333"/>
                      <w:spacing w:val="0"/>
                      <w:sz w:val="21"/>
                      <w:szCs w:val="21"/>
                      <w:shd w:val="clear" w:fill="FFFFFF"/>
                      <w:lang w:eastAsia="zh-CN"/>
                    </w:rPr>
                    <w:t>，</w:t>
                  </w:r>
                  <w:r>
                    <w:rPr>
                      <w:rFonts w:hint="default" w:ascii="Helvetica" w:hAnsi="Helvetica" w:eastAsia="Helvetica" w:cs="Helvetica"/>
                      <w:i w:val="0"/>
                      <w:iCs w:val="0"/>
                      <w:caps w:val="0"/>
                      <w:color w:val="333333"/>
                      <w:spacing w:val="0"/>
                      <w:sz w:val="21"/>
                      <w:szCs w:val="21"/>
                      <w:shd w:val="clear" w:fill="FFFFFF"/>
                    </w:rPr>
                    <w:t>沸点320℃</w:t>
                  </w:r>
                  <w:r>
                    <w:rPr>
                      <w:rFonts w:hint="eastAsia" w:ascii="Helvetica" w:hAnsi="Helvetica" w:eastAsia="宋体" w:cs="Helvetica"/>
                      <w:i w:val="0"/>
                      <w:iCs w:val="0"/>
                      <w:caps w:val="0"/>
                      <w:color w:val="333333"/>
                      <w:spacing w:val="0"/>
                      <w:sz w:val="21"/>
                      <w:szCs w:val="21"/>
                      <w:shd w:val="clear" w:fill="FFFFFF"/>
                      <w:lang w:eastAsia="zh-CN"/>
                    </w:rPr>
                    <w:t>，</w:t>
                  </w:r>
                  <w:r>
                    <w:rPr>
                      <w:rFonts w:hint="default" w:ascii="Helvetica" w:hAnsi="Helvetica" w:eastAsia="Helvetica" w:cs="Helvetica"/>
                      <w:i w:val="0"/>
                      <w:iCs w:val="0"/>
                      <w:caps w:val="0"/>
                      <w:color w:val="333333"/>
                      <w:spacing w:val="0"/>
                      <w:sz w:val="21"/>
                      <w:szCs w:val="21"/>
                      <w:shd w:val="clear" w:fill="FFFFFF"/>
                    </w:rPr>
                    <w:t>易溶于水，微溶于乙醇、甲醇、乙醚主要用于制造偶氮染料，也可用作织物染色的媒染剂、漂白剂、金属热处理剂。</w:t>
                  </w:r>
                </w:p>
              </w:tc>
            </w:tr>
            <w:tr w14:paraId="55687E5B">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0" w:type="dxa"/>
                  <w:tcBorders>
                    <w:tl2br w:val="nil"/>
                    <w:tr2bl w:val="nil"/>
                  </w:tcBorders>
                  <w:vAlign w:val="center"/>
                </w:tcPr>
                <w:p w14:paraId="7449F341">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25</w:t>
                  </w:r>
                </w:p>
              </w:tc>
              <w:tc>
                <w:tcPr>
                  <w:tcW w:w="1085" w:type="dxa"/>
                  <w:tcBorders>
                    <w:tl2br w:val="nil"/>
                    <w:tr2bl w:val="nil"/>
                  </w:tcBorders>
                  <w:vAlign w:val="center"/>
                </w:tcPr>
                <w:p w14:paraId="55D149B1">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氨水</w:t>
                  </w:r>
                </w:p>
              </w:tc>
              <w:tc>
                <w:tcPr>
                  <w:tcW w:w="2035" w:type="dxa"/>
                  <w:tcBorders>
                    <w:tl2br w:val="nil"/>
                    <w:tr2bl w:val="nil"/>
                  </w:tcBorders>
                  <w:vAlign w:val="center"/>
                </w:tcPr>
                <w:p w14:paraId="52369BFE">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分子式：</w:t>
                  </w:r>
                  <w:r>
                    <w:rPr>
                      <w:rFonts w:ascii="Times New Roman" w:hAnsi="Times New Roman" w:eastAsia="宋体" w:cs="Times New Roman"/>
                      <w:color w:val="000000"/>
                      <w:sz w:val="21"/>
                      <w:szCs w:val="21"/>
                      <w:shd w:val="clear" w:color="auto" w:fill="FFFFFF"/>
                    </w:rPr>
                    <w:t>NH</w:t>
                  </w:r>
                  <w:r>
                    <w:rPr>
                      <w:rFonts w:ascii="Times New Roman" w:hAnsi="Times New Roman" w:eastAsia="宋体" w:cs="Times New Roman"/>
                      <w:color w:val="000000"/>
                      <w:sz w:val="21"/>
                      <w:szCs w:val="21"/>
                      <w:shd w:val="clear" w:color="auto" w:fill="FFFFFF"/>
                      <w:vertAlign w:val="subscript"/>
                    </w:rPr>
                    <w:t>4</w:t>
                  </w:r>
                  <w:r>
                    <w:rPr>
                      <w:rFonts w:ascii="Times New Roman" w:hAnsi="Times New Roman" w:eastAsia="宋体" w:cs="Times New Roman"/>
                      <w:color w:val="000000"/>
                      <w:sz w:val="21"/>
                      <w:szCs w:val="21"/>
                    </w:rPr>
                    <w:t>OH</w:t>
                  </w:r>
                </w:p>
                <w:p w14:paraId="64CDEDE0">
                  <w:pPr>
                    <w:pStyle w:val="44"/>
                    <w:keepNext w:val="0"/>
                    <w:keepLines w:val="0"/>
                    <w:pageBreakBefore w:val="0"/>
                    <w:tabs>
                      <w:tab w:val="left" w:pos="420"/>
                      <w:tab w:val="left" w:pos="870"/>
                      <w:tab w:val="left" w:pos="3150"/>
                    </w:tabs>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000000"/>
                      <w:sz w:val="21"/>
                      <w:szCs w:val="21"/>
                    </w:rPr>
                  </w:pPr>
                  <w:r>
                    <w:rPr>
                      <w:rFonts w:ascii="Times New Roman" w:hAnsi="Times New Roman"/>
                      <w:color w:val="000000"/>
                      <w:sz w:val="21"/>
                      <w:szCs w:val="21"/>
                    </w:rPr>
                    <w:t>分子量：35.05</w:t>
                  </w:r>
                </w:p>
                <w:p w14:paraId="3050E2DA">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CAS号：</w:t>
                  </w:r>
                  <w:r>
                    <w:rPr>
                      <w:rFonts w:ascii="Times New Roman" w:hAnsi="Times New Roman" w:eastAsia="宋体" w:cs="Times New Roman"/>
                      <w:color w:val="000000"/>
                      <w:sz w:val="21"/>
                      <w:szCs w:val="21"/>
                      <w:shd w:val="clear" w:color="auto" w:fill="FFFFFF"/>
                    </w:rPr>
                    <w:t>1336-21-6</w:t>
                  </w:r>
                </w:p>
              </w:tc>
              <w:tc>
                <w:tcPr>
                  <w:tcW w:w="5032" w:type="dxa"/>
                  <w:tcBorders>
                    <w:tl2br w:val="nil"/>
                    <w:tr2bl w:val="nil"/>
                  </w:tcBorders>
                  <w:vAlign w:val="center"/>
                </w:tcPr>
                <w:p w14:paraId="644E3912">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碱性腐蚀品，无色透明液体，有强烈的刺激性臭味，相对密度0.91（空气=1），溶于水、醇，用于制药工业，纱罩业，晒图，农业施肥等。</w:t>
                  </w:r>
                </w:p>
              </w:tc>
            </w:tr>
            <w:tr w14:paraId="74F179FE">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0" w:type="dxa"/>
                  <w:tcBorders>
                    <w:tl2br w:val="nil"/>
                    <w:tr2bl w:val="nil"/>
                  </w:tcBorders>
                  <w:vAlign w:val="center"/>
                </w:tcPr>
                <w:p w14:paraId="29F985F0">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26</w:t>
                  </w:r>
                </w:p>
              </w:tc>
              <w:tc>
                <w:tcPr>
                  <w:tcW w:w="1085" w:type="dxa"/>
                  <w:tcBorders>
                    <w:tl2br w:val="nil"/>
                    <w:tr2bl w:val="nil"/>
                  </w:tcBorders>
                  <w:vAlign w:val="center"/>
                </w:tcPr>
                <w:p w14:paraId="162E537E">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盐酸</w:t>
                  </w:r>
                </w:p>
              </w:tc>
              <w:tc>
                <w:tcPr>
                  <w:tcW w:w="2035" w:type="dxa"/>
                  <w:tcBorders>
                    <w:tl2br w:val="nil"/>
                    <w:tr2bl w:val="nil"/>
                  </w:tcBorders>
                  <w:vAlign w:val="center"/>
                </w:tcPr>
                <w:p w14:paraId="6FE13BF2">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000000"/>
                      <w:spacing w:val="-20"/>
                      <w:sz w:val="21"/>
                      <w:szCs w:val="21"/>
                    </w:rPr>
                  </w:pPr>
                  <w:r>
                    <w:rPr>
                      <w:rFonts w:ascii="Times New Roman" w:hAnsi="Times New Roman" w:eastAsia="宋体" w:cs="Times New Roman"/>
                      <w:color w:val="000000"/>
                      <w:spacing w:val="-20"/>
                      <w:sz w:val="21"/>
                      <w:szCs w:val="21"/>
                    </w:rPr>
                    <w:t>分子式：HCl(水溶液)</w:t>
                  </w:r>
                </w:p>
                <w:p w14:paraId="5AE7F55E">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分子量：36.46</w:t>
                  </w:r>
                </w:p>
                <w:p w14:paraId="74DFE4C8">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CAS号：7647-01-0</w:t>
                  </w:r>
                </w:p>
              </w:tc>
              <w:tc>
                <w:tcPr>
                  <w:tcW w:w="5032" w:type="dxa"/>
                  <w:tcBorders>
                    <w:tl2br w:val="nil"/>
                    <w:tr2bl w:val="nil"/>
                  </w:tcBorders>
                  <w:vAlign w:val="center"/>
                </w:tcPr>
                <w:p w14:paraId="1E7E4585">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熔点-35℃、沸点57℃，密度1.2g/mL（25℃），闪点-40℃，无色或微黄色发烟液体，有刺鼻的酸味。与水混溶，溶于碱液。</w:t>
                  </w:r>
                </w:p>
              </w:tc>
            </w:tr>
            <w:tr w14:paraId="2AE45784">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0" w:type="dxa"/>
                  <w:tcBorders>
                    <w:tl2br w:val="nil"/>
                    <w:tr2bl w:val="nil"/>
                  </w:tcBorders>
                  <w:vAlign w:val="center"/>
                </w:tcPr>
                <w:p w14:paraId="4886C2BB">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27</w:t>
                  </w:r>
                </w:p>
              </w:tc>
              <w:tc>
                <w:tcPr>
                  <w:tcW w:w="1085" w:type="dxa"/>
                  <w:tcBorders>
                    <w:tl2br w:val="nil"/>
                    <w:tr2bl w:val="nil"/>
                  </w:tcBorders>
                  <w:vAlign w:val="center"/>
                </w:tcPr>
                <w:p w14:paraId="6A2451E6">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硼氢化钾</w:t>
                  </w:r>
                </w:p>
              </w:tc>
              <w:tc>
                <w:tcPr>
                  <w:tcW w:w="2035" w:type="dxa"/>
                  <w:tcBorders>
                    <w:tl2br w:val="nil"/>
                    <w:tr2bl w:val="nil"/>
                  </w:tcBorders>
                  <w:vAlign w:val="center"/>
                </w:tcPr>
                <w:p w14:paraId="7A88EF2D">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分子式：KBH</w:t>
                  </w:r>
                  <w:r>
                    <w:rPr>
                      <w:rFonts w:ascii="Times New Roman" w:hAnsi="Times New Roman" w:eastAsia="宋体" w:cs="Times New Roman"/>
                      <w:color w:val="000000"/>
                      <w:sz w:val="21"/>
                      <w:szCs w:val="21"/>
                      <w:vertAlign w:val="subscript"/>
                    </w:rPr>
                    <w:t>4</w:t>
                  </w:r>
                </w:p>
                <w:p w14:paraId="0D868206">
                  <w:pPr>
                    <w:pStyle w:val="44"/>
                    <w:keepNext w:val="0"/>
                    <w:keepLines w:val="0"/>
                    <w:pageBreakBefore w:val="0"/>
                    <w:tabs>
                      <w:tab w:val="left" w:pos="420"/>
                      <w:tab w:val="left" w:pos="870"/>
                      <w:tab w:val="left" w:pos="3150"/>
                    </w:tabs>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000000"/>
                      <w:sz w:val="21"/>
                      <w:szCs w:val="21"/>
                    </w:rPr>
                  </w:pPr>
                  <w:r>
                    <w:rPr>
                      <w:rFonts w:ascii="Times New Roman" w:hAnsi="Times New Roman"/>
                      <w:color w:val="000000"/>
                      <w:sz w:val="21"/>
                      <w:szCs w:val="21"/>
                    </w:rPr>
                    <w:t>分子量：53.94</w:t>
                  </w:r>
                </w:p>
                <w:p w14:paraId="0079A426">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CAS号：13762-51-1</w:t>
                  </w:r>
                </w:p>
              </w:tc>
              <w:tc>
                <w:tcPr>
                  <w:tcW w:w="5032" w:type="dxa"/>
                  <w:tcBorders>
                    <w:tl2br w:val="nil"/>
                    <w:tr2bl w:val="nil"/>
                  </w:tcBorders>
                  <w:vAlign w:val="center"/>
                </w:tcPr>
                <w:p w14:paraId="37614FF9">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遇湿易燃品，白色结晶性粉末，熔点大于400℃（分解），相对密度1.18（水=1），不溶于烃类、苯、乙醚，微溶于甲醇、乙醇，溶于液氨；用于醛、酮、酰氯化物的还原剂，以及用于制氢和其他硼氢盐。</w:t>
                  </w:r>
                </w:p>
              </w:tc>
            </w:tr>
            <w:tr w14:paraId="50B4BB8A">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0" w:type="dxa"/>
                  <w:tcBorders>
                    <w:tl2br w:val="nil"/>
                    <w:tr2bl w:val="nil"/>
                  </w:tcBorders>
                  <w:vAlign w:val="center"/>
                </w:tcPr>
                <w:p w14:paraId="12943514">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28</w:t>
                  </w:r>
                </w:p>
              </w:tc>
              <w:tc>
                <w:tcPr>
                  <w:tcW w:w="1085" w:type="dxa"/>
                  <w:tcBorders>
                    <w:tl2br w:val="nil"/>
                    <w:tr2bl w:val="nil"/>
                  </w:tcBorders>
                  <w:vAlign w:val="center"/>
                </w:tcPr>
                <w:p w14:paraId="39D1241F">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过氧化氢</w:t>
                  </w:r>
                </w:p>
              </w:tc>
              <w:tc>
                <w:tcPr>
                  <w:tcW w:w="2035" w:type="dxa"/>
                  <w:tcBorders>
                    <w:tl2br w:val="nil"/>
                    <w:tr2bl w:val="nil"/>
                  </w:tcBorders>
                  <w:vAlign w:val="center"/>
                </w:tcPr>
                <w:p w14:paraId="2BC6BC11">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分子式：H</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O</w:t>
                  </w:r>
                  <w:r>
                    <w:rPr>
                      <w:rFonts w:ascii="Times New Roman" w:hAnsi="Times New Roman" w:eastAsia="宋体" w:cs="Times New Roman"/>
                      <w:color w:val="000000"/>
                      <w:sz w:val="21"/>
                      <w:szCs w:val="21"/>
                      <w:vertAlign w:val="subscript"/>
                    </w:rPr>
                    <w:t>2</w:t>
                  </w:r>
                </w:p>
                <w:p w14:paraId="6258FAC6">
                  <w:pPr>
                    <w:pStyle w:val="44"/>
                    <w:keepNext w:val="0"/>
                    <w:keepLines w:val="0"/>
                    <w:pageBreakBefore w:val="0"/>
                    <w:tabs>
                      <w:tab w:val="left" w:pos="420"/>
                      <w:tab w:val="left" w:pos="870"/>
                      <w:tab w:val="left" w:pos="3150"/>
                    </w:tabs>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000000"/>
                      <w:sz w:val="21"/>
                      <w:szCs w:val="21"/>
                    </w:rPr>
                  </w:pPr>
                  <w:r>
                    <w:rPr>
                      <w:rFonts w:ascii="Times New Roman" w:hAnsi="Times New Roman"/>
                      <w:color w:val="000000"/>
                      <w:sz w:val="21"/>
                      <w:szCs w:val="21"/>
                    </w:rPr>
                    <w:t>分子量：84.01</w:t>
                  </w:r>
                </w:p>
                <w:p w14:paraId="1F111B5F">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CAS号：7722-84-1</w:t>
                  </w:r>
                </w:p>
              </w:tc>
              <w:tc>
                <w:tcPr>
                  <w:tcW w:w="5032" w:type="dxa"/>
                  <w:tcBorders>
                    <w:tl2br w:val="nil"/>
                    <w:tr2bl w:val="nil"/>
                  </w:tcBorders>
                  <w:vAlign w:val="center"/>
                </w:tcPr>
                <w:p w14:paraId="11EF3B59">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无色透明液体纯的为淡蓝油状液体。能与水、乙醇或乙醚以任何比例混合，不溶于苯、石油醚。是一种</w:t>
                  </w:r>
                  <w:r>
                    <w:rPr>
                      <w:sz w:val="21"/>
                      <w:szCs w:val="21"/>
                    </w:rPr>
                    <w:fldChar w:fldCharType="begin"/>
                  </w:r>
                  <w:r>
                    <w:rPr>
                      <w:sz w:val="21"/>
                      <w:szCs w:val="21"/>
                    </w:rPr>
                    <w:instrText xml:space="preserve"> HYPERLINK "https://baike.so.com/doc/6298092-6511615.html" \t "https://baike.so.com/doc/_blank" </w:instrText>
                  </w:r>
                  <w:r>
                    <w:rPr>
                      <w:sz w:val="21"/>
                      <w:szCs w:val="21"/>
                    </w:rPr>
                    <w:fldChar w:fldCharType="separate"/>
                  </w:r>
                  <w:r>
                    <w:rPr>
                      <w:rFonts w:ascii="Times New Roman" w:hAnsi="Times New Roman" w:eastAsia="宋体" w:cs="Times New Roman"/>
                      <w:color w:val="000000"/>
                      <w:sz w:val="21"/>
                      <w:szCs w:val="21"/>
                    </w:rPr>
                    <w:t>强氧化剂</w:t>
                  </w:r>
                  <w:r>
                    <w:rPr>
                      <w:rFonts w:ascii="Times New Roman" w:hAnsi="Times New Roman" w:eastAsia="宋体" w:cs="Times New Roman"/>
                      <w:color w:val="000000"/>
                      <w:sz w:val="21"/>
                      <w:szCs w:val="21"/>
                    </w:rPr>
                    <w:fldChar w:fldCharType="end"/>
                  </w:r>
                  <w:r>
                    <w:rPr>
                      <w:rFonts w:ascii="Times New Roman" w:hAnsi="Times New Roman" w:eastAsia="宋体" w:cs="Times New Roman"/>
                      <w:color w:val="000000"/>
                      <w:sz w:val="21"/>
                      <w:szCs w:val="21"/>
                    </w:rPr>
                    <w:t>，其水溶液适用于伤口消毒及环境、食品消毒。</w:t>
                  </w:r>
                </w:p>
              </w:tc>
            </w:tr>
            <w:tr w14:paraId="2DDA22A3">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0" w:type="dxa"/>
                  <w:tcBorders>
                    <w:tl2br w:val="nil"/>
                    <w:tr2bl w:val="nil"/>
                  </w:tcBorders>
                  <w:vAlign w:val="center"/>
                </w:tcPr>
                <w:p w14:paraId="1830049E">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29</w:t>
                  </w:r>
                </w:p>
              </w:tc>
              <w:tc>
                <w:tcPr>
                  <w:tcW w:w="1085" w:type="dxa"/>
                  <w:tcBorders>
                    <w:tl2br w:val="nil"/>
                    <w:tr2bl w:val="nil"/>
                  </w:tcBorders>
                  <w:vAlign w:val="center"/>
                </w:tcPr>
                <w:p w14:paraId="2CF2A2D8">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高氯酸</w:t>
                  </w:r>
                </w:p>
              </w:tc>
              <w:tc>
                <w:tcPr>
                  <w:tcW w:w="2035" w:type="dxa"/>
                  <w:tcBorders>
                    <w:tl2br w:val="nil"/>
                    <w:tr2bl w:val="nil"/>
                  </w:tcBorders>
                  <w:vAlign w:val="center"/>
                </w:tcPr>
                <w:p w14:paraId="18E8BC2F">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分子式：</w:t>
                  </w:r>
                  <w:r>
                    <w:rPr>
                      <w:rFonts w:ascii="Times New Roman" w:hAnsi="Times New Roman" w:eastAsia="宋体" w:cs="Times New Roman"/>
                      <w:color w:val="000000"/>
                      <w:sz w:val="21"/>
                      <w:szCs w:val="21"/>
                      <w:shd w:val="clear" w:color="auto" w:fill="FFFFFF"/>
                    </w:rPr>
                    <w:t>HClO</w:t>
                  </w:r>
                  <w:r>
                    <w:rPr>
                      <w:rFonts w:ascii="Times New Roman" w:hAnsi="Times New Roman" w:eastAsia="宋体" w:cs="Times New Roman"/>
                      <w:color w:val="000000"/>
                      <w:sz w:val="21"/>
                      <w:szCs w:val="21"/>
                      <w:shd w:val="clear" w:color="auto" w:fill="FFFFFF"/>
                      <w:vertAlign w:val="subscript"/>
                    </w:rPr>
                    <w:t>4</w:t>
                  </w:r>
                </w:p>
                <w:p w14:paraId="2D50E329">
                  <w:pPr>
                    <w:pStyle w:val="44"/>
                    <w:keepNext w:val="0"/>
                    <w:keepLines w:val="0"/>
                    <w:pageBreakBefore w:val="0"/>
                    <w:tabs>
                      <w:tab w:val="left" w:pos="420"/>
                      <w:tab w:val="left" w:pos="870"/>
                      <w:tab w:val="left" w:pos="3150"/>
                    </w:tabs>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000000"/>
                      <w:sz w:val="21"/>
                      <w:szCs w:val="21"/>
                    </w:rPr>
                  </w:pPr>
                  <w:r>
                    <w:rPr>
                      <w:rFonts w:ascii="Times New Roman" w:hAnsi="Times New Roman"/>
                      <w:color w:val="000000"/>
                      <w:sz w:val="21"/>
                      <w:szCs w:val="21"/>
                    </w:rPr>
                    <w:t>分子量：100.46</w:t>
                  </w:r>
                </w:p>
                <w:p w14:paraId="57BFB6BC">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CAS号：</w:t>
                  </w:r>
                  <w:r>
                    <w:rPr>
                      <w:rFonts w:ascii="Times New Roman" w:hAnsi="Times New Roman" w:eastAsia="宋体" w:cs="Times New Roman"/>
                      <w:color w:val="000000"/>
                      <w:sz w:val="21"/>
                      <w:szCs w:val="21"/>
                      <w:shd w:val="clear" w:color="auto" w:fill="FFFFFF"/>
                    </w:rPr>
                    <w:t>7601-90-3</w:t>
                  </w:r>
                </w:p>
              </w:tc>
              <w:tc>
                <w:tcPr>
                  <w:tcW w:w="5032" w:type="dxa"/>
                  <w:tcBorders>
                    <w:tl2br w:val="nil"/>
                    <w:tr2bl w:val="nil"/>
                  </w:tcBorders>
                  <w:vAlign w:val="center"/>
                </w:tcPr>
                <w:p w14:paraId="42573902">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高氯酸又名过氯酸，是目前已知的酸性最强的无机含氧酸，有强烈的腐蚀性、刺激性。高氯酸密度是1.76g/cm</w:t>
                  </w:r>
                  <w:r>
                    <w:rPr>
                      <w:rFonts w:ascii="Times New Roman" w:hAnsi="Times New Roman" w:eastAsia="宋体" w:cs="Times New Roman"/>
                      <w:color w:val="000000"/>
                      <w:sz w:val="21"/>
                      <w:szCs w:val="21"/>
                      <w:vertAlign w:val="superscript"/>
                    </w:rPr>
                    <w:t>3</w:t>
                  </w:r>
                  <w:r>
                    <w:rPr>
                      <w:rFonts w:ascii="Times New Roman" w:hAnsi="Times New Roman" w:eastAsia="宋体" w:cs="Times New Roman"/>
                      <w:color w:val="000000"/>
                      <w:sz w:val="21"/>
                      <w:szCs w:val="21"/>
                    </w:rPr>
                    <w:t>，沸点是130℃（爆炸），与水混溶。高氯酸是强氧化剂，与有机物、</w:t>
                  </w:r>
                  <w:r>
                    <w:rPr>
                      <w:sz w:val="21"/>
                      <w:szCs w:val="21"/>
                    </w:rPr>
                    <w:fldChar w:fldCharType="begin"/>
                  </w:r>
                  <w:r>
                    <w:rPr>
                      <w:sz w:val="21"/>
                      <w:szCs w:val="21"/>
                    </w:rPr>
                    <w:instrText xml:space="preserve"> HYPERLINK "https://baike.so.com/doc/722002-764387.html" \t "https://baike.so.com/doc/_blank" </w:instrText>
                  </w:r>
                  <w:r>
                    <w:rPr>
                      <w:sz w:val="21"/>
                      <w:szCs w:val="21"/>
                    </w:rPr>
                    <w:fldChar w:fldCharType="separate"/>
                  </w:r>
                  <w:r>
                    <w:rPr>
                      <w:rFonts w:ascii="Times New Roman" w:hAnsi="Times New Roman" w:eastAsia="宋体" w:cs="Times New Roman"/>
                      <w:color w:val="000000"/>
                      <w:sz w:val="21"/>
                      <w:szCs w:val="21"/>
                    </w:rPr>
                    <w:t>还原剂</w:t>
                  </w:r>
                  <w:r>
                    <w:rPr>
                      <w:rFonts w:ascii="Times New Roman" w:hAnsi="Times New Roman" w:eastAsia="宋体" w:cs="Times New Roman"/>
                      <w:color w:val="000000"/>
                      <w:sz w:val="21"/>
                      <w:szCs w:val="21"/>
                    </w:rPr>
                    <w:fldChar w:fldCharType="end"/>
                  </w:r>
                  <w:r>
                    <w:rPr>
                      <w:rFonts w:ascii="Times New Roman" w:hAnsi="Times New Roman" w:eastAsia="宋体" w:cs="Times New Roman"/>
                      <w:color w:val="000000"/>
                      <w:sz w:val="21"/>
                      <w:szCs w:val="21"/>
                    </w:rPr>
                    <w:t>、易燃物（如硫、磷等）接触或混合时有引起燃烧爆炸的危险。在室温下分解，加热则爆炸，产生氯化氢气体。</w:t>
                  </w:r>
                </w:p>
              </w:tc>
            </w:tr>
            <w:tr w14:paraId="49CFBF7A">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0" w:type="dxa"/>
                  <w:tcBorders>
                    <w:tl2br w:val="nil"/>
                    <w:tr2bl w:val="nil"/>
                  </w:tcBorders>
                  <w:vAlign w:val="center"/>
                </w:tcPr>
                <w:p w14:paraId="62CA3EAF">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30</w:t>
                  </w:r>
                </w:p>
              </w:tc>
              <w:tc>
                <w:tcPr>
                  <w:tcW w:w="1085" w:type="dxa"/>
                  <w:tcBorders>
                    <w:tl2br w:val="nil"/>
                    <w:tr2bl w:val="nil"/>
                  </w:tcBorders>
                  <w:vAlign w:val="center"/>
                </w:tcPr>
                <w:p w14:paraId="067BD904">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甲级异丁基甲酮</w:t>
                  </w:r>
                </w:p>
              </w:tc>
              <w:tc>
                <w:tcPr>
                  <w:tcW w:w="2035" w:type="dxa"/>
                  <w:tcBorders>
                    <w:tl2br w:val="nil"/>
                    <w:tr2bl w:val="nil"/>
                  </w:tcBorders>
                  <w:vAlign w:val="center"/>
                </w:tcPr>
                <w:p w14:paraId="7A99C994">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分子式：</w:t>
                  </w:r>
                  <w:r>
                    <w:rPr>
                      <w:rFonts w:hint="default" w:ascii="Times New Roman" w:hAnsi="Times New Roman" w:eastAsia="宋体" w:cs="Times New Roman"/>
                      <w:color w:val="auto"/>
                      <w:sz w:val="21"/>
                      <w:szCs w:val="21"/>
                      <w:highlight w:val="none"/>
                    </w:rPr>
                    <w:t>C</w:t>
                  </w:r>
                  <w:r>
                    <w:rPr>
                      <w:rFonts w:hint="default" w:ascii="Times New Roman" w:hAnsi="Times New Roman" w:eastAsia="宋体" w:cs="Times New Roman"/>
                      <w:color w:val="auto"/>
                      <w:sz w:val="21"/>
                      <w:szCs w:val="21"/>
                      <w:highlight w:val="none"/>
                      <w:vertAlign w:val="subscript"/>
                    </w:rPr>
                    <w:t>6</w:t>
                  </w:r>
                  <w:r>
                    <w:rPr>
                      <w:rFonts w:hint="default" w:ascii="Times New Roman" w:hAnsi="Times New Roman" w:eastAsia="宋体" w:cs="Times New Roman"/>
                      <w:color w:val="auto"/>
                      <w:sz w:val="21"/>
                      <w:szCs w:val="21"/>
                      <w:highlight w:val="none"/>
                    </w:rPr>
                    <w:t>H</w:t>
                  </w:r>
                  <w:r>
                    <w:rPr>
                      <w:rFonts w:hint="default" w:ascii="Times New Roman" w:hAnsi="Times New Roman" w:eastAsia="宋体" w:cs="Times New Roman"/>
                      <w:color w:val="auto"/>
                      <w:sz w:val="21"/>
                      <w:szCs w:val="21"/>
                      <w:highlight w:val="none"/>
                      <w:vertAlign w:val="subscript"/>
                    </w:rPr>
                    <w:t>12</w:t>
                  </w:r>
                  <w:r>
                    <w:rPr>
                      <w:rFonts w:hint="default" w:ascii="Times New Roman" w:hAnsi="Times New Roman" w:eastAsia="宋体" w:cs="Times New Roman"/>
                      <w:color w:val="auto"/>
                      <w:sz w:val="21"/>
                      <w:szCs w:val="21"/>
                      <w:highlight w:val="none"/>
                    </w:rPr>
                    <w:t>O</w:t>
                  </w:r>
                </w:p>
                <w:p w14:paraId="73304C73">
                  <w:pPr>
                    <w:pStyle w:val="44"/>
                    <w:keepNext w:val="0"/>
                    <w:keepLines w:val="0"/>
                    <w:pageBreakBefore w:val="0"/>
                    <w:tabs>
                      <w:tab w:val="left" w:pos="420"/>
                      <w:tab w:val="left" w:pos="870"/>
                      <w:tab w:val="left" w:pos="3150"/>
                    </w:tabs>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000000"/>
                      <w:sz w:val="21"/>
                      <w:szCs w:val="21"/>
                    </w:rPr>
                  </w:pPr>
                  <w:r>
                    <w:rPr>
                      <w:rFonts w:ascii="Times New Roman" w:hAnsi="Times New Roman"/>
                      <w:color w:val="000000"/>
                      <w:sz w:val="21"/>
                      <w:szCs w:val="21"/>
                    </w:rPr>
                    <w:t>分子量：</w:t>
                  </w:r>
                  <w:r>
                    <w:rPr>
                      <w:rFonts w:hint="eastAsia" w:ascii="Times New Roman" w:hAnsi="Times New Roman"/>
                      <w:color w:val="000000"/>
                      <w:sz w:val="21"/>
                      <w:szCs w:val="21"/>
                    </w:rPr>
                    <w:t>100.159</w:t>
                  </w:r>
                </w:p>
                <w:p w14:paraId="161902E7">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z w:val="21"/>
                      <w:szCs w:val="21"/>
                      <w:highlight w:val="none"/>
                    </w:rPr>
                  </w:pPr>
                  <w:r>
                    <w:rPr>
                      <w:rFonts w:ascii="Times New Roman" w:hAnsi="Times New Roman" w:eastAsia="宋体" w:cs="Times New Roman"/>
                      <w:color w:val="000000"/>
                      <w:sz w:val="21"/>
                      <w:szCs w:val="21"/>
                    </w:rPr>
                    <w:t>CAS号：</w:t>
                  </w:r>
                  <w:r>
                    <w:rPr>
                      <w:rFonts w:hint="eastAsia" w:ascii="Times New Roman" w:hAnsi="Times New Roman" w:eastAsia="宋体" w:cs="Times New Roman"/>
                      <w:color w:val="000000"/>
                      <w:sz w:val="21"/>
                      <w:szCs w:val="21"/>
                      <w:shd w:val="clear" w:color="auto" w:fill="FFFFFF"/>
                    </w:rPr>
                    <w:t>108-10-1</w:t>
                  </w:r>
                </w:p>
              </w:tc>
              <w:tc>
                <w:tcPr>
                  <w:tcW w:w="5032" w:type="dxa"/>
                  <w:tcBorders>
                    <w:tl2br w:val="nil"/>
                    <w:tr2bl w:val="nil"/>
                  </w:tcBorders>
                  <w:vAlign w:val="center"/>
                </w:tcPr>
                <w:p w14:paraId="50950B35">
                  <w:pPr>
                    <w:keepNext w:val="0"/>
                    <w:keepLines w:val="0"/>
                    <w:pageBreakBefore w:val="0"/>
                    <w:widowControl w:val="0"/>
                    <w:kinsoku/>
                    <w:wordWrap/>
                    <w:overflowPunct/>
                    <w:topLinePunct w:val="0"/>
                    <w:autoSpaceDE/>
                    <w:autoSpaceDN/>
                    <w:bidi w:val="0"/>
                    <w:snapToGrid w:val="0"/>
                    <w:spacing w:line="240" w:lineRule="auto"/>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是一种有机化合物，密度：0.80g/cm</w:t>
                  </w:r>
                  <w:r>
                    <w:rPr>
                      <w:rFonts w:hint="default" w:ascii="Times New Roman" w:hAnsi="Times New Roman" w:eastAsia="宋体" w:cs="Times New Roman"/>
                      <w:color w:val="auto"/>
                      <w:sz w:val="21"/>
                      <w:szCs w:val="21"/>
                      <w:highlight w:val="none"/>
                      <w:vertAlign w:val="superscript"/>
                    </w:rPr>
                    <w:t>3</w:t>
                  </w:r>
                  <w:r>
                    <w:rPr>
                      <w:rFonts w:hint="eastAsia"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熔点：-85℃</w:t>
                  </w:r>
                  <w:r>
                    <w:rPr>
                      <w:rFonts w:hint="eastAsia"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沸点：116.5℃</w:t>
                  </w:r>
                  <w:r>
                    <w:rPr>
                      <w:rFonts w:hint="eastAsia"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闪点：13.3℃</w:t>
                  </w:r>
                  <w:r>
                    <w:rPr>
                      <w:rFonts w:hint="eastAsia" w:cs="Times New Roman"/>
                      <w:color w:val="auto"/>
                      <w:sz w:val="21"/>
                      <w:szCs w:val="21"/>
                      <w:highlight w:val="none"/>
                      <w:lang w:eastAsia="zh-CN"/>
                    </w:rPr>
                    <w:t>。</w:t>
                  </w:r>
                  <w:r>
                    <w:rPr>
                      <w:rFonts w:hint="eastAsia" w:cs="Times New Roman"/>
                      <w:color w:val="auto"/>
                      <w:sz w:val="21"/>
                      <w:szCs w:val="21"/>
                      <w:highlight w:val="none"/>
                      <w:lang w:val="en-US" w:eastAsia="zh-CN"/>
                    </w:rPr>
                    <w:t>易挥发，</w:t>
                  </w:r>
                  <w:r>
                    <w:rPr>
                      <w:rFonts w:hint="default" w:ascii="Times New Roman" w:hAnsi="Times New Roman" w:eastAsia="宋体" w:cs="Times New Roman"/>
                      <w:color w:val="auto"/>
                      <w:sz w:val="21"/>
                      <w:szCs w:val="21"/>
                      <w:highlight w:val="none"/>
                    </w:rPr>
                    <w:t>主要用作喷漆、硝基纤维、某些纤维醚、樟脑、油脂、天然和合成橡胶的溶剂</w:t>
                  </w:r>
                </w:p>
              </w:tc>
            </w:tr>
            <w:tr w14:paraId="46BA1D5E">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0" w:type="dxa"/>
                  <w:tcBorders>
                    <w:tl2br w:val="nil"/>
                    <w:tr2bl w:val="nil"/>
                  </w:tcBorders>
                  <w:vAlign w:val="center"/>
                </w:tcPr>
                <w:p w14:paraId="106BB6E9">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31</w:t>
                  </w:r>
                </w:p>
              </w:tc>
              <w:tc>
                <w:tcPr>
                  <w:tcW w:w="1085" w:type="dxa"/>
                  <w:tcBorders>
                    <w:tl2br w:val="nil"/>
                    <w:tr2bl w:val="nil"/>
                  </w:tcBorders>
                  <w:vAlign w:val="center"/>
                </w:tcPr>
                <w:p w14:paraId="668FC16D">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吡咯烷二硫代氨基甲酸铵</w:t>
                  </w:r>
                </w:p>
              </w:tc>
              <w:tc>
                <w:tcPr>
                  <w:tcW w:w="2035" w:type="dxa"/>
                  <w:tcBorders>
                    <w:tl2br w:val="nil"/>
                    <w:tr2bl w:val="nil"/>
                  </w:tcBorders>
                  <w:vAlign w:val="center"/>
                </w:tcPr>
                <w:p w14:paraId="1B8B1BAC">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分子式：</w:t>
                  </w:r>
                  <w:r>
                    <w:rPr>
                      <w:rFonts w:hint="default" w:ascii="Times New Roman" w:hAnsi="Times New Roman" w:eastAsia="宋体" w:cs="Times New Roman"/>
                      <w:color w:val="auto"/>
                      <w:sz w:val="21"/>
                      <w:szCs w:val="21"/>
                      <w:highlight w:val="none"/>
                    </w:rPr>
                    <w:t>C</w:t>
                  </w:r>
                  <w:r>
                    <w:rPr>
                      <w:rFonts w:hint="default" w:ascii="Times New Roman" w:hAnsi="Times New Roman" w:eastAsia="宋体" w:cs="Times New Roman"/>
                      <w:color w:val="auto"/>
                      <w:sz w:val="21"/>
                      <w:szCs w:val="21"/>
                      <w:highlight w:val="none"/>
                      <w:vertAlign w:val="subscript"/>
                    </w:rPr>
                    <w:t>6</w:t>
                  </w:r>
                  <w:r>
                    <w:rPr>
                      <w:rFonts w:hint="default" w:ascii="Times New Roman" w:hAnsi="Times New Roman" w:eastAsia="宋体" w:cs="Times New Roman"/>
                      <w:color w:val="auto"/>
                      <w:sz w:val="21"/>
                      <w:szCs w:val="21"/>
                      <w:highlight w:val="none"/>
                    </w:rPr>
                    <w:t>H</w:t>
                  </w:r>
                  <w:r>
                    <w:rPr>
                      <w:rFonts w:hint="default" w:ascii="Times New Roman" w:hAnsi="Times New Roman" w:eastAsia="宋体" w:cs="Times New Roman"/>
                      <w:color w:val="auto"/>
                      <w:sz w:val="21"/>
                      <w:szCs w:val="21"/>
                      <w:highlight w:val="none"/>
                      <w:vertAlign w:val="subscript"/>
                    </w:rPr>
                    <w:t>12</w:t>
                  </w:r>
                  <w:r>
                    <w:rPr>
                      <w:rFonts w:hint="default" w:ascii="Times New Roman" w:hAnsi="Times New Roman" w:eastAsia="宋体" w:cs="Times New Roman"/>
                      <w:color w:val="auto"/>
                      <w:sz w:val="21"/>
                      <w:szCs w:val="21"/>
                      <w:highlight w:val="none"/>
                    </w:rPr>
                    <w:t>O</w:t>
                  </w:r>
                </w:p>
                <w:p w14:paraId="6A9C7673">
                  <w:pPr>
                    <w:pStyle w:val="44"/>
                    <w:keepNext w:val="0"/>
                    <w:keepLines w:val="0"/>
                    <w:pageBreakBefore w:val="0"/>
                    <w:tabs>
                      <w:tab w:val="left" w:pos="420"/>
                      <w:tab w:val="left" w:pos="870"/>
                      <w:tab w:val="left" w:pos="3150"/>
                    </w:tabs>
                    <w:kinsoku/>
                    <w:wordWrap/>
                    <w:overflowPunct/>
                    <w:topLinePunct w:val="0"/>
                    <w:autoSpaceDE/>
                    <w:autoSpaceDN/>
                    <w:bidi w:val="0"/>
                    <w:adjustRightInd w:val="0"/>
                    <w:snapToGrid w:val="0"/>
                    <w:spacing w:after="0" w:line="240" w:lineRule="auto"/>
                    <w:ind w:left="0" w:leftChars="0" w:firstLine="0" w:firstLineChars="0"/>
                    <w:jc w:val="center"/>
                    <w:textAlignment w:val="auto"/>
                    <w:rPr>
                      <w:rFonts w:ascii="Times New Roman" w:hAnsi="Times New Roman"/>
                      <w:color w:val="000000"/>
                      <w:sz w:val="21"/>
                      <w:szCs w:val="21"/>
                    </w:rPr>
                  </w:pPr>
                  <w:r>
                    <w:rPr>
                      <w:rFonts w:ascii="Times New Roman" w:hAnsi="Times New Roman"/>
                      <w:color w:val="000000"/>
                      <w:sz w:val="21"/>
                      <w:szCs w:val="21"/>
                    </w:rPr>
                    <w:t>分子量：</w:t>
                  </w:r>
                  <w:r>
                    <w:rPr>
                      <w:rFonts w:hint="eastAsia"/>
                      <w:color w:val="000000"/>
                      <w:sz w:val="21"/>
                      <w:szCs w:val="21"/>
                      <w:lang w:val="en-US" w:eastAsia="zh-CN"/>
                    </w:rPr>
                    <w:t>1</w:t>
                  </w:r>
                  <w:r>
                    <w:rPr>
                      <w:rFonts w:hint="eastAsia" w:ascii="Times New Roman" w:hAnsi="Times New Roman"/>
                      <w:color w:val="000000"/>
                      <w:sz w:val="21"/>
                      <w:szCs w:val="21"/>
                    </w:rPr>
                    <w:t>64.29</w:t>
                  </w:r>
                </w:p>
                <w:p w14:paraId="37A0A098">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sz w:val="21"/>
                      <w:szCs w:val="21"/>
                      <w:highlight w:val="none"/>
                      <w:lang w:eastAsia="zh-CN"/>
                    </w:rPr>
                  </w:pPr>
                  <w:r>
                    <w:rPr>
                      <w:rFonts w:ascii="Times New Roman" w:hAnsi="Times New Roman" w:eastAsia="宋体" w:cs="Times New Roman"/>
                      <w:color w:val="000000"/>
                      <w:sz w:val="21"/>
                      <w:szCs w:val="21"/>
                    </w:rPr>
                    <w:t>CAS号：</w:t>
                  </w:r>
                  <w:r>
                    <w:rPr>
                      <w:rFonts w:hint="eastAsia" w:cs="Times New Roman"/>
                      <w:color w:val="000000"/>
                      <w:sz w:val="21"/>
                      <w:szCs w:val="21"/>
                      <w:shd w:val="clear" w:color="auto" w:fill="FFFFFF"/>
                      <w:lang w:val="en-US" w:eastAsia="zh-CN"/>
                    </w:rPr>
                    <w:t>5108</w:t>
                  </w:r>
                  <w:r>
                    <w:rPr>
                      <w:rFonts w:hint="eastAsia" w:ascii="Times New Roman" w:hAnsi="Times New Roman" w:eastAsia="宋体" w:cs="Times New Roman"/>
                      <w:color w:val="000000"/>
                      <w:sz w:val="21"/>
                      <w:szCs w:val="21"/>
                      <w:shd w:val="clear" w:color="auto" w:fill="FFFFFF"/>
                    </w:rPr>
                    <w:t>-</w:t>
                  </w:r>
                  <w:r>
                    <w:rPr>
                      <w:rFonts w:hint="eastAsia" w:cs="Times New Roman"/>
                      <w:color w:val="000000"/>
                      <w:sz w:val="21"/>
                      <w:szCs w:val="21"/>
                      <w:shd w:val="clear" w:color="auto" w:fill="FFFFFF"/>
                      <w:lang w:val="en-US" w:eastAsia="zh-CN"/>
                    </w:rPr>
                    <w:t>96</w:t>
                  </w:r>
                  <w:r>
                    <w:rPr>
                      <w:rFonts w:hint="eastAsia" w:ascii="Times New Roman" w:hAnsi="Times New Roman" w:eastAsia="宋体" w:cs="Times New Roman"/>
                      <w:color w:val="000000"/>
                      <w:sz w:val="21"/>
                      <w:szCs w:val="21"/>
                      <w:shd w:val="clear" w:color="auto" w:fill="FFFFFF"/>
                    </w:rPr>
                    <w:t>-</w:t>
                  </w:r>
                  <w:r>
                    <w:rPr>
                      <w:rFonts w:hint="eastAsia" w:cs="Times New Roman"/>
                      <w:color w:val="000000"/>
                      <w:sz w:val="21"/>
                      <w:szCs w:val="21"/>
                      <w:shd w:val="clear" w:color="auto" w:fill="FFFFFF"/>
                      <w:lang w:val="en-US" w:eastAsia="zh-CN"/>
                    </w:rPr>
                    <w:t>3</w:t>
                  </w:r>
                </w:p>
              </w:tc>
              <w:tc>
                <w:tcPr>
                  <w:tcW w:w="5032" w:type="dxa"/>
                  <w:tcBorders>
                    <w:tl2br w:val="nil"/>
                    <w:tr2bl w:val="nil"/>
                  </w:tcBorders>
                  <w:vAlign w:val="center"/>
                </w:tcPr>
                <w:p w14:paraId="3A1406A7">
                  <w:pPr>
                    <w:keepNext w:val="0"/>
                    <w:keepLines w:val="0"/>
                    <w:pageBreakBefore w:val="0"/>
                    <w:widowControl w:val="0"/>
                    <w:kinsoku/>
                    <w:wordWrap/>
                    <w:overflowPunct/>
                    <w:topLinePunct w:val="0"/>
                    <w:autoSpaceDE/>
                    <w:autoSpaceDN/>
                    <w:bidi w:val="0"/>
                    <w:snapToGrid w:val="0"/>
                    <w:spacing w:line="240" w:lineRule="auto"/>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用于从酸性溶液中沉淀砷、铋、镉、钴、铜、铁、锰、镍、铅、锑、锡、钒和锌等</w:t>
                  </w:r>
                </w:p>
              </w:tc>
            </w:tr>
          </w:tbl>
          <w:p w14:paraId="539C6FB0">
            <w:pPr>
              <w:pStyle w:val="33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黑体" w:hAnsi="黑体" w:eastAsia="黑体" w:cs="黑体"/>
                <w:b w:val="0"/>
                <w:bCs/>
                <w:color w:val="auto"/>
                <w:sz w:val="24"/>
                <w:szCs w:val="24"/>
                <w:highlight w:val="none"/>
                <w:lang w:val="en-US" w:eastAsia="zh-CN"/>
              </w:rPr>
            </w:pPr>
            <w:r>
              <w:rPr>
                <w:rFonts w:hint="eastAsia" w:ascii="黑体" w:hAnsi="黑体" w:eastAsia="黑体" w:cs="黑体"/>
                <w:b w:val="0"/>
                <w:bCs/>
                <w:color w:val="auto"/>
                <w:sz w:val="24"/>
                <w:szCs w:val="24"/>
                <w:highlight w:val="none"/>
                <w:lang w:val="en-US" w:eastAsia="zh-CN"/>
              </w:rPr>
              <w:t>5、</w:t>
            </w:r>
            <w:r>
              <w:rPr>
                <w:rFonts w:hint="default" w:ascii="黑体" w:hAnsi="黑体" w:eastAsia="黑体" w:cs="黑体"/>
                <w:b w:val="0"/>
                <w:bCs/>
                <w:color w:val="auto"/>
                <w:sz w:val="24"/>
                <w:szCs w:val="24"/>
                <w:highlight w:val="none"/>
                <w:lang w:val="en-US" w:eastAsia="zh-CN"/>
              </w:rPr>
              <w:t>主要设备</w:t>
            </w:r>
          </w:p>
          <w:p w14:paraId="6E9E9DEF">
            <w:pPr>
              <w:adjustRightInd w:val="0"/>
              <w:snapToGrid w:val="0"/>
              <w:ind w:firstLine="420" w:firstLineChars="200"/>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本项目主要设备详见下表。</w:t>
            </w:r>
          </w:p>
          <w:p w14:paraId="2267A8A7">
            <w:pPr>
              <w:autoSpaceDE w:val="0"/>
              <w:autoSpaceDN w:val="0"/>
              <w:adjustRightInd w:val="0"/>
              <w:snapToGrid w:val="0"/>
              <w:spacing w:line="240" w:lineRule="auto"/>
              <w:jc w:val="center"/>
              <w:rPr>
                <w:rFonts w:hint="default" w:ascii="Times New Roman" w:hAnsi="Times New Roman" w:eastAsia="宋体" w:cs="Times New Roman"/>
                <w:b/>
                <w:bCs/>
                <w:color w:val="auto"/>
                <w:sz w:val="21"/>
                <w:szCs w:val="18"/>
                <w:highlight w:val="none"/>
              </w:rPr>
            </w:pPr>
            <w:r>
              <w:rPr>
                <w:rFonts w:hint="default" w:ascii="Times New Roman" w:hAnsi="Times New Roman" w:eastAsia="宋体" w:cs="Times New Roman"/>
                <w:b/>
                <w:bCs/>
                <w:color w:val="auto"/>
                <w:sz w:val="21"/>
                <w:szCs w:val="18"/>
                <w:highlight w:val="none"/>
              </w:rPr>
              <w:t>表</w:t>
            </w:r>
            <w:r>
              <w:rPr>
                <w:rFonts w:hint="eastAsia" w:cs="Times New Roman"/>
                <w:b/>
                <w:bCs/>
                <w:color w:val="auto"/>
                <w:sz w:val="21"/>
                <w:szCs w:val="18"/>
                <w:highlight w:val="none"/>
                <w:lang w:val="en-US" w:eastAsia="zh-CN"/>
              </w:rPr>
              <w:t xml:space="preserve">8  </w:t>
            </w:r>
            <w:r>
              <w:rPr>
                <w:rFonts w:hint="default" w:ascii="Times New Roman" w:hAnsi="Times New Roman" w:eastAsia="宋体" w:cs="Times New Roman"/>
                <w:b/>
                <w:bCs/>
                <w:color w:val="auto"/>
                <w:sz w:val="21"/>
                <w:szCs w:val="18"/>
                <w:highlight w:val="none"/>
              </w:rPr>
              <w:t>设备清单一览表</w:t>
            </w:r>
          </w:p>
          <w:tbl>
            <w:tblPr>
              <w:tblStyle w:val="4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458"/>
              <w:gridCol w:w="2527"/>
              <w:gridCol w:w="1269"/>
              <w:gridCol w:w="1599"/>
            </w:tblGrid>
            <w:tr w14:paraId="0B676FC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exact"/>
                <w:jc w:val="center"/>
              </w:trPr>
              <w:tc>
                <w:tcPr>
                  <w:tcW w:w="443" w:type="pct"/>
                  <w:tcBorders>
                    <w:tl2br w:val="nil"/>
                    <w:tr2bl w:val="nil"/>
                  </w:tcBorders>
                  <w:noWrap w:val="0"/>
                  <w:vAlign w:val="center"/>
                </w:tcPr>
                <w:p w14:paraId="0AA7F9A5">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序号</w:t>
                  </w:r>
                </w:p>
              </w:tc>
              <w:tc>
                <w:tcPr>
                  <w:tcW w:w="1426" w:type="pct"/>
                  <w:tcBorders>
                    <w:tl2br w:val="nil"/>
                    <w:tr2bl w:val="nil"/>
                  </w:tcBorders>
                  <w:noWrap w:val="0"/>
                  <w:vAlign w:val="center"/>
                </w:tcPr>
                <w:p w14:paraId="40FBE444">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设备</w:t>
                  </w:r>
                  <w:r>
                    <w:rPr>
                      <w:rFonts w:hint="default" w:eastAsia="宋体" w:cs="Times New Roman"/>
                      <w:color w:val="auto"/>
                      <w:kern w:val="28"/>
                      <w:sz w:val="21"/>
                      <w:szCs w:val="21"/>
                      <w:highlight w:val="none"/>
                      <w:lang w:val="en-US" w:eastAsia="zh-CN"/>
                    </w:rPr>
                    <w:t>名称</w:t>
                  </w:r>
                </w:p>
              </w:tc>
              <w:tc>
                <w:tcPr>
                  <w:tcW w:w="1466" w:type="pct"/>
                  <w:tcBorders>
                    <w:tl2br w:val="nil"/>
                    <w:tr2bl w:val="nil"/>
                  </w:tcBorders>
                  <w:noWrap w:val="0"/>
                  <w:vAlign w:val="center"/>
                </w:tcPr>
                <w:p w14:paraId="3E36595A">
                  <w:pPr>
                    <w:keepNext w:val="0"/>
                    <w:keepLines w:val="0"/>
                    <w:pageBreakBefore w:val="0"/>
                    <w:kinsoku/>
                    <w:wordWrap/>
                    <w:overflowPunct/>
                    <w:autoSpaceDE/>
                    <w:autoSpaceDN/>
                    <w:bidi w:val="0"/>
                    <w:adjustRightInd w:val="0"/>
                    <w:snapToGrid w:val="0"/>
                    <w:spacing w:line="240" w:lineRule="auto"/>
                    <w:ind w:firstLine="0" w:firstLineChars="0"/>
                    <w:jc w:val="center"/>
                    <w:rPr>
                      <w:rFonts w:hint="eastAsia" w:eastAsia="宋体"/>
                      <w:color w:val="auto"/>
                      <w:sz w:val="21"/>
                      <w:szCs w:val="21"/>
                      <w:highlight w:val="none"/>
                      <w:lang w:eastAsia="zh-CN"/>
                    </w:rPr>
                  </w:pPr>
                  <w:r>
                    <w:rPr>
                      <w:rFonts w:hint="eastAsia" w:ascii="Times New Roman" w:hAnsi="Times New Roman" w:cs="Times New Roman"/>
                      <w:color w:val="auto"/>
                      <w:sz w:val="21"/>
                      <w:szCs w:val="21"/>
                      <w:highlight w:val="none"/>
                      <w:lang w:eastAsia="zh-CN"/>
                    </w:rPr>
                    <w:t>设备型号及规格</w:t>
                  </w:r>
                </w:p>
              </w:tc>
              <w:tc>
                <w:tcPr>
                  <w:tcW w:w="736" w:type="pct"/>
                  <w:tcBorders>
                    <w:tl2br w:val="nil"/>
                    <w:tr2bl w:val="nil"/>
                  </w:tcBorders>
                  <w:noWrap w:val="0"/>
                  <w:vAlign w:val="center"/>
                </w:tcPr>
                <w:p w14:paraId="3E8E2213">
                  <w:pPr>
                    <w:keepNext w:val="0"/>
                    <w:keepLines w:val="0"/>
                    <w:pageBreakBefore w:val="0"/>
                    <w:kinsoku/>
                    <w:wordWrap/>
                    <w:overflowPunct/>
                    <w:autoSpaceDE/>
                    <w:autoSpaceDN/>
                    <w:bidi w:val="0"/>
                    <w:adjustRightInd w:val="0"/>
                    <w:snapToGrid w:val="0"/>
                    <w:spacing w:line="240" w:lineRule="auto"/>
                    <w:ind w:firstLine="0" w:firstLineChars="0"/>
                    <w:jc w:val="center"/>
                    <w:rPr>
                      <w:rFonts w:hint="eastAsia"/>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数量</w:t>
                  </w:r>
                </w:p>
              </w:tc>
              <w:tc>
                <w:tcPr>
                  <w:tcW w:w="927" w:type="pct"/>
                  <w:tcBorders>
                    <w:tl2br w:val="nil"/>
                    <w:tr2bl w:val="nil"/>
                  </w:tcBorders>
                  <w:noWrap w:val="0"/>
                  <w:vAlign w:val="center"/>
                </w:tcPr>
                <w:p w14:paraId="3E2474CD">
                  <w:pPr>
                    <w:keepNext w:val="0"/>
                    <w:keepLines w:val="0"/>
                    <w:pageBreakBefore w:val="0"/>
                    <w:kinsoku/>
                    <w:wordWrap/>
                    <w:overflowPunct/>
                    <w:autoSpaceDE/>
                    <w:autoSpaceDN/>
                    <w:bidi w:val="0"/>
                    <w:adjustRightInd w:val="0"/>
                    <w:snapToGrid w:val="0"/>
                    <w:spacing w:line="240" w:lineRule="auto"/>
                    <w:ind w:firstLine="0" w:firstLineChars="0"/>
                    <w:jc w:val="center"/>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val="en-US" w:eastAsia="zh-CN"/>
                    </w:rPr>
                    <w:t>位置</w:t>
                  </w:r>
                </w:p>
              </w:tc>
            </w:tr>
            <w:tr w14:paraId="78FF14E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443" w:type="pct"/>
                  <w:tcBorders>
                    <w:tl2br w:val="nil"/>
                    <w:tr2bl w:val="nil"/>
                  </w:tcBorders>
                  <w:noWrap w:val="0"/>
                  <w:vAlign w:val="center"/>
                </w:tcPr>
                <w:p w14:paraId="0CA16204">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1</w:t>
                  </w:r>
                </w:p>
              </w:tc>
              <w:tc>
                <w:tcPr>
                  <w:tcW w:w="1426" w:type="pct"/>
                  <w:tcBorders>
                    <w:tl2br w:val="nil"/>
                    <w:tr2bl w:val="nil"/>
                  </w:tcBorders>
                  <w:noWrap w:val="0"/>
                  <w:vAlign w:val="center"/>
                </w:tcPr>
                <w:p w14:paraId="60854E22">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COD</w:t>
                  </w:r>
                  <w:r>
                    <w:rPr>
                      <w:rFonts w:hint="eastAsia" w:eastAsia="宋体" w:cs="Times New Roman"/>
                      <w:color w:val="auto"/>
                      <w:kern w:val="28"/>
                      <w:sz w:val="21"/>
                      <w:szCs w:val="21"/>
                      <w:highlight w:val="none"/>
                      <w:lang w:val="en-US" w:eastAsia="zh-CN"/>
                    </w:rPr>
                    <w:t>消解仪</w:t>
                  </w:r>
                </w:p>
              </w:tc>
              <w:tc>
                <w:tcPr>
                  <w:tcW w:w="1466" w:type="pct"/>
                  <w:tcBorders>
                    <w:tl2br w:val="nil"/>
                    <w:tr2bl w:val="nil"/>
                  </w:tcBorders>
                  <w:noWrap w:val="0"/>
                  <w:vAlign w:val="center"/>
                </w:tcPr>
                <w:p w14:paraId="5B1404D5">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6</w:t>
                  </w:r>
                  <w:r>
                    <w:rPr>
                      <w:rFonts w:hint="eastAsia" w:eastAsia="宋体" w:cs="Times New Roman"/>
                      <w:color w:val="auto"/>
                      <w:kern w:val="28"/>
                      <w:sz w:val="21"/>
                      <w:szCs w:val="21"/>
                      <w:highlight w:val="none"/>
                      <w:lang w:val="en-US" w:eastAsia="zh-CN"/>
                    </w:rPr>
                    <w:t>位，空冷，加热功率</w:t>
                  </w:r>
                  <w:r>
                    <w:rPr>
                      <w:rFonts w:hint="default" w:eastAsia="宋体" w:cs="Times New Roman"/>
                      <w:color w:val="auto"/>
                      <w:kern w:val="28"/>
                      <w:sz w:val="21"/>
                      <w:szCs w:val="21"/>
                      <w:highlight w:val="none"/>
                      <w:lang w:val="en-US" w:eastAsia="zh-CN"/>
                    </w:rPr>
                    <w:t>2.5KW</w:t>
                  </w:r>
                </w:p>
              </w:tc>
              <w:tc>
                <w:tcPr>
                  <w:tcW w:w="736" w:type="pct"/>
                  <w:tcBorders>
                    <w:tl2br w:val="nil"/>
                    <w:tr2bl w:val="nil"/>
                  </w:tcBorders>
                  <w:noWrap w:val="0"/>
                  <w:vAlign w:val="center"/>
                </w:tcPr>
                <w:p w14:paraId="474F6BDA">
                  <w:pPr>
                    <w:keepNext w:val="0"/>
                    <w:keepLines w:val="0"/>
                    <w:pageBreakBefore w:val="0"/>
                    <w:kinsoku/>
                    <w:wordWrap/>
                    <w:overflowPunct/>
                    <w:topLinePunct/>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1台</w:t>
                  </w:r>
                </w:p>
              </w:tc>
              <w:tc>
                <w:tcPr>
                  <w:tcW w:w="927" w:type="pct"/>
                  <w:tcBorders>
                    <w:tl2br w:val="nil"/>
                    <w:tr2bl w:val="nil"/>
                  </w:tcBorders>
                  <w:noWrap w:val="0"/>
                  <w:vAlign w:val="center"/>
                </w:tcPr>
                <w:p w14:paraId="5EDBB62F">
                  <w:pPr>
                    <w:keepNext w:val="0"/>
                    <w:keepLines w:val="0"/>
                    <w:pageBreakBefore w:val="0"/>
                    <w:kinsoku/>
                    <w:wordWrap/>
                    <w:overflowPunct/>
                    <w:autoSpaceDE/>
                    <w:autoSpaceDN/>
                    <w:bidi w:val="0"/>
                    <w:adjustRightInd w:val="0"/>
                    <w:snapToGrid w:val="0"/>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1#实验室</w:t>
                  </w:r>
                </w:p>
              </w:tc>
            </w:tr>
            <w:tr w14:paraId="07A89E99">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3" w:hRule="exact"/>
                <w:jc w:val="center"/>
              </w:trPr>
              <w:tc>
                <w:tcPr>
                  <w:tcW w:w="443" w:type="pct"/>
                  <w:tcBorders>
                    <w:tl2br w:val="nil"/>
                    <w:tr2bl w:val="nil"/>
                  </w:tcBorders>
                  <w:noWrap w:val="0"/>
                  <w:vAlign w:val="center"/>
                </w:tcPr>
                <w:p w14:paraId="0B19F585">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2</w:t>
                  </w:r>
                </w:p>
              </w:tc>
              <w:tc>
                <w:tcPr>
                  <w:tcW w:w="1426" w:type="pct"/>
                  <w:tcBorders>
                    <w:tl2br w:val="nil"/>
                    <w:tr2bl w:val="nil"/>
                  </w:tcBorders>
                  <w:noWrap w:val="0"/>
                  <w:vAlign w:val="center"/>
                </w:tcPr>
                <w:p w14:paraId="6F1AE53A">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分析天平</w:t>
                  </w:r>
                </w:p>
              </w:tc>
              <w:tc>
                <w:tcPr>
                  <w:tcW w:w="1466" w:type="pct"/>
                  <w:tcBorders>
                    <w:tl2br w:val="nil"/>
                    <w:tr2bl w:val="nil"/>
                  </w:tcBorders>
                  <w:noWrap w:val="0"/>
                  <w:vAlign w:val="center"/>
                </w:tcPr>
                <w:p w14:paraId="42F67CA9">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Sartorius</w:t>
                  </w:r>
                  <w:r>
                    <w:rPr>
                      <w:rFonts w:hint="eastAsia" w:eastAsia="宋体" w:cs="Times New Roman"/>
                      <w:color w:val="auto"/>
                      <w:kern w:val="28"/>
                      <w:sz w:val="21"/>
                      <w:szCs w:val="21"/>
                      <w:highlight w:val="none"/>
                      <w:lang w:val="en-US" w:eastAsia="zh-CN"/>
                    </w:rPr>
                    <w:t>，万分之一</w:t>
                  </w:r>
                </w:p>
              </w:tc>
              <w:tc>
                <w:tcPr>
                  <w:tcW w:w="736" w:type="pct"/>
                  <w:tcBorders>
                    <w:tl2br w:val="nil"/>
                    <w:tr2bl w:val="nil"/>
                  </w:tcBorders>
                  <w:noWrap w:val="0"/>
                  <w:vAlign w:val="center"/>
                </w:tcPr>
                <w:p w14:paraId="671D54AC">
                  <w:pPr>
                    <w:keepNext w:val="0"/>
                    <w:keepLines w:val="0"/>
                    <w:pageBreakBefore w:val="0"/>
                    <w:kinsoku/>
                    <w:wordWrap/>
                    <w:overflowPunct/>
                    <w:topLinePunct/>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1台</w:t>
                  </w:r>
                </w:p>
              </w:tc>
              <w:tc>
                <w:tcPr>
                  <w:tcW w:w="927" w:type="pct"/>
                  <w:tcBorders>
                    <w:tl2br w:val="nil"/>
                    <w:tr2bl w:val="nil"/>
                  </w:tcBorders>
                  <w:noWrap w:val="0"/>
                  <w:vAlign w:val="center"/>
                </w:tcPr>
                <w:p w14:paraId="1A42FB67">
                  <w:pPr>
                    <w:keepNext w:val="0"/>
                    <w:keepLines w:val="0"/>
                    <w:pageBreakBefore w:val="0"/>
                    <w:kinsoku/>
                    <w:wordWrap/>
                    <w:overflowPunct/>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2#实验室</w:t>
                  </w:r>
                </w:p>
              </w:tc>
            </w:tr>
            <w:tr w14:paraId="3C569B36">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443" w:type="pct"/>
                  <w:tcBorders>
                    <w:tl2br w:val="nil"/>
                    <w:tr2bl w:val="nil"/>
                  </w:tcBorders>
                  <w:noWrap w:val="0"/>
                  <w:vAlign w:val="center"/>
                </w:tcPr>
                <w:p w14:paraId="02764A0A">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3</w:t>
                  </w:r>
                </w:p>
              </w:tc>
              <w:tc>
                <w:tcPr>
                  <w:tcW w:w="1426" w:type="pct"/>
                  <w:tcBorders>
                    <w:tl2br w:val="nil"/>
                    <w:tr2bl w:val="nil"/>
                  </w:tcBorders>
                  <w:noWrap w:val="0"/>
                  <w:vAlign w:val="center"/>
                </w:tcPr>
                <w:p w14:paraId="2FB68C46">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pH</w:t>
                  </w:r>
                  <w:r>
                    <w:rPr>
                      <w:rFonts w:hint="eastAsia" w:eastAsia="宋体" w:cs="Times New Roman"/>
                      <w:color w:val="auto"/>
                      <w:kern w:val="28"/>
                      <w:sz w:val="21"/>
                      <w:szCs w:val="21"/>
                      <w:highlight w:val="none"/>
                      <w:lang w:val="en-US" w:eastAsia="zh-CN"/>
                    </w:rPr>
                    <w:t>计</w:t>
                  </w:r>
                </w:p>
              </w:tc>
              <w:tc>
                <w:tcPr>
                  <w:tcW w:w="1466" w:type="pct"/>
                  <w:tcBorders>
                    <w:tl2br w:val="nil"/>
                    <w:tr2bl w:val="nil"/>
                  </w:tcBorders>
                  <w:noWrap w:val="0"/>
                  <w:vAlign w:val="center"/>
                </w:tcPr>
                <w:p w14:paraId="662CED20">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仪电</w:t>
                  </w:r>
                  <w:r>
                    <w:rPr>
                      <w:rFonts w:hint="eastAsia" w:cs="Times New Roman"/>
                      <w:color w:val="auto"/>
                      <w:kern w:val="28"/>
                      <w:sz w:val="21"/>
                      <w:szCs w:val="21"/>
                      <w:highlight w:val="none"/>
                      <w:lang w:val="en-US" w:eastAsia="zh-CN"/>
                    </w:rPr>
                    <w:t>，</w:t>
                  </w:r>
                  <w:r>
                    <w:rPr>
                      <w:rFonts w:hint="default" w:eastAsia="宋体" w:cs="Times New Roman"/>
                      <w:color w:val="auto"/>
                      <w:kern w:val="28"/>
                      <w:sz w:val="21"/>
                      <w:szCs w:val="21"/>
                      <w:highlight w:val="none"/>
                      <w:lang w:val="en-US" w:eastAsia="zh-CN"/>
                    </w:rPr>
                    <w:t>0.01pH</w:t>
                  </w:r>
                </w:p>
              </w:tc>
              <w:tc>
                <w:tcPr>
                  <w:tcW w:w="736" w:type="pct"/>
                  <w:tcBorders>
                    <w:tl2br w:val="nil"/>
                    <w:tr2bl w:val="nil"/>
                  </w:tcBorders>
                  <w:noWrap w:val="0"/>
                  <w:vAlign w:val="center"/>
                </w:tcPr>
                <w:p w14:paraId="5640136F">
                  <w:pPr>
                    <w:keepNext w:val="0"/>
                    <w:keepLines w:val="0"/>
                    <w:pageBreakBefore w:val="0"/>
                    <w:kinsoku/>
                    <w:wordWrap/>
                    <w:overflowPunct/>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val="en-US" w:eastAsia="zh-CN"/>
                    </w:rPr>
                    <w:t>1台</w:t>
                  </w:r>
                </w:p>
              </w:tc>
              <w:tc>
                <w:tcPr>
                  <w:tcW w:w="927" w:type="pct"/>
                  <w:tcBorders>
                    <w:tl2br w:val="nil"/>
                    <w:tr2bl w:val="nil"/>
                  </w:tcBorders>
                  <w:noWrap w:val="0"/>
                  <w:vAlign w:val="center"/>
                </w:tcPr>
                <w:p w14:paraId="37DA4A07">
                  <w:pPr>
                    <w:keepNext w:val="0"/>
                    <w:keepLines w:val="0"/>
                    <w:pageBreakBefore w:val="0"/>
                    <w:kinsoku/>
                    <w:wordWrap/>
                    <w:overflowPunct/>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2#实验室</w:t>
                  </w:r>
                </w:p>
              </w:tc>
            </w:tr>
            <w:tr w14:paraId="74F0C77E">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5" w:hRule="exact"/>
                <w:jc w:val="center"/>
              </w:trPr>
              <w:tc>
                <w:tcPr>
                  <w:tcW w:w="443" w:type="pct"/>
                  <w:tcBorders>
                    <w:tl2br w:val="nil"/>
                    <w:tr2bl w:val="nil"/>
                  </w:tcBorders>
                  <w:noWrap w:val="0"/>
                  <w:vAlign w:val="center"/>
                </w:tcPr>
                <w:p w14:paraId="3246FE92">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4</w:t>
                  </w:r>
                </w:p>
              </w:tc>
              <w:tc>
                <w:tcPr>
                  <w:tcW w:w="1426" w:type="pct"/>
                  <w:tcBorders>
                    <w:tl2br w:val="nil"/>
                    <w:tr2bl w:val="nil"/>
                  </w:tcBorders>
                  <w:noWrap w:val="0"/>
                  <w:vAlign w:val="center"/>
                </w:tcPr>
                <w:p w14:paraId="6ED1ABED">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一体化蒸馏仪</w:t>
                  </w:r>
                </w:p>
              </w:tc>
              <w:tc>
                <w:tcPr>
                  <w:tcW w:w="1466" w:type="pct"/>
                  <w:tcBorders>
                    <w:tl2br w:val="nil"/>
                    <w:tr2bl w:val="nil"/>
                  </w:tcBorders>
                  <w:noWrap w:val="0"/>
                  <w:vAlign w:val="center"/>
                </w:tcPr>
                <w:p w14:paraId="0D5D128D">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尺寸：</w:t>
                  </w:r>
                  <w:r>
                    <w:rPr>
                      <w:rFonts w:hint="default" w:eastAsia="宋体" w:cs="Times New Roman"/>
                      <w:color w:val="auto"/>
                      <w:kern w:val="28"/>
                      <w:sz w:val="21"/>
                      <w:szCs w:val="21"/>
                      <w:highlight w:val="none"/>
                      <w:lang w:val="en-US" w:eastAsia="zh-CN"/>
                    </w:rPr>
                    <w:t>400×600</w:t>
                  </w:r>
                  <w:r>
                    <w:rPr>
                      <w:rFonts w:hint="eastAsia" w:eastAsia="宋体" w:cs="Times New Roman"/>
                      <w:color w:val="auto"/>
                      <w:kern w:val="28"/>
                      <w:sz w:val="21"/>
                      <w:szCs w:val="21"/>
                      <w:highlight w:val="none"/>
                      <w:lang w:val="en-US" w:eastAsia="zh-CN"/>
                    </w:rPr>
                    <w:t>；</w:t>
                  </w:r>
                  <w:r>
                    <w:rPr>
                      <w:rFonts w:hint="default" w:eastAsia="宋体" w:cs="Times New Roman"/>
                      <w:color w:val="auto"/>
                      <w:kern w:val="28"/>
                      <w:sz w:val="21"/>
                      <w:szCs w:val="21"/>
                      <w:highlight w:val="none"/>
                      <w:lang w:val="en-US" w:eastAsia="zh-CN"/>
                    </w:rPr>
                    <w:t>6</w:t>
                  </w:r>
                  <w:r>
                    <w:rPr>
                      <w:rFonts w:hint="eastAsia" w:eastAsia="宋体" w:cs="Times New Roman"/>
                      <w:color w:val="auto"/>
                      <w:kern w:val="28"/>
                      <w:sz w:val="21"/>
                      <w:szCs w:val="21"/>
                      <w:highlight w:val="none"/>
                      <w:lang w:val="en-US" w:eastAsia="zh-CN"/>
                    </w:rPr>
                    <w:t>组远红外陶瓷加热炉，加热功率</w:t>
                  </w:r>
                  <w:r>
                    <w:rPr>
                      <w:rFonts w:hint="default" w:eastAsia="宋体" w:cs="Times New Roman"/>
                      <w:color w:val="auto"/>
                      <w:kern w:val="28"/>
                      <w:sz w:val="21"/>
                      <w:szCs w:val="21"/>
                      <w:highlight w:val="none"/>
                      <w:lang w:val="en-US" w:eastAsia="zh-CN"/>
                    </w:rPr>
                    <w:t>5KW</w:t>
                  </w:r>
                </w:p>
              </w:tc>
              <w:tc>
                <w:tcPr>
                  <w:tcW w:w="736" w:type="pct"/>
                  <w:tcBorders>
                    <w:tl2br w:val="nil"/>
                    <w:tr2bl w:val="nil"/>
                  </w:tcBorders>
                  <w:noWrap w:val="0"/>
                  <w:vAlign w:val="center"/>
                </w:tcPr>
                <w:p w14:paraId="7EA65530">
                  <w:pPr>
                    <w:keepNext w:val="0"/>
                    <w:keepLines w:val="0"/>
                    <w:pageBreakBefore w:val="0"/>
                    <w:kinsoku/>
                    <w:wordWrap/>
                    <w:overflowPunct/>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val="en-US" w:eastAsia="zh-CN"/>
                    </w:rPr>
                    <w:t>1台</w:t>
                  </w:r>
                </w:p>
              </w:tc>
              <w:tc>
                <w:tcPr>
                  <w:tcW w:w="927" w:type="pct"/>
                  <w:tcBorders>
                    <w:tl2br w:val="nil"/>
                    <w:tr2bl w:val="nil"/>
                  </w:tcBorders>
                  <w:noWrap w:val="0"/>
                  <w:vAlign w:val="center"/>
                </w:tcPr>
                <w:p w14:paraId="23292454">
                  <w:pPr>
                    <w:keepNext w:val="0"/>
                    <w:keepLines w:val="0"/>
                    <w:pageBreakBefore w:val="0"/>
                    <w:kinsoku/>
                    <w:wordWrap/>
                    <w:overflowPunct/>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val="en-US" w:eastAsia="zh-CN"/>
                    </w:rPr>
                    <w:t>1#实验室</w:t>
                  </w:r>
                </w:p>
              </w:tc>
            </w:tr>
            <w:tr w14:paraId="48BC16F9">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45" w:hRule="exact"/>
                <w:jc w:val="center"/>
              </w:trPr>
              <w:tc>
                <w:tcPr>
                  <w:tcW w:w="443" w:type="pct"/>
                  <w:tcBorders>
                    <w:tl2br w:val="nil"/>
                    <w:tr2bl w:val="nil"/>
                  </w:tcBorders>
                  <w:noWrap w:val="0"/>
                  <w:vAlign w:val="center"/>
                </w:tcPr>
                <w:p w14:paraId="616B997C">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5</w:t>
                  </w:r>
                </w:p>
              </w:tc>
              <w:tc>
                <w:tcPr>
                  <w:tcW w:w="1426" w:type="pct"/>
                  <w:tcBorders>
                    <w:tl2br w:val="nil"/>
                    <w:tr2bl w:val="nil"/>
                  </w:tcBorders>
                  <w:noWrap w:val="0"/>
                  <w:vAlign w:val="center"/>
                </w:tcPr>
                <w:p w14:paraId="0E63DF10">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可见分光光度计</w:t>
                  </w:r>
                </w:p>
              </w:tc>
              <w:tc>
                <w:tcPr>
                  <w:tcW w:w="1466" w:type="pct"/>
                  <w:tcBorders>
                    <w:tl2br w:val="nil"/>
                    <w:tr2bl w:val="nil"/>
                  </w:tcBorders>
                  <w:noWrap w:val="0"/>
                  <w:vAlign w:val="center"/>
                </w:tcPr>
                <w:p w14:paraId="0AB598FC">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波长</w:t>
                  </w:r>
                  <w:r>
                    <w:rPr>
                      <w:rFonts w:hint="default" w:eastAsia="宋体" w:cs="Times New Roman"/>
                      <w:color w:val="auto"/>
                      <w:kern w:val="28"/>
                      <w:sz w:val="21"/>
                      <w:szCs w:val="21"/>
                      <w:highlight w:val="none"/>
                      <w:lang w:val="en-US" w:eastAsia="zh-CN"/>
                    </w:rPr>
                    <w:t>320nm-1000nm</w:t>
                  </w:r>
                </w:p>
              </w:tc>
              <w:tc>
                <w:tcPr>
                  <w:tcW w:w="736" w:type="pct"/>
                  <w:tcBorders>
                    <w:tl2br w:val="nil"/>
                    <w:tr2bl w:val="nil"/>
                  </w:tcBorders>
                  <w:noWrap w:val="0"/>
                  <w:vAlign w:val="center"/>
                </w:tcPr>
                <w:p w14:paraId="6C785AFF">
                  <w:pPr>
                    <w:keepNext w:val="0"/>
                    <w:keepLines w:val="0"/>
                    <w:pageBreakBefore w:val="0"/>
                    <w:kinsoku/>
                    <w:wordWrap/>
                    <w:overflowPunct/>
                    <w:autoSpaceDE/>
                    <w:autoSpaceDN/>
                    <w:bidi w:val="0"/>
                    <w:adjustRightInd w:val="0"/>
                    <w:snapToGrid w:val="0"/>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1台</w:t>
                  </w:r>
                </w:p>
              </w:tc>
              <w:tc>
                <w:tcPr>
                  <w:tcW w:w="927" w:type="pct"/>
                  <w:tcBorders>
                    <w:tl2br w:val="nil"/>
                    <w:tr2bl w:val="nil"/>
                  </w:tcBorders>
                  <w:noWrap w:val="0"/>
                  <w:vAlign w:val="center"/>
                </w:tcPr>
                <w:p w14:paraId="61F6D3F5">
                  <w:pPr>
                    <w:keepNext w:val="0"/>
                    <w:keepLines w:val="0"/>
                    <w:pageBreakBefore w:val="0"/>
                    <w:kinsoku/>
                    <w:wordWrap/>
                    <w:overflowPunct/>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val="en-US" w:eastAsia="zh-CN"/>
                    </w:rPr>
                    <w:t>2#实验室</w:t>
                  </w:r>
                </w:p>
              </w:tc>
            </w:tr>
            <w:tr w14:paraId="44AB4F6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5" w:hRule="exact"/>
                <w:jc w:val="center"/>
              </w:trPr>
              <w:tc>
                <w:tcPr>
                  <w:tcW w:w="443" w:type="pct"/>
                  <w:tcBorders>
                    <w:tl2br w:val="nil"/>
                    <w:tr2bl w:val="nil"/>
                  </w:tcBorders>
                  <w:noWrap w:val="0"/>
                  <w:vAlign w:val="center"/>
                </w:tcPr>
                <w:p w14:paraId="5DE56822">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6</w:t>
                  </w:r>
                </w:p>
              </w:tc>
              <w:tc>
                <w:tcPr>
                  <w:tcW w:w="1426" w:type="pct"/>
                  <w:tcBorders>
                    <w:tl2br w:val="nil"/>
                    <w:tr2bl w:val="nil"/>
                  </w:tcBorders>
                  <w:noWrap w:val="0"/>
                  <w:vAlign w:val="center"/>
                </w:tcPr>
                <w:p w14:paraId="43B7F88B">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水浴锅</w:t>
                  </w:r>
                </w:p>
              </w:tc>
              <w:tc>
                <w:tcPr>
                  <w:tcW w:w="1466" w:type="pct"/>
                  <w:tcBorders>
                    <w:tl2br w:val="nil"/>
                    <w:tr2bl w:val="nil"/>
                  </w:tcBorders>
                  <w:noWrap w:val="0"/>
                  <w:vAlign w:val="center"/>
                </w:tcPr>
                <w:p w14:paraId="4F08CF1A">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default" w:eastAsia="宋体" w:cs="Times New Roman"/>
                      <w:color w:val="auto"/>
                      <w:kern w:val="28"/>
                      <w:sz w:val="21"/>
                      <w:szCs w:val="21"/>
                      <w:highlight w:val="none"/>
                      <w:lang w:val="en-US" w:eastAsia="zh-CN"/>
                    </w:rPr>
                    <w:t>8</w:t>
                  </w:r>
                  <w:r>
                    <w:rPr>
                      <w:rFonts w:hint="eastAsia" w:eastAsia="宋体" w:cs="Times New Roman"/>
                      <w:color w:val="auto"/>
                      <w:kern w:val="28"/>
                      <w:sz w:val="21"/>
                      <w:szCs w:val="21"/>
                      <w:highlight w:val="none"/>
                      <w:lang w:val="en-US" w:eastAsia="zh-CN"/>
                    </w:rPr>
                    <w:t>孔，常温</w:t>
                  </w:r>
                  <w:r>
                    <w:rPr>
                      <w:rFonts w:hint="default" w:eastAsia="宋体" w:cs="Times New Roman"/>
                      <w:color w:val="auto"/>
                      <w:kern w:val="28"/>
                      <w:sz w:val="21"/>
                      <w:szCs w:val="21"/>
                      <w:highlight w:val="none"/>
                      <w:lang w:val="en-US" w:eastAsia="zh-CN"/>
                    </w:rPr>
                    <w:t>—99℃</w:t>
                  </w:r>
                </w:p>
              </w:tc>
              <w:tc>
                <w:tcPr>
                  <w:tcW w:w="736" w:type="pct"/>
                  <w:tcBorders>
                    <w:tl2br w:val="nil"/>
                    <w:tr2bl w:val="nil"/>
                  </w:tcBorders>
                  <w:noWrap w:val="0"/>
                  <w:vAlign w:val="center"/>
                </w:tcPr>
                <w:p w14:paraId="02D5A88B">
                  <w:pPr>
                    <w:keepNext w:val="0"/>
                    <w:keepLines w:val="0"/>
                    <w:pageBreakBefore w:val="0"/>
                    <w:kinsoku/>
                    <w:wordWrap/>
                    <w:overflowPunct/>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val="en-US" w:eastAsia="zh-CN"/>
                    </w:rPr>
                    <w:t>1台</w:t>
                  </w:r>
                </w:p>
              </w:tc>
              <w:tc>
                <w:tcPr>
                  <w:tcW w:w="927" w:type="pct"/>
                  <w:tcBorders>
                    <w:tl2br w:val="nil"/>
                    <w:tr2bl w:val="nil"/>
                  </w:tcBorders>
                  <w:noWrap w:val="0"/>
                  <w:vAlign w:val="center"/>
                </w:tcPr>
                <w:p w14:paraId="0567A418">
                  <w:pPr>
                    <w:keepNext w:val="0"/>
                    <w:keepLines w:val="0"/>
                    <w:pageBreakBefore w:val="0"/>
                    <w:kinsoku/>
                    <w:wordWrap/>
                    <w:overflowPunct/>
                    <w:autoSpaceDE/>
                    <w:autoSpaceDN/>
                    <w:bidi w:val="0"/>
                    <w:adjustRightInd w:val="0"/>
                    <w:snapToGrid w:val="0"/>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1#实验室</w:t>
                  </w:r>
                </w:p>
              </w:tc>
            </w:tr>
            <w:tr w14:paraId="47A69248">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443" w:type="pct"/>
                  <w:tcBorders>
                    <w:tl2br w:val="nil"/>
                    <w:tr2bl w:val="nil"/>
                  </w:tcBorders>
                  <w:noWrap w:val="0"/>
                  <w:vAlign w:val="center"/>
                </w:tcPr>
                <w:p w14:paraId="63F225FA">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7</w:t>
                  </w:r>
                </w:p>
              </w:tc>
              <w:tc>
                <w:tcPr>
                  <w:tcW w:w="1426" w:type="pct"/>
                  <w:tcBorders>
                    <w:tl2br w:val="nil"/>
                    <w:tr2bl w:val="nil"/>
                  </w:tcBorders>
                  <w:noWrap w:val="0"/>
                  <w:vAlign w:val="center"/>
                </w:tcPr>
                <w:p w14:paraId="44FFA0EA">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电热板</w:t>
                  </w:r>
                </w:p>
              </w:tc>
              <w:tc>
                <w:tcPr>
                  <w:tcW w:w="1466" w:type="pct"/>
                  <w:tcBorders>
                    <w:tl2br w:val="nil"/>
                    <w:tr2bl w:val="nil"/>
                  </w:tcBorders>
                  <w:noWrap w:val="0"/>
                  <w:vAlign w:val="center"/>
                </w:tcPr>
                <w:p w14:paraId="10582E09">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尺寸：320×400；石墨</w:t>
                  </w:r>
                  <w:r>
                    <w:rPr>
                      <w:rFonts w:hint="default" w:eastAsia="宋体" w:cs="Times New Roman"/>
                      <w:color w:val="auto"/>
                      <w:kern w:val="28"/>
                      <w:sz w:val="21"/>
                      <w:szCs w:val="21"/>
                      <w:highlight w:val="none"/>
                      <w:lang w:val="en-US" w:eastAsia="zh-CN"/>
                    </w:rPr>
                    <w:t>600*400</w:t>
                  </w:r>
                  <w:r>
                    <w:rPr>
                      <w:rFonts w:hint="eastAsia" w:eastAsia="宋体" w:cs="Times New Roman"/>
                      <w:color w:val="auto"/>
                      <w:kern w:val="28"/>
                      <w:sz w:val="21"/>
                      <w:szCs w:val="21"/>
                      <w:highlight w:val="none"/>
                      <w:lang w:val="en-US" w:eastAsia="zh-CN"/>
                    </w:rPr>
                    <w:t>，</w:t>
                  </w:r>
                  <w:r>
                    <w:rPr>
                      <w:rFonts w:hint="default" w:eastAsia="宋体" w:cs="Times New Roman"/>
                      <w:color w:val="auto"/>
                      <w:kern w:val="28"/>
                      <w:sz w:val="21"/>
                      <w:szCs w:val="21"/>
                      <w:highlight w:val="none"/>
                      <w:lang w:val="en-US" w:eastAsia="zh-CN"/>
                    </w:rPr>
                    <w:t>5KW</w:t>
                  </w:r>
                </w:p>
              </w:tc>
              <w:tc>
                <w:tcPr>
                  <w:tcW w:w="736" w:type="pct"/>
                  <w:tcBorders>
                    <w:tl2br w:val="nil"/>
                    <w:tr2bl w:val="nil"/>
                  </w:tcBorders>
                  <w:noWrap w:val="0"/>
                  <w:vAlign w:val="center"/>
                </w:tcPr>
                <w:p w14:paraId="3CEBADB7">
                  <w:pPr>
                    <w:keepNext w:val="0"/>
                    <w:keepLines w:val="0"/>
                    <w:pageBreakBefore w:val="0"/>
                    <w:widowControl/>
                    <w:suppressLineNumbers w:val="0"/>
                    <w:kinsoku/>
                    <w:wordWrap/>
                    <w:overflowPunct/>
                    <w:topLinePunct/>
                    <w:autoSpaceDE/>
                    <w:autoSpaceDN/>
                    <w:bidi w:val="0"/>
                    <w:adjustRightInd w:val="0"/>
                    <w:snapToGrid w:val="0"/>
                    <w:spacing w:line="240" w:lineRule="auto"/>
                    <w:ind w:left="0" w:leftChars="0" w:firstLine="0" w:firstLineChars="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cs="Times New Roman"/>
                      <w:color w:val="auto"/>
                      <w:sz w:val="21"/>
                      <w:szCs w:val="21"/>
                      <w:highlight w:val="none"/>
                      <w:lang w:val="en-US" w:eastAsia="zh-CN"/>
                    </w:rPr>
                    <w:t>1台</w:t>
                  </w:r>
                </w:p>
              </w:tc>
              <w:tc>
                <w:tcPr>
                  <w:tcW w:w="927" w:type="pct"/>
                  <w:tcBorders>
                    <w:tl2br w:val="nil"/>
                    <w:tr2bl w:val="nil"/>
                  </w:tcBorders>
                  <w:noWrap w:val="0"/>
                  <w:vAlign w:val="center"/>
                </w:tcPr>
                <w:p w14:paraId="26FA74D9">
                  <w:pPr>
                    <w:keepNext w:val="0"/>
                    <w:keepLines w:val="0"/>
                    <w:pageBreakBefore w:val="0"/>
                    <w:kinsoku/>
                    <w:wordWrap/>
                    <w:overflowPunct/>
                    <w:autoSpaceDE/>
                    <w:autoSpaceDN/>
                    <w:bidi w:val="0"/>
                    <w:adjustRightInd w:val="0"/>
                    <w:snapToGrid w:val="0"/>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1#实验室</w:t>
                  </w:r>
                </w:p>
              </w:tc>
            </w:tr>
            <w:tr w14:paraId="481CD5A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5" w:hRule="exact"/>
                <w:jc w:val="center"/>
              </w:trPr>
              <w:tc>
                <w:tcPr>
                  <w:tcW w:w="443" w:type="pct"/>
                  <w:tcBorders>
                    <w:tl2br w:val="nil"/>
                    <w:tr2bl w:val="nil"/>
                  </w:tcBorders>
                  <w:noWrap w:val="0"/>
                  <w:vAlign w:val="center"/>
                </w:tcPr>
                <w:p w14:paraId="13FC9A9C">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8</w:t>
                  </w:r>
                </w:p>
              </w:tc>
              <w:tc>
                <w:tcPr>
                  <w:tcW w:w="1426" w:type="pct"/>
                  <w:tcBorders>
                    <w:tl2br w:val="nil"/>
                    <w:tr2bl w:val="nil"/>
                  </w:tcBorders>
                  <w:noWrap w:val="0"/>
                  <w:vAlign w:val="center"/>
                </w:tcPr>
                <w:p w14:paraId="31275098">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纯水机</w:t>
                  </w:r>
                </w:p>
              </w:tc>
              <w:tc>
                <w:tcPr>
                  <w:tcW w:w="1466" w:type="pct"/>
                  <w:tcBorders>
                    <w:tl2br w:val="nil"/>
                    <w:tr2bl w:val="nil"/>
                  </w:tcBorders>
                  <w:noWrap w:val="0"/>
                  <w:vAlign w:val="center"/>
                </w:tcPr>
                <w:p w14:paraId="329E3E70">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优普处理</w:t>
                  </w:r>
                  <w:r>
                    <w:rPr>
                      <w:rFonts w:hint="default" w:eastAsia="宋体" w:cs="Times New Roman"/>
                      <w:color w:val="auto"/>
                      <w:kern w:val="28"/>
                      <w:sz w:val="21"/>
                      <w:szCs w:val="21"/>
                      <w:highlight w:val="none"/>
                      <w:lang w:val="en-US" w:eastAsia="zh-CN"/>
                    </w:rPr>
                    <w:t>10L/H</w:t>
                  </w:r>
                </w:p>
              </w:tc>
              <w:tc>
                <w:tcPr>
                  <w:tcW w:w="736" w:type="pct"/>
                  <w:tcBorders>
                    <w:tl2br w:val="nil"/>
                    <w:tr2bl w:val="nil"/>
                  </w:tcBorders>
                  <w:noWrap w:val="0"/>
                  <w:vAlign w:val="center"/>
                </w:tcPr>
                <w:p w14:paraId="5DEC93A5">
                  <w:pPr>
                    <w:keepNext w:val="0"/>
                    <w:keepLines w:val="0"/>
                    <w:pageBreakBefore w:val="0"/>
                    <w:kinsoku/>
                    <w:wordWrap/>
                    <w:overflowPunct/>
                    <w:autoSpaceDE/>
                    <w:autoSpaceDN/>
                    <w:bidi w:val="0"/>
                    <w:adjustRightInd w:val="0"/>
                    <w:snapToGrid w:val="0"/>
                    <w:spacing w:line="240" w:lineRule="auto"/>
                    <w:ind w:firstLine="0" w:firstLineChars="0"/>
                    <w:jc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cs="Times New Roman"/>
                      <w:color w:val="auto"/>
                      <w:sz w:val="21"/>
                      <w:szCs w:val="21"/>
                      <w:highlight w:val="none"/>
                      <w:lang w:val="en-US" w:eastAsia="zh-CN"/>
                    </w:rPr>
                    <w:t>1台</w:t>
                  </w:r>
                </w:p>
              </w:tc>
              <w:tc>
                <w:tcPr>
                  <w:tcW w:w="927" w:type="pct"/>
                  <w:tcBorders>
                    <w:tl2br w:val="nil"/>
                    <w:tr2bl w:val="nil"/>
                  </w:tcBorders>
                  <w:noWrap w:val="0"/>
                  <w:vAlign w:val="center"/>
                </w:tcPr>
                <w:p w14:paraId="4270E1EB">
                  <w:pPr>
                    <w:keepNext w:val="0"/>
                    <w:keepLines w:val="0"/>
                    <w:pageBreakBefore w:val="0"/>
                    <w:kinsoku/>
                    <w:wordWrap/>
                    <w:overflowPunct/>
                    <w:autoSpaceDE/>
                    <w:autoSpaceDN/>
                    <w:bidi w:val="0"/>
                    <w:adjustRightInd w:val="0"/>
                    <w:snapToGrid w:val="0"/>
                    <w:spacing w:line="240" w:lineRule="auto"/>
                    <w:ind w:firstLine="0" w:firstLineChars="0"/>
                    <w:jc w:val="center"/>
                    <w:rPr>
                      <w:rFonts w:hint="eastAsia"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1#实验室</w:t>
                  </w:r>
                </w:p>
              </w:tc>
            </w:tr>
            <w:tr w14:paraId="20D2E660">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8" w:hRule="exact"/>
                <w:jc w:val="center"/>
              </w:trPr>
              <w:tc>
                <w:tcPr>
                  <w:tcW w:w="443" w:type="pct"/>
                  <w:tcBorders>
                    <w:tl2br w:val="nil"/>
                    <w:tr2bl w:val="nil"/>
                  </w:tcBorders>
                  <w:noWrap w:val="0"/>
                  <w:vAlign w:val="center"/>
                </w:tcPr>
                <w:p w14:paraId="2B974FFD">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9</w:t>
                  </w:r>
                </w:p>
              </w:tc>
              <w:tc>
                <w:tcPr>
                  <w:tcW w:w="1426" w:type="pct"/>
                  <w:tcBorders>
                    <w:tl2br w:val="nil"/>
                    <w:tr2bl w:val="nil"/>
                  </w:tcBorders>
                  <w:noWrap w:val="0"/>
                  <w:vAlign w:val="center"/>
                </w:tcPr>
                <w:p w14:paraId="3948AEAC">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原子荧光光度计</w:t>
                  </w:r>
                </w:p>
              </w:tc>
              <w:tc>
                <w:tcPr>
                  <w:tcW w:w="1466" w:type="pct"/>
                  <w:tcBorders>
                    <w:tl2br w:val="nil"/>
                    <w:tr2bl w:val="nil"/>
                  </w:tcBorders>
                  <w:noWrap w:val="0"/>
                  <w:vAlign w:val="center"/>
                </w:tcPr>
                <w:p w14:paraId="3D314B04">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带自动进样器,精密度＜0.7%</w:t>
                  </w:r>
                </w:p>
              </w:tc>
              <w:tc>
                <w:tcPr>
                  <w:tcW w:w="736" w:type="pct"/>
                  <w:tcBorders>
                    <w:tl2br w:val="nil"/>
                    <w:tr2bl w:val="nil"/>
                  </w:tcBorders>
                  <w:noWrap w:val="0"/>
                  <w:vAlign w:val="center"/>
                </w:tcPr>
                <w:p w14:paraId="07AF3623">
                  <w:pPr>
                    <w:keepNext w:val="0"/>
                    <w:keepLines w:val="0"/>
                    <w:pageBreakBefore w:val="0"/>
                    <w:kinsoku/>
                    <w:wordWrap/>
                    <w:overflowPunct/>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1台</w:t>
                  </w:r>
                </w:p>
              </w:tc>
              <w:tc>
                <w:tcPr>
                  <w:tcW w:w="927" w:type="pct"/>
                  <w:tcBorders>
                    <w:tl2br w:val="nil"/>
                    <w:tr2bl w:val="nil"/>
                  </w:tcBorders>
                  <w:noWrap w:val="0"/>
                  <w:vAlign w:val="center"/>
                </w:tcPr>
                <w:p w14:paraId="21963D0E">
                  <w:pPr>
                    <w:keepNext w:val="0"/>
                    <w:keepLines w:val="0"/>
                    <w:pageBreakBefore w:val="0"/>
                    <w:kinsoku/>
                    <w:wordWrap/>
                    <w:overflowPunct/>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val="en-US" w:eastAsia="zh-CN"/>
                    </w:rPr>
                    <w:t>2#实验室</w:t>
                  </w:r>
                </w:p>
              </w:tc>
            </w:tr>
            <w:tr w14:paraId="698DA610">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443" w:type="pct"/>
                  <w:tcBorders>
                    <w:tl2br w:val="nil"/>
                    <w:tr2bl w:val="nil"/>
                  </w:tcBorders>
                  <w:noWrap w:val="0"/>
                  <w:vAlign w:val="center"/>
                </w:tcPr>
                <w:p w14:paraId="22C3EEB2">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10</w:t>
                  </w:r>
                </w:p>
              </w:tc>
              <w:tc>
                <w:tcPr>
                  <w:tcW w:w="1426" w:type="pct"/>
                  <w:tcBorders>
                    <w:tl2br w:val="nil"/>
                    <w:tr2bl w:val="nil"/>
                  </w:tcBorders>
                  <w:noWrap w:val="0"/>
                  <w:vAlign w:val="center"/>
                </w:tcPr>
                <w:p w14:paraId="0C1C6002">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原子吸收分光光度计</w:t>
                  </w:r>
                </w:p>
              </w:tc>
              <w:tc>
                <w:tcPr>
                  <w:tcW w:w="1466" w:type="pct"/>
                  <w:tcBorders>
                    <w:tl2br w:val="nil"/>
                    <w:tr2bl w:val="nil"/>
                  </w:tcBorders>
                  <w:noWrap w:val="0"/>
                  <w:vAlign w:val="center"/>
                </w:tcPr>
                <w:p w14:paraId="1A933A5E">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单火焰</w:t>
                  </w:r>
                </w:p>
              </w:tc>
              <w:tc>
                <w:tcPr>
                  <w:tcW w:w="736" w:type="pct"/>
                  <w:tcBorders>
                    <w:tl2br w:val="nil"/>
                    <w:tr2bl w:val="nil"/>
                  </w:tcBorders>
                  <w:noWrap w:val="0"/>
                  <w:vAlign w:val="center"/>
                </w:tcPr>
                <w:p w14:paraId="4DF6986D">
                  <w:pPr>
                    <w:keepNext w:val="0"/>
                    <w:keepLines w:val="0"/>
                    <w:pageBreakBefore w:val="0"/>
                    <w:kinsoku/>
                    <w:wordWrap/>
                    <w:overflowPunct/>
                    <w:autoSpaceDE/>
                    <w:autoSpaceDN/>
                    <w:bidi w:val="0"/>
                    <w:adjustRightInd w:val="0"/>
                    <w:snapToGrid w:val="0"/>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1台</w:t>
                  </w:r>
                </w:p>
              </w:tc>
              <w:tc>
                <w:tcPr>
                  <w:tcW w:w="927" w:type="pct"/>
                  <w:tcBorders>
                    <w:tl2br w:val="nil"/>
                    <w:tr2bl w:val="nil"/>
                  </w:tcBorders>
                  <w:noWrap w:val="0"/>
                  <w:vAlign w:val="center"/>
                </w:tcPr>
                <w:p w14:paraId="64DAF599">
                  <w:pPr>
                    <w:keepNext w:val="0"/>
                    <w:keepLines w:val="0"/>
                    <w:pageBreakBefore w:val="0"/>
                    <w:kinsoku/>
                    <w:wordWrap/>
                    <w:overflowPunct/>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val="en-US" w:eastAsia="zh-CN"/>
                    </w:rPr>
                    <w:t>2#实验室</w:t>
                  </w:r>
                </w:p>
              </w:tc>
            </w:tr>
            <w:tr w14:paraId="3407280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5" w:hRule="exact"/>
                <w:jc w:val="center"/>
              </w:trPr>
              <w:tc>
                <w:tcPr>
                  <w:tcW w:w="443" w:type="pct"/>
                  <w:tcBorders>
                    <w:tl2br w:val="nil"/>
                    <w:tr2bl w:val="nil"/>
                  </w:tcBorders>
                  <w:noWrap w:val="0"/>
                  <w:vAlign w:val="center"/>
                </w:tcPr>
                <w:p w14:paraId="30A17A17">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11</w:t>
                  </w:r>
                </w:p>
              </w:tc>
              <w:tc>
                <w:tcPr>
                  <w:tcW w:w="1426" w:type="pct"/>
                  <w:tcBorders>
                    <w:tl2br w:val="nil"/>
                    <w:tr2bl w:val="nil"/>
                  </w:tcBorders>
                  <w:noWrap w:val="0"/>
                  <w:vAlign w:val="center"/>
                </w:tcPr>
                <w:p w14:paraId="6D09C980">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冷藏柜</w:t>
                  </w:r>
                </w:p>
              </w:tc>
              <w:tc>
                <w:tcPr>
                  <w:tcW w:w="1466" w:type="pct"/>
                  <w:tcBorders>
                    <w:tl2br w:val="nil"/>
                    <w:tr2bl w:val="nil"/>
                  </w:tcBorders>
                  <w:noWrap w:val="0"/>
                  <w:vAlign w:val="center"/>
                </w:tcPr>
                <w:p w14:paraId="0D829483">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w:t>
                  </w:r>
                </w:p>
              </w:tc>
              <w:tc>
                <w:tcPr>
                  <w:tcW w:w="736" w:type="pct"/>
                  <w:tcBorders>
                    <w:tl2br w:val="nil"/>
                    <w:tr2bl w:val="nil"/>
                  </w:tcBorders>
                  <w:noWrap w:val="0"/>
                  <w:vAlign w:val="center"/>
                </w:tcPr>
                <w:p w14:paraId="0853FCC9">
                  <w:pPr>
                    <w:keepNext w:val="0"/>
                    <w:keepLines w:val="0"/>
                    <w:pageBreakBefore w:val="0"/>
                    <w:kinsoku/>
                    <w:wordWrap/>
                    <w:overflowPunct/>
                    <w:autoSpaceDE/>
                    <w:autoSpaceDN/>
                    <w:bidi w:val="0"/>
                    <w:adjustRightInd w:val="0"/>
                    <w:snapToGrid w:val="0"/>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1台</w:t>
                  </w:r>
                </w:p>
              </w:tc>
              <w:tc>
                <w:tcPr>
                  <w:tcW w:w="927" w:type="pct"/>
                  <w:tcBorders>
                    <w:tl2br w:val="nil"/>
                    <w:tr2bl w:val="nil"/>
                  </w:tcBorders>
                  <w:noWrap w:val="0"/>
                  <w:vAlign w:val="center"/>
                </w:tcPr>
                <w:p w14:paraId="28EF4F95">
                  <w:pPr>
                    <w:keepNext w:val="0"/>
                    <w:keepLines w:val="0"/>
                    <w:pageBreakBefore w:val="0"/>
                    <w:kinsoku/>
                    <w:wordWrap/>
                    <w:overflowPunct/>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val="en-US" w:eastAsia="zh-CN"/>
                    </w:rPr>
                    <w:t>2#实验室</w:t>
                  </w:r>
                </w:p>
              </w:tc>
            </w:tr>
            <w:tr w14:paraId="1C117C98">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5" w:hRule="exact"/>
                <w:jc w:val="center"/>
              </w:trPr>
              <w:tc>
                <w:tcPr>
                  <w:tcW w:w="443" w:type="pct"/>
                  <w:tcBorders>
                    <w:tl2br w:val="nil"/>
                    <w:tr2bl w:val="nil"/>
                  </w:tcBorders>
                  <w:noWrap w:val="0"/>
                  <w:vAlign w:val="center"/>
                </w:tcPr>
                <w:p w14:paraId="3EFBB6E0">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12</w:t>
                  </w:r>
                </w:p>
              </w:tc>
              <w:tc>
                <w:tcPr>
                  <w:tcW w:w="1426" w:type="pct"/>
                  <w:tcBorders>
                    <w:tl2br w:val="nil"/>
                    <w:tr2bl w:val="nil"/>
                  </w:tcBorders>
                  <w:noWrap w:val="0"/>
                  <w:vAlign w:val="center"/>
                </w:tcPr>
                <w:p w14:paraId="37C83545">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试剂柜</w:t>
                  </w:r>
                </w:p>
              </w:tc>
              <w:tc>
                <w:tcPr>
                  <w:tcW w:w="1466" w:type="pct"/>
                  <w:tcBorders>
                    <w:tl2br w:val="nil"/>
                    <w:tr2bl w:val="nil"/>
                  </w:tcBorders>
                  <w:noWrap w:val="0"/>
                  <w:vAlign w:val="center"/>
                </w:tcPr>
                <w:p w14:paraId="2DEE38C4">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w:t>
                  </w:r>
                </w:p>
              </w:tc>
              <w:tc>
                <w:tcPr>
                  <w:tcW w:w="736" w:type="pct"/>
                  <w:tcBorders>
                    <w:tl2br w:val="nil"/>
                    <w:tr2bl w:val="nil"/>
                  </w:tcBorders>
                  <w:noWrap w:val="0"/>
                  <w:vAlign w:val="center"/>
                </w:tcPr>
                <w:p w14:paraId="57D55B16">
                  <w:pPr>
                    <w:keepNext w:val="0"/>
                    <w:keepLines w:val="0"/>
                    <w:pageBreakBefore w:val="0"/>
                    <w:kinsoku/>
                    <w:wordWrap/>
                    <w:overflowPunct/>
                    <w:autoSpaceDE/>
                    <w:autoSpaceDN/>
                    <w:bidi w:val="0"/>
                    <w:adjustRightInd w:val="0"/>
                    <w:snapToGrid w:val="0"/>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1台</w:t>
                  </w:r>
                </w:p>
              </w:tc>
              <w:tc>
                <w:tcPr>
                  <w:tcW w:w="927" w:type="pct"/>
                  <w:tcBorders>
                    <w:tl2br w:val="nil"/>
                    <w:tr2bl w:val="nil"/>
                  </w:tcBorders>
                  <w:noWrap w:val="0"/>
                  <w:vAlign w:val="center"/>
                </w:tcPr>
                <w:p w14:paraId="70733BAC">
                  <w:pPr>
                    <w:keepNext w:val="0"/>
                    <w:keepLines w:val="0"/>
                    <w:pageBreakBefore w:val="0"/>
                    <w:kinsoku/>
                    <w:wordWrap/>
                    <w:overflowPunct/>
                    <w:autoSpaceDE/>
                    <w:autoSpaceDN/>
                    <w:bidi w:val="0"/>
                    <w:adjustRightInd w:val="0"/>
                    <w:snapToGrid w:val="0"/>
                    <w:spacing w:line="240" w:lineRule="auto"/>
                    <w:ind w:firstLine="0" w:firstLineChars="0"/>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2#实验室</w:t>
                  </w:r>
                </w:p>
              </w:tc>
            </w:tr>
            <w:tr w14:paraId="08A3A46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5" w:hRule="exact"/>
                <w:jc w:val="center"/>
              </w:trPr>
              <w:tc>
                <w:tcPr>
                  <w:tcW w:w="443" w:type="pct"/>
                  <w:tcBorders>
                    <w:tl2br w:val="nil"/>
                    <w:tr2bl w:val="nil"/>
                  </w:tcBorders>
                  <w:noWrap w:val="0"/>
                  <w:vAlign w:val="center"/>
                </w:tcPr>
                <w:p w14:paraId="0285DADD">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13</w:t>
                  </w:r>
                </w:p>
              </w:tc>
              <w:tc>
                <w:tcPr>
                  <w:tcW w:w="1426" w:type="pct"/>
                  <w:tcBorders>
                    <w:tl2br w:val="nil"/>
                    <w:tr2bl w:val="nil"/>
                  </w:tcBorders>
                  <w:noWrap w:val="0"/>
                  <w:vAlign w:val="center"/>
                </w:tcPr>
                <w:p w14:paraId="494551CE">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气瓶柜</w:t>
                  </w:r>
                </w:p>
              </w:tc>
              <w:tc>
                <w:tcPr>
                  <w:tcW w:w="1466" w:type="pct"/>
                  <w:tcBorders>
                    <w:tl2br w:val="nil"/>
                    <w:tr2bl w:val="nil"/>
                  </w:tcBorders>
                  <w:noWrap w:val="0"/>
                  <w:vAlign w:val="center"/>
                </w:tcPr>
                <w:p w14:paraId="638607A0">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w:t>
                  </w:r>
                </w:p>
              </w:tc>
              <w:tc>
                <w:tcPr>
                  <w:tcW w:w="736" w:type="pct"/>
                  <w:tcBorders>
                    <w:tl2br w:val="nil"/>
                    <w:tr2bl w:val="nil"/>
                  </w:tcBorders>
                  <w:noWrap w:val="0"/>
                  <w:vAlign w:val="center"/>
                </w:tcPr>
                <w:p w14:paraId="479323E9">
                  <w:pPr>
                    <w:keepNext w:val="0"/>
                    <w:keepLines w:val="0"/>
                    <w:pageBreakBefore w:val="0"/>
                    <w:kinsoku/>
                    <w:wordWrap/>
                    <w:overflowPunct/>
                    <w:autoSpaceDE/>
                    <w:autoSpaceDN/>
                    <w:bidi w:val="0"/>
                    <w:adjustRightInd w:val="0"/>
                    <w:snapToGrid w:val="0"/>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1台</w:t>
                  </w:r>
                </w:p>
              </w:tc>
              <w:tc>
                <w:tcPr>
                  <w:tcW w:w="927" w:type="pct"/>
                  <w:tcBorders>
                    <w:tl2br w:val="nil"/>
                    <w:tr2bl w:val="nil"/>
                  </w:tcBorders>
                  <w:noWrap w:val="0"/>
                  <w:vAlign w:val="center"/>
                </w:tcPr>
                <w:p w14:paraId="2CAA7316">
                  <w:pPr>
                    <w:keepNext w:val="0"/>
                    <w:keepLines w:val="0"/>
                    <w:pageBreakBefore w:val="0"/>
                    <w:kinsoku/>
                    <w:wordWrap/>
                    <w:overflowPunct/>
                    <w:autoSpaceDE/>
                    <w:autoSpaceDN/>
                    <w:bidi w:val="0"/>
                    <w:adjustRightInd w:val="0"/>
                    <w:snapToGrid w:val="0"/>
                    <w:spacing w:line="240" w:lineRule="auto"/>
                    <w:ind w:firstLine="0" w:firstLineChars="0"/>
                    <w:jc w:val="center"/>
                    <w:rPr>
                      <w:rFonts w:hint="eastAsia" w:cs="Times New Roman"/>
                      <w:color w:val="0000FF"/>
                      <w:sz w:val="21"/>
                      <w:szCs w:val="21"/>
                      <w:highlight w:val="none"/>
                      <w:lang w:val="en-US" w:eastAsia="zh-CN"/>
                    </w:rPr>
                  </w:pPr>
                  <w:r>
                    <w:rPr>
                      <w:rFonts w:hint="eastAsia" w:cs="Times New Roman"/>
                      <w:color w:val="auto"/>
                      <w:sz w:val="21"/>
                      <w:szCs w:val="21"/>
                      <w:highlight w:val="none"/>
                      <w:lang w:val="en-US" w:eastAsia="zh-CN"/>
                    </w:rPr>
                    <w:t>2#实验室</w:t>
                  </w:r>
                </w:p>
              </w:tc>
            </w:tr>
            <w:tr w14:paraId="1CD31702">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443" w:type="pct"/>
                  <w:tcBorders>
                    <w:tl2br w:val="nil"/>
                    <w:tr2bl w:val="nil"/>
                  </w:tcBorders>
                  <w:noWrap w:val="0"/>
                  <w:vAlign w:val="center"/>
                </w:tcPr>
                <w:p w14:paraId="640C1E03">
                  <w:pPr>
                    <w:keepNext w:val="0"/>
                    <w:keepLines w:val="0"/>
                    <w:pageBreakBefore w:val="0"/>
                    <w:widowControl/>
                    <w:suppressLineNumbers w:val="0"/>
                    <w:kinsoku/>
                    <w:wordWrap/>
                    <w:overflowPunct/>
                    <w:topLinePunct/>
                    <w:autoSpaceDE/>
                    <w:autoSpaceDN/>
                    <w:bidi w:val="0"/>
                    <w:adjustRightInd w:val="0"/>
                    <w:snapToGrid w:val="0"/>
                    <w:spacing w:line="240" w:lineRule="auto"/>
                    <w:ind w:left="0" w:leftChars="0" w:firstLine="0" w:firstLineChars="0"/>
                    <w:jc w:val="center"/>
                    <w:textAlignment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14</w:t>
                  </w:r>
                </w:p>
              </w:tc>
              <w:tc>
                <w:tcPr>
                  <w:tcW w:w="1426" w:type="pct"/>
                  <w:tcBorders>
                    <w:tl2br w:val="nil"/>
                    <w:tr2bl w:val="nil"/>
                  </w:tcBorders>
                  <w:noWrap w:val="0"/>
                  <w:vAlign w:val="center"/>
                </w:tcPr>
                <w:p w14:paraId="590E9174">
                  <w:pPr>
                    <w:keepNext w:val="0"/>
                    <w:keepLines w:val="0"/>
                    <w:pageBreakBefore w:val="0"/>
                    <w:widowControl/>
                    <w:suppressLineNumbers w:val="0"/>
                    <w:kinsoku/>
                    <w:wordWrap/>
                    <w:overflowPunct/>
                    <w:autoSpaceDE/>
                    <w:autoSpaceDN/>
                    <w:bidi w:val="0"/>
                    <w:adjustRightInd w:val="0"/>
                    <w:snapToGrid w:val="0"/>
                    <w:spacing w:line="240" w:lineRule="auto"/>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default" w:ascii="宋体" w:hAnsi="宋体" w:eastAsia="宋体" w:cs="宋体"/>
                      <w:i w:val="0"/>
                      <w:iCs w:val="0"/>
                      <w:color w:val="auto"/>
                      <w:kern w:val="0"/>
                      <w:sz w:val="21"/>
                      <w:szCs w:val="21"/>
                      <w:highlight w:val="none"/>
                      <w:u w:val="none"/>
                      <w:lang w:val="en-US" w:eastAsia="zh-CN" w:bidi="ar"/>
                    </w:rPr>
                    <w:t>活性炭吸附</w:t>
                  </w:r>
                </w:p>
              </w:tc>
              <w:tc>
                <w:tcPr>
                  <w:tcW w:w="1466" w:type="pct"/>
                  <w:tcBorders>
                    <w:tl2br w:val="nil"/>
                    <w:tr2bl w:val="nil"/>
                  </w:tcBorders>
                  <w:noWrap w:val="0"/>
                  <w:vAlign w:val="center"/>
                </w:tcPr>
                <w:p w14:paraId="764EEC5A">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kern w:val="28"/>
                      <w:sz w:val="21"/>
                      <w:szCs w:val="21"/>
                      <w:highlight w:val="none"/>
                      <w:lang w:val="en-US" w:eastAsia="zh-CN"/>
                    </w:rPr>
                  </w:pPr>
                  <w:r>
                    <w:rPr>
                      <w:rFonts w:hint="eastAsia" w:eastAsia="宋体" w:cs="Times New Roman"/>
                      <w:color w:val="auto"/>
                      <w:kern w:val="28"/>
                      <w:sz w:val="21"/>
                      <w:szCs w:val="21"/>
                      <w:highlight w:val="none"/>
                      <w:lang w:val="en-US" w:eastAsia="zh-CN"/>
                    </w:rPr>
                    <w:t>/</w:t>
                  </w:r>
                </w:p>
              </w:tc>
              <w:tc>
                <w:tcPr>
                  <w:tcW w:w="736" w:type="pct"/>
                  <w:tcBorders>
                    <w:tl2br w:val="nil"/>
                    <w:tr2bl w:val="nil"/>
                  </w:tcBorders>
                  <w:noWrap w:val="0"/>
                  <w:vAlign w:val="center"/>
                </w:tcPr>
                <w:p w14:paraId="579F91FA">
                  <w:pPr>
                    <w:keepNext w:val="0"/>
                    <w:keepLines w:val="0"/>
                    <w:pageBreakBefore w:val="0"/>
                    <w:kinsoku/>
                    <w:wordWrap/>
                    <w:overflowPunct/>
                    <w:autoSpaceDE/>
                    <w:autoSpaceDN/>
                    <w:bidi w:val="0"/>
                    <w:adjustRightInd w:val="0"/>
                    <w:snapToGrid w:val="0"/>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w:t>
                  </w:r>
                  <w:r>
                    <w:rPr>
                      <w:rFonts w:hint="eastAsia" w:ascii="Times New Roman" w:hAnsi="Times New Roman" w:cs="Times New Roman"/>
                      <w:color w:val="auto"/>
                      <w:sz w:val="21"/>
                      <w:szCs w:val="21"/>
                      <w:highlight w:val="none"/>
                      <w:lang w:val="en-US" w:eastAsia="zh-CN"/>
                    </w:rPr>
                    <w:t>套</w:t>
                  </w:r>
                </w:p>
              </w:tc>
              <w:tc>
                <w:tcPr>
                  <w:tcW w:w="927" w:type="pct"/>
                  <w:tcBorders>
                    <w:tl2br w:val="nil"/>
                    <w:tr2bl w:val="nil"/>
                  </w:tcBorders>
                  <w:noWrap w:val="0"/>
                  <w:vAlign w:val="center"/>
                </w:tcPr>
                <w:p w14:paraId="203C6B1B">
                  <w:pPr>
                    <w:keepNext w:val="0"/>
                    <w:keepLines w:val="0"/>
                    <w:pageBreakBefore w:val="0"/>
                    <w:kinsoku/>
                    <w:wordWrap/>
                    <w:overflowPunct/>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宋体" w:hAnsi="宋体" w:cs="宋体"/>
                      <w:i w:val="0"/>
                      <w:iCs w:val="0"/>
                      <w:color w:val="auto"/>
                      <w:kern w:val="0"/>
                      <w:sz w:val="21"/>
                      <w:szCs w:val="21"/>
                      <w:highlight w:val="none"/>
                      <w:u w:val="none"/>
                      <w:lang w:val="en-US" w:eastAsia="zh-CN" w:bidi="ar"/>
                    </w:rPr>
                    <w:t>废气处理</w:t>
                  </w:r>
                </w:p>
              </w:tc>
            </w:tr>
          </w:tbl>
          <w:p w14:paraId="53F2A309">
            <w:pPr>
              <w:pStyle w:val="33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黑体" w:hAnsi="黑体" w:eastAsia="黑体" w:cs="黑体"/>
                <w:b w:val="0"/>
                <w:bCs/>
                <w:color w:val="auto"/>
                <w:sz w:val="24"/>
                <w:szCs w:val="24"/>
                <w:highlight w:val="none"/>
                <w:lang w:val="en-US" w:eastAsia="zh-CN"/>
              </w:rPr>
            </w:pPr>
            <w:r>
              <w:rPr>
                <w:rFonts w:hint="eastAsia" w:ascii="黑体" w:hAnsi="黑体" w:eastAsia="黑体" w:cs="黑体"/>
                <w:b w:val="0"/>
                <w:bCs/>
                <w:color w:val="auto"/>
                <w:sz w:val="24"/>
                <w:szCs w:val="24"/>
                <w:highlight w:val="none"/>
                <w:lang w:val="en-US" w:eastAsia="zh-CN"/>
              </w:rPr>
              <w:t>6、</w:t>
            </w:r>
            <w:r>
              <w:rPr>
                <w:rFonts w:hint="default" w:ascii="黑体" w:hAnsi="黑体" w:eastAsia="黑体" w:cs="黑体"/>
                <w:b w:val="0"/>
                <w:bCs/>
                <w:color w:val="auto"/>
                <w:sz w:val="24"/>
                <w:szCs w:val="24"/>
                <w:highlight w:val="none"/>
                <w:lang w:val="en-US" w:eastAsia="zh-CN"/>
              </w:rPr>
              <w:t>工作制度及定员</w:t>
            </w:r>
          </w:p>
          <w:p w14:paraId="31CF30ED">
            <w:pPr>
              <w:ind w:firstLine="420" w:firstLineChars="200"/>
              <w:jc w:val="both"/>
              <w:rPr>
                <w:color w:val="auto"/>
                <w:highlight w:val="none"/>
              </w:rPr>
            </w:pPr>
            <w:r>
              <w:rPr>
                <w:rFonts w:hint="eastAsia" w:ascii="Times New Roman" w:hAnsi="Times New Roman" w:eastAsia="宋体" w:cs="Times New Roman"/>
                <w:bCs/>
                <w:color w:val="auto"/>
                <w:sz w:val="21"/>
                <w:szCs w:val="21"/>
                <w:highlight w:val="none"/>
              </w:rPr>
              <w:t>项目</w:t>
            </w:r>
            <w:r>
              <w:rPr>
                <w:rFonts w:hint="eastAsia" w:cs="Times New Roman"/>
                <w:bCs/>
                <w:color w:val="auto"/>
                <w:sz w:val="21"/>
                <w:szCs w:val="21"/>
                <w:highlight w:val="none"/>
                <w:lang w:val="en-US" w:eastAsia="zh-CN"/>
              </w:rPr>
              <w:t>不新增</w:t>
            </w:r>
            <w:r>
              <w:rPr>
                <w:rFonts w:hint="eastAsia" w:ascii="Times New Roman" w:hAnsi="Times New Roman" w:eastAsia="宋体" w:cs="Times New Roman"/>
                <w:bCs/>
                <w:color w:val="auto"/>
                <w:sz w:val="21"/>
                <w:szCs w:val="21"/>
                <w:highlight w:val="none"/>
              </w:rPr>
              <w:t>劳动定员，</w:t>
            </w:r>
            <w:r>
              <w:rPr>
                <w:rFonts w:hint="eastAsia" w:cs="Times New Roman"/>
                <w:bCs/>
                <w:color w:val="auto"/>
                <w:sz w:val="21"/>
                <w:szCs w:val="21"/>
                <w:highlight w:val="none"/>
                <w:lang w:val="en-US" w:eastAsia="zh-CN"/>
              </w:rPr>
              <w:t>均由厂内员工调配，</w:t>
            </w:r>
            <w:r>
              <w:rPr>
                <w:rFonts w:hint="eastAsia" w:ascii="Times New Roman" w:hAnsi="Times New Roman" w:eastAsia="宋体" w:cs="Times New Roman"/>
                <w:bCs/>
                <w:color w:val="auto"/>
                <w:sz w:val="21"/>
                <w:szCs w:val="21"/>
                <w:highlight w:val="none"/>
              </w:rPr>
              <w:t>年工作</w:t>
            </w:r>
            <w:r>
              <w:rPr>
                <w:rFonts w:hint="eastAsia" w:cs="Times New Roman"/>
                <w:bCs/>
                <w:color w:val="auto"/>
                <w:sz w:val="21"/>
                <w:szCs w:val="21"/>
                <w:highlight w:val="none"/>
                <w:lang w:val="en-US" w:eastAsia="zh-CN"/>
              </w:rPr>
              <w:t>25</w:t>
            </w:r>
            <w:r>
              <w:rPr>
                <w:rFonts w:hint="eastAsia" w:ascii="Times New Roman" w:hAnsi="Times New Roman" w:eastAsia="宋体" w:cs="Times New Roman"/>
                <w:bCs/>
                <w:color w:val="auto"/>
                <w:sz w:val="21"/>
                <w:szCs w:val="21"/>
                <w:highlight w:val="none"/>
                <w:lang w:val="en-US" w:eastAsia="zh-CN"/>
              </w:rPr>
              <w:t>0</w:t>
            </w:r>
            <w:r>
              <w:rPr>
                <w:rFonts w:hint="eastAsia" w:ascii="Times New Roman" w:hAnsi="Times New Roman" w:eastAsia="宋体" w:cs="Times New Roman"/>
                <w:bCs/>
                <w:color w:val="auto"/>
                <w:sz w:val="21"/>
                <w:szCs w:val="21"/>
                <w:highlight w:val="none"/>
              </w:rPr>
              <w:t>天，每天工作</w:t>
            </w:r>
            <w:r>
              <w:rPr>
                <w:rFonts w:hint="eastAsia" w:cs="Times New Roman"/>
                <w:bCs/>
                <w:color w:val="auto"/>
                <w:sz w:val="21"/>
                <w:szCs w:val="21"/>
                <w:highlight w:val="none"/>
                <w:lang w:val="en-US" w:eastAsia="zh-CN"/>
              </w:rPr>
              <w:t>8</w:t>
            </w:r>
            <w:r>
              <w:rPr>
                <w:rFonts w:hint="eastAsia" w:ascii="Times New Roman" w:hAnsi="Times New Roman" w:eastAsia="宋体" w:cs="Times New Roman"/>
                <w:bCs/>
                <w:color w:val="auto"/>
                <w:sz w:val="21"/>
                <w:szCs w:val="21"/>
                <w:highlight w:val="none"/>
              </w:rPr>
              <w:t>小时，</w:t>
            </w:r>
            <w:r>
              <w:rPr>
                <w:rFonts w:hint="eastAsia" w:cs="Times New Roman"/>
                <w:bCs/>
                <w:color w:val="auto"/>
                <w:sz w:val="21"/>
                <w:szCs w:val="21"/>
                <w:highlight w:val="none"/>
                <w:lang w:val="en-US" w:eastAsia="zh-CN"/>
              </w:rPr>
              <w:t>一</w:t>
            </w:r>
            <w:r>
              <w:rPr>
                <w:rFonts w:hint="eastAsia" w:ascii="Times New Roman" w:hAnsi="Times New Roman" w:eastAsia="宋体" w:cs="Times New Roman"/>
                <w:bCs/>
                <w:color w:val="auto"/>
                <w:sz w:val="21"/>
                <w:szCs w:val="21"/>
                <w:highlight w:val="none"/>
                <w:lang w:val="en-US" w:eastAsia="zh-CN"/>
              </w:rPr>
              <w:t>班制</w:t>
            </w:r>
            <w:r>
              <w:rPr>
                <w:rFonts w:hint="eastAsia"/>
                <w:color w:val="auto"/>
                <w:sz w:val="21"/>
                <w:szCs w:val="21"/>
                <w:highlight w:val="none"/>
              </w:rPr>
              <w:t>。</w:t>
            </w:r>
          </w:p>
          <w:p w14:paraId="18EA4D91">
            <w:pPr>
              <w:pStyle w:val="33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黑体" w:hAnsi="黑体" w:eastAsia="黑体" w:cs="黑体"/>
                <w:b w:val="0"/>
                <w:bCs/>
                <w:color w:val="auto"/>
                <w:sz w:val="24"/>
                <w:szCs w:val="24"/>
                <w:highlight w:val="none"/>
                <w:lang w:val="en-US" w:eastAsia="zh-CN"/>
              </w:rPr>
            </w:pPr>
            <w:r>
              <w:rPr>
                <w:rFonts w:hint="eastAsia" w:ascii="黑体" w:hAnsi="黑体" w:eastAsia="黑体" w:cs="黑体"/>
                <w:b w:val="0"/>
                <w:bCs/>
                <w:color w:val="auto"/>
                <w:sz w:val="24"/>
                <w:szCs w:val="24"/>
                <w:highlight w:val="none"/>
                <w:lang w:val="en-US" w:eastAsia="zh-CN"/>
              </w:rPr>
              <w:t>7、</w:t>
            </w:r>
            <w:r>
              <w:rPr>
                <w:rFonts w:hint="default" w:ascii="黑体" w:hAnsi="黑体" w:eastAsia="黑体" w:cs="黑体"/>
                <w:b w:val="0"/>
                <w:bCs/>
                <w:color w:val="auto"/>
                <w:sz w:val="24"/>
                <w:szCs w:val="24"/>
                <w:highlight w:val="none"/>
                <w:lang w:val="en-US" w:eastAsia="zh-CN"/>
              </w:rPr>
              <w:t>公用工程</w:t>
            </w:r>
          </w:p>
          <w:p w14:paraId="6C73D1ED">
            <w:pPr>
              <w:ind w:firstLine="420" w:firstLineChars="200"/>
              <w:jc w:val="both"/>
              <w:rPr>
                <w:rFonts w:hint="default" w:cs="Times New Roman"/>
                <w:bCs/>
                <w:color w:val="auto"/>
                <w:sz w:val="21"/>
                <w:szCs w:val="21"/>
                <w:highlight w:val="none"/>
                <w:lang w:val="en-US" w:eastAsia="zh-CN"/>
              </w:rPr>
            </w:pPr>
            <w:r>
              <w:rPr>
                <w:rFonts w:hint="eastAsia" w:cs="Times New Roman"/>
                <w:bCs/>
                <w:color w:val="auto"/>
                <w:sz w:val="21"/>
                <w:szCs w:val="21"/>
                <w:highlight w:val="none"/>
                <w:lang w:val="en-US" w:eastAsia="zh-CN"/>
              </w:rPr>
              <w:t>（1）</w:t>
            </w:r>
            <w:r>
              <w:rPr>
                <w:rFonts w:hint="default" w:cs="Times New Roman"/>
                <w:bCs/>
                <w:color w:val="auto"/>
                <w:sz w:val="21"/>
                <w:szCs w:val="21"/>
                <w:highlight w:val="none"/>
                <w:lang w:val="en-US" w:eastAsia="zh-CN"/>
              </w:rPr>
              <w:t>给水</w:t>
            </w:r>
          </w:p>
          <w:p w14:paraId="74E8E7B7">
            <w:pPr>
              <w:ind w:firstLine="420" w:firstLineChars="200"/>
              <w:jc w:val="both"/>
              <w:rPr>
                <w:rFonts w:hint="eastAsia" w:cs="Times New Roman"/>
                <w:bCs/>
                <w:color w:val="auto"/>
                <w:sz w:val="21"/>
                <w:szCs w:val="21"/>
                <w:highlight w:val="none"/>
                <w:lang w:val="en-US" w:eastAsia="zh-CN"/>
              </w:rPr>
            </w:pPr>
            <w:r>
              <w:rPr>
                <w:rFonts w:hint="eastAsia" w:cs="Times New Roman"/>
                <w:bCs/>
                <w:color w:val="auto"/>
                <w:sz w:val="21"/>
                <w:szCs w:val="21"/>
                <w:highlight w:val="none"/>
                <w:lang w:val="en-US" w:eastAsia="zh-CN"/>
              </w:rPr>
              <w:t>本项目用水主要为实验用水，其中包括为纯水制备用水、实验分析用水、实验器材清洗用水和实验室其他项目用水。</w:t>
            </w:r>
          </w:p>
          <w:p w14:paraId="78F68426">
            <w:pPr>
              <w:pStyle w:val="63"/>
              <w:snapToGrid w:val="0"/>
              <w:spacing w:line="360" w:lineRule="auto"/>
              <w:ind w:firstLine="420" w:firstLineChars="200"/>
              <w:jc w:val="both"/>
              <w:rPr>
                <w:rFonts w:hint="eastAsia" w:ascii="Times New Roman" w:hAnsi="Times New Roman" w:eastAsia="宋体" w:cs="Times New Roman"/>
                <w:bCs/>
                <w:color w:val="auto"/>
                <w:kern w:val="2"/>
                <w:sz w:val="21"/>
                <w:szCs w:val="21"/>
                <w:highlight w:val="none"/>
                <w:lang w:val="en-US" w:eastAsia="zh-CN" w:bidi="ar-SA"/>
              </w:rPr>
            </w:pPr>
            <w:r>
              <w:rPr>
                <w:rFonts w:hint="eastAsia" w:cs="Times New Roman"/>
                <w:bCs/>
                <w:color w:val="auto"/>
                <w:kern w:val="2"/>
                <w:sz w:val="21"/>
                <w:szCs w:val="21"/>
                <w:highlight w:val="none"/>
                <w:lang w:val="en-US" w:eastAsia="zh-CN" w:bidi="ar-SA"/>
              </w:rPr>
              <w:t>①实验分析</w:t>
            </w:r>
            <w:r>
              <w:rPr>
                <w:rFonts w:hint="eastAsia" w:ascii="Times New Roman" w:hAnsi="Times New Roman" w:eastAsia="宋体" w:cs="Times New Roman"/>
                <w:bCs/>
                <w:color w:val="auto"/>
                <w:kern w:val="2"/>
                <w:sz w:val="21"/>
                <w:szCs w:val="21"/>
                <w:highlight w:val="none"/>
                <w:lang w:val="en-US" w:eastAsia="zh-CN" w:bidi="ar-SA"/>
              </w:rPr>
              <w:t>用水</w:t>
            </w:r>
          </w:p>
          <w:p w14:paraId="235279A3">
            <w:pPr>
              <w:pStyle w:val="63"/>
              <w:snapToGrid w:val="0"/>
              <w:spacing w:line="360" w:lineRule="auto"/>
              <w:ind w:firstLine="420" w:firstLineChars="200"/>
              <w:jc w:val="both"/>
              <w:rPr>
                <w:rFonts w:hint="eastAsia"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根据建设单位提供资料，预计纯水用于药剂配置约为0.0</w:t>
            </w:r>
            <w:r>
              <w:rPr>
                <w:rFonts w:hint="eastAsia" w:cs="Times New Roman"/>
                <w:bCs/>
                <w:color w:val="auto"/>
                <w:kern w:val="2"/>
                <w:sz w:val="21"/>
                <w:szCs w:val="21"/>
                <w:highlight w:val="none"/>
                <w:lang w:val="en-US" w:eastAsia="zh-CN" w:bidi="ar-SA"/>
              </w:rPr>
              <w:t>1</w:t>
            </w:r>
            <w:r>
              <w:rPr>
                <w:rFonts w:hint="eastAsia" w:ascii="Times New Roman" w:hAnsi="Times New Roman" w:eastAsia="宋体" w:cs="Times New Roman"/>
                <w:bCs/>
                <w:color w:val="auto"/>
                <w:kern w:val="2"/>
                <w:sz w:val="21"/>
                <w:szCs w:val="21"/>
                <w:highlight w:val="none"/>
                <w:lang w:val="en-US" w:eastAsia="zh-CN" w:bidi="ar-SA"/>
              </w:rPr>
              <w:t>m</w:t>
            </w:r>
            <w:r>
              <w:rPr>
                <w:rFonts w:hint="eastAsia" w:ascii="Times New Roman" w:hAnsi="Times New Roman" w:eastAsia="宋体" w:cs="Times New Roman"/>
                <w:bCs/>
                <w:color w:val="auto"/>
                <w:kern w:val="2"/>
                <w:sz w:val="21"/>
                <w:szCs w:val="21"/>
                <w:highlight w:val="none"/>
                <w:vertAlign w:val="superscript"/>
                <w:lang w:val="en-US" w:eastAsia="zh-CN" w:bidi="ar-SA"/>
              </w:rPr>
              <w:t>3</w:t>
            </w:r>
            <w:r>
              <w:rPr>
                <w:rFonts w:hint="eastAsia" w:ascii="Times New Roman" w:hAnsi="Times New Roman" w:eastAsia="宋体" w:cs="Times New Roman"/>
                <w:bCs/>
                <w:color w:val="auto"/>
                <w:kern w:val="2"/>
                <w:sz w:val="21"/>
                <w:szCs w:val="21"/>
                <w:highlight w:val="none"/>
                <w:lang w:val="en-US" w:eastAsia="zh-CN" w:bidi="ar-SA"/>
              </w:rPr>
              <w:t>/d</w:t>
            </w:r>
            <w:r>
              <w:rPr>
                <w:rFonts w:hint="eastAsia" w:cs="Times New Roman"/>
                <w:bCs/>
                <w:color w:val="auto"/>
                <w:kern w:val="2"/>
                <w:sz w:val="21"/>
                <w:szCs w:val="21"/>
                <w:highlight w:val="none"/>
                <w:lang w:val="en-US" w:eastAsia="zh-CN" w:bidi="ar-SA"/>
              </w:rPr>
              <w:t>（2.</w:t>
            </w:r>
            <w:r>
              <w:rPr>
                <w:rFonts w:hint="eastAsia" w:cs="Times New Roman"/>
                <w:bCs/>
                <w:color w:val="auto"/>
                <w:sz w:val="21"/>
                <w:szCs w:val="21"/>
                <w:highlight w:val="none"/>
                <w:lang w:val="en-US" w:eastAsia="zh-CN"/>
              </w:rPr>
              <w:t>5</w:t>
            </w:r>
            <w:r>
              <w:rPr>
                <w:rFonts w:hint="eastAsia" w:ascii="Times New Roman" w:hAnsi="Times New Roman" w:eastAsia="宋体" w:cs="Times New Roman"/>
                <w:bCs/>
                <w:color w:val="auto"/>
                <w:sz w:val="21"/>
                <w:szCs w:val="21"/>
                <w:highlight w:val="none"/>
                <w:lang w:val="en-US" w:eastAsia="zh-CN"/>
              </w:rPr>
              <w:t>m</w:t>
            </w:r>
            <w:r>
              <w:rPr>
                <w:rFonts w:hint="eastAsia" w:cs="Times New Roman"/>
                <w:bCs/>
                <w:color w:val="auto"/>
                <w:sz w:val="21"/>
                <w:szCs w:val="21"/>
                <w:highlight w:val="none"/>
                <w:vertAlign w:val="superscript"/>
                <w:lang w:val="en-US" w:eastAsia="zh-CN"/>
              </w:rPr>
              <w:t>3</w:t>
            </w:r>
            <w:r>
              <w:rPr>
                <w:rFonts w:hint="eastAsia" w:ascii="Times New Roman" w:hAnsi="Times New Roman" w:eastAsia="宋体" w:cs="Times New Roman"/>
                <w:bCs/>
                <w:color w:val="auto"/>
                <w:sz w:val="21"/>
                <w:szCs w:val="21"/>
                <w:highlight w:val="none"/>
                <w:lang w:val="en-US" w:eastAsia="zh-CN"/>
              </w:rPr>
              <w:t>/a</w:t>
            </w:r>
            <w:r>
              <w:rPr>
                <w:rFonts w:hint="eastAsia" w:cs="Times New Roman"/>
                <w:bCs/>
                <w:color w:val="auto"/>
                <w:kern w:val="2"/>
                <w:sz w:val="21"/>
                <w:szCs w:val="21"/>
                <w:highlight w:val="none"/>
                <w:lang w:val="en-US" w:eastAsia="zh-CN" w:bidi="ar-SA"/>
              </w:rPr>
              <w:t>）</w:t>
            </w:r>
            <w:r>
              <w:rPr>
                <w:rFonts w:hint="eastAsia" w:ascii="Times New Roman" w:hAnsi="Times New Roman" w:eastAsia="宋体" w:cs="Times New Roman"/>
                <w:bCs/>
                <w:color w:val="auto"/>
                <w:kern w:val="2"/>
                <w:sz w:val="21"/>
                <w:szCs w:val="21"/>
                <w:highlight w:val="none"/>
                <w:lang w:val="en-US" w:eastAsia="zh-CN" w:bidi="ar-SA"/>
              </w:rPr>
              <w:t>；</w:t>
            </w:r>
          </w:p>
          <w:p w14:paraId="3DD264A0">
            <w:pPr>
              <w:pStyle w:val="63"/>
              <w:snapToGrid w:val="0"/>
              <w:spacing w:line="360" w:lineRule="auto"/>
              <w:ind w:firstLine="420" w:firstLineChars="200"/>
              <w:jc w:val="both"/>
              <w:rPr>
                <w:rFonts w:hint="eastAsia"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②</w:t>
            </w:r>
            <w:r>
              <w:rPr>
                <w:rFonts w:hint="eastAsia" w:ascii="Times New Roman" w:hAnsi="Times New Roman" w:eastAsia="宋体" w:cs="Times New Roman"/>
                <w:bCs/>
                <w:color w:val="auto"/>
                <w:kern w:val="2"/>
                <w:sz w:val="21"/>
                <w:szCs w:val="21"/>
                <w:highlight w:val="none"/>
                <w:lang w:val="en-US" w:eastAsia="zh-CN" w:bidi="ar-SA"/>
              </w:rPr>
              <w:t>实验室设备用水</w:t>
            </w:r>
          </w:p>
          <w:p w14:paraId="279D0105">
            <w:pPr>
              <w:pStyle w:val="63"/>
              <w:snapToGrid w:val="0"/>
              <w:spacing w:line="360" w:lineRule="auto"/>
              <w:ind w:firstLine="420" w:firstLineChars="200"/>
              <w:jc w:val="both"/>
              <w:rPr>
                <w:rFonts w:hint="eastAsia"/>
                <w:color w:val="auto"/>
                <w:sz w:val="21"/>
                <w:szCs w:val="21"/>
                <w:highlight w:val="none"/>
                <w:lang w:val="zh-CN"/>
              </w:rPr>
            </w:pPr>
            <w:r>
              <w:rPr>
                <w:rFonts w:hint="eastAsia" w:ascii="Times New Roman" w:hAnsi="Times New Roman" w:eastAsia="宋体" w:cs="Times New Roman"/>
                <w:bCs/>
                <w:color w:val="auto"/>
                <w:kern w:val="2"/>
                <w:sz w:val="21"/>
                <w:szCs w:val="21"/>
                <w:highlight w:val="none"/>
                <w:lang w:val="zh-CN" w:eastAsia="zh-CN" w:bidi="ar-SA"/>
              </w:rPr>
              <w:t>根据建设单位提供资料，</w:t>
            </w:r>
            <w:r>
              <w:rPr>
                <w:rFonts w:hint="eastAsia" w:ascii="Times New Roman" w:hAnsi="Times New Roman" w:eastAsia="宋体" w:cs="Times New Roman"/>
                <w:bCs/>
                <w:color w:val="auto"/>
                <w:kern w:val="2"/>
                <w:sz w:val="21"/>
                <w:szCs w:val="21"/>
                <w:highlight w:val="none"/>
                <w:lang w:val="en-US" w:eastAsia="zh-CN" w:bidi="ar-SA"/>
              </w:rPr>
              <w:t>水浴锅、蒸馏仪</w:t>
            </w:r>
            <w:r>
              <w:rPr>
                <w:rFonts w:hint="eastAsia" w:ascii="Times New Roman" w:hAnsi="Times New Roman" w:eastAsia="宋体" w:cs="Times New Roman"/>
                <w:bCs/>
                <w:color w:val="auto"/>
                <w:kern w:val="2"/>
                <w:sz w:val="21"/>
                <w:szCs w:val="21"/>
                <w:highlight w:val="none"/>
                <w:lang w:val="zh-CN" w:eastAsia="zh-CN" w:bidi="ar-SA"/>
              </w:rPr>
              <w:t>用水循环使用不外排，</w:t>
            </w:r>
            <w:r>
              <w:rPr>
                <w:rFonts w:hint="eastAsia" w:ascii="Times New Roman" w:hAnsi="Times New Roman" w:eastAsia="宋体" w:cs="Times New Roman"/>
                <w:bCs/>
                <w:color w:val="auto"/>
                <w:kern w:val="2"/>
                <w:sz w:val="21"/>
                <w:szCs w:val="21"/>
                <w:highlight w:val="none"/>
                <w:lang w:val="en-US" w:eastAsia="zh-CN" w:bidi="ar-SA"/>
              </w:rPr>
              <w:t>设备用水均使用纯水，</w:t>
            </w:r>
            <w:r>
              <w:rPr>
                <w:rFonts w:hint="eastAsia" w:ascii="Times New Roman" w:hAnsi="Times New Roman" w:eastAsia="宋体" w:cs="Times New Roman"/>
                <w:bCs/>
                <w:color w:val="auto"/>
                <w:kern w:val="2"/>
                <w:sz w:val="21"/>
                <w:szCs w:val="21"/>
                <w:highlight w:val="none"/>
                <w:lang w:val="zh-CN" w:eastAsia="zh-CN" w:bidi="ar-SA"/>
              </w:rPr>
              <w:t>每</w:t>
            </w:r>
            <w:r>
              <w:rPr>
                <w:rFonts w:hint="eastAsia" w:ascii="Times New Roman" w:hAnsi="Times New Roman" w:cs="Times New Roman"/>
                <w:bCs/>
                <w:color w:val="auto"/>
                <w:kern w:val="2"/>
                <w:sz w:val="21"/>
                <w:szCs w:val="21"/>
                <w:highlight w:val="none"/>
                <w:lang w:val="en-US" w:eastAsia="zh-CN" w:bidi="ar-SA"/>
              </w:rPr>
              <w:t>天</w:t>
            </w:r>
            <w:r>
              <w:rPr>
                <w:rFonts w:hint="eastAsia" w:ascii="Times New Roman" w:hAnsi="Times New Roman" w:eastAsia="宋体" w:cs="Times New Roman"/>
                <w:bCs/>
                <w:color w:val="auto"/>
                <w:kern w:val="2"/>
                <w:sz w:val="21"/>
                <w:szCs w:val="21"/>
                <w:highlight w:val="none"/>
                <w:lang w:val="zh-CN" w:eastAsia="zh-CN" w:bidi="ar-SA"/>
              </w:rPr>
              <w:t>进行1次补水，</w:t>
            </w:r>
            <w:r>
              <w:rPr>
                <w:rFonts w:hint="eastAsia"/>
                <w:color w:val="auto"/>
                <w:sz w:val="21"/>
                <w:szCs w:val="21"/>
                <w:highlight w:val="none"/>
              </w:rPr>
              <w:t>第一次加水量为0.0</w:t>
            </w:r>
            <w:r>
              <w:rPr>
                <w:rFonts w:hint="eastAsia"/>
                <w:color w:val="auto"/>
                <w:sz w:val="21"/>
                <w:szCs w:val="21"/>
                <w:highlight w:val="none"/>
                <w:lang w:val="en-US" w:eastAsia="zh-CN"/>
              </w:rPr>
              <w:t>0</w:t>
            </w:r>
            <w:r>
              <w:rPr>
                <w:rFonts w:hint="eastAsia"/>
                <w:color w:val="auto"/>
                <w:sz w:val="21"/>
                <w:szCs w:val="21"/>
                <w:highlight w:val="none"/>
              </w:rPr>
              <w:t>5</w:t>
            </w:r>
            <w:r>
              <w:rPr>
                <w:rFonts w:hint="eastAsia"/>
                <w:color w:val="auto"/>
                <w:sz w:val="21"/>
                <w:szCs w:val="21"/>
                <w:highlight w:val="none"/>
                <w:lang w:val="zh-CN"/>
              </w:rPr>
              <w:t>m</w:t>
            </w:r>
            <w:r>
              <w:rPr>
                <w:rFonts w:hint="eastAsia"/>
                <w:color w:val="auto"/>
                <w:sz w:val="21"/>
                <w:szCs w:val="21"/>
                <w:highlight w:val="none"/>
                <w:vertAlign w:val="superscript"/>
                <w:lang w:val="zh-CN"/>
              </w:rPr>
              <w:t>3</w:t>
            </w:r>
            <w:r>
              <w:rPr>
                <w:rFonts w:hint="eastAsia"/>
                <w:color w:val="auto"/>
                <w:sz w:val="21"/>
                <w:szCs w:val="21"/>
                <w:highlight w:val="none"/>
              </w:rPr>
              <w:t>，</w:t>
            </w:r>
            <w:r>
              <w:rPr>
                <w:rFonts w:hint="eastAsia"/>
                <w:color w:val="auto"/>
                <w:sz w:val="21"/>
                <w:szCs w:val="21"/>
                <w:highlight w:val="none"/>
                <w:lang w:val="zh-CN"/>
              </w:rPr>
              <w:t>每次补水量约0.00</w:t>
            </w:r>
            <w:r>
              <w:rPr>
                <w:rFonts w:hint="eastAsia"/>
                <w:color w:val="auto"/>
                <w:sz w:val="21"/>
                <w:szCs w:val="21"/>
                <w:highlight w:val="none"/>
                <w:lang w:val="en-US" w:eastAsia="zh-CN"/>
              </w:rPr>
              <w:t>25</w:t>
            </w:r>
            <w:r>
              <w:rPr>
                <w:rFonts w:hint="eastAsia"/>
                <w:color w:val="auto"/>
                <w:sz w:val="21"/>
                <w:szCs w:val="21"/>
                <w:highlight w:val="none"/>
                <w:lang w:val="zh-CN"/>
              </w:rPr>
              <w:t>m</w:t>
            </w:r>
            <w:r>
              <w:rPr>
                <w:rFonts w:hint="eastAsia"/>
                <w:color w:val="auto"/>
                <w:sz w:val="21"/>
                <w:szCs w:val="21"/>
                <w:highlight w:val="none"/>
                <w:vertAlign w:val="superscript"/>
                <w:lang w:val="zh-CN"/>
              </w:rPr>
              <w:t>3</w:t>
            </w:r>
            <w:r>
              <w:rPr>
                <w:rFonts w:hint="eastAsia"/>
                <w:color w:val="auto"/>
                <w:sz w:val="21"/>
                <w:szCs w:val="21"/>
                <w:highlight w:val="none"/>
                <w:lang w:val="zh-CN"/>
              </w:rPr>
              <w:t>，则</w:t>
            </w:r>
            <w:r>
              <w:rPr>
                <w:rFonts w:hint="eastAsia" w:ascii="Times New Roman" w:hAnsi="Times New Roman" w:eastAsia="宋体" w:cs="Times New Roman"/>
                <w:bCs/>
                <w:color w:val="auto"/>
                <w:kern w:val="2"/>
                <w:sz w:val="21"/>
                <w:szCs w:val="21"/>
                <w:highlight w:val="none"/>
                <w:lang w:val="en-US" w:eastAsia="zh-CN" w:bidi="ar-SA"/>
              </w:rPr>
              <w:t>水浴锅、</w:t>
            </w:r>
            <w:r>
              <w:rPr>
                <w:rFonts w:hint="eastAsia" w:eastAsia="宋体" w:cs="Times New Roman"/>
                <w:color w:val="auto"/>
                <w:kern w:val="28"/>
                <w:sz w:val="21"/>
                <w:szCs w:val="21"/>
                <w:highlight w:val="none"/>
                <w:lang w:val="en-US" w:eastAsia="zh-CN"/>
              </w:rPr>
              <w:t>蒸馏仪</w:t>
            </w:r>
            <w:r>
              <w:rPr>
                <w:rFonts w:hint="eastAsia"/>
                <w:color w:val="auto"/>
                <w:sz w:val="21"/>
                <w:szCs w:val="21"/>
                <w:highlight w:val="none"/>
                <w:lang w:val="zh-CN"/>
              </w:rPr>
              <w:t>补充水量为0.00</w:t>
            </w:r>
            <w:r>
              <w:rPr>
                <w:rFonts w:hint="eastAsia"/>
                <w:color w:val="auto"/>
                <w:sz w:val="21"/>
                <w:szCs w:val="21"/>
                <w:highlight w:val="none"/>
                <w:lang w:val="en-US" w:eastAsia="zh-CN"/>
              </w:rPr>
              <w:t>25</w:t>
            </w:r>
            <w:r>
              <w:rPr>
                <w:rFonts w:hint="eastAsia"/>
                <w:color w:val="auto"/>
                <w:sz w:val="21"/>
                <w:szCs w:val="21"/>
                <w:highlight w:val="none"/>
                <w:lang w:val="zh-CN"/>
              </w:rPr>
              <w:t>m</w:t>
            </w:r>
            <w:r>
              <w:rPr>
                <w:rFonts w:hint="eastAsia"/>
                <w:color w:val="auto"/>
                <w:sz w:val="21"/>
                <w:szCs w:val="21"/>
                <w:highlight w:val="none"/>
                <w:vertAlign w:val="superscript"/>
                <w:lang w:val="zh-CN"/>
              </w:rPr>
              <w:t>3</w:t>
            </w:r>
            <w:r>
              <w:rPr>
                <w:rFonts w:hint="eastAsia"/>
                <w:color w:val="auto"/>
                <w:sz w:val="21"/>
                <w:szCs w:val="21"/>
                <w:highlight w:val="none"/>
                <w:lang w:val="zh-CN"/>
              </w:rPr>
              <w:t>/d（</w:t>
            </w:r>
            <w:r>
              <w:rPr>
                <w:rFonts w:hint="eastAsia"/>
                <w:color w:val="auto"/>
                <w:sz w:val="21"/>
                <w:szCs w:val="21"/>
                <w:highlight w:val="none"/>
              </w:rPr>
              <w:t>0.</w:t>
            </w:r>
            <w:r>
              <w:rPr>
                <w:rFonts w:hint="eastAsia"/>
                <w:color w:val="auto"/>
                <w:sz w:val="21"/>
                <w:szCs w:val="21"/>
                <w:highlight w:val="none"/>
                <w:lang w:val="en-US" w:eastAsia="zh-CN"/>
              </w:rPr>
              <w:t>625</w:t>
            </w:r>
            <w:r>
              <w:rPr>
                <w:rFonts w:hint="eastAsia"/>
                <w:color w:val="auto"/>
                <w:sz w:val="21"/>
                <w:szCs w:val="21"/>
                <w:highlight w:val="none"/>
                <w:lang w:val="zh-CN"/>
              </w:rPr>
              <w:t>m</w:t>
            </w:r>
            <w:r>
              <w:rPr>
                <w:rFonts w:hint="eastAsia"/>
                <w:color w:val="auto"/>
                <w:sz w:val="21"/>
                <w:szCs w:val="21"/>
                <w:highlight w:val="none"/>
                <w:vertAlign w:val="superscript"/>
                <w:lang w:val="zh-CN"/>
              </w:rPr>
              <w:t>3</w:t>
            </w:r>
            <w:r>
              <w:rPr>
                <w:rFonts w:hint="eastAsia"/>
                <w:color w:val="auto"/>
                <w:sz w:val="21"/>
                <w:szCs w:val="21"/>
                <w:highlight w:val="none"/>
                <w:lang w:val="zh-CN"/>
              </w:rPr>
              <w:t>/a），</w:t>
            </w:r>
            <w:r>
              <w:rPr>
                <w:rFonts w:hint="eastAsia"/>
                <w:color w:val="auto"/>
                <w:sz w:val="21"/>
                <w:szCs w:val="21"/>
                <w:highlight w:val="none"/>
                <w:lang w:val="en-US" w:eastAsia="zh-CN"/>
              </w:rPr>
              <w:t>综上年用水量为0.63</w:t>
            </w:r>
            <w:r>
              <w:rPr>
                <w:rFonts w:hint="eastAsia"/>
                <w:color w:val="auto"/>
                <w:sz w:val="21"/>
                <w:szCs w:val="21"/>
                <w:highlight w:val="none"/>
                <w:lang w:val="zh-CN"/>
              </w:rPr>
              <w:t>m</w:t>
            </w:r>
            <w:r>
              <w:rPr>
                <w:rFonts w:hint="eastAsia"/>
                <w:color w:val="auto"/>
                <w:sz w:val="21"/>
                <w:szCs w:val="21"/>
                <w:highlight w:val="none"/>
                <w:vertAlign w:val="superscript"/>
                <w:lang w:val="zh-CN"/>
              </w:rPr>
              <w:t>3</w:t>
            </w:r>
            <w:r>
              <w:rPr>
                <w:rFonts w:hint="eastAsia"/>
                <w:color w:val="auto"/>
                <w:sz w:val="21"/>
                <w:szCs w:val="21"/>
                <w:highlight w:val="none"/>
                <w:lang w:val="zh-CN"/>
              </w:rPr>
              <w:t>/a（</w:t>
            </w:r>
            <w:r>
              <w:rPr>
                <w:rFonts w:hint="eastAsia"/>
                <w:color w:val="auto"/>
                <w:sz w:val="21"/>
                <w:szCs w:val="21"/>
                <w:highlight w:val="none"/>
                <w:lang w:val="en-US" w:eastAsia="zh-CN"/>
              </w:rPr>
              <w:t>平均至每天0.00252</w:t>
            </w:r>
            <w:r>
              <w:rPr>
                <w:rFonts w:hint="eastAsia"/>
                <w:color w:val="auto"/>
                <w:sz w:val="21"/>
                <w:szCs w:val="21"/>
                <w:highlight w:val="none"/>
                <w:lang w:val="zh-CN"/>
              </w:rPr>
              <w:t>m</w:t>
            </w:r>
            <w:r>
              <w:rPr>
                <w:rFonts w:hint="eastAsia"/>
                <w:color w:val="auto"/>
                <w:sz w:val="21"/>
                <w:szCs w:val="21"/>
                <w:highlight w:val="none"/>
                <w:vertAlign w:val="superscript"/>
                <w:lang w:val="zh-CN"/>
              </w:rPr>
              <w:t>3</w:t>
            </w:r>
            <w:r>
              <w:rPr>
                <w:rFonts w:hint="eastAsia"/>
                <w:color w:val="auto"/>
                <w:sz w:val="21"/>
                <w:szCs w:val="21"/>
                <w:highlight w:val="none"/>
                <w:lang w:val="zh-CN"/>
              </w:rPr>
              <w:t>）。</w:t>
            </w:r>
          </w:p>
          <w:p w14:paraId="2C8587F6">
            <w:pPr>
              <w:pStyle w:val="63"/>
              <w:snapToGrid w:val="0"/>
              <w:spacing w:line="360" w:lineRule="auto"/>
              <w:ind w:firstLine="420" w:firstLineChars="200"/>
              <w:jc w:val="both"/>
              <w:rPr>
                <w:rFonts w:hint="eastAsia" w:ascii="Times New Roman" w:hAnsi="Times New Roman" w:eastAsia="宋体" w:cs="Times New Roman"/>
                <w:bCs/>
                <w:color w:val="auto"/>
                <w:kern w:val="2"/>
                <w:sz w:val="21"/>
                <w:szCs w:val="21"/>
                <w:highlight w:val="none"/>
                <w:lang w:val="en-US" w:eastAsia="zh-CN" w:bidi="ar-SA"/>
              </w:rPr>
            </w:pPr>
            <w:r>
              <w:rPr>
                <w:rFonts w:hint="eastAsia" w:cs="Times New Roman"/>
                <w:bCs/>
                <w:color w:val="auto"/>
                <w:kern w:val="2"/>
                <w:sz w:val="21"/>
                <w:szCs w:val="21"/>
                <w:highlight w:val="none"/>
                <w:lang w:val="en-US" w:eastAsia="zh-CN" w:bidi="ar-SA"/>
              </w:rPr>
              <w:t>③</w:t>
            </w:r>
            <w:r>
              <w:rPr>
                <w:rFonts w:hint="eastAsia" w:ascii="Times New Roman" w:hAnsi="Times New Roman" w:eastAsia="宋体" w:cs="Times New Roman"/>
                <w:bCs/>
                <w:color w:val="auto"/>
                <w:kern w:val="2"/>
                <w:sz w:val="21"/>
                <w:szCs w:val="21"/>
                <w:highlight w:val="none"/>
                <w:lang w:val="en-US" w:eastAsia="zh-CN" w:bidi="ar-SA"/>
              </w:rPr>
              <w:t>实验器材清洁用水</w:t>
            </w:r>
          </w:p>
          <w:p w14:paraId="767F12CF">
            <w:pPr>
              <w:ind w:firstLine="420" w:firstLineChars="200"/>
              <w:jc w:val="both"/>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zh-CN" w:eastAsia="zh-CN"/>
              </w:rPr>
              <w:t>检测实验完成后，</w:t>
            </w:r>
            <w:r>
              <w:rPr>
                <w:rFonts w:hint="eastAsia" w:ascii="Times New Roman" w:hAnsi="Times New Roman" w:eastAsia="宋体" w:cs="Times New Roman"/>
                <w:bCs/>
                <w:color w:val="auto"/>
                <w:sz w:val="21"/>
                <w:szCs w:val="21"/>
                <w:highlight w:val="none"/>
                <w:lang w:val="en-US" w:eastAsia="zh-CN"/>
              </w:rPr>
              <w:t>需</w:t>
            </w:r>
            <w:r>
              <w:rPr>
                <w:rFonts w:hint="eastAsia" w:ascii="Times New Roman" w:hAnsi="Times New Roman" w:eastAsia="宋体" w:cs="Times New Roman"/>
                <w:bCs/>
                <w:color w:val="auto"/>
                <w:sz w:val="21"/>
                <w:szCs w:val="21"/>
                <w:highlight w:val="none"/>
                <w:lang w:val="zh-CN" w:eastAsia="zh-CN"/>
              </w:rPr>
              <w:t>清洗实验器皿，</w:t>
            </w:r>
            <w:r>
              <w:rPr>
                <w:rFonts w:hint="eastAsia" w:cs="Times New Roman"/>
                <w:bCs/>
                <w:color w:val="auto"/>
                <w:sz w:val="21"/>
                <w:szCs w:val="21"/>
                <w:highlight w:val="none"/>
                <w:lang w:val="en-US" w:eastAsia="zh-CN"/>
              </w:rPr>
              <w:t>自来水清洗两次，纯水清洗一次</w:t>
            </w:r>
            <w:r>
              <w:rPr>
                <w:rFonts w:hint="default" w:ascii="Times New Roman" w:hAnsi="Times New Roman" w:eastAsia="宋体" w:cs="Times New Roman"/>
                <w:b w:val="0"/>
                <w:bCs w:val="0"/>
                <w:color w:val="auto"/>
                <w:sz w:val="24"/>
                <w:szCs w:val="24"/>
                <w:highlight w:val="none"/>
              </w:rPr>
              <w:t>，</w:t>
            </w:r>
            <w:r>
              <w:rPr>
                <w:rFonts w:hint="default" w:ascii="Times New Roman" w:hAnsi="Times New Roman" w:eastAsia="宋体" w:cs="Times New Roman"/>
                <w:bCs/>
                <w:color w:val="auto"/>
                <w:sz w:val="21"/>
                <w:szCs w:val="21"/>
                <w:highlight w:val="none"/>
                <w:lang w:val="zh-CN" w:eastAsia="zh-CN"/>
              </w:rPr>
              <w:t>清洗过程中不需添加试剂</w:t>
            </w:r>
            <w:r>
              <w:rPr>
                <w:rFonts w:hint="eastAsia" w:cs="Times New Roman"/>
                <w:bCs/>
                <w:color w:val="auto"/>
                <w:sz w:val="21"/>
                <w:szCs w:val="21"/>
                <w:highlight w:val="none"/>
                <w:lang w:val="en-US" w:eastAsia="zh-CN"/>
              </w:rPr>
              <w:t>或其他清洗剂</w:t>
            </w:r>
            <w:r>
              <w:rPr>
                <w:rFonts w:hint="eastAsia" w:ascii="Times New Roman" w:hAnsi="Times New Roman" w:eastAsia="宋体" w:cs="Times New Roman"/>
                <w:bCs/>
                <w:color w:val="auto"/>
                <w:sz w:val="21"/>
                <w:szCs w:val="21"/>
                <w:highlight w:val="none"/>
                <w:lang w:val="zh-CN" w:eastAsia="zh-CN"/>
              </w:rPr>
              <w:t>，</w:t>
            </w:r>
            <w:r>
              <w:rPr>
                <w:rFonts w:hint="eastAsia" w:cs="Times New Roman"/>
                <w:bCs/>
                <w:color w:val="auto"/>
                <w:sz w:val="21"/>
                <w:szCs w:val="21"/>
                <w:highlight w:val="none"/>
                <w:lang w:val="en-US" w:eastAsia="zh-CN"/>
              </w:rPr>
              <w:t>根据建设单位估算，</w:t>
            </w:r>
            <w:r>
              <w:rPr>
                <w:rFonts w:hint="eastAsia" w:ascii="Times New Roman" w:hAnsi="Times New Roman" w:eastAsia="宋体" w:cs="Times New Roman"/>
                <w:bCs/>
                <w:color w:val="auto"/>
                <w:sz w:val="21"/>
                <w:szCs w:val="21"/>
                <w:highlight w:val="none"/>
                <w:lang w:val="zh-CN" w:eastAsia="zh-CN"/>
              </w:rPr>
              <w:t>第1次、第2次、第3次清洗用水量约为80ml/次、</w:t>
            </w:r>
            <w:r>
              <w:rPr>
                <w:rFonts w:hint="eastAsia" w:cs="Times New Roman"/>
                <w:bCs/>
                <w:color w:val="auto"/>
                <w:sz w:val="21"/>
                <w:szCs w:val="21"/>
                <w:highlight w:val="none"/>
                <w:lang w:val="en-US" w:eastAsia="zh-CN"/>
              </w:rPr>
              <w:t>7</w:t>
            </w:r>
            <w:r>
              <w:rPr>
                <w:rFonts w:hint="eastAsia" w:ascii="Times New Roman" w:hAnsi="Times New Roman" w:eastAsia="宋体" w:cs="Times New Roman"/>
                <w:bCs/>
                <w:color w:val="auto"/>
                <w:sz w:val="21"/>
                <w:szCs w:val="21"/>
                <w:highlight w:val="none"/>
                <w:lang w:val="zh-CN" w:eastAsia="zh-CN"/>
              </w:rPr>
              <w:t>0</w:t>
            </w:r>
            <w:r>
              <w:rPr>
                <w:rFonts w:hint="eastAsia" w:cs="Times New Roman"/>
                <w:bCs/>
                <w:color w:val="auto"/>
                <w:sz w:val="21"/>
                <w:szCs w:val="21"/>
                <w:highlight w:val="none"/>
                <w:lang w:val="en-US" w:eastAsia="zh-CN"/>
              </w:rPr>
              <w:t>0</w:t>
            </w:r>
            <w:r>
              <w:rPr>
                <w:rFonts w:hint="eastAsia" w:ascii="Times New Roman" w:hAnsi="Times New Roman" w:eastAsia="宋体" w:cs="Times New Roman"/>
                <w:bCs/>
                <w:color w:val="auto"/>
                <w:sz w:val="21"/>
                <w:szCs w:val="21"/>
                <w:highlight w:val="none"/>
                <w:lang w:val="zh-CN" w:eastAsia="zh-CN"/>
              </w:rPr>
              <w:t>ml/次和</w:t>
            </w:r>
            <w:r>
              <w:rPr>
                <w:rFonts w:hint="eastAsia" w:cs="Times New Roman"/>
                <w:bCs/>
                <w:color w:val="auto"/>
                <w:sz w:val="21"/>
                <w:szCs w:val="21"/>
                <w:highlight w:val="none"/>
                <w:lang w:val="en-US" w:eastAsia="zh-CN"/>
              </w:rPr>
              <w:t>1500</w:t>
            </w:r>
            <w:r>
              <w:rPr>
                <w:rFonts w:hint="eastAsia" w:ascii="Times New Roman" w:hAnsi="Times New Roman" w:eastAsia="宋体" w:cs="Times New Roman"/>
                <w:bCs/>
                <w:color w:val="auto"/>
                <w:sz w:val="21"/>
                <w:szCs w:val="21"/>
                <w:highlight w:val="none"/>
                <w:lang w:val="zh-CN" w:eastAsia="zh-CN"/>
              </w:rPr>
              <w:t>ml/次，根据建设单位提供资料，</w:t>
            </w:r>
            <w:r>
              <w:rPr>
                <w:rFonts w:hint="eastAsia" w:ascii="Times New Roman" w:hAnsi="Times New Roman" w:eastAsia="宋体" w:cs="Times New Roman"/>
                <w:bCs/>
                <w:color w:val="auto"/>
                <w:sz w:val="21"/>
                <w:szCs w:val="21"/>
                <w:highlight w:val="none"/>
                <w:lang w:val="en-US" w:eastAsia="zh-CN"/>
              </w:rPr>
              <w:t>每天使用化学试剂实验量为</w:t>
            </w:r>
            <w:r>
              <w:rPr>
                <w:rFonts w:hint="eastAsia" w:cs="Times New Roman"/>
                <w:bCs/>
                <w:color w:val="auto"/>
                <w:sz w:val="21"/>
                <w:szCs w:val="21"/>
                <w:highlight w:val="none"/>
                <w:lang w:val="en-US" w:eastAsia="zh-CN"/>
              </w:rPr>
              <w:t>10</w:t>
            </w:r>
            <w:r>
              <w:rPr>
                <w:rFonts w:hint="eastAsia" w:ascii="Times New Roman" w:hAnsi="Times New Roman" w:eastAsia="宋体" w:cs="Times New Roman"/>
                <w:bCs/>
                <w:color w:val="auto"/>
                <w:sz w:val="21"/>
                <w:szCs w:val="21"/>
                <w:highlight w:val="none"/>
                <w:lang w:val="en-US" w:eastAsia="zh-CN"/>
              </w:rPr>
              <w:t>次/d，则3次清洗用水量分别为0.00</w:t>
            </w:r>
            <w:r>
              <w:rPr>
                <w:rFonts w:hint="eastAsia" w:cs="Times New Roman"/>
                <w:bCs/>
                <w:color w:val="auto"/>
                <w:sz w:val="21"/>
                <w:szCs w:val="21"/>
                <w:highlight w:val="none"/>
                <w:lang w:val="en-US" w:eastAsia="zh-CN"/>
              </w:rPr>
              <w:t>08</w:t>
            </w:r>
            <w:r>
              <w:rPr>
                <w:rFonts w:hint="eastAsia" w:ascii="Times New Roman" w:hAnsi="Times New Roman" w:eastAsia="宋体" w:cs="Times New Roman"/>
                <w:bCs/>
                <w:color w:val="auto"/>
                <w:sz w:val="21"/>
                <w:szCs w:val="21"/>
                <w:highlight w:val="none"/>
                <w:lang w:val="en-US" w:eastAsia="zh-CN"/>
              </w:rPr>
              <w:t>m</w:t>
            </w:r>
            <w:r>
              <w:rPr>
                <w:rFonts w:hint="eastAsia" w:ascii="Times New Roman" w:hAnsi="Times New Roman" w:eastAsia="宋体" w:cs="Times New Roman"/>
                <w:bCs/>
                <w:color w:val="auto"/>
                <w:sz w:val="21"/>
                <w:szCs w:val="21"/>
                <w:highlight w:val="none"/>
                <w:vertAlign w:val="superscript"/>
                <w:lang w:val="en-US" w:eastAsia="zh-CN"/>
              </w:rPr>
              <w:t>3</w:t>
            </w:r>
            <w:r>
              <w:rPr>
                <w:rFonts w:hint="eastAsia" w:ascii="Times New Roman" w:hAnsi="Times New Roman" w:eastAsia="宋体" w:cs="Times New Roman"/>
                <w:bCs/>
                <w:color w:val="auto"/>
                <w:sz w:val="21"/>
                <w:szCs w:val="21"/>
                <w:highlight w:val="none"/>
                <w:lang w:val="en-US" w:eastAsia="zh-CN"/>
              </w:rPr>
              <w:t>/d（</w:t>
            </w:r>
            <w:r>
              <w:rPr>
                <w:rFonts w:hint="eastAsia" w:cs="Times New Roman"/>
                <w:bCs/>
                <w:color w:val="auto"/>
                <w:sz w:val="21"/>
                <w:szCs w:val="21"/>
                <w:highlight w:val="none"/>
                <w:lang w:val="en-US" w:eastAsia="zh-CN"/>
              </w:rPr>
              <w:t>0.2</w:t>
            </w:r>
            <w:r>
              <w:rPr>
                <w:rFonts w:hint="eastAsia" w:ascii="Times New Roman" w:hAnsi="Times New Roman" w:eastAsia="宋体" w:cs="Times New Roman"/>
                <w:bCs/>
                <w:color w:val="auto"/>
                <w:sz w:val="21"/>
                <w:szCs w:val="21"/>
                <w:highlight w:val="none"/>
                <w:lang w:val="en-US" w:eastAsia="zh-CN"/>
              </w:rPr>
              <w:t>m</w:t>
            </w:r>
            <w:r>
              <w:rPr>
                <w:rFonts w:hint="eastAsia" w:ascii="Times New Roman" w:hAnsi="Times New Roman" w:eastAsia="宋体" w:cs="Times New Roman"/>
                <w:bCs/>
                <w:color w:val="auto"/>
                <w:sz w:val="21"/>
                <w:szCs w:val="21"/>
                <w:highlight w:val="none"/>
                <w:vertAlign w:val="superscript"/>
                <w:lang w:val="en-US" w:eastAsia="zh-CN"/>
              </w:rPr>
              <w:t>3</w:t>
            </w:r>
            <w:r>
              <w:rPr>
                <w:rFonts w:hint="eastAsia" w:ascii="Times New Roman" w:hAnsi="Times New Roman" w:eastAsia="宋体" w:cs="Times New Roman"/>
                <w:bCs/>
                <w:color w:val="auto"/>
                <w:sz w:val="21"/>
                <w:szCs w:val="21"/>
                <w:highlight w:val="none"/>
                <w:lang w:val="en-US" w:eastAsia="zh-CN"/>
              </w:rPr>
              <w:t>/a）、0.0</w:t>
            </w:r>
            <w:r>
              <w:rPr>
                <w:rFonts w:hint="eastAsia" w:cs="Times New Roman"/>
                <w:bCs/>
                <w:color w:val="auto"/>
                <w:sz w:val="21"/>
                <w:szCs w:val="21"/>
                <w:highlight w:val="none"/>
                <w:lang w:val="en-US" w:eastAsia="zh-CN"/>
              </w:rPr>
              <w:t>07</w:t>
            </w:r>
            <w:r>
              <w:rPr>
                <w:rFonts w:hint="eastAsia" w:ascii="Times New Roman" w:hAnsi="Times New Roman" w:eastAsia="宋体" w:cs="Times New Roman"/>
                <w:bCs/>
                <w:color w:val="auto"/>
                <w:sz w:val="21"/>
                <w:szCs w:val="21"/>
                <w:highlight w:val="none"/>
                <w:lang w:val="en-US" w:eastAsia="zh-CN"/>
              </w:rPr>
              <w:t>m</w:t>
            </w:r>
            <w:r>
              <w:rPr>
                <w:rFonts w:hint="eastAsia" w:ascii="Times New Roman" w:hAnsi="Times New Roman" w:eastAsia="宋体" w:cs="Times New Roman"/>
                <w:bCs/>
                <w:color w:val="auto"/>
                <w:sz w:val="21"/>
                <w:szCs w:val="21"/>
                <w:highlight w:val="none"/>
                <w:vertAlign w:val="superscript"/>
                <w:lang w:val="en-US" w:eastAsia="zh-CN"/>
              </w:rPr>
              <w:t>3</w:t>
            </w:r>
            <w:r>
              <w:rPr>
                <w:rFonts w:hint="eastAsia" w:ascii="Times New Roman" w:hAnsi="Times New Roman" w:eastAsia="宋体" w:cs="Times New Roman"/>
                <w:bCs/>
                <w:color w:val="auto"/>
                <w:sz w:val="21"/>
                <w:szCs w:val="21"/>
                <w:highlight w:val="none"/>
                <w:lang w:val="en-US" w:eastAsia="zh-CN"/>
              </w:rPr>
              <w:t>/d（1</w:t>
            </w:r>
            <w:r>
              <w:rPr>
                <w:rFonts w:hint="eastAsia" w:cs="Times New Roman"/>
                <w:bCs/>
                <w:color w:val="auto"/>
                <w:sz w:val="21"/>
                <w:szCs w:val="21"/>
                <w:highlight w:val="none"/>
                <w:lang w:val="en-US" w:eastAsia="zh-CN"/>
              </w:rPr>
              <w:t>.75</w:t>
            </w:r>
            <w:r>
              <w:rPr>
                <w:rFonts w:hint="eastAsia" w:ascii="Times New Roman" w:hAnsi="Times New Roman" w:eastAsia="宋体" w:cs="Times New Roman"/>
                <w:bCs/>
                <w:color w:val="auto"/>
                <w:sz w:val="21"/>
                <w:szCs w:val="21"/>
                <w:highlight w:val="none"/>
                <w:lang w:val="en-US" w:eastAsia="zh-CN"/>
              </w:rPr>
              <w:t>m</w:t>
            </w:r>
            <w:r>
              <w:rPr>
                <w:rFonts w:hint="eastAsia" w:ascii="Times New Roman" w:hAnsi="Times New Roman" w:eastAsia="宋体" w:cs="Times New Roman"/>
                <w:bCs/>
                <w:color w:val="auto"/>
                <w:sz w:val="21"/>
                <w:szCs w:val="21"/>
                <w:highlight w:val="none"/>
                <w:vertAlign w:val="superscript"/>
                <w:lang w:val="en-US" w:eastAsia="zh-CN"/>
              </w:rPr>
              <w:t>3</w:t>
            </w:r>
            <w:r>
              <w:rPr>
                <w:rFonts w:hint="eastAsia" w:ascii="Times New Roman" w:hAnsi="Times New Roman" w:eastAsia="宋体" w:cs="Times New Roman"/>
                <w:bCs/>
                <w:color w:val="auto"/>
                <w:sz w:val="21"/>
                <w:szCs w:val="21"/>
                <w:highlight w:val="none"/>
                <w:lang w:val="en-US" w:eastAsia="zh-CN"/>
              </w:rPr>
              <w:t>/a）、0.</w:t>
            </w:r>
            <w:r>
              <w:rPr>
                <w:rFonts w:hint="eastAsia" w:cs="Times New Roman"/>
                <w:bCs/>
                <w:color w:val="auto"/>
                <w:sz w:val="21"/>
                <w:szCs w:val="21"/>
                <w:highlight w:val="none"/>
                <w:lang w:val="en-US" w:eastAsia="zh-CN"/>
              </w:rPr>
              <w:t>015</w:t>
            </w:r>
            <w:r>
              <w:rPr>
                <w:rFonts w:hint="eastAsia" w:ascii="Times New Roman" w:hAnsi="Times New Roman" w:eastAsia="宋体" w:cs="Times New Roman"/>
                <w:bCs/>
                <w:color w:val="auto"/>
                <w:sz w:val="21"/>
                <w:szCs w:val="21"/>
                <w:highlight w:val="none"/>
                <w:lang w:val="en-US" w:eastAsia="zh-CN"/>
              </w:rPr>
              <w:t>m</w:t>
            </w:r>
            <w:r>
              <w:rPr>
                <w:rFonts w:hint="eastAsia" w:ascii="Times New Roman" w:hAnsi="Times New Roman" w:eastAsia="宋体" w:cs="Times New Roman"/>
                <w:bCs/>
                <w:color w:val="auto"/>
                <w:sz w:val="21"/>
                <w:szCs w:val="21"/>
                <w:highlight w:val="none"/>
                <w:vertAlign w:val="superscript"/>
                <w:lang w:val="en-US" w:eastAsia="zh-CN"/>
              </w:rPr>
              <w:t>3</w:t>
            </w:r>
            <w:r>
              <w:rPr>
                <w:rFonts w:hint="eastAsia" w:ascii="Times New Roman" w:hAnsi="Times New Roman" w:eastAsia="宋体" w:cs="Times New Roman"/>
                <w:bCs/>
                <w:color w:val="auto"/>
                <w:sz w:val="21"/>
                <w:szCs w:val="21"/>
                <w:highlight w:val="none"/>
                <w:lang w:val="en-US" w:eastAsia="zh-CN"/>
              </w:rPr>
              <w:t>/d（</w:t>
            </w:r>
            <w:r>
              <w:rPr>
                <w:rFonts w:hint="eastAsia" w:cs="Times New Roman"/>
                <w:bCs/>
                <w:color w:val="auto"/>
                <w:sz w:val="21"/>
                <w:szCs w:val="21"/>
                <w:highlight w:val="none"/>
                <w:lang w:val="en-US" w:eastAsia="zh-CN"/>
              </w:rPr>
              <w:t>3.75</w:t>
            </w:r>
            <w:r>
              <w:rPr>
                <w:rFonts w:hint="eastAsia" w:ascii="Times New Roman" w:hAnsi="Times New Roman" w:eastAsia="宋体" w:cs="Times New Roman"/>
                <w:bCs/>
                <w:color w:val="auto"/>
                <w:sz w:val="21"/>
                <w:szCs w:val="21"/>
                <w:highlight w:val="none"/>
                <w:lang w:val="en-US" w:eastAsia="zh-CN"/>
              </w:rPr>
              <w:t>m</w:t>
            </w:r>
            <w:r>
              <w:rPr>
                <w:rFonts w:hint="eastAsia" w:ascii="Times New Roman" w:hAnsi="Times New Roman" w:eastAsia="宋体" w:cs="Times New Roman"/>
                <w:bCs/>
                <w:color w:val="auto"/>
                <w:sz w:val="21"/>
                <w:szCs w:val="21"/>
                <w:highlight w:val="none"/>
                <w:vertAlign w:val="superscript"/>
                <w:lang w:val="en-US" w:eastAsia="zh-CN"/>
              </w:rPr>
              <w:t>3</w:t>
            </w:r>
            <w:r>
              <w:rPr>
                <w:rFonts w:hint="eastAsia" w:ascii="Times New Roman" w:hAnsi="Times New Roman" w:eastAsia="宋体" w:cs="Times New Roman"/>
                <w:bCs/>
                <w:color w:val="auto"/>
                <w:sz w:val="21"/>
                <w:szCs w:val="21"/>
                <w:highlight w:val="none"/>
                <w:lang w:val="en-US" w:eastAsia="zh-CN"/>
              </w:rPr>
              <w:t>/a）。</w:t>
            </w:r>
          </w:p>
          <w:p w14:paraId="75DCD1C5">
            <w:pPr>
              <w:ind w:firstLine="420" w:firstLineChars="200"/>
              <w:jc w:val="both"/>
              <w:rPr>
                <w:rFonts w:hint="eastAsia" w:ascii="Times New Roman" w:hAnsi="Times New Roman" w:eastAsia="宋体" w:cs="Times New Roman"/>
                <w:bCs/>
                <w:color w:val="0000FF"/>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本项目所用纯水采用一台反渗透</w:t>
            </w:r>
            <w:r>
              <w:rPr>
                <w:rFonts w:hint="eastAsia" w:cs="Times New Roman"/>
                <w:bCs/>
                <w:color w:val="auto"/>
                <w:sz w:val="21"/>
                <w:szCs w:val="21"/>
                <w:highlight w:val="none"/>
                <w:lang w:val="en-US" w:eastAsia="zh-CN"/>
              </w:rPr>
              <w:t>纯水机</w:t>
            </w:r>
            <w:r>
              <w:rPr>
                <w:rFonts w:hint="eastAsia" w:ascii="Times New Roman" w:hAnsi="Times New Roman" w:eastAsia="宋体" w:cs="Times New Roman"/>
                <w:bCs/>
                <w:color w:val="auto"/>
                <w:sz w:val="21"/>
                <w:szCs w:val="21"/>
                <w:highlight w:val="none"/>
                <w:lang w:val="en-US" w:eastAsia="zh-CN"/>
              </w:rPr>
              <w:t>制水，制水率约为70%，以上计算本项目所需纯水量约为</w:t>
            </w:r>
            <w:r>
              <w:rPr>
                <w:rFonts w:hint="eastAsia" w:cs="Times New Roman"/>
                <w:bCs/>
                <w:color w:val="auto"/>
                <w:sz w:val="21"/>
                <w:szCs w:val="21"/>
                <w:highlight w:val="none"/>
                <w:lang w:val="en-US" w:eastAsia="zh-CN"/>
              </w:rPr>
              <w:t>6.88</w:t>
            </w:r>
            <w:r>
              <w:rPr>
                <w:rFonts w:hint="eastAsia" w:ascii="Times New Roman" w:hAnsi="Times New Roman" w:eastAsia="宋体" w:cs="Times New Roman"/>
                <w:bCs/>
                <w:color w:val="auto"/>
                <w:sz w:val="21"/>
                <w:szCs w:val="21"/>
                <w:highlight w:val="none"/>
                <w:lang w:val="en-US" w:eastAsia="zh-CN"/>
              </w:rPr>
              <w:t>m</w:t>
            </w:r>
            <w:r>
              <w:rPr>
                <w:rFonts w:hint="eastAsia" w:cs="Times New Roman"/>
                <w:bCs/>
                <w:color w:val="auto"/>
                <w:sz w:val="21"/>
                <w:szCs w:val="21"/>
                <w:highlight w:val="none"/>
                <w:vertAlign w:val="superscript"/>
                <w:lang w:val="en-US" w:eastAsia="zh-CN"/>
              </w:rPr>
              <w:t>3</w:t>
            </w:r>
            <w:r>
              <w:rPr>
                <w:rFonts w:hint="eastAsia" w:ascii="Times New Roman" w:hAnsi="Times New Roman" w:eastAsia="宋体" w:cs="Times New Roman"/>
                <w:bCs/>
                <w:color w:val="auto"/>
                <w:sz w:val="21"/>
                <w:szCs w:val="21"/>
                <w:highlight w:val="none"/>
                <w:lang w:val="en-US" w:eastAsia="zh-CN"/>
              </w:rPr>
              <w:t>/a</w:t>
            </w:r>
            <w:r>
              <w:rPr>
                <w:rFonts w:hint="eastAsia" w:cs="Times New Roman"/>
                <w:color w:val="auto"/>
                <w:sz w:val="21"/>
                <w:szCs w:val="21"/>
                <w:highlight w:val="none"/>
                <w:lang w:val="en-US" w:eastAsia="zh-CN"/>
              </w:rPr>
              <w:t>（平均至每天0.0275m</w:t>
            </w:r>
            <w:r>
              <w:rPr>
                <w:rFonts w:hint="eastAsia" w:cs="Times New Roman"/>
                <w:color w:val="auto"/>
                <w:sz w:val="21"/>
                <w:szCs w:val="21"/>
                <w:highlight w:val="none"/>
                <w:vertAlign w:val="superscript"/>
                <w:lang w:val="en-US" w:eastAsia="zh-CN"/>
              </w:rPr>
              <w:t>3</w:t>
            </w:r>
            <w:r>
              <w:rPr>
                <w:rFonts w:hint="eastAsia" w:cs="Times New Roman"/>
                <w:color w:val="auto"/>
                <w:sz w:val="21"/>
                <w:szCs w:val="21"/>
                <w:highlight w:val="none"/>
                <w:lang w:val="en-US" w:eastAsia="zh-CN"/>
              </w:rPr>
              <w:t>/d）</w:t>
            </w:r>
            <w:r>
              <w:rPr>
                <w:rFonts w:hint="eastAsia" w:ascii="Times New Roman" w:hAnsi="Times New Roman" w:eastAsia="宋体" w:cs="Times New Roman"/>
                <w:bCs/>
                <w:color w:val="auto"/>
                <w:sz w:val="21"/>
                <w:szCs w:val="21"/>
                <w:highlight w:val="none"/>
                <w:lang w:val="en-US" w:eastAsia="zh-CN"/>
              </w:rPr>
              <w:t>，则制水所需新鲜水量约为</w:t>
            </w:r>
            <w:r>
              <w:rPr>
                <w:rFonts w:hint="eastAsia" w:cs="Times New Roman"/>
                <w:bCs/>
                <w:color w:val="auto"/>
                <w:sz w:val="21"/>
                <w:szCs w:val="21"/>
                <w:highlight w:val="none"/>
                <w:lang w:val="en-US" w:eastAsia="zh-CN"/>
              </w:rPr>
              <w:t>9.23</w:t>
            </w:r>
            <w:r>
              <w:rPr>
                <w:rFonts w:hint="eastAsia" w:ascii="Times New Roman" w:hAnsi="Times New Roman" w:eastAsia="宋体" w:cs="Times New Roman"/>
                <w:bCs/>
                <w:color w:val="auto"/>
                <w:sz w:val="21"/>
                <w:szCs w:val="21"/>
                <w:highlight w:val="none"/>
                <w:lang w:val="en-US" w:eastAsia="zh-CN"/>
              </w:rPr>
              <w:t>m</w:t>
            </w:r>
            <w:r>
              <w:rPr>
                <w:rFonts w:hint="eastAsia" w:cs="Times New Roman"/>
                <w:bCs/>
                <w:color w:val="auto"/>
                <w:sz w:val="21"/>
                <w:szCs w:val="21"/>
                <w:highlight w:val="none"/>
                <w:vertAlign w:val="superscript"/>
                <w:lang w:val="en-US" w:eastAsia="zh-CN"/>
              </w:rPr>
              <w:t>3</w:t>
            </w:r>
            <w:r>
              <w:rPr>
                <w:rFonts w:hint="eastAsia" w:ascii="Times New Roman" w:hAnsi="Times New Roman" w:eastAsia="宋体" w:cs="Times New Roman"/>
                <w:bCs/>
                <w:color w:val="auto"/>
                <w:sz w:val="21"/>
                <w:szCs w:val="21"/>
                <w:highlight w:val="none"/>
                <w:lang w:val="en-US" w:eastAsia="zh-CN"/>
              </w:rPr>
              <w:t>/a</w:t>
            </w:r>
            <w:r>
              <w:rPr>
                <w:rFonts w:hint="eastAsia" w:cs="Times New Roman"/>
                <w:color w:val="auto"/>
                <w:sz w:val="21"/>
                <w:szCs w:val="21"/>
                <w:highlight w:val="none"/>
                <w:lang w:val="en-US" w:eastAsia="zh-CN"/>
              </w:rPr>
              <w:t>（平均至每天0.0369m</w:t>
            </w:r>
            <w:r>
              <w:rPr>
                <w:rFonts w:hint="eastAsia" w:cs="Times New Roman"/>
                <w:color w:val="auto"/>
                <w:sz w:val="21"/>
                <w:szCs w:val="21"/>
                <w:highlight w:val="none"/>
                <w:vertAlign w:val="superscript"/>
                <w:lang w:val="en-US" w:eastAsia="zh-CN"/>
              </w:rPr>
              <w:t>3</w:t>
            </w:r>
            <w:r>
              <w:rPr>
                <w:rFonts w:hint="eastAsia" w:cs="Times New Roman"/>
                <w:color w:val="auto"/>
                <w:sz w:val="21"/>
                <w:szCs w:val="21"/>
                <w:highlight w:val="none"/>
                <w:lang w:val="en-US" w:eastAsia="zh-CN"/>
              </w:rPr>
              <w:t>/d）</w:t>
            </w:r>
            <w:r>
              <w:rPr>
                <w:rFonts w:hint="eastAsia" w:ascii="Times New Roman" w:hAnsi="Times New Roman" w:eastAsia="宋体" w:cs="Times New Roman"/>
                <w:bCs/>
                <w:color w:val="auto"/>
                <w:sz w:val="21"/>
                <w:szCs w:val="21"/>
                <w:highlight w:val="none"/>
                <w:lang w:val="en-US" w:eastAsia="zh-CN"/>
              </w:rPr>
              <w:t>。</w:t>
            </w:r>
          </w:p>
          <w:p w14:paraId="0FAC0ABA">
            <w:pPr>
              <w:ind w:firstLine="420" w:firstLineChars="200"/>
              <w:jc w:val="both"/>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（2）排水</w:t>
            </w:r>
          </w:p>
          <w:p w14:paraId="2CE2FB61">
            <w:pPr>
              <w:ind w:firstLine="420" w:firstLineChars="200"/>
              <w:jc w:val="both"/>
              <w:rPr>
                <w:rFonts w:hint="default" w:ascii="Times New Roman" w:hAnsi="Times New Roman" w:eastAsia="宋体" w:cs="Times New Roman"/>
                <w:bCs/>
                <w:color w:val="auto"/>
                <w:sz w:val="21"/>
                <w:szCs w:val="21"/>
                <w:highlight w:val="none"/>
                <w:lang w:val="en-US" w:eastAsia="zh-CN"/>
              </w:rPr>
            </w:pPr>
            <w:r>
              <w:rPr>
                <w:rFonts w:hint="eastAsia" w:cs="Times New Roman"/>
                <w:bCs/>
                <w:color w:val="auto"/>
                <w:sz w:val="21"/>
                <w:szCs w:val="21"/>
                <w:highlight w:val="none"/>
                <w:lang w:val="en-US" w:eastAsia="zh-CN"/>
              </w:rPr>
              <w:t>①实验分析过程废液</w:t>
            </w:r>
          </w:p>
          <w:p w14:paraId="1D3D97A3">
            <w:pPr>
              <w:ind w:firstLine="420" w:firstLineChars="200"/>
              <w:jc w:val="both"/>
              <w:rPr>
                <w:rFonts w:hint="default" w:ascii="Times New Roman" w:hAnsi="Times New Roman" w:eastAsia="宋体" w:cs="Times New Roman"/>
                <w:bCs/>
                <w:color w:val="auto"/>
                <w:sz w:val="21"/>
                <w:szCs w:val="21"/>
                <w:highlight w:val="none"/>
                <w:lang w:val="en-US" w:eastAsia="zh-CN"/>
              </w:rPr>
            </w:pPr>
            <w:r>
              <w:rPr>
                <w:rFonts w:hint="eastAsia" w:cs="Times New Roman"/>
                <w:bCs/>
                <w:color w:val="auto"/>
                <w:sz w:val="21"/>
                <w:szCs w:val="21"/>
                <w:highlight w:val="none"/>
                <w:lang w:val="en-US" w:eastAsia="zh-CN"/>
              </w:rPr>
              <w:t>实验分析过程用水产生的实验废液量为</w:t>
            </w:r>
            <w:r>
              <w:rPr>
                <w:rFonts w:hint="eastAsia" w:ascii="Times New Roman" w:hAnsi="Times New Roman" w:eastAsia="宋体" w:cs="Times New Roman"/>
                <w:bCs/>
                <w:color w:val="auto"/>
                <w:kern w:val="2"/>
                <w:sz w:val="21"/>
                <w:szCs w:val="21"/>
                <w:highlight w:val="none"/>
                <w:lang w:val="en-US" w:eastAsia="zh-CN" w:bidi="ar-SA"/>
              </w:rPr>
              <w:t>0.0</w:t>
            </w:r>
            <w:r>
              <w:rPr>
                <w:rFonts w:hint="eastAsia" w:cs="Times New Roman"/>
                <w:bCs/>
                <w:color w:val="auto"/>
                <w:kern w:val="2"/>
                <w:sz w:val="21"/>
                <w:szCs w:val="21"/>
                <w:highlight w:val="none"/>
                <w:lang w:val="en-US" w:eastAsia="zh-CN" w:bidi="ar-SA"/>
              </w:rPr>
              <w:t>1</w:t>
            </w:r>
            <w:r>
              <w:rPr>
                <w:rFonts w:hint="eastAsia" w:ascii="Times New Roman" w:hAnsi="Times New Roman" w:eastAsia="宋体" w:cs="Times New Roman"/>
                <w:bCs/>
                <w:color w:val="auto"/>
                <w:kern w:val="2"/>
                <w:sz w:val="21"/>
                <w:szCs w:val="21"/>
                <w:highlight w:val="none"/>
                <w:lang w:val="en-US" w:eastAsia="zh-CN" w:bidi="ar-SA"/>
              </w:rPr>
              <w:t>m</w:t>
            </w:r>
            <w:r>
              <w:rPr>
                <w:rFonts w:hint="eastAsia" w:ascii="Times New Roman" w:hAnsi="Times New Roman" w:eastAsia="宋体" w:cs="Times New Roman"/>
                <w:bCs/>
                <w:color w:val="auto"/>
                <w:kern w:val="2"/>
                <w:sz w:val="21"/>
                <w:szCs w:val="21"/>
                <w:highlight w:val="none"/>
                <w:vertAlign w:val="superscript"/>
                <w:lang w:val="en-US" w:eastAsia="zh-CN" w:bidi="ar-SA"/>
              </w:rPr>
              <w:t>3</w:t>
            </w:r>
            <w:r>
              <w:rPr>
                <w:rFonts w:hint="eastAsia" w:ascii="Times New Roman" w:hAnsi="Times New Roman" w:eastAsia="宋体" w:cs="Times New Roman"/>
                <w:bCs/>
                <w:color w:val="auto"/>
                <w:kern w:val="2"/>
                <w:sz w:val="21"/>
                <w:szCs w:val="21"/>
                <w:highlight w:val="none"/>
                <w:lang w:val="en-US" w:eastAsia="zh-CN" w:bidi="ar-SA"/>
              </w:rPr>
              <w:t>/d</w:t>
            </w:r>
            <w:r>
              <w:rPr>
                <w:rFonts w:hint="eastAsia" w:cs="Times New Roman"/>
                <w:bCs/>
                <w:color w:val="auto"/>
                <w:kern w:val="2"/>
                <w:sz w:val="21"/>
                <w:szCs w:val="21"/>
                <w:highlight w:val="none"/>
                <w:lang w:val="en-US" w:eastAsia="zh-CN" w:bidi="ar-SA"/>
              </w:rPr>
              <w:t>（2.</w:t>
            </w:r>
            <w:r>
              <w:rPr>
                <w:rFonts w:hint="eastAsia" w:cs="Times New Roman"/>
                <w:bCs/>
                <w:color w:val="auto"/>
                <w:sz w:val="21"/>
                <w:szCs w:val="21"/>
                <w:highlight w:val="none"/>
                <w:lang w:val="en-US" w:eastAsia="zh-CN"/>
              </w:rPr>
              <w:t>5</w:t>
            </w:r>
            <w:r>
              <w:rPr>
                <w:rFonts w:hint="eastAsia" w:ascii="Times New Roman" w:hAnsi="Times New Roman" w:eastAsia="宋体" w:cs="Times New Roman"/>
                <w:bCs/>
                <w:color w:val="auto"/>
                <w:sz w:val="21"/>
                <w:szCs w:val="21"/>
                <w:highlight w:val="none"/>
                <w:lang w:val="en-US" w:eastAsia="zh-CN"/>
              </w:rPr>
              <w:t>m</w:t>
            </w:r>
            <w:r>
              <w:rPr>
                <w:rFonts w:hint="eastAsia" w:cs="Times New Roman"/>
                <w:bCs/>
                <w:color w:val="auto"/>
                <w:sz w:val="21"/>
                <w:szCs w:val="21"/>
                <w:highlight w:val="none"/>
                <w:vertAlign w:val="superscript"/>
                <w:lang w:val="en-US" w:eastAsia="zh-CN"/>
              </w:rPr>
              <w:t>3</w:t>
            </w:r>
            <w:r>
              <w:rPr>
                <w:rFonts w:hint="eastAsia" w:ascii="Times New Roman" w:hAnsi="Times New Roman" w:eastAsia="宋体" w:cs="Times New Roman"/>
                <w:bCs/>
                <w:color w:val="auto"/>
                <w:sz w:val="21"/>
                <w:szCs w:val="21"/>
                <w:highlight w:val="none"/>
                <w:lang w:val="en-US" w:eastAsia="zh-CN"/>
              </w:rPr>
              <w:t>/a</w:t>
            </w:r>
            <w:r>
              <w:rPr>
                <w:rFonts w:hint="eastAsia" w:cs="Times New Roman"/>
                <w:bCs/>
                <w:color w:val="auto"/>
                <w:kern w:val="2"/>
                <w:sz w:val="21"/>
                <w:szCs w:val="21"/>
                <w:highlight w:val="none"/>
                <w:lang w:val="en-US" w:eastAsia="zh-CN" w:bidi="ar-SA"/>
              </w:rPr>
              <w:t>）</w:t>
            </w:r>
            <w:r>
              <w:rPr>
                <w:rFonts w:hint="eastAsia" w:cs="Times New Roman"/>
                <w:bCs/>
                <w:color w:val="auto"/>
                <w:sz w:val="21"/>
                <w:szCs w:val="21"/>
                <w:highlight w:val="none"/>
                <w:lang w:val="en-US" w:eastAsia="zh-CN"/>
              </w:rPr>
              <w:t>，经专用容器收集后，作为危废委托资质单位处置。</w:t>
            </w:r>
          </w:p>
          <w:p w14:paraId="2E4AEEED">
            <w:pPr>
              <w:ind w:firstLine="420" w:firstLineChars="200"/>
              <w:jc w:val="both"/>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②</w:t>
            </w:r>
            <w:r>
              <w:rPr>
                <w:rFonts w:hint="default" w:ascii="Times New Roman" w:hAnsi="Times New Roman" w:eastAsia="宋体" w:cs="Times New Roman"/>
                <w:bCs/>
                <w:color w:val="auto"/>
                <w:sz w:val="21"/>
                <w:szCs w:val="21"/>
                <w:highlight w:val="none"/>
                <w:lang w:val="en-US" w:eastAsia="zh-CN"/>
              </w:rPr>
              <w:t>实验</w:t>
            </w:r>
            <w:r>
              <w:rPr>
                <w:rFonts w:hint="default" w:ascii="Times New Roman" w:hAnsi="Times New Roman" w:eastAsia="宋体" w:cs="Times New Roman"/>
                <w:bCs/>
                <w:color w:val="auto"/>
                <w:sz w:val="21"/>
                <w:szCs w:val="21"/>
                <w:highlight w:val="none"/>
                <w:lang w:val="zh-CN" w:eastAsia="zh-CN"/>
              </w:rPr>
              <w:t>器皿</w:t>
            </w:r>
            <w:r>
              <w:rPr>
                <w:rFonts w:hint="default" w:ascii="Times New Roman" w:hAnsi="Times New Roman" w:eastAsia="宋体" w:cs="Times New Roman"/>
                <w:bCs/>
                <w:color w:val="auto"/>
                <w:sz w:val="21"/>
                <w:szCs w:val="21"/>
                <w:highlight w:val="none"/>
                <w:lang w:val="en-US" w:eastAsia="zh-CN"/>
              </w:rPr>
              <w:t>清洗</w:t>
            </w:r>
            <w:r>
              <w:rPr>
                <w:rFonts w:hint="default" w:ascii="Times New Roman" w:hAnsi="Times New Roman" w:cs="Times New Roman"/>
                <w:bCs/>
                <w:color w:val="auto"/>
                <w:sz w:val="21"/>
                <w:szCs w:val="21"/>
                <w:highlight w:val="none"/>
                <w:lang w:val="en-US" w:eastAsia="zh-CN"/>
              </w:rPr>
              <w:t>废水</w:t>
            </w:r>
          </w:p>
          <w:p w14:paraId="7274757D">
            <w:pPr>
              <w:ind w:firstLine="420" w:firstLineChars="200"/>
              <w:jc w:val="both"/>
              <w:rPr>
                <w:rFonts w:hint="default" w:ascii="Times New Roman" w:hAnsi="Times New Roman" w:eastAsia="宋体" w:cs="Times New Roman"/>
                <w:bCs/>
                <w:color w:val="auto"/>
                <w:sz w:val="21"/>
                <w:szCs w:val="21"/>
                <w:highlight w:val="none"/>
                <w:lang w:val="zh-CN" w:eastAsia="zh-CN"/>
              </w:rPr>
            </w:pPr>
            <w:r>
              <w:rPr>
                <w:rFonts w:hint="default" w:ascii="Times New Roman" w:hAnsi="Times New Roman" w:cs="Times New Roman"/>
                <w:bCs/>
                <w:color w:val="auto"/>
                <w:sz w:val="21"/>
                <w:szCs w:val="21"/>
                <w:highlight w:val="none"/>
                <w:lang w:val="en-US" w:eastAsia="zh-CN"/>
              </w:rPr>
              <w:t>实验室</w:t>
            </w:r>
            <w:r>
              <w:rPr>
                <w:rFonts w:hint="default" w:ascii="Times New Roman" w:hAnsi="Times New Roman" w:eastAsia="宋体" w:cs="Times New Roman"/>
                <w:bCs/>
                <w:color w:val="auto"/>
                <w:sz w:val="21"/>
                <w:szCs w:val="21"/>
                <w:highlight w:val="none"/>
                <w:lang w:val="zh-CN" w:eastAsia="zh-CN"/>
              </w:rPr>
              <w:t>器皿清洗废（液）水产生量为0.</w:t>
            </w:r>
            <w:r>
              <w:rPr>
                <w:rFonts w:hint="default" w:ascii="Times New Roman" w:hAnsi="Times New Roman" w:cs="Times New Roman"/>
                <w:bCs/>
                <w:color w:val="auto"/>
                <w:sz w:val="21"/>
                <w:szCs w:val="21"/>
                <w:highlight w:val="none"/>
                <w:lang w:val="en-US" w:eastAsia="zh-CN"/>
              </w:rPr>
              <w:t>0228</w:t>
            </w:r>
            <w:r>
              <w:rPr>
                <w:rFonts w:hint="default" w:ascii="Times New Roman" w:hAnsi="Times New Roman" w:eastAsia="宋体" w:cs="Times New Roman"/>
                <w:bCs/>
                <w:color w:val="auto"/>
                <w:sz w:val="21"/>
                <w:szCs w:val="21"/>
                <w:highlight w:val="none"/>
                <w:lang w:val="zh-CN" w:eastAsia="zh-CN"/>
              </w:rPr>
              <w:t>m</w:t>
            </w:r>
            <w:r>
              <w:rPr>
                <w:rFonts w:hint="default" w:ascii="Times New Roman" w:hAnsi="Times New Roman" w:eastAsia="宋体" w:cs="Times New Roman"/>
                <w:bCs/>
                <w:color w:val="auto"/>
                <w:sz w:val="21"/>
                <w:szCs w:val="21"/>
                <w:highlight w:val="none"/>
                <w:vertAlign w:val="superscript"/>
                <w:lang w:val="zh-CN" w:eastAsia="zh-CN"/>
              </w:rPr>
              <w:t>3</w:t>
            </w:r>
            <w:r>
              <w:rPr>
                <w:rFonts w:hint="default" w:ascii="Times New Roman" w:hAnsi="Times New Roman" w:eastAsia="宋体" w:cs="Times New Roman"/>
                <w:bCs/>
                <w:color w:val="auto"/>
                <w:sz w:val="21"/>
                <w:szCs w:val="21"/>
                <w:highlight w:val="none"/>
                <w:lang w:val="zh-CN" w:eastAsia="zh-CN"/>
              </w:rPr>
              <w:t>/d（</w:t>
            </w:r>
            <w:r>
              <w:rPr>
                <w:rFonts w:hint="default" w:ascii="Times New Roman" w:hAnsi="Times New Roman" w:cs="Times New Roman"/>
                <w:bCs/>
                <w:color w:val="auto"/>
                <w:sz w:val="21"/>
                <w:szCs w:val="21"/>
                <w:highlight w:val="none"/>
                <w:lang w:val="en-US" w:eastAsia="zh-CN"/>
              </w:rPr>
              <w:t>5.7</w:t>
            </w:r>
            <w:r>
              <w:rPr>
                <w:rFonts w:hint="default" w:ascii="Times New Roman" w:hAnsi="Times New Roman" w:eastAsia="宋体" w:cs="Times New Roman"/>
                <w:bCs/>
                <w:color w:val="auto"/>
                <w:sz w:val="21"/>
                <w:szCs w:val="21"/>
                <w:highlight w:val="none"/>
                <w:lang w:val="zh-CN" w:eastAsia="zh-CN"/>
              </w:rPr>
              <w:t>m</w:t>
            </w:r>
            <w:r>
              <w:rPr>
                <w:rFonts w:hint="default" w:ascii="Times New Roman" w:hAnsi="Times New Roman" w:eastAsia="宋体" w:cs="Times New Roman"/>
                <w:bCs/>
                <w:color w:val="auto"/>
                <w:sz w:val="21"/>
                <w:szCs w:val="21"/>
                <w:highlight w:val="none"/>
                <w:vertAlign w:val="superscript"/>
                <w:lang w:val="zh-CN" w:eastAsia="zh-CN"/>
              </w:rPr>
              <w:t>3</w:t>
            </w:r>
            <w:r>
              <w:rPr>
                <w:rFonts w:hint="default" w:ascii="Times New Roman" w:hAnsi="Times New Roman" w:eastAsia="宋体" w:cs="Times New Roman"/>
                <w:bCs/>
                <w:color w:val="auto"/>
                <w:sz w:val="21"/>
                <w:szCs w:val="21"/>
                <w:highlight w:val="none"/>
                <w:lang w:val="zh-CN" w:eastAsia="zh-CN"/>
              </w:rPr>
              <w:t>/a）</w:t>
            </w:r>
            <w:r>
              <w:rPr>
                <w:rFonts w:hint="default" w:ascii="Times New Roman" w:hAnsi="Times New Roman" w:cs="Times New Roman"/>
                <w:bCs/>
                <w:color w:val="auto"/>
                <w:sz w:val="21"/>
                <w:szCs w:val="21"/>
                <w:highlight w:val="none"/>
                <w:lang w:val="zh-CN" w:eastAsia="zh-CN"/>
              </w:rPr>
              <w:t>，</w:t>
            </w:r>
            <w:r>
              <w:rPr>
                <w:rFonts w:hint="default" w:ascii="Times New Roman" w:hAnsi="Times New Roman" w:cs="Times New Roman"/>
                <w:bCs/>
                <w:color w:val="auto"/>
                <w:sz w:val="21"/>
                <w:szCs w:val="21"/>
                <w:highlight w:val="none"/>
                <w:lang w:val="en-US" w:eastAsia="zh-CN"/>
              </w:rPr>
              <w:t>经专用容器收集后，作为危废委托资质单位处置。</w:t>
            </w:r>
          </w:p>
          <w:p w14:paraId="50860F6B">
            <w:pPr>
              <w:ind w:firstLine="420" w:firstLineChars="200"/>
              <w:jc w:val="both"/>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③纯水制备废水</w:t>
            </w:r>
          </w:p>
          <w:p w14:paraId="30D9AE87">
            <w:pPr>
              <w:adjustRightInd w:val="0"/>
              <w:snapToGrid w:val="0"/>
              <w:ind w:firstLine="420" w:firstLineChars="200"/>
              <w:jc w:val="both"/>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根据计算本项目纯水制备产生的排水量为</w:t>
            </w:r>
            <w:r>
              <w:rPr>
                <w:rFonts w:hint="default" w:ascii="Times New Roman" w:hAnsi="Times New Roman" w:cs="Times New Roman"/>
                <w:color w:val="auto"/>
                <w:sz w:val="21"/>
                <w:szCs w:val="21"/>
                <w:highlight w:val="none"/>
                <w:lang w:val="en-US" w:eastAsia="zh-CN"/>
              </w:rPr>
              <w:t>2.35</w:t>
            </w:r>
            <w:r>
              <w:rPr>
                <w:rFonts w:hint="default" w:ascii="Times New Roman" w:hAnsi="Times New Roman" w:eastAsia="宋体" w:cs="Times New Roman"/>
                <w:color w:val="auto"/>
                <w:sz w:val="21"/>
                <w:szCs w:val="21"/>
                <w:highlight w:val="none"/>
                <w:lang w:val="en-US" w:eastAsia="zh-CN"/>
              </w:rPr>
              <w:t>m</w:t>
            </w:r>
            <w:r>
              <w:rPr>
                <w:rFonts w:hint="default" w:ascii="Times New Roman" w:hAnsi="Times New Roman" w:eastAsia="宋体" w:cs="Times New Roman"/>
                <w:color w:val="auto"/>
                <w:sz w:val="21"/>
                <w:szCs w:val="21"/>
                <w:highlight w:val="none"/>
                <w:vertAlign w:val="superscript"/>
                <w:lang w:val="en-US" w:eastAsia="zh-CN"/>
              </w:rPr>
              <w:t>3</w:t>
            </w:r>
            <w:r>
              <w:rPr>
                <w:rFonts w:hint="default" w:ascii="Times New Roman" w:hAnsi="Times New Roman" w:eastAsia="宋体" w:cs="Times New Roman"/>
                <w:color w:val="auto"/>
                <w:sz w:val="21"/>
                <w:szCs w:val="21"/>
                <w:highlight w:val="none"/>
                <w:lang w:val="en-US" w:eastAsia="zh-CN"/>
              </w:rPr>
              <w:t>/a</w:t>
            </w:r>
            <w:r>
              <w:rPr>
                <w:rFonts w:hint="default" w:ascii="Times New Roman" w:hAnsi="Times New Roman" w:cs="Times New Roman"/>
                <w:color w:val="auto"/>
                <w:sz w:val="21"/>
                <w:szCs w:val="21"/>
                <w:highlight w:val="none"/>
                <w:lang w:val="en-US" w:eastAsia="zh-CN"/>
              </w:rPr>
              <w:t>（平均至每天0.009m</w:t>
            </w:r>
            <w:r>
              <w:rPr>
                <w:rFonts w:hint="default" w:ascii="Times New Roman" w:hAnsi="Times New Roman" w:cs="Times New Roman"/>
                <w:color w:val="auto"/>
                <w:sz w:val="21"/>
                <w:szCs w:val="21"/>
                <w:highlight w:val="none"/>
                <w:vertAlign w:val="superscript"/>
                <w:lang w:val="en-US" w:eastAsia="zh-CN"/>
              </w:rPr>
              <w:t>3</w:t>
            </w:r>
            <w:r>
              <w:rPr>
                <w:rFonts w:hint="default" w:ascii="Times New Roman" w:hAnsi="Times New Roman" w:cs="Times New Roman"/>
                <w:color w:val="auto"/>
                <w:sz w:val="21"/>
                <w:szCs w:val="21"/>
                <w:highlight w:val="none"/>
                <w:lang w:val="en-US" w:eastAsia="zh-CN"/>
              </w:rPr>
              <w:t>/d）</w:t>
            </w:r>
            <w:r>
              <w:rPr>
                <w:rFonts w:hint="default" w:ascii="Times New Roman" w:hAnsi="Times New Roman" w:eastAsia="宋体" w:cs="Times New Roman"/>
                <w:color w:val="auto"/>
                <w:sz w:val="21"/>
                <w:szCs w:val="21"/>
                <w:highlight w:val="none"/>
                <w:lang w:val="en-US" w:eastAsia="zh-CN"/>
              </w:rPr>
              <w:t>，</w:t>
            </w:r>
            <w:r>
              <w:rPr>
                <w:rFonts w:hint="eastAsia" w:ascii="Times New Roman" w:hAnsi="Times New Roman" w:eastAsia="宋体" w:cs="Times New Roman"/>
                <w:color w:val="auto"/>
                <w:sz w:val="21"/>
                <w:szCs w:val="21"/>
                <w:highlight w:val="none"/>
                <w:lang w:val="en-US" w:eastAsia="zh-CN"/>
              </w:rPr>
              <w:t>纯水制备废水</w:t>
            </w:r>
            <w:r>
              <w:rPr>
                <w:rFonts w:hint="eastAsia" w:cs="Times New Roman"/>
                <w:color w:val="auto"/>
                <w:sz w:val="21"/>
                <w:szCs w:val="21"/>
                <w:highlight w:val="none"/>
                <w:lang w:val="en-US" w:eastAsia="zh-CN"/>
              </w:rPr>
              <w:t>用于厂区洒水抑尘</w:t>
            </w:r>
            <w:r>
              <w:rPr>
                <w:rFonts w:hint="default" w:ascii="Times New Roman" w:hAnsi="Times New Roman" w:eastAsia="宋体" w:cs="Times New Roman"/>
                <w:color w:val="auto"/>
                <w:sz w:val="21"/>
                <w:szCs w:val="21"/>
                <w:highlight w:val="none"/>
                <w:lang w:val="en-US" w:eastAsia="zh-CN"/>
              </w:rPr>
              <w:t>。</w:t>
            </w:r>
          </w:p>
          <w:p w14:paraId="69C492E9">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表</w:t>
            </w:r>
            <w:r>
              <w:rPr>
                <w:rFonts w:hint="eastAsia" w:cs="Times New Roman"/>
                <w:b/>
                <w:color w:val="auto"/>
                <w:sz w:val="24"/>
                <w:szCs w:val="24"/>
                <w:highlight w:val="none"/>
                <w:lang w:val="en-US" w:eastAsia="zh-CN"/>
              </w:rPr>
              <w:t>9</w:t>
            </w:r>
            <w:r>
              <w:rPr>
                <w:rFonts w:hint="eastAsia" w:ascii="Times New Roman" w:hAnsi="Times New Roman" w:cs="Times New Roman"/>
                <w:b/>
                <w:color w:val="auto"/>
                <w:sz w:val="24"/>
                <w:szCs w:val="24"/>
                <w:highlight w:val="none"/>
              </w:rPr>
              <w:t xml:space="preserve"> </w:t>
            </w:r>
            <w:r>
              <w:rPr>
                <w:rFonts w:hint="default" w:ascii="Times New Roman" w:hAnsi="Times New Roman" w:cs="Times New Roman"/>
                <w:b/>
                <w:color w:val="auto"/>
                <w:sz w:val="24"/>
                <w:szCs w:val="24"/>
                <w:highlight w:val="none"/>
              </w:rPr>
              <w:t>项目用水、排水情况表</w:t>
            </w:r>
          </w:p>
          <w:tbl>
            <w:tblPr>
              <w:tblStyle w:val="4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198"/>
              <w:gridCol w:w="898"/>
              <w:gridCol w:w="1155"/>
              <w:gridCol w:w="1295"/>
              <w:gridCol w:w="3126"/>
            </w:tblGrid>
            <w:tr w14:paraId="3E97A1C6">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8" w:type="pct"/>
                  <w:tcBorders>
                    <w:tl2br w:val="nil"/>
                    <w:tr2bl w:val="nil"/>
                  </w:tcBorders>
                  <w:vAlign w:val="center"/>
                </w:tcPr>
                <w:p w14:paraId="415F00EA">
                  <w:pPr>
                    <w:adjustRightInd w:val="0"/>
                    <w:snapToGrid w:val="0"/>
                    <w:spacing w:line="276" w:lineRule="auto"/>
                    <w:jc w:val="center"/>
                    <w:rPr>
                      <w:rFonts w:hint="eastAsia" w:ascii="Times New Roman" w:hAnsi="宋体" w:cs="Times New Roman"/>
                      <w:color w:val="auto"/>
                      <w:sz w:val="21"/>
                      <w:szCs w:val="21"/>
                      <w:highlight w:val="none"/>
                      <w:lang w:val="en-US" w:eastAsia="zh-CN"/>
                    </w:rPr>
                  </w:pPr>
                  <w:r>
                    <w:rPr>
                      <w:rFonts w:hint="eastAsia" w:ascii="Times New Roman" w:hAnsi="宋体" w:cs="Times New Roman"/>
                      <w:color w:val="auto"/>
                      <w:sz w:val="21"/>
                      <w:szCs w:val="21"/>
                      <w:highlight w:val="none"/>
                      <w:lang w:val="en-US" w:eastAsia="zh-CN"/>
                    </w:rPr>
                    <w:t>类别</w:t>
                  </w:r>
                </w:p>
              </w:tc>
              <w:tc>
                <w:tcPr>
                  <w:tcW w:w="695" w:type="pct"/>
                  <w:tcBorders>
                    <w:tl2br w:val="nil"/>
                    <w:tr2bl w:val="nil"/>
                  </w:tcBorders>
                  <w:vAlign w:val="center"/>
                </w:tcPr>
                <w:p w14:paraId="53F84DCD">
                  <w:pPr>
                    <w:adjustRightInd w:val="0"/>
                    <w:snapToGrid w:val="0"/>
                    <w:spacing w:line="276" w:lineRule="auto"/>
                    <w:jc w:val="center"/>
                    <w:rPr>
                      <w:rFonts w:hint="default" w:ascii="Times New Roman" w:hAnsi="宋体" w:cs="Times New Roman"/>
                      <w:color w:val="auto"/>
                      <w:sz w:val="21"/>
                      <w:szCs w:val="21"/>
                      <w:highlight w:val="none"/>
                      <w:lang w:val="en-US" w:eastAsia="zh-CN"/>
                    </w:rPr>
                  </w:pPr>
                  <w:r>
                    <w:rPr>
                      <w:rFonts w:hint="eastAsia" w:ascii="Times New Roman" w:hAnsi="宋体" w:cs="Times New Roman"/>
                      <w:color w:val="auto"/>
                      <w:sz w:val="21"/>
                      <w:szCs w:val="21"/>
                      <w:highlight w:val="none"/>
                      <w:lang w:val="en-US" w:eastAsia="zh-CN"/>
                    </w:rPr>
                    <w:t>新鲜水用量m</w:t>
                  </w:r>
                  <w:r>
                    <w:rPr>
                      <w:rFonts w:hint="eastAsia" w:ascii="Times New Roman" w:hAnsi="宋体" w:cs="Times New Roman"/>
                      <w:color w:val="auto"/>
                      <w:sz w:val="21"/>
                      <w:szCs w:val="21"/>
                      <w:highlight w:val="none"/>
                      <w:vertAlign w:val="superscript"/>
                      <w:lang w:val="en-US" w:eastAsia="zh-CN"/>
                    </w:rPr>
                    <w:t>3</w:t>
                  </w:r>
                  <w:r>
                    <w:rPr>
                      <w:rFonts w:hint="eastAsia" w:ascii="Times New Roman" w:hAnsi="宋体" w:cs="Times New Roman"/>
                      <w:color w:val="auto"/>
                      <w:sz w:val="21"/>
                      <w:szCs w:val="21"/>
                      <w:highlight w:val="none"/>
                      <w:lang w:val="en-US" w:eastAsia="zh-CN"/>
                    </w:rPr>
                    <w:t>/d</w:t>
                  </w:r>
                </w:p>
              </w:tc>
              <w:tc>
                <w:tcPr>
                  <w:tcW w:w="521" w:type="pct"/>
                  <w:tcBorders>
                    <w:tl2br w:val="nil"/>
                    <w:tr2bl w:val="nil"/>
                  </w:tcBorders>
                  <w:vAlign w:val="center"/>
                </w:tcPr>
                <w:p w14:paraId="42D551D3">
                  <w:pPr>
                    <w:adjustRightInd w:val="0"/>
                    <w:snapToGrid w:val="0"/>
                    <w:spacing w:line="276" w:lineRule="auto"/>
                    <w:jc w:val="center"/>
                    <w:rPr>
                      <w:rFonts w:hint="default" w:hAnsi="宋体" w:cs="Times New Roman"/>
                      <w:color w:val="auto"/>
                      <w:sz w:val="21"/>
                      <w:szCs w:val="21"/>
                      <w:highlight w:val="none"/>
                      <w:lang w:val="en-US" w:eastAsia="zh-CN"/>
                    </w:rPr>
                  </w:pPr>
                  <w:r>
                    <w:rPr>
                      <w:rFonts w:hint="eastAsia" w:hAnsi="宋体" w:cs="Times New Roman"/>
                      <w:color w:val="auto"/>
                      <w:sz w:val="21"/>
                      <w:szCs w:val="21"/>
                      <w:highlight w:val="none"/>
                      <w:lang w:val="en-US" w:eastAsia="zh-CN"/>
                    </w:rPr>
                    <w:t>纯水</w:t>
                  </w:r>
                  <w:r>
                    <w:rPr>
                      <w:rFonts w:hint="eastAsia" w:ascii="Times New Roman" w:hAnsi="宋体" w:cs="Times New Roman"/>
                      <w:color w:val="auto"/>
                      <w:sz w:val="21"/>
                      <w:szCs w:val="21"/>
                      <w:highlight w:val="none"/>
                      <w:lang w:val="en-US" w:eastAsia="zh-CN"/>
                    </w:rPr>
                    <w:t>m</w:t>
                  </w:r>
                  <w:r>
                    <w:rPr>
                      <w:rFonts w:hint="eastAsia" w:ascii="Times New Roman" w:hAnsi="宋体" w:cs="Times New Roman"/>
                      <w:color w:val="auto"/>
                      <w:sz w:val="21"/>
                      <w:szCs w:val="21"/>
                      <w:highlight w:val="none"/>
                      <w:vertAlign w:val="superscript"/>
                      <w:lang w:val="en-US" w:eastAsia="zh-CN"/>
                    </w:rPr>
                    <w:t>3</w:t>
                  </w:r>
                  <w:r>
                    <w:rPr>
                      <w:rFonts w:hint="eastAsia" w:ascii="Times New Roman" w:hAnsi="宋体" w:cs="Times New Roman"/>
                      <w:color w:val="auto"/>
                      <w:sz w:val="21"/>
                      <w:szCs w:val="21"/>
                      <w:highlight w:val="none"/>
                      <w:lang w:val="en-US" w:eastAsia="zh-CN"/>
                    </w:rPr>
                    <w:t>/d</w:t>
                  </w:r>
                </w:p>
              </w:tc>
              <w:tc>
                <w:tcPr>
                  <w:tcW w:w="670" w:type="pct"/>
                  <w:tcBorders>
                    <w:tl2br w:val="nil"/>
                    <w:tr2bl w:val="nil"/>
                  </w:tcBorders>
                  <w:vAlign w:val="center"/>
                </w:tcPr>
                <w:p w14:paraId="17A117A8">
                  <w:pPr>
                    <w:adjustRightInd w:val="0"/>
                    <w:snapToGrid w:val="0"/>
                    <w:spacing w:line="276" w:lineRule="auto"/>
                    <w:jc w:val="center"/>
                    <w:rPr>
                      <w:rFonts w:hint="default" w:ascii="Times New Roman" w:hAnsi="宋体" w:cs="Times New Roman"/>
                      <w:color w:val="auto"/>
                      <w:sz w:val="21"/>
                      <w:szCs w:val="21"/>
                      <w:highlight w:val="none"/>
                      <w:lang w:val="en-US" w:eastAsia="zh-CN"/>
                    </w:rPr>
                  </w:pPr>
                  <w:r>
                    <w:rPr>
                      <w:rFonts w:hint="eastAsia" w:hAnsi="宋体" w:cs="Times New Roman"/>
                      <w:color w:val="auto"/>
                      <w:sz w:val="21"/>
                      <w:szCs w:val="21"/>
                      <w:highlight w:val="none"/>
                      <w:lang w:val="en-US" w:eastAsia="zh-CN"/>
                    </w:rPr>
                    <w:t>损失量</w:t>
                  </w:r>
                  <w:r>
                    <w:rPr>
                      <w:rFonts w:hint="eastAsia" w:ascii="Times New Roman" w:hAnsi="宋体" w:cs="Times New Roman"/>
                      <w:color w:val="auto"/>
                      <w:sz w:val="21"/>
                      <w:szCs w:val="21"/>
                      <w:highlight w:val="none"/>
                      <w:lang w:val="en-US" w:eastAsia="zh-CN"/>
                    </w:rPr>
                    <w:t>m</w:t>
                  </w:r>
                  <w:r>
                    <w:rPr>
                      <w:rFonts w:hint="eastAsia" w:ascii="Times New Roman" w:hAnsi="宋体" w:cs="Times New Roman"/>
                      <w:color w:val="auto"/>
                      <w:sz w:val="21"/>
                      <w:szCs w:val="21"/>
                      <w:highlight w:val="none"/>
                      <w:vertAlign w:val="superscript"/>
                      <w:lang w:val="en-US" w:eastAsia="zh-CN"/>
                    </w:rPr>
                    <w:t>3</w:t>
                  </w:r>
                  <w:r>
                    <w:rPr>
                      <w:rFonts w:hint="eastAsia" w:ascii="Times New Roman" w:hAnsi="宋体" w:cs="Times New Roman"/>
                      <w:color w:val="auto"/>
                      <w:sz w:val="21"/>
                      <w:szCs w:val="21"/>
                      <w:highlight w:val="none"/>
                      <w:lang w:val="en-US" w:eastAsia="zh-CN"/>
                    </w:rPr>
                    <w:t>/d</w:t>
                  </w:r>
                </w:p>
              </w:tc>
              <w:tc>
                <w:tcPr>
                  <w:tcW w:w="751" w:type="pct"/>
                  <w:tcBorders>
                    <w:tl2br w:val="nil"/>
                    <w:tr2bl w:val="nil"/>
                  </w:tcBorders>
                  <w:vAlign w:val="center"/>
                </w:tcPr>
                <w:p w14:paraId="16F8F4BF">
                  <w:pPr>
                    <w:adjustRightInd w:val="0"/>
                    <w:snapToGrid w:val="0"/>
                    <w:spacing w:line="276" w:lineRule="auto"/>
                    <w:jc w:val="center"/>
                    <w:rPr>
                      <w:rFonts w:hint="eastAsia" w:ascii="Times New Roman" w:hAnsi="宋体" w:cs="Times New Roman"/>
                      <w:color w:val="auto"/>
                      <w:sz w:val="21"/>
                      <w:szCs w:val="21"/>
                      <w:highlight w:val="none"/>
                      <w:lang w:val="en-US" w:eastAsia="zh-CN"/>
                    </w:rPr>
                  </w:pPr>
                  <w:r>
                    <w:rPr>
                      <w:rFonts w:hint="eastAsia" w:ascii="Times New Roman" w:hAnsi="宋体" w:cs="Times New Roman"/>
                      <w:color w:val="auto"/>
                      <w:sz w:val="21"/>
                      <w:szCs w:val="21"/>
                      <w:highlight w:val="none"/>
                      <w:lang w:val="en-US" w:eastAsia="zh-CN"/>
                    </w:rPr>
                    <w:t>排水量m</w:t>
                  </w:r>
                  <w:r>
                    <w:rPr>
                      <w:rFonts w:hint="eastAsia" w:ascii="Times New Roman" w:hAnsi="宋体" w:cs="Times New Roman"/>
                      <w:color w:val="auto"/>
                      <w:sz w:val="21"/>
                      <w:szCs w:val="21"/>
                      <w:highlight w:val="none"/>
                      <w:vertAlign w:val="superscript"/>
                      <w:lang w:val="en-US" w:eastAsia="zh-CN"/>
                    </w:rPr>
                    <w:t>3</w:t>
                  </w:r>
                  <w:r>
                    <w:rPr>
                      <w:rFonts w:hint="eastAsia" w:ascii="Times New Roman" w:hAnsi="宋体" w:cs="Times New Roman"/>
                      <w:color w:val="auto"/>
                      <w:sz w:val="21"/>
                      <w:szCs w:val="21"/>
                      <w:highlight w:val="none"/>
                      <w:lang w:val="en-US" w:eastAsia="zh-CN"/>
                    </w:rPr>
                    <w:t>/d</w:t>
                  </w:r>
                </w:p>
              </w:tc>
              <w:tc>
                <w:tcPr>
                  <w:tcW w:w="1812" w:type="pct"/>
                  <w:tcBorders>
                    <w:tl2br w:val="nil"/>
                    <w:tr2bl w:val="nil"/>
                  </w:tcBorders>
                  <w:vAlign w:val="center"/>
                </w:tcPr>
                <w:p w14:paraId="261808F7">
                  <w:pPr>
                    <w:adjustRightInd w:val="0"/>
                    <w:snapToGrid w:val="0"/>
                    <w:spacing w:line="276" w:lineRule="auto"/>
                    <w:jc w:val="center"/>
                    <w:rPr>
                      <w:rFonts w:hint="eastAsia" w:ascii="Times New Roman" w:hAnsi="宋体" w:cs="Times New Roman"/>
                      <w:color w:val="auto"/>
                      <w:sz w:val="21"/>
                      <w:szCs w:val="21"/>
                      <w:highlight w:val="none"/>
                      <w:lang w:val="en-US" w:eastAsia="zh-CN"/>
                    </w:rPr>
                  </w:pPr>
                  <w:r>
                    <w:rPr>
                      <w:rFonts w:hint="eastAsia" w:ascii="Times New Roman" w:hAnsi="宋体" w:cs="Times New Roman"/>
                      <w:color w:val="auto"/>
                      <w:sz w:val="21"/>
                      <w:szCs w:val="21"/>
                      <w:highlight w:val="none"/>
                      <w:lang w:val="en-US" w:eastAsia="zh-CN"/>
                    </w:rPr>
                    <w:t>拟排放去向</w:t>
                  </w:r>
                </w:p>
              </w:tc>
            </w:tr>
            <w:tr w14:paraId="27DE4CEA">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8" w:type="pct"/>
                  <w:tcBorders>
                    <w:tl2br w:val="nil"/>
                    <w:tr2bl w:val="nil"/>
                  </w:tcBorders>
                  <w:vAlign w:val="center"/>
                </w:tcPr>
                <w:p w14:paraId="2B010250">
                  <w:pPr>
                    <w:adjustRightInd w:val="0"/>
                    <w:snapToGrid w:val="0"/>
                    <w:spacing w:line="276" w:lineRule="auto"/>
                    <w:jc w:val="center"/>
                    <w:rPr>
                      <w:rFonts w:hint="default" w:ascii="Times New Roman" w:hAnsi="宋体" w:cs="Times New Roman"/>
                      <w:color w:val="auto"/>
                      <w:sz w:val="21"/>
                      <w:szCs w:val="21"/>
                      <w:highlight w:val="none"/>
                      <w:lang w:val="en-US" w:eastAsia="zh-CN"/>
                    </w:rPr>
                  </w:pPr>
                  <w:r>
                    <w:rPr>
                      <w:rFonts w:hint="eastAsia" w:cs="Times New Roman"/>
                      <w:bCs/>
                      <w:color w:val="auto"/>
                      <w:kern w:val="2"/>
                      <w:sz w:val="21"/>
                      <w:szCs w:val="21"/>
                      <w:highlight w:val="none"/>
                      <w:lang w:val="en-US" w:eastAsia="zh-CN" w:bidi="ar-SA"/>
                    </w:rPr>
                    <w:t>实验分析</w:t>
                  </w:r>
                  <w:r>
                    <w:rPr>
                      <w:rFonts w:hint="eastAsia" w:ascii="Times New Roman" w:hAnsi="Times New Roman" w:eastAsia="宋体" w:cs="Times New Roman"/>
                      <w:bCs/>
                      <w:color w:val="auto"/>
                      <w:kern w:val="2"/>
                      <w:sz w:val="21"/>
                      <w:szCs w:val="21"/>
                      <w:highlight w:val="none"/>
                      <w:lang w:val="en-US" w:eastAsia="zh-CN" w:bidi="ar-SA"/>
                    </w:rPr>
                    <w:t>用水</w:t>
                  </w:r>
                </w:p>
              </w:tc>
              <w:tc>
                <w:tcPr>
                  <w:tcW w:w="695" w:type="pct"/>
                  <w:tcBorders>
                    <w:tl2br w:val="nil"/>
                    <w:tr2bl w:val="nil"/>
                  </w:tcBorders>
                  <w:vAlign w:val="center"/>
                </w:tcPr>
                <w:p w14:paraId="585A809C">
                  <w:pPr>
                    <w:adjustRightInd w:val="0"/>
                    <w:snapToGrid w:val="0"/>
                    <w:spacing w:line="276" w:lineRule="auto"/>
                    <w:jc w:val="center"/>
                    <w:rPr>
                      <w:rFonts w:hint="default" w:ascii="Times New Roman" w:hAnsi="宋体" w:cs="Times New Roman"/>
                      <w:color w:val="auto"/>
                      <w:sz w:val="21"/>
                      <w:szCs w:val="21"/>
                      <w:highlight w:val="none"/>
                      <w:lang w:val="en-US" w:eastAsia="zh-CN"/>
                    </w:rPr>
                  </w:pPr>
                  <w:r>
                    <w:rPr>
                      <w:rFonts w:hint="eastAsia" w:hAnsi="宋体" w:cs="Times New Roman"/>
                      <w:color w:val="auto"/>
                      <w:sz w:val="21"/>
                      <w:szCs w:val="21"/>
                      <w:highlight w:val="none"/>
                      <w:lang w:val="en-US" w:eastAsia="zh-CN"/>
                    </w:rPr>
                    <w:t>/</w:t>
                  </w:r>
                </w:p>
              </w:tc>
              <w:tc>
                <w:tcPr>
                  <w:tcW w:w="521" w:type="pct"/>
                  <w:tcBorders>
                    <w:tl2br w:val="nil"/>
                    <w:tr2bl w:val="nil"/>
                  </w:tcBorders>
                  <w:vAlign w:val="center"/>
                </w:tcPr>
                <w:p w14:paraId="70E8EBBA">
                  <w:pPr>
                    <w:adjustRightInd w:val="0"/>
                    <w:snapToGrid w:val="0"/>
                    <w:spacing w:line="276" w:lineRule="auto"/>
                    <w:jc w:val="center"/>
                    <w:rPr>
                      <w:rFonts w:hint="eastAsia" w:hAnsi="宋体" w:cs="Times New Roman"/>
                      <w:color w:val="auto"/>
                      <w:sz w:val="21"/>
                      <w:szCs w:val="21"/>
                      <w:highlight w:val="none"/>
                      <w:lang w:val="en-US" w:eastAsia="zh-CN"/>
                    </w:rPr>
                  </w:pPr>
                  <w:r>
                    <w:rPr>
                      <w:rFonts w:hint="eastAsia" w:ascii="Times New Roman" w:hAnsi="宋体" w:cs="Times New Roman"/>
                      <w:color w:val="auto"/>
                      <w:sz w:val="21"/>
                      <w:szCs w:val="21"/>
                      <w:highlight w:val="none"/>
                      <w:lang w:val="en-US" w:eastAsia="zh-CN"/>
                    </w:rPr>
                    <w:t>0.01</w:t>
                  </w:r>
                </w:p>
              </w:tc>
              <w:tc>
                <w:tcPr>
                  <w:tcW w:w="670" w:type="pct"/>
                  <w:tcBorders>
                    <w:tl2br w:val="nil"/>
                    <w:tr2bl w:val="nil"/>
                  </w:tcBorders>
                  <w:vAlign w:val="center"/>
                </w:tcPr>
                <w:p w14:paraId="4B24CA7D">
                  <w:pPr>
                    <w:adjustRightInd w:val="0"/>
                    <w:snapToGrid w:val="0"/>
                    <w:spacing w:line="276" w:lineRule="auto"/>
                    <w:jc w:val="center"/>
                    <w:rPr>
                      <w:rFonts w:hint="default" w:ascii="Times New Roman" w:hAnsi="宋体" w:cs="Times New Roman"/>
                      <w:color w:val="auto"/>
                      <w:sz w:val="21"/>
                      <w:szCs w:val="21"/>
                      <w:highlight w:val="none"/>
                      <w:lang w:val="en-US" w:eastAsia="zh-CN"/>
                    </w:rPr>
                  </w:pPr>
                  <w:r>
                    <w:rPr>
                      <w:rFonts w:hint="eastAsia" w:hAnsi="宋体" w:cs="Times New Roman"/>
                      <w:color w:val="auto"/>
                      <w:sz w:val="21"/>
                      <w:szCs w:val="21"/>
                      <w:highlight w:val="none"/>
                      <w:lang w:val="en-US" w:eastAsia="zh-CN"/>
                    </w:rPr>
                    <w:t>/</w:t>
                  </w:r>
                </w:p>
              </w:tc>
              <w:tc>
                <w:tcPr>
                  <w:tcW w:w="751" w:type="pct"/>
                  <w:tcBorders>
                    <w:tl2br w:val="nil"/>
                    <w:tr2bl w:val="nil"/>
                  </w:tcBorders>
                  <w:vAlign w:val="center"/>
                </w:tcPr>
                <w:p w14:paraId="25781148">
                  <w:pPr>
                    <w:adjustRightInd w:val="0"/>
                    <w:snapToGrid w:val="0"/>
                    <w:spacing w:line="276" w:lineRule="auto"/>
                    <w:jc w:val="center"/>
                    <w:rPr>
                      <w:rFonts w:hint="default" w:ascii="Times New Roman" w:hAnsi="宋体" w:cs="Times New Roman"/>
                      <w:color w:val="auto"/>
                      <w:sz w:val="21"/>
                      <w:szCs w:val="21"/>
                      <w:highlight w:val="none"/>
                      <w:lang w:val="en-US" w:eastAsia="zh-CN"/>
                    </w:rPr>
                  </w:pPr>
                  <w:r>
                    <w:rPr>
                      <w:rFonts w:hint="eastAsia" w:ascii="Times New Roman" w:hAnsi="宋体" w:cs="Times New Roman"/>
                      <w:color w:val="auto"/>
                      <w:sz w:val="21"/>
                      <w:szCs w:val="21"/>
                      <w:highlight w:val="none"/>
                      <w:lang w:val="en-US" w:eastAsia="zh-CN"/>
                    </w:rPr>
                    <w:t>0.01（危废产生量）</w:t>
                  </w:r>
                </w:p>
              </w:tc>
              <w:tc>
                <w:tcPr>
                  <w:tcW w:w="1812" w:type="pct"/>
                  <w:tcBorders>
                    <w:tl2br w:val="nil"/>
                    <w:tr2bl w:val="nil"/>
                  </w:tcBorders>
                  <w:vAlign w:val="center"/>
                </w:tcPr>
                <w:p w14:paraId="3F015162">
                  <w:pPr>
                    <w:adjustRightInd w:val="0"/>
                    <w:snapToGrid w:val="0"/>
                    <w:spacing w:line="276" w:lineRule="auto"/>
                    <w:jc w:val="center"/>
                    <w:rPr>
                      <w:rFonts w:hint="default" w:ascii="Times New Roman" w:hAnsi="宋体" w:cs="Times New Roman"/>
                      <w:color w:val="auto"/>
                      <w:sz w:val="21"/>
                      <w:szCs w:val="21"/>
                      <w:highlight w:val="none"/>
                      <w:lang w:val="en-US" w:eastAsia="zh-CN"/>
                    </w:rPr>
                  </w:pPr>
                  <w:r>
                    <w:rPr>
                      <w:rFonts w:hint="eastAsia" w:hAnsi="宋体" w:cs="Times New Roman"/>
                      <w:color w:val="auto"/>
                      <w:sz w:val="21"/>
                      <w:szCs w:val="21"/>
                      <w:highlight w:val="none"/>
                      <w:lang w:val="en-US" w:eastAsia="zh-CN"/>
                    </w:rPr>
                    <w:t>作为</w:t>
                  </w:r>
                  <w:r>
                    <w:rPr>
                      <w:rFonts w:hint="eastAsia" w:ascii="Times New Roman" w:hAnsi="宋体" w:cs="Times New Roman"/>
                      <w:color w:val="auto"/>
                      <w:sz w:val="21"/>
                      <w:szCs w:val="21"/>
                      <w:highlight w:val="none"/>
                      <w:lang w:val="en-US" w:eastAsia="zh-CN"/>
                    </w:rPr>
                    <w:t>危险废物暂存于</w:t>
                  </w:r>
                  <w:r>
                    <w:rPr>
                      <w:rFonts w:hint="eastAsia" w:hAnsi="宋体" w:cs="Times New Roman"/>
                      <w:color w:val="auto"/>
                      <w:sz w:val="21"/>
                      <w:szCs w:val="21"/>
                      <w:highlight w:val="none"/>
                      <w:lang w:val="en-US" w:eastAsia="zh-CN"/>
                    </w:rPr>
                    <w:t>危险废物收集桶内</w:t>
                  </w:r>
                  <w:r>
                    <w:rPr>
                      <w:rFonts w:hint="eastAsia" w:ascii="Times New Roman" w:hAnsi="宋体" w:cs="Times New Roman"/>
                      <w:color w:val="auto"/>
                      <w:sz w:val="21"/>
                      <w:szCs w:val="21"/>
                      <w:highlight w:val="none"/>
                      <w:lang w:val="en-US" w:eastAsia="zh-CN"/>
                    </w:rPr>
                    <w:t>，定期交由有资质单位统一处置</w:t>
                  </w:r>
                </w:p>
              </w:tc>
            </w:tr>
            <w:tr w14:paraId="2374CA1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8" w:type="pct"/>
                  <w:tcBorders>
                    <w:tl2br w:val="nil"/>
                    <w:tr2bl w:val="nil"/>
                  </w:tcBorders>
                  <w:vAlign w:val="center"/>
                </w:tcPr>
                <w:p w14:paraId="7D9A5E76">
                  <w:pPr>
                    <w:adjustRightInd w:val="0"/>
                    <w:snapToGrid w:val="0"/>
                    <w:spacing w:line="276" w:lineRule="auto"/>
                    <w:jc w:val="center"/>
                    <w:rPr>
                      <w:rFonts w:hint="eastAsia" w:ascii="Times New Roman" w:hAnsi="宋体" w:cs="Times New Roman"/>
                      <w:color w:val="auto"/>
                      <w:sz w:val="21"/>
                      <w:szCs w:val="21"/>
                      <w:highlight w:val="none"/>
                      <w:lang w:val="en-US" w:eastAsia="zh-CN"/>
                    </w:rPr>
                  </w:pPr>
                  <w:r>
                    <w:rPr>
                      <w:rFonts w:hint="eastAsia" w:ascii="Times New Roman" w:hAnsi="Times New Roman" w:eastAsia="宋体" w:cs="Times New Roman"/>
                      <w:bCs/>
                      <w:color w:val="auto"/>
                      <w:kern w:val="2"/>
                      <w:sz w:val="21"/>
                      <w:szCs w:val="21"/>
                      <w:highlight w:val="none"/>
                      <w:lang w:val="en-US" w:eastAsia="zh-CN" w:bidi="ar-SA"/>
                    </w:rPr>
                    <w:t>实验室设备用水</w:t>
                  </w:r>
                </w:p>
              </w:tc>
              <w:tc>
                <w:tcPr>
                  <w:tcW w:w="695" w:type="pct"/>
                  <w:tcBorders>
                    <w:tl2br w:val="nil"/>
                    <w:tr2bl w:val="nil"/>
                  </w:tcBorders>
                  <w:vAlign w:val="center"/>
                </w:tcPr>
                <w:p w14:paraId="37401BB1">
                  <w:pPr>
                    <w:adjustRightInd w:val="0"/>
                    <w:snapToGrid w:val="0"/>
                    <w:spacing w:line="276" w:lineRule="auto"/>
                    <w:jc w:val="center"/>
                    <w:rPr>
                      <w:rFonts w:hint="eastAsia" w:ascii="Times New Roman" w:hAnsi="宋体" w:cs="Times New Roman"/>
                      <w:color w:val="auto"/>
                      <w:sz w:val="21"/>
                      <w:szCs w:val="21"/>
                      <w:highlight w:val="none"/>
                      <w:lang w:val="en-US" w:eastAsia="zh-CN"/>
                    </w:rPr>
                  </w:pPr>
                  <w:r>
                    <w:rPr>
                      <w:rFonts w:hint="eastAsia" w:hAnsi="宋体" w:cs="Times New Roman"/>
                      <w:color w:val="auto"/>
                      <w:sz w:val="21"/>
                      <w:szCs w:val="21"/>
                      <w:highlight w:val="none"/>
                      <w:lang w:val="en-US" w:eastAsia="zh-CN"/>
                    </w:rPr>
                    <w:t>/</w:t>
                  </w:r>
                </w:p>
              </w:tc>
              <w:tc>
                <w:tcPr>
                  <w:tcW w:w="521" w:type="pct"/>
                  <w:tcBorders>
                    <w:tl2br w:val="nil"/>
                    <w:tr2bl w:val="nil"/>
                  </w:tcBorders>
                  <w:vAlign w:val="center"/>
                </w:tcPr>
                <w:p w14:paraId="08DE09CD">
                  <w:pPr>
                    <w:adjustRightInd w:val="0"/>
                    <w:snapToGrid w:val="0"/>
                    <w:spacing w:line="276" w:lineRule="auto"/>
                    <w:jc w:val="center"/>
                    <w:rPr>
                      <w:rFonts w:hint="eastAsia"/>
                      <w:color w:val="auto"/>
                      <w:sz w:val="21"/>
                      <w:szCs w:val="21"/>
                      <w:highlight w:val="none"/>
                      <w:lang w:val="en-US" w:eastAsia="zh-CN"/>
                    </w:rPr>
                  </w:pPr>
                  <w:r>
                    <w:rPr>
                      <w:rFonts w:hint="eastAsia"/>
                      <w:color w:val="auto"/>
                      <w:sz w:val="21"/>
                      <w:szCs w:val="21"/>
                      <w:highlight w:val="none"/>
                      <w:lang w:val="en-US" w:eastAsia="zh-CN"/>
                    </w:rPr>
                    <w:t>0.00252</w:t>
                  </w:r>
                </w:p>
              </w:tc>
              <w:tc>
                <w:tcPr>
                  <w:tcW w:w="670" w:type="pct"/>
                  <w:tcBorders>
                    <w:tl2br w:val="nil"/>
                    <w:tr2bl w:val="nil"/>
                  </w:tcBorders>
                  <w:vAlign w:val="center"/>
                </w:tcPr>
                <w:p w14:paraId="3E7C1DE5">
                  <w:pPr>
                    <w:adjustRightInd w:val="0"/>
                    <w:snapToGrid w:val="0"/>
                    <w:spacing w:line="276" w:lineRule="auto"/>
                    <w:jc w:val="center"/>
                    <w:rPr>
                      <w:rFonts w:hint="eastAsia" w:hAnsi="宋体" w:cs="Times New Roman"/>
                      <w:color w:val="auto"/>
                      <w:sz w:val="21"/>
                      <w:szCs w:val="21"/>
                      <w:highlight w:val="none"/>
                      <w:lang w:val="en-US" w:eastAsia="zh-CN"/>
                    </w:rPr>
                  </w:pPr>
                  <w:r>
                    <w:rPr>
                      <w:rFonts w:hint="eastAsia"/>
                      <w:color w:val="auto"/>
                      <w:sz w:val="21"/>
                      <w:szCs w:val="21"/>
                      <w:highlight w:val="none"/>
                      <w:lang w:val="en-US" w:eastAsia="zh-CN"/>
                    </w:rPr>
                    <w:t>0.00252</w:t>
                  </w:r>
                </w:p>
              </w:tc>
              <w:tc>
                <w:tcPr>
                  <w:tcW w:w="751" w:type="pct"/>
                  <w:tcBorders>
                    <w:tl2br w:val="nil"/>
                    <w:tr2bl w:val="nil"/>
                  </w:tcBorders>
                  <w:vAlign w:val="center"/>
                </w:tcPr>
                <w:p w14:paraId="553C8BF1">
                  <w:pPr>
                    <w:adjustRightInd w:val="0"/>
                    <w:snapToGrid w:val="0"/>
                    <w:spacing w:line="276" w:lineRule="auto"/>
                    <w:jc w:val="center"/>
                    <w:rPr>
                      <w:rFonts w:hint="default" w:ascii="Times New Roman" w:hAnsi="宋体" w:cs="Times New Roman"/>
                      <w:color w:val="auto"/>
                      <w:sz w:val="21"/>
                      <w:szCs w:val="21"/>
                      <w:highlight w:val="none"/>
                      <w:lang w:val="en-US" w:eastAsia="zh-CN"/>
                    </w:rPr>
                  </w:pPr>
                  <w:r>
                    <w:rPr>
                      <w:rFonts w:hint="eastAsia" w:hAnsi="宋体" w:cs="Times New Roman"/>
                      <w:color w:val="auto"/>
                      <w:sz w:val="21"/>
                      <w:szCs w:val="21"/>
                      <w:highlight w:val="none"/>
                      <w:lang w:val="en-US" w:eastAsia="zh-CN"/>
                    </w:rPr>
                    <w:t>/</w:t>
                  </w:r>
                </w:p>
              </w:tc>
              <w:tc>
                <w:tcPr>
                  <w:tcW w:w="1812" w:type="pct"/>
                  <w:tcBorders>
                    <w:tl2br w:val="nil"/>
                    <w:tr2bl w:val="nil"/>
                  </w:tcBorders>
                  <w:vAlign w:val="center"/>
                </w:tcPr>
                <w:p w14:paraId="4D1527B0">
                  <w:pPr>
                    <w:adjustRightInd w:val="0"/>
                    <w:snapToGrid w:val="0"/>
                    <w:spacing w:line="276" w:lineRule="auto"/>
                    <w:jc w:val="center"/>
                    <w:rPr>
                      <w:rFonts w:hint="default" w:ascii="Times New Roman" w:hAnsi="宋体" w:cs="Times New Roman"/>
                      <w:color w:val="auto"/>
                      <w:sz w:val="21"/>
                      <w:szCs w:val="21"/>
                      <w:highlight w:val="none"/>
                      <w:lang w:val="en-US" w:eastAsia="zh-CN"/>
                    </w:rPr>
                  </w:pPr>
                  <w:r>
                    <w:rPr>
                      <w:rFonts w:hint="eastAsia" w:hAnsi="宋体" w:cs="Times New Roman"/>
                      <w:color w:val="auto"/>
                      <w:sz w:val="21"/>
                      <w:szCs w:val="21"/>
                      <w:highlight w:val="none"/>
                      <w:lang w:val="en-US" w:eastAsia="zh-CN"/>
                    </w:rPr>
                    <w:t>蒸发损失</w:t>
                  </w:r>
                </w:p>
              </w:tc>
            </w:tr>
            <w:tr w14:paraId="0B1F5B2F">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8" w:type="pct"/>
                  <w:tcBorders>
                    <w:tl2br w:val="nil"/>
                    <w:tr2bl w:val="nil"/>
                  </w:tcBorders>
                  <w:vAlign w:val="center"/>
                </w:tcPr>
                <w:p w14:paraId="68AC11A2">
                  <w:pPr>
                    <w:adjustRightInd w:val="0"/>
                    <w:snapToGrid w:val="0"/>
                    <w:spacing w:line="276" w:lineRule="auto"/>
                    <w:jc w:val="center"/>
                    <w:rPr>
                      <w:rFonts w:hint="default" w:ascii="Times New Roman" w:hAnsi="宋体" w:cs="Times New Roman"/>
                      <w:color w:val="auto"/>
                      <w:sz w:val="21"/>
                      <w:szCs w:val="21"/>
                      <w:highlight w:val="none"/>
                      <w:lang w:val="en-US" w:eastAsia="zh-CN"/>
                    </w:rPr>
                  </w:pPr>
                  <w:r>
                    <w:rPr>
                      <w:rFonts w:hint="eastAsia" w:hAnsi="宋体" w:cs="Times New Roman"/>
                      <w:color w:val="auto"/>
                      <w:sz w:val="21"/>
                      <w:szCs w:val="21"/>
                      <w:highlight w:val="none"/>
                      <w:lang w:val="en-US" w:eastAsia="zh-CN"/>
                    </w:rPr>
                    <w:t>纯水</w:t>
                  </w:r>
                  <w:r>
                    <w:rPr>
                      <w:rFonts w:hint="eastAsia" w:ascii="Times New Roman" w:hAnsi="宋体" w:cs="Times New Roman"/>
                      <w:color w:val="auto"/>
                      <w:sz w:val="21"/>
                      <w:szCs w:val="21"/>
                      <w:highlight w:val="none"/>
                      <w:lang w:val="en-US" w:eastAsia="zh-CN"/>
                    </w:rPr>
                    <w:t>制备</w:t>
                  </w:r>
                </w:p>
              </w:tc>
              <w:tc>
                <w:tcPr>
                  <w:tcW w:w="695" w:type="pct"/>
                  <w:tcBorders>
                    <w:tl2br w:val="nil"/>
                    <w:tr2bl w:val="nil"/>
                  </w:tcBorders>
                  <w:vAlign w:val="center"/>
                </w:tcPr>
                <w:p w14:paraId="5F1D5419">
                  <w:pPr>
                    <w:adjustRightInd w:val="0"/>
                    <w:snapToGrid w:val="0"/>
                    <w:spacing w:line="276" w:lineRule="auto"/>
                    <w:jc w:val="center"/>
                    <w:rPr>
                      <w:rFonts w:hint="default" w:ascii="Times New Roman" w:hAnsi="宋体" w:cs="Times New Roman"/>
                      <w:color w:val="0000FF"/>
                      <w:sz w:val="21"/>
                      <w:szCs w:val="21"/>
                      <w:highlight w:val="none"/>
                      <w:lang w:val="en-US" w:eastAsia="zh-CN"/>
                    </w:rPr>
                  </w:pPr>
                  <w:r>
                    <w:rPr>
                      <w:rFonts w:hint="eastAsia" w:cs="Times New Roman"/>
                      <w:bCs/>
                      <w:color w:val="auto"/>
                      <w:sz w:val="21"/>
                      <w:szCs w:val="21"/>
                      <w:highlight w:val="none"/>
                      <w:lang w:val="en-US" w:eastAsia="zh-CN"/>
                    </w:rPr>
                    <w:t>0.0369</w:t>
                  </w:r>
                </w:p>
              </w:tc>
              <w:tc>
                <w:tcPr>
                  <w:tcW w:w="521" w:type="pct"/>
                  <w:tcBorders>
                    <w:tl2br w:val="nil"/>
                    <w:tr2bl w:val="nil"/>
                  </w:tcBorders>
                  <w:vAlign w:val="center"/>
                </w:tcPr>
                <w:p w14:paraId="0E3F4967">
                  <w:pPr>
                    <w:adjustRightInd w:val="0"/>
                    <w:snapToGrid w:val="0"/>
                    <w:spacing w:line="276" w:lineRule="auto"/>
                    <w:jc w:val="center"/>
                    <w:rPr>
                      <w:rFonts w:hint="default" w:hAnsi="宋体" w:cs="Times New Roman"/>
                      <w:color w:val="auto"/>
                      <w:sz w:val="21"/>
                      <w:szCs w:val="21"/>
                      <w:highlight w:val="none"/>
                      <w:lang w:val="en-US" w:eastAsia="zh-CN"/>
                    </w:rPr>
                  </w:pPr>
                  <w:r>
                    <w:rPr>
                      <w:rFonts w:hint="eastAsia" w:hAnsi="宋体" w:cs="Times New Roman"/>
                      <w:color w:val="auto"/>
                      <w:sz w:val="21"/>
                      <w:szCs w:val="21"/>
                      <w:highlight w:val="none"/>
                      <w:lang w:val="en-US" w:eastAsia="zh-CN"/>
                    </w:rPr>
                    <w:t>0.0275（纯水产生量）</w:t>
                  </w:r>
                </w:p>
              </w:tc>
              <w:tc>
                <w:tcPr>
                  <w:tcW w:w="670" w:type="pct"/>
                  <w:tcBorders>
                    <w:tl2br w:val="nil"/>
                    <w:tr2bl w:val="nil"/>
                  </w:tcBorders>
                  <w:vAlign w:val="center"/>
                </w:tcPr>
                <w:p w14:paraId="4673BB64">
                  <w:pPr>
                    <w:adjustRightInd w:val="0"/>
                    <w:snapToGrid w:val="0"/>
                    <w:spacing w:line="276" w:lineRule="auto"/>
                    <w:jc w:val="center"/>
                    <w:rPr>
                      <w:rFonts w:hint="default" w:hAnsi="宋体" w:cs="Times New Roman"/>
                      <w:color w:val="auto"/>
                      <w:sz w:val="21"/>
                      <w:szCs w:val="21"/>
                      <w:highlight w:val="none"/>
                      <w:lang w:val="en-US" w:eastAsia="zh-CN"/>
                    </w:rPr>
                  </w:pPr>
                  <w:r>
                    <w:rPr>
                      <w:rFonts w:hint="eastAsia" w:hAnsi="宋体" w:cs="Times New Roman"/>
                      <w:color w:val="auto"/>
                      <w:sz w:val="21"/>
                      <w:szCs w:val="21"/>
                      <w:highlight w:val="none"/>
                      <w:lang w:val="en-US" w:eastAsia="zh-CN"/>
                    </w:rPr>
                    <w:t>/</w:t>
                  </w:r>
                </w:p>
              </w:tc>
              <w:tc>
                <w:tcPr>
                  <w:tcW w:w="751" w:type="pct"/>
                  <w:tcBorders>
                    <w:tl2br w:val="nil"/>
                    <w:tr2bl w:val="nil"/>
                  </w:tcBorders>
                  <w:vAlign w:val="center"/>
                </w:tcPr>
                <w:p w14:paraId="319F4CFC">
                  <w:pPr>
                    <w:adjustRightInd w:val="0"/>
                    <w:snapToGrid w:val="0"/>
                    <w:spacing w:line="276" w:lineRule="auto"/>
                    <w:jc w:val="center"/>
                    <w:rPr>
                      <w:rFonts w:hint="default" w:ascii="Times New Roman" w:hAnsi="宋体" w:cs="Times New Roman"/>
                      <w:color w:val="auto"/>
                      <w:sz w:val="21"/>
                      <w:szCs w:val="21"/>
                      <w:highlight w:val="none"/>
                      <w:lang w:val="en-US" w:eastAsia="zh-CN"/>
                    </w:rPr>
                  </w:pPr>
                  <w:r>
                    <w:rPr>
                      <w:rFonts w:hint="eastAsia" w:cs="Times New Roman"/>
                      <w:color w:val="auto"/>
                      <w:sz w:val="21"/>
                      <w:szCs w:val="21"/>
                      <w:highlight w:val="none"/>
                      <w:lang w:val="en-US" w:eastAsia="zh-CN"/>
                    </w:rPr>
                    <w:t>0.0094</w:t>
                  </w:r>
                </w:p>
              </w:tc>
              <w:tc>
                <w:tcPr>
                  <w:tcW w:w="1812" w:type="pct"/>
                  <w:tcBorders>
                    <w:tl2br w:val="nil"/>
                    <w:tr2bl w:val="nil"/>
                  </w:tcBorders>
                  <w:vAlign w:val="center"/>
                </w:tcPr>
                <w:p w14:paraId="2F19DBC6">
                  <w:pPr>
                    <w:adjustRightInd w:val="0"/>
                    <w:snapToGrid w:val="0"/>
                    <w:spacing w:line="276" w:lineRule="auto"/>
                    <w:jc w:val="center"/>
                    <w:rPr>
                      <w:rFonts w:hint="eastAsia" w:ascii="Times New Roman" w:hAnsi="宋体" w:cs="Times New Roman"/>
                      <w:color w:val="0000FF"/>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纯水制备废水</w:t>
                  </w:r>
                  <w:r>
                    <w:rPr>
                      <w:rFonts w:hint="eastAsia" w:cs="Times New Roman"/>
                      <w:color w:val="auto"/>
                      <w:sz w:val="21"/>
                      <w:szCs w:val="21"/>
                      <w:highlight w:val="none"/>
                      <w:lang w:val="en-US" w:eastAsia="zh-CN"/>
                    </w:rPr>
                    <w:t>用于厂区洒水抑尘</w:t>
                  </w:r>
                </w:p>
              </w:tc>
            </w:tr>
            <w:tr w14:paraId="608F60CB">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8" w:type="pct"/>
                  <w:tcBorders>
                    <w:tl2br w:val="nil"/>
                    <w:tr2bl w:val="nil"/>
                  </w:tcBorders>
                  <w:vAlign w:val="center"/>
                </w:tcPr>
                <w:p w14:paraId="1A1D1889">
                  <w:pPr>
                    <w:adjustRightInd w:val="0"/>
                    <w:snapToGrid w:val="0"/>
                    <w:spacing w:line="276" w:lineRule="auto"/>
                    <w:jc w:val="center"/>
                    <w:rPr>
                      <w:rFonts w:hint="eastAsia" w:ascii="Times New Roman" w:hAnsi="宋体" w:eastAsia="宋体" w:cs="Times New Roman"/>
                      <w:color w:val="auto"/>
                      <w:kern w:val="2"/>
                      <w:sz w:val="21"/>
                      <w:szCs w:val="21"/>
                      <w:highlight w:val="none"/>
                      <w:lang w:val="en-US" w:eastAsia="zh-CN" w:bidi="ar-SA"/>
                    </w:rPr>
                  </w:pPr>
                  <w:r>
                    <w:rPr>
                      <w:rFonts w:hint="eastAsia" w:ascii="Times New Roman" w:hAnsi="宋体" w:cs="Times New Roman"/>
                      <w:color w:val="auto"/>
                      <w:sz w:val="21"/>
                      <w:szCs w:val="21"/>
                      <w:highlight w:val="none"/>
                      <w:lang w:val="en-US" w:eastAsia="zh-CN"/>
                    </w:rPr>
                    <w:t>实验器皿清洗用水</w:t>
                  </w:r>
                </w:p>
              </w:tc>
              <w:tc>
                <w:tcPr>
                  <w:tcW w:w="695" w:type="pct"/>
                  <w:tcBorders>
                    <w:tl2br w:val="nil"/>
                    <w:tr2bl w:val="nil"/>
                  </w:tcBorders>
                  <w:vAlign w:val="center"/>
                </w:tcPr>
                <w:p w14:paraId="4D89C0AF">
                  <w:pPr>
                    <w:adjustRightInd w:val="0"/>
                    <w:snapToGrid w:val="0"/>
                    <w:spacing w:line="276" w:lineRule="auto"/>
                    <w:jc w:val="center"/>
                    <w:rPr>
                      <w:rFonts w:hint="default" w:ascii="Times New Roman" w:hAnsi="宋体" w:eastAsia="宋体" w:cs="Times New Roman"/>
                      <w:color w:val="auto"/>
                      <w:kern w:val="2"/>
                      <w:sz w:val="21"/>
                      <w:szCs w:val="21"/>
                      <w:highlight w:val="none"/>
                      <w:lang w:val="en-US" w:eastAsia="zh-CN" w:bidi="ar-SA"/>
                    </w:rPr>
                  </w:pPr>
                  <w:r>
                    <w:rPr>
                      <w:rFonts w:hint="eastAsia" w:ascii="Times New Roman" w:hAnsi="Times New Roman" w:eastAsia="宋体" w:cs="Times New Roman"/>
                      <w:bCs/>
                      <w:color w:val="auto"/>
                      <w:sz w:val="21"/>
                      <w:szCs w:val="21"/>
                      <w:highlight w:val="none"/>
                      <w:lang w:val="zh-CN" w:eastAsia="zh-CN"/>
                    </w:rPr>
                    <w:t>0.</w:t>
                  </w:r>
                  <w:r>
                    <w:rPr>
                      <w:rFonts w:hint="eastAsia" w:cs="Times New Roman"/>
                      <w:bCs/>
                      <w:color w:val="auto"/>
                      <w:sz w:val="21"/>
                      <w:szCs w:val="21"/>
                      <w:highlight w:val="none"/>
                      <w:lang w:val="en-US" w:eastAsia="zh-CN"/>
                    </w:rPr>
                    <w:t>0078</w:t>
                  </w:r>
                </w:p>
              </w:tc>
              <w:tc>
                <w:tcPr>
                  <w:tcW w:w="521" w:type="pct"/>
                  <w:tcBorders>
                    <w:tl2br w:val="nil"/>
                    <w:tr2bl w:val="nil"/>
                  </w:tcBorders>
                  <w:vAlign w:val="center"/>
                </w:tcPr>
                <w:p w14:paraId="72992A70">
                  <w:pPr>
                    <w:adjustRightInd w:val="0"/>
                    <w:snapToGrid w:val="0"/>
                    <w:spacing w:line="276" w:lineRule="auto"/>
                    <w:jc w:val="center"/>
                    <w:rPr>
                      <w:rFonts w:hint="eastAsia" w:hAnsi="宋体" w:cs="Times New Roman"/>
                      <w:color w:val="auto"/>
                      <w:sz w:val="21"/>
                      <w:szCs w:val="21"/>
                      <w:highlight w:val="none"/>
                      <w:lang w:val="en-US" w:eastAsia="zh-CN"/>
                    </w:rPr>
                  </w:pPr>
                  <w:r>
                    <w:rPr>
                      <w:rFonts w:hint="eastAsia" w:cs="Times New Roman"/>
                      <w:bCs/>
                      <w:color w:val="auto"/>
                      <w:sz w:val="21"/>
                      <w:szCs w:val="21"/>
                      <w:highlight w:val="none"/>
                      <w:lang w:val="en-US" w:eastAsia="zh-CN"/>
                    </w:rPr>
                    <w:t>0.015</w:t>
                  </w:r>
                </w:p>
              </w:tc>
              <w:tc>
                <w:tcPr>
                  <w:tcW w:w="670" w:type="pct"/>
                  <w:tcBorders>
                    <w:tl2br w:val="nil"/>
                    <w:tr2bl w:val="nil"/>
                  </w:tcBorders>
                  <w:vAlign w:val="center"/>
                </w:tcPr>
                <w:p w14:paraId="1434077F">
                  <w:pPr>
                    <w:adjustRightInd w:val="0"/>
                    <w:snapToGrid w:val="0"/>
                    <w:spacing w:line="276" w:lineRule="auto"/>
                    <w:jc w:val="center"/>
                    <w:rPr>
                      <w:rFonts w:hint="default" w:ascii="Times New Roman" w:hAnsi="宋体" w:cs="Times New Roman"/>
                      <w:color w:val="auto"/>
                      <w:sz w:val="21"/>
                      <w:szCs w:val="21"/>
                      <w:highlight w:val="none"/>
                      <w:lang w:val="en-US" w:eastAsia="zh-CN"/>
                    </w:rPr>
                  </w:pPr>
                  <w:r>
                    <w:rPr>
                      <w:rFonts w:hint="eastAsia" w:hAnsi="宋体" w:cs="Times New Roman"/>
                      <w:color w:val="auto"/>
                      <w:sz w:val="21"/>
                      <w:szCs w:val="21"/>
                      <w:highlight w:val="none"/>
                      <w:lang w:val="en-US" w:eastAsia="zh-CN"/>
                    </w:rPr>
                    <w:t>/</w:t>
                  </w:r>
                </w:p>
              </w:tc>
              <w:tc>
                <w:tcPr>
                  <w:tcW w:w="751" w:type="pct"/>
                  <w:tcBorders>
                    <w:tl2br w:val="nil"/>
                    <w:tr2bl w:val="nil"/>
                  </w:tcBorders>
                  <w:vAlign w:val="center"/>
                </w:tcPr>
                <w:p w14:paraId="4344C5DB">
                  <w:pPr>
                    <w:adjustRightInd w:val="0"/>
                    <w:snapToGrid w:val="0"/>
                    <w:spacing w:line="276" w:lineRule="auto"/>
                    <w:jc w:val="center"/>
                    <w:rPr>
                      <w:rFonts w:hint="eastAsia" w:ascii="Times New Roman" w:hAnsi="宋体" w:eastAsia="宋体" w:cs="Times New Roman"/>
                      <w:color w:val="auto"/>
                      <w:kern w:val="2"/>
                      <w:sz w:val="21"/>
                      <w:szCs w:val="21"/>
                      <w:highlight w:val="none"/>
                      <w:lang w:val="en-US" w:eastAsia="zh-CN" w:bidi="ar-SA"/>
                    </w:rPr>
                  </w:pPr>
                  <w:r>
                    <w:rPr>
                      <w:rFonts w:hint="eastAsia" w:ascii="Times New Roman" w:hAnsi="Times New Roman" w:eastAsia="宋体" w:cs="Times New Roman"/>
                      <w:bCs/>
                      <w:color w:val="auto"/>
                      <w:sz w:val="21"/>
                      <w:szCs w:val="21"/>
                      <w:highlight w:val="none"/>
                      <w:lang w:val="zh-CN" w:eastAsia="zh-CN"/>
                    </w:rPr>
                    <w:t>0.</w:t>
                  </w:r>
                  <w:r>
                    <w:rPr>
                      <w:rFonts w:hint="eastAsia" w:cs="Times New Roman"/>
                      <w:bCs/>
                      <w:color w:val="auto"/>
                      <w:sz w:val="21"/>
                      <w:szCs w:val="21"/>
                      <w:highlight w:val="none"/>
                      <w:lang w:val="en-US" w:eastAsia="zh-CN"/>
                    </w:rPr>
                    <w:t>0228</w:t>
                  </w:r>
                  <w:r>
                    <w:rPr>
                      <w:rFonts w:hint="eastAsia" w:ascii="Times New Roman" w:hAnsi="宋体" w:cs="Times New Roman"/>
                      <w:color w:val="auto"/>
                      <w:sz w:val="21"/>
                      <w:szCs w:val="21"/>
                      <w:highlight w:val="none"/>
                      <w:lang w:val="en-US" w:eastAsia="zh-CN"/>
                    </w:rPr>
                    <w:t>（危废产生量）</w:t>
                  </w:r>
                </w:p>
              </w:tc>
              <w:tc>
                <w:tcPr>
                  <w:tcW w:w="1812" w:type="pct"/>
                  <w:tcBorders>
                    <w:tl2br w:val="nil"/>
                    <w:tr2bl w:val="nil"/>
                  </w:tcBorders>
                  <w:vAlign w:val="center"/>
                </w:tcPr>
                <w:p w14:paraId="66DE240C">
                  <w:pPr>
                    <w:adjustRightInd w:val="0"/>
                    <w:snapToGrid w:val="0"/>
                    <w:spacing w:line="276" w:lineRule="auto"/>
                    <w:jc w:val="center"/>
                    <w:rPr>
                      <w:rFonts w:hint="eastAsia" w:ascii="Times New Roman" w:hAnsi="宋体" w:cs="Times New Roman"/>
                      <w:color w:val="auto"/>
                      <w:sz w:val="21"/>
                      <w:szCs w:val="21"/>
                      <w:highlight w:val="none"/>
                      <w:lang w:val="en-US" w:eastAsia="zh-CN"/>
                    </w:rPr>
                  </w:pPr>
                  <w:r>
                    <w:rPr>
                      <w:rFonts w:hint="eastAsia" w:hAnsi="宋体" w:cs="Times New Roman"/>
                      <w:color w:val="auto"/>
                      <w:sz w:val="21"/>
                      <w:szCs w:val="21"/>
                      <w:highlight w:val="none"/>
                      <w:lang w:val="en-US" w:eastAsia="zh-CN"/>
                    </w:rPr>
                    <w:t>作为</w:t>
                  </w:r>
                  <w:r>
                    <w:rPr>
                      <w:rFonts w:hint="eastAsia" w:ascii="Times New Roman" w:hAnsi="宋体" w:cs="Times New Roman"/>
                      <w:color w:val="auto"/>
                      <w:sz w:val="21"/>
                      <w:szCs w:val="21"/>
                      <w:highlight w:val="none"/>
                      <w:lang w:val="en-US" w:eastAsia="zh-CN"/>
                    </w:rPr>
                    <w:t>危险废物暂存于</w:t>
                  </w:r>
                  <w:r>
                    <w:rPr>
                      <w:rFonts w:hint="eastAsia" w:hAnsi="宋体" w:cs="Times New Roman"/>
                      <w:color w:val="auto"/>
                      <w:sz w:val="21"/>
                      <w:szCs w:val="21"/>
                      <w:highlight w:val="none"/>
                      <w:lang w:val="en-US" w:eastAsia="zh-CN"/>
                    </w:rPr>
                    <w:t>危险废物收集桶内</w:t>
                  </w:r>
                  <w:r>
                    <w:rPr>
                      <w:rFonts w:hint="eastAsia" w:ascii="Times New Roman" w:hAnsi="宋体" w:cs="Times New Roman"/>
                      <w:color w:val="auto"/>
                      <w:sz w:val="21"/>
                      <w:szCs w:val="21"/>
                      <w:highlight w:val="none"/>
                      <w:lang w:val="en-US" w:eastAsia="zh-CN"/>
                    </w:rPr>
                    <w:t>，定期交由有资质单位统一处置</w:t>
                  </w:r>
                </w:p>
              </w:tc>
            </w:tr>
            <w:tr w14:paraId="2175FD0F">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8" w:type="pct"/>
                  <w:tcBorders>
                    <w:tl2br w:val="nil"/>
                    <w:tr2bl w:val="nil"/>
                  </w:tcBorders>
                  <w:vAlign w:val="center"/>
                </w:tcPr>
                <w:p w14:paraId="18B3E591">
                  <w:pPr>
                    <w:adjustRightInd w:val="0"/>
                    <w:snapToGrid w:val="0"/>
                    <w:spacing w:line="276" w:lineRule="auto"/>
                    <w:jc w:val="center"/>
                    <w:rPr>
                      <w:rFonts w:hint="default" w:hAnsi="宋体" w:cs="Times New Roman"/>
                      <w:color w:val="auto"/>
                      <w:sz w:val="21"/>
                      <w:szCs w:val="21"/>
                      <w:highlight w:val="none"/>
                      <w:lang w:val="en-US" w:eastAsia="zh-CN"/>
                    </w:rPr>
                  </w:pPr>
                  <w:r>
                    <w:rPr>
                      <w:rFonts w:hint="eastAsia" w:hAnsi="宋体" w:cs="Times New Roman"/>
                      <w:color w:val="auto"/>
                      <w:sz w:val="21"/>
                      <w:szCs w:val="21"/>
                      <w:highlight w:val="none"/>
                      <w:lang w:val="en-US" w:eastAsia="zh-CN"/>
                    </w:rPr>
                    <w:t>合计</w:t>
                  </w:r>
                </w:p>
              </w:tc>
              <w:tc>
                <w:tcPr>
                  <w:tcW w:w="695" w:type="pct"/>
                  <w:tcBorders>
                    <w:tl2br w:val="nil"/>
                    <w:tr2bl w:val="nil"/>
                  </w:tcBorders>
                  <w:vAlign w:val="center"/>
                </w:tcPr>
                <w:p w14:paraId="704986CB">
                  <w:pPr>
                    <w:adjustRightInd w:val="0"/>
                    <w:snapToGrid w:val="0"/>
                    <w:spacing w:line="276" w:lineRule="auto"/>
                    <w:jc w:val="center"/>
                    <w:rPr>
                      <w:rFonts w:hint="default" w:hAnsi="宋体" w:cs="Times New Roman"/>
                      <w:color w:val="auto"/>
                      <w:sz w:val="21"/>
                      <w:szCs w:val="21"/>
                      <w:highlight w:val="none"/>
                      <w:lang w:val="en-US" w:eastAsia="zh-CN"/>
                    </w:rPr>
                  </w:pPr>
                  <w:r>
                    <w:rPr>
                      <w:rFonts w:hint="default" w:hAnsi="宋体" w:cs="Times New Roman"/>
                      <w:color w:val="auto"/>
                      <w:sz w:val="21"/>
                      <w:szCs w:val="21"/>
                      <w:highlight w:val="none"/>
                      <w:lang w:val="en-US" w:eastAsia="zh-CN"/>
                    </w:rPr>
                    <w:t>0.</w:t>
                  </w:r>
                  <w:r>
                    <w:rPr>
                      <w:rFonts w:hint="eastAsia" w:hAnsi="宋体" w:cs="Times New Roman"/>
                      <w:color w:val="auto"/>
                      <w:sz w:val="21"/>
                      <w:szCs w:val="21"/>
                      <w:highlight w:val="none"/>
                      <w:lang w:val="en-US" w:eastAsia="zh-CN"/>
                    </w:rPr>
                    <w:t>0447</w:t>
                  </w:r>
                </w:p>
              </w:tc>
              <w:tc>
                <w:tcPr>
                  <w:tcW w:w="521" w:type="pct"/>
                  <w:tcBorders>
                    <w:tl2br w:val="nil"/>
                    <w:tr2bl w:val="nil"/>
                  </w:tcBorders>
                  <w:vAlign w:val="center"/>
                </w:tcPr>
                <w:p w14:paraId="4B072216">
                  <w:pPr>
                    <w:adjustRightInd w:val="0"/>
                    <w:snapToGrid w:val="0"/>
                    <w:spacing w:line="276" w:lineRule="auto"/>
                    <w:jc w:val="center"/>
                    <w:rPr>
                      <w:rFonts w:hint="eastAsia" w:hAnsi="宋体" w:cs="Times New Roman"/>
                      <w:color w:val="auto"/>
                      <w:sz w:val="21"/>
                      <w:szCs w:val="21"/>
                      <w:highlight w:val="none"/>
                      <w:lang w:val="en-US" w:eastAsia="zh-CN"/>
                    </w:rPr>
                  </w:pPr>
                  <w:r>
                    <w:rPr>
                      <w:rFonts w:hint="eastAsia" w:hAnsi="宋体" w:cs="Times New Roman"/>
                      <w:color w:val="auto"/>
                      <w:sz w:val="21"/>
                      <w:szCs w:val="21"/>
                      <w:highlight w:val="none"/>
                      <w:lang w:val="en-US" w:eastAsia="zh-CN"/>
                    </w:rPr>
                    <w:t>/</w:t>
                  </w:r>
                </w:p>
              </w:tc>
              <w:tc>
                <w:tcPr>
                  <w:tcW w:w="670" w:type="pct"/>
                  <w:tcBorders>
                    <w:tl2br w:val="nil"/>
                    <w:tr2bl w:val="nil"/>
                  </w:tcBorders>
                  <w:vAlign w:val="center"/>
                </w:tcPr>
                <w:p w14:paraId="6ED63617">
                  <w:pPr>
                    <w:adjustRightInd w:val="0"/>
                    <w:snapToGrid w:val="0"/>
                    <w:spacing w:line="276" w:lineRule="auto"/>
                    <w:jc w:val="center"/>
                    <w:rPr>
                      <w:rFonts w:hint="default" w:hAnsi="宋体" w:cs="Times New Roman"/>
                      <w:color w:val="auto"/>
                      <w:sz w:val="21"/>
                      <w:szCs w:val="21"/>
                      <w:highlight w:val="none"/>
                      <w:lang w:val="en-US" w:eastAsia="zh-CN"/>
                    </w:rPr>
                  </w:pPr>
                  <w:r>
                    <w:rPr>
                      <w:rFonts w:hint="eastAsia" w:hAnsi="宋体" w:cs="Times New Roman"/>
                      <w:color w:val="auto"/>
                      <w:sz w:val="21"/>
                      <w:szCs w:val="21"/>
                      <w:highlight w:val="none"/>
                      <w:lang w:val="en-US" w:eastAsia="zh-CN"/>
                    </w:rPr>
                    <w:t>/</w:t>
                  </w:r>
                </w:p>
              </w:tc>
              <w:tc>
                <w:tcPr>
                  <w:tcW w:w="751" w:type="pct"/>
                  <w:tcBorders>
                    <w:tl2br w:val="nil"/>
                    <w:tr2bl w:val="nil"/>
                  </w:tcBorders>
                  <w:vAlign w:val="center"/>
                </w:tcPr>
                <w:p w14:paraId="0F61771D">
                  <w:pPr>
                    <w:adjustRightInd w:val="0"/>
                    <w:snapToGrid w:val="0"/>
                    <w:spacing w:line="276" w:lineRule="auto"/>
                    <w:jc w:val="center"/>
                    <w:rPr>
                      <w:rFonts w:hint="default" w:hAnsi="宋体" w:cs="Times New Roman"/>
                      <w:color w:val="auto"/>
                      <w:sz w:val="21"/>
                      <w:szCs w:val="21"/>
                      <w:highlight w:val="none"/>
                      <w:lang w:val="en-US" w:eastAsia="zh-CN"/>
                    </w:rPr>
                  </w:pPr>
                  <w:r>
                    <w:rPr>
                      <w:rFonts w:hint="default" w:hAnsi="宋体" w:cs="Times New Roman"/>
                      <w:color w:val="auto"/>
                      <w:sz w:val="21"/>
                      <w:szCs w:val="21"/>
                      <w:highlight w:val="none"/>
                      <w:lang w:val="en-US" w:eastAsia="zh-CN"/>
                    </w:rPr>
                    <w:t>0.0</w:t>
                  </w:r>
                  <w:r>
                    <w:rPr>
                      <w:rFonts w:hint="eastAsia" w:hAnsi="宋体" w:cs="Times New Roman"/>
                      <w:color w:val="auto"/>
                      <w:sz w:val="21"/>
                      <w:szCs w:val="21"/>
                      <w:highlight w:val="none"/>
                      <w:lang w:val="en-US" w:eastAsia="zh-CN"/>
                    </w:rPr>
                    <w:t>094</w:t>
                  </w:r>
                </w:p>
              </w:tc>
              <w:tc>
                <w:tcPr>
                  <w:tcW w:w="1812" w:type="pct"/>
                  <w:tcBorders>
                    <w:tl2br w:val="nil"/>
                    <w:tr2bl w:val="nil"/>
                  </w:tcBorders>
                  <w:vAlign w:val="center"/>
                </w:tcPr>
                <w:p w14:paraId="076F4C2F">
                  <w:pPr>
                    <w:adjustRightInd w:val="0"/>
                    <w:snapToGrid w:val="0"/>
                    <w:spacing w:line="276" w:lineRule="auto"/>
                    <w:jc w:val="center"/>
                    <w:rPr>
                      <w:rFonts w:hint="default" w:hAnsi="宋体" w:cs="Times New Roman"/>
                      <w:color w:val="auto"/>
                      <w:sz w:val="21"/>
                      <w:szCs w:val="21"/>
                      <w:highlight w:val="none"/>
                      <w:lang w:val="en-US" w:eastAsia="zh-CN"/>
                    </w:rPr>
                  </w:pPr>
                  <w:r>
                    <w:rPr>
                      <w:rFonts w:hint="eastAsia" w:hAnsi="宋体" w:cs="Times New Roman"/>
                      <w:color w:val="auto"/>
                      <w:sz w:val="21"/>
                      <w:szCs w:val="21"/>
                      <w:highlight w:val="none"/>
                      <w:lang w:val="en-US" w:eastAsia="zh-CN"/>
                    </w:rPr>
                    <w:t>/</w:t>
                  </w:r>
                </w:p>
              </w:tc>
            </w:tr>
          </w:tbl>
          <w:p w14:paraId="4C24084D">
            <w:pPr>
              <w:keepNext w:val="0"/>
              <w:keepLines w:val="0"/>
              <w:pageBreakBefore w:val="0"/>
              <w:tabs>
                <w:tab w:val="left" w:pos="3465"/>
              </w:tabs>
              <w:kinsoku/>
              <w:wordWrap/>
              <w:overflowPunct/>
              <w:topLinePunct w:val="0"/>
              <w:autoSpaceDE/>
              <w:autoSpaceDN/>
              <w:bidi w:val="0"/>
              <w:adjustRightInd w:val="0"/>
              <w:snapToGrid w:val="0"/>
              <w:ind w:left="0" w:leftChars="0" w:firstLine="420" w:firstLineChars="200"/>
              <w:jc w:val="both"/>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注：项目纯水制备产生的纯水以及按危废计的废液均不纳入新鲜水的重复计算。</w:t>
            </w:r>
          </w:p>
          <w:p w14:paraId="531A7211">
            <w:pPr>
              <w:keepNext w:val="0"/>
              <w:keepLines w:val="0"/>
              <w:pageBreakBefore w:val="0"/>
              <w:tabs>
                <w:tab w:val="left" w:pos="3465"/>
              </w:tabs>
              <w:kinsoku/>
              <w:wordWrap/>
              <w:overflowPunct/>
              <w:topLinePunct w:val="0"/>
              <w:autoSpaceDE/>
              <w:autoSpaceDN/>
              <w:bidi w:val="0"/>
              <w:adjustRightInd w:val="0"/>
              <w:snapToGrid w:val="0"/>
              <w:ind w:left="0" w:leftChars="0" w:firstLine="420" w:firstLineChars="200"/>
              <w:jc w:val="both"/>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eastAsia="zh-CN"/>
              </w:rPr>
              <w:t>本项目水平衡图见图</w:t>
            </w:r>
            <w:r>
              <w:rPr>
                <w:rFonts w:hint="eastAsia" w:ascii="Times New Roman" w:hAnsi="Times New Roman" w:eastAsia="宋体" w:cs="Times New Roman"/>
                <w:color w:val="auto"/>
                <w:sz w:val="21"/>
                <w:szCs w:val="21"/>
                <w:highlight w:val="none"/>
                <w:lang w:val="en-US" w:eastAsia="zh-CN"/>
              </w:rPr>
              <w:t>1。</w:t>
            </w:r>
          </w:p>
          <w:p w14:paraId="6ABD0821">
            <w:pPr>
              <w:keepNext w:val="0"/>
              <w:keepLines w:val="0"/>
              <w:pageBreakBefore w:val="0"/>
              <w:tabs>
                <w:tab w:val="left" w:pos="3465"/>
              </w:tabs>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18"/>
                <w:highlight w:val="none"/>
                <w:lang w:val="en-US" w:eastAsia="zh-CN"/>
              </w:rPr>
            </w:pPr>
            <w:r>
              <w:rPr>
                <w:rFonts w:hint="eastAsia" w:ascii="Times New Roman" w:hAnsi="Times New Roman" w:eastAsia="宋体" w:cs="Times New Roman"/>
                <w:b w:val="0"/>
                <w:bCs w:val="0"/>
                <w:color w:val="auto"/>
                <w:sz w:val="21"/>
                <w:szCs w:val="18"/>
                <w:highlight w:val="none"/>
                <w:lang w:val="en-US" w:eastAsia="zh-CN"/>
              </w:rPr>
              <w:object>
                <v:shape id="_x0000_i1025" o:spt="75" type="#_x0000_t75" style="height:101.2pt;width:433.15pt;" o:ole="t" filled="f" o:preferrelative="t" stroked="f" coordsize="21600,21600">
                  <v:path/>
                  <v:fill on="f" focussize="0,0"/>
                  <v:stroke on="f"/>
                  <v:imagedata r:id="rId14" o:title=""/>
                  <o:lock v:ext="edit" aspectratio="f"/>
                  <w10:wrap type="none"/>
                  <w10:anchorlock/>
                </v:shape>
                <o:OLEObject Type="Embed" ProgID="Visio.Drawing.15" ShapeID="_x0000_i1025" DrawAspect="Content" ObjectID="_1468075725" r:id="rId13">
                  <o:LockedField>false</o:LockedField>
                </o:OLEObject>
              </w:object>
            </w:r>
            <w:r>
              <w:rPr>
                <w:rFonts w:hint="eastAsia" w:ascii="Times New Roman" w:hAnsi="Times New Roman" w:eastAsia="宋体" w:cs="Times New Roman"/>
                <w:b w:val="0"/>
                <w:bCs w:val="0"/>
                <w:color w:val="auto"/>
                <w:sz w:val="21"/>
                <w:szCs w:val="18"/>
                <w:highlight w:val="none"/>
                <w:lang w:val="en-US" w:eastAsia="zh-CN"/>
              </w:rPr>
              <w:t>图1 项目水平衡图(单位：t/</w:t>
            </w:r>
            <w:r>
              <w:rPr>
                <w:rFonts w:hint="eastAsia" w:cs="Times New Roman"/>
                <w:b w:val="0"/>
                <w:bCs w:val="0"/>
                <w:color w:val="auto"/>
                <w:sz w:val="21"/>
                <w:szCs w:val="18"/>
                <w:highlight w:val="none"/>
                <w:lang w:val="en-US" w:eastAsia="zh-CN"/>
              </w:rPr>
              <w:t>d</w:t>
            </w:r>
            <w:r>
              <w:rPr>
                <w:rFonts w:hint="eastAsia" w:ascii="Times New Roman" w:hAnsi="Times New Roman" w:eastAsia="宋体" w:cs="Times New Roman"/>
                <w:b w:val="0"/>
                <w:bCs w:val="0"/>
                <w:color w:val="auto"/>
                <w:sz w:val="21"/>
                <w:szCs w:val="18"/>
                <w:highlight w:val="none"/>
                <w:lang w:val="en-US" w:eastAsia="zh-CN"/>
              </w:rPr>
              <w:t>)</w:t>
            </w:r>
          </w:p>
          <w:p w14:paraId="7C3B6461">
            <w:pPr>
              <w:keepNext w:val="0"/>
              <w:keepLines w:val="0"/>
              <w:pageBreakBefore w:val="0"/>
              <w:tabs>
                <w:tab w:val="left" w:pos="3465"/>
              </w:tabs>
              <w:kinsoku/>
              <w:wordWrap/>
              <w:overflowPunct/>
              <w:topLinePunct w:val="0"/>
              <w:autoSpaceDE/>
              <w:autoSpaceDN/>
              <w:bidi w:val="0"/>
              <w:adjustRightInd w:val="0"/>
              <w:snapToGrid w:val="0"/>
              <w:ind w:left="0" w:leftChars="0"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③供电</w:t>
            </w:r>
          </w:p>
          <w:p w14:paraId="61EF0E30">
            <w:pPr>
              <w:pStyle w:val="44"/>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color w:val="auto"/>
                <w:sz w:val="21"/>
                <w:szCs w:val="21"/>
                <w:highlight w:val="none"/>
              </w:rPr>
            </w:pPr>
            <w:r>
              <w:rPr>
                <w:rFonts w:hint="eastAsia"/>
                <w:color w:val="auto"/>
                <w:sz w:val="21"/>
                <w:szCs w:val="21"/>
                <w:highlight w:val="none"/>
              </w:rPr>
              <w:t>本项目供电</w:t>
            </w:r>
            <w:r>
              <w:rPr>
                <w:rFonts w:hint="eastAsia"/>
                <w:color w:val="auto"/>
                <w:sz w:val="21"/>
                <w:szCs w:val="21"/>
                <w:highlight w:val="none"/>
                <w:lang w:val="en-US" w:eastAsia="zh-CN"/>
              </w:rPr>
              <w:t>由市政</w:t>
            </w:r>
            <w:r>
              <w:rPr>
                <w:rFonts w:hint="eastAsia"/>
                <w:color w:val="auto"/>
                <w:sz w:val="21"/>
                <w:szCs w:val="21"/>
                <w:highlight w:val="none"/>
              </w:rPr>
              <w:t>电网供给，可满足</w:t>
            </w:r>
            <w:r>
              <w:rPr>
                <w:rFonts w:hint="eastAsia"/>
                <w:color w:val="auto"/>
                <w:sz w:val="21"/>
                <w:szCs w:val="21"/>
                <w:highlight w:val="none"/>
                <w:lang w:val="en-US" w:eastAsia="zh-CN"/>
              </w:rPr>
              <w:t>项目</w:t>
            </w:r>
            <w:r>
              <w:rPr>
                <w:rFonts w:hint="eastAsia"/>
                <w:color w:val="auto"/>
                <w:sz w:val="21"/>
                <w:szCs w:val="21"/>
                <w:highlight w:val="none"/>
              </w:rPr>
              <w:t>用电需求。</w:t>
            </w:r>
          </w:p>
          <w:p w14:paraId="321A740C">
            <w:pPr>
              <w:pStyle w:val="44"/>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④供暖制冷</w:t>
            </w:r>
          </w:p>
          <w:p w14:paraId="0BA8348A">
            <w:pPr>
              <w:keepNext w:val="0"/>
              <w:keepLines w:val="0"/>
              <w:pageBreakBefore w:val="0"/>
              <w:tabs>
                <w:tab w:val="left" w:pos="3465"/>
              </w:tabs>
              <w:kinsoku/>
              <w:wordWrap/>
              <w:overflowPunct/>
              <w:topLinePunct w:val="0"/>
              <w:autoSpaceDE/>
              <w:autoSpaceDN/>
              <w:bidi w:val="0"/>
              <w:adjustRightInd w:val="0"/>
              <w:snapToGrid w:val="0"/>
              <w:ind w:left="0" w:leftChars="0" w:firstLine="420" w:firstLineChars="200"/>
              <w:jc w:val="both"/>
              <w:textAlignment w:val="auto"/>
              <w:rPr>
                <w:rFonts w:hint="default" w:ascii="Times New Roman" w:hAnsi="Times New Roman" w:cs="Times New Roman"/>
                <w:color w:val="auto"/>
                <w:szCs w:val="22"/>
                <w:highlight w:val="none"/>
              </w:rPr>
            </w:pPr>
            <w:r>
              <w:rPr>
                <w:rFonts w:hint="default" w:ascii="宋体" w:hAnsi="宋体" w:eastAsia="宋体" w:cs="宋体"/>
                <w:color w:val="auto"/>
                <w:kern w:val="28"/>
                <w:sz w:val="21"/>
                <w:szCs w:val="21"/>
                <w:highlight w:val="none"/>
                <w:lang w:eastAsia="zh-CN"/>
              </w:rPr>
              <w:t>办公区采暖及制冷均采用分体式空调</w:t>
            </w:r>
            <w:r>
              <w:rPr>
                <w:rFonts w:hint="eastAsia" w:ascii="宋体" w:hAnsi="宋体" w:eastAsia="宋体" w:cs="宋体"/>
                <w:color w:val="auto"/>
                <w:kern w:val="28"/>
                <w:sz w:val="21"/>
                <w:szCs w:val="21"/>
                <w:highlight w:val="none"/>
                <w:lang w:eastAsia="zh-CN"/>
              </w:rPr>
              <w:t>。</w:t>
            </w:r>
          </w:p>
          <w:p w14:paraId="7A9EF47F">
            <w:pPr>
              <w:pStyle w:val="33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黑体" w:hAnsi="黑体" w:eastAsia="黑体" w:cs="黑体"/>
                <w:b w:val="0"/>
                <w:bCs/>
                <w:color w:val="auto"/>
                <w:sz w:val="24"/>
                <w:szCs w:val="24"/>
                <w:highlight w:val="none"/>
                <w:lang w:val="en-US" w:eastAsia="zh-CN"/>
              </w:rPr>
            </w:pPr>
            <w:r>
              <w:rPr>
                <w:rFonts w:hint="eastAsia" w:ascii="黑体" w:hAnsi="黑体" w:eastAsia="黑体" w:cs="黑体"/>
                <w:b w:val="0"/>
                <w:bCs/>
                <w:color w:val="auto"/>
                <w:sz w:val="24"/>
                <w:szCs w:val="24"/>
                <w:highlight w:val="none"/>
                <w:lang w:val="en-US" w:eastAsia="zh-CN"/>
              </w:rPr>
              <w:t>9、</w:t>
            </w:r>
            <w:r>
              <w:rPr>
                <w:rFonts w:hint="default" w:ascii="黑体" w:hAnsi="黑体" w:eastAsia="黑体" w:cs="黑体"/>
                <w:b w:val="0"/>
                <w:bCs/>
                <w:color w:val="auto"/>
                <w:sz w:val="24"/>
                <w:szCs w:val="24"/>
                <w:highlight w:val="none"/>
                <w:lang w:val="en-US" w:eastAsia="zh-CN"/>
              </w:rPr>
              <w:t>总平面布置分析</w:t>
            </w:r>
          </w:p>
          <w:p w14:paraId="041F15B2">
            <w:pPr>
              <w:keepNext w:val="0"/>
              <w:keepLines w:val="0"/>
              <w:pageBreakBefore w:val="0"/>
              <w:widowControl/>
              <w:kinsoku/>
              <w:wordWrap/>
              <w:overflowPunct/>
              <w:topLinePunct w:val="0"/>
              <w:autoSpaceDE/>
              <w:autoSpaceDN/>
              <w:bidi w:val="0"/>
              <w:adjustRightInd w:val="0"/>
              <w:snapToGrid w:val="0"/>
              <w:ind w:left="0" w:leftChars="0" w:firstLine="420" w:firstLineChars="200"/>
              <w:textAlignment w:val="auto"/>
              <w:rPr>
                <w:rFonts w:hint="eastAsia" w:ascii="Times New Roman" w:hAnsi="Times New Roman" w:eastAsia="宋体" w:cs="Times New Roman"/>
                <w:color w:val="0000FF"/>
                <w:szCs w:val="22"/>
                <w:highlight w:val="none"/>
                <w:lang w:eastAsia="zh-CN"/>
              </w:rPr>
            </w:pPr>
            <w:r>
              <w:rPr>
                <w:rFonts w:hint="default" w:ascii="Times New Roman" w:hAnsi="Times New Roman" w:eastAsia="宋体" w:cs="Times New Roman"/>
                <w:color w:val="auto"/>
                <w:kern w:val="28"/>
                <w:sz w:val="21"/>
                <w:szCs w:val="21"/>
                <w:highlight w:val="none"/>
                <w:lang w:eastAsia="zh-CN"/>
              </w:rPr>
              <w:t>项目位于</w:t>
            </w:r>
            <w:r>
              <w:rPr>
                <w:rFonts w:hint="eastAsia" w:cs="Times New Roman"/>
                <w:color w:val="auto"/>
                <w:sz w:val="21"/>
                <w:szCs w:val="21"/>
                <w:highlight w:val="none"/>
                <w:lang w:val="en-US" w:eastAsia="zh-CN"/>
              </w:rPr>
              <w:t>*****</w:t>
            </w:r>
            <w:r>
              <w:rPr>
                <w:rFonts w:hint="default" w:ascii="Times New Roman" w:hAnsi="Times New Roman" w:cs="Times New Roman"/>
                <w:color w:val="auto"/>
                <w:kern w:val="28"/>
                <w:sz w:val="21"/>
                <w:szCs w:val="21"/>
                <w:highlight w:val="none"/>
                <w:lang w:val="en-US" w:eastAsia="zh-CN"/>
              </w:rPr>
              <w:t>，</w:t>
            </w:r>
            <w:r>
              <w:rPr>
                <w:rFonts w:hint="eastAsia" w:cs="Times New Roman"/>
                <w:color w:val="auto"/>
                <w:kern w:val="28"/>
                <w:sz w:val="21"/>
                <w:szCs w:val="21"/>
                <w:highlight w:val="none"/>
                <w:lang w:val="en-US" w:eastAsia="zh-CN"/>
              </w:rPr>
              <w:t>依托</w:t>
            </w:r>
            <w:r>
              <w:rPr>
                <w:rFonts w:hint="eastAsia" w:cs="Times New Roman"/>
                <w:color w:val="auto"/>
                <w:sz w:val="21"/>
                <w:szCs w:val="21"/>
                <w:highlight w:val="none"/>
                <w:lang w:val="en-US" w:eastAsia="zh-CN"/>
              </w:rPr>
              <w:t>厂内</w:t>
            </w:r>
            <w:r>
              <w:rPr>
                <w:rFonts w:hint="eastAsia" w:cs="Times New Roman"/>
                <w:color w:val="auto"/>
                <w:kern w:val="28"/>
                <w:sz w:val="21"/>
                <w:szCs w:val="21"/>
                <w:highlight w:val="none"/>
                <w:lang w:val="en-US" w:eastAsia="zh-CN"/>
              </w:rPr>
              <w:t>原有两间库房改造，用于水质实验</w:t>
            </w:r>
            <w:r>
              <w:rPr>
                <w:rFonts w:hint="default" w:cs="Times New Roman"/>
                <w:color w:val="auto"/>
                <w:sz w:val="21"/>
                <w:szCs w:val="21"/>
                <w:highlight w:val="none"/>
                <w:lang w:val="en-US" w:eastAsia="zh-CN"/>
              </w:rPr>
              <w:t>。</w:t>
            </w:r>
            <w:r>
              <w:rPr>
                <w:rFonts w:hint="eastAsia" w:cs="Times New Roman"/>
                <w:color w:val="auto"/>
                <w:sz w:val="21"/>
                <w:szCs w:val="21"/>
                <w:highlight w:val="none"/>
                <w:lang w:val="en-US" w:eastAsia="zh-CN"/>
              </w:rPr>
              <w:t>试验区各单元</w:t>
            </w:r>
            <w:r>
              <w:rPr>
                <w:rFonts w:hint="default" w:cs="Times New Roman"/>
                <w:color w:val="auto"/>
                <w:sz w:val="21"/>
                <w:szCs w:val="21"/>
                <w:highlight w:val="none"/>
                <w:lang w:val="en-US" w:eastAsia="zh-CN"/>
              </w:rPr>
              <w:t>总体布局合理紧凑，功能分区明确</w:t>
            </w:r>
            <w:r>
              <w:rPr>
                <w:rFonts w:hint="eastAsia" w:cs="Times New Roman"/>
                <w:color w:val="auto"/>
                <w:sz w:val="21"/>
                <w:szCs w:val="21"/>
                <w:highlight w:val="none"/>
                <w:lang w:val="en-US" w:eastAsia="zh-CN"/>
              </w:rPr>
              <w:t>，设计基本满足《检验检测实验室技术要求验收规范》（GB/T37140-2018）中的各项规定，</w:t>
            </w:r>
            <w:r>
              <w:rPr>
                <w:rFonts w:hint="default" w:cs="Times New Roman"/>
                <w:color w:val="auto"/>
                <w:sz w:val="21"/>
                <w:szCs w:val="21"/>
                <w:highlight w:val="none"/>
                <w:lang w:val="en-US" w:eastAsia="zh-CN"/>
              </w:rPr>
              <w:t>周边道路通畅，满足道路通行及消防要求。</w:t>
            </w:r>
            <w:r>
              <w:rPr>
                <w:rFonts w:hint="default" w:ascii="Times New Roman" w:hAnsi="Times New Roman" w:eastAsia="宋体" w:cs="Times New Roman"/>
                <w:color w:val="auto"/>
                <w:kern w:val="28"/>
                <w:sz w:val="21"/>
                <w:szCs w:val="21"/>
                <w:highlight w:val="none"/>
                <w:lang w:val="en-US" w:eastAsia="zh-CN"/>
              </w:rPr>
              <w:t>项目各废气、废水、噪声经处理装置处理后对外环境影响较小，固废均得到100%处置，对周边环境影响较小，因此</w:t>
            </w:r>
            <w:r>
              <w:rPr>
                <w:rFonts w:hint="eastAsia" w:cs="Times New Roman"/>
                <w:color w:val="auto"/>
                <w:kern w:val="28"/>
                <w:sz w:val="21"/>
                <w:szCs w:val="21"/>
                <w:highlight w:val="none"/>
                <w:lang w:val="en-US" w:eastAsia="zh-CN"/>
              </w:rPr>
              <w:t>项目</w:t>
            </w:r>
            <w:r>
              <w:rPr>
                <w:rFonts w:hint="default" w:ascii="Times New Roman" w:hAnsi="Times New Roman" w:eastAsia="宋体" w:cs="Times New Roman"/>
                <w:color w:val="auto"/>
                <w:kern w:val="28"/>
                <w:sz w:val="21"/>
                <w:szCs w:val="21"/>
                <w:highlight w:val="none"/>
                <w:lang w:val="en-US" w:eastAsia="zh-CN"/>
              </w:rPr>
              <w:t>平面布置合理可行，平面布置图见附图。</w:t>
            </w:r>
          </w:p>
        </w:tc>
      </w:tr>
      <w:tr w14:paraId="3BEAB73F">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83" w:hRule="atLeast"/>
          <w:jc w:val="center"/>
        </w:trPr>
        <w:tc>
          <w:tcPr>
            <w:tcW w:w="244" w:type="pct"/>
            <w:tcBorders>
              <w:top w:val="single" w:color="auto" w:sz="4" w:space="0"/>
              <w:left w:val="single" w:color="auto" w:sz="8" w:space="0"/>
              <w:bottom w:val="single" w:color="auto" w:sz="4" w:space="0"/>
              <w:right w:val="single" w:color="auto" w:sz="4" w:space="0"/>
            </w:tcBorders>
            <w:vAlign w:val="center"/>
          </w:tcPr>
          <w:p w14:paraId="7CF21504">
            <w:pPr>
              <w:pStyle w:val="41"/>
              <w:keepNext w:val="0"/>
              <w:keepLines w:val="0"/>
              <w:pageBreakBefore w:val="0"/>
              <w:widowControl/>
              <w:kinsoku/>
              <w:wordWrap/>
              <w:overflowPunct/>
              <w:topLinePunct w:val="0"/>
              <w:autoSpaceDE/>
              <w:autoSpaceDN/>
              <w:bidi w:val="0"/>
              <w:adjustRightInd w:val="0"/>
              <w:snapToGrid w:val="0"/>
              <w:spacing w:beforeAutospacing="0" w:afterAutospacing="0" w:line="240" w:lineRule="auto"/>
              <w:jc w:val="center"/>
              <w:textAlignment w:val="auto"/>
              <w:rPr>
                <w:rFonts w:hint="default" w:ascii="Times New Roman" w:hAnsi="Times New Roman" w:cs="Times New Roman"/>
                <w:b/>
                <w:bCs/>
                <w:color w:val="0000FF"/>
                <w:kern w:val="2"/>
                <w:sz w:val="21"/>
                <w:szCs w:val="21"/>
                <w:highlight w:val="none"/>
              </w:rPr>
            </w:pPr>
            <w:r>
              <w:rPr>
                <w:rFonts w:hint="default" w:ascii="Times New Roman" w:hAnsi="Times New Roman" w:cs="Times New Roman"/>
                <w:b/>
                <w:bCs/>
                <w:color w:val="auto"/>
                <w:kern w:val="2"/>
                <w:sz w:val="24"/>
                <w:szCs w:val="24"/>
                <w:highlight w:val="none"/>
              </w:rPr>
              <w:t>工艺流程和产排污环节</w:t>
            </w:r>
          </w:p>
        </w:tc>
        <w:tc>
          <w:tcPr>
            <w:tcW w:w="4755" w:type="pct"/>
            <w:tcBorders>
              <w:top w:val="single" w:color="auto" w:sz="4" w:space="0"/>
              <w:left w:val="single" w:color="auto" w:sz="4" w:space="0"/>
              <w:bottom w:val="single" w:color="auto" w:sz="4" w:space="0"/>
              <w:right w:val="single" w:color="auto" w:sz="8" w:space="0"/>
            </w:tcBorders>
          </w:tcPr>
          <w:p w14:paraId="61254BE4">
            <w:pPr>
              <w:keepNext w:val="0"/>
              <w:keepLines w:val="0"/>
              <w:pageBreakBefore w:val="0"/>
              <w:widowControl/>
              <w:numPr>
                <w:ilvl w:val="0"/>
                <w:numId w:val="0"/>
              </w:numPr>
              <w:kinsoku/>
              <w:wordWrap/>
              <w:overflowPunct/>
              <w:topLinePunct w:val="0"/>
              <w:autoSpaceDE/>
              <w:autoSpaceDN/>
              <w:bidi w:val="0"/>
              <w:adjustRightInd/>
              <w:snapToGrid/>
              <w:ind w:firstLine="498" w:firstLineChars="200"/>
              <w:jc w:val="both"/>
              <w:textAlignment w:val="auto"/>
              <w:rPr>
                <w:rFonts w:hint="eastAsia" w:cs="Times New Roman"/>
                <w:b/>
                <w:bCs/>
                <w:color w:val="auto"/>
                <w:spacing w:val="4"/>
                <w:szCs w:val="22"/>
                <w:highlight w:val="none"/>
                <w:lang w:val="en-US" w:eastAsia="zh-CN"/>
              </w:rPr>
            </w:pPr>
            <w:r>
              <w:rPr>
                <w:rFonts w:hint="eastAsia" w:cs="Times New Roman"/>
                <w:b/>
                <w:bCs/>
                <w:color w:val="auto"/>
                <w:spacing w:val="4"/>
                <w:szCs w:val="22"/>
                <w:highlight w:val="none"/>
                <w:lang w:val="en-US" w:eastAsia="zh-CN"/>
              </w:rPr>
              <w:t>一、施工期</w:t>
            </w:r>
          </w:p>
          <w:p w14:paraId="4D175C1E">
            <w:pPr>
              <w:keepNext w:val="0"/>
              <w:keepLines w:val="0"/>
              <w:pageBreakBefore w:val="0"/>
              <w:widowControl/>
              <w:kinsoku/>
              <w:wordWrap/>
              <w:overflowPunct/>
              <w:topLinePunct w:val="0"/>
              <w:autoSpaceDE/>
              <w:autoSpaceDN/>
              <w:bidi w:val="0"/>
              <w:adjustRightInd w:val="0"/>
              <w:snapToGrid w:val="0"/>
              <w:ind w:left="0" w:leftChars="0" w:firstLine="420" w:firstLineChars="200"/>
              <w:textAlignment w:val="auto"/>
              <w:rPr>
                <w:rFonts w:hint="eastAsia" w:ascii="宋体" w:hAnsi="宋体" w:eastAsia="宋体" w:cs="宋体"/>
                <w:color w:val="auto"/>
                <w:kern w:val="28"/>
                <w:sz w:val="21"/>
                <w:szCs w:val="21"/>
                <w:highlight w:val="none"/>
                <w:lang w:val="en-US" w:eastAsia="zh-CN"/>
              </w:rPr>
            </w:pPr>
            <w:r>
              <w:rPr>
                <w:rFonts w:hint="eastAsia" w:ascii="宋体" w:hAnsi="宋体" w:eastAsia="宋体" w:cs="宋体"/>
                <w:color w:val="auto"/>
                <w:kern w:val="28"/>
                <w:sz w:val="21"/>
                <w:szCs w:val="21"/>
                <w:highlight w:val="none"/>
                <w:lang w:val="en-US" w:eastAsia="zh-CN"/>
              </w:rPr>
              <w:t>本项目</w:t>
            </w:r>
            <w:r>
              <w:rPr>
                <w:rFonts w:hint="eastAsia" w:ascii="宋体" w:hAnsi="宋体" w:cs="宋体"/>
                <w:color w:val="auto"/>
                <w:kern w:val="28"/>
                <w:sz w:val="21"/>
                <w:szCs w:val="21"/>
                <w:highlight w:val="none"/>
                <w:lang w:val="en-US" w:eastAsia="zh-CN"/>
              </w:rPr>
              <w:t>使用</w:t>
            </w:r>
            <w:r>
              <w:rPr>
                <w:rFonts w:hint="eastAsia" w:ascii="宋体" w:hAnsi="宋体" w:eastAsia="宋体" w:cs="宋体"/>
                <w:color w:val="auto"/>
                <w:kern w:val="28"/>
                <w:sz w:val="21"/>
                <w:szCs w:val="21"/>
                <w:highlight w:val="none"/>
                <w:lang w:val="en-US" w:eastAsia="zh-CN"/>
              </w:rPr>
              <w:t>已建成厂房进行生产，根据现场勘查，施工期主要为</w:t>
            </w:r>
            <w:r>
              <w:rPr>
                <w:rFonts w:hint="eastAsia" w:ascii="宋体" w:hAnsi="宋体" w:cs="宋体"/>
                <w:color w:val="auto"/>
                <w:kern w:val="28"/>
                <w:sz w:val="21"/>
                <w:szCs w:val="21"/>
                <w:highlight w:val="none"/>
                <w:lang w:val="en-US" w:eastAsia="zh-CN"/>
              </w:rPr>
              <w:t>装修以及</w:t>
            </w:r>
            <w:r>
              <w:rPr>
                <w:rFonts w:hint="eastAsia" w:ascii="宋体" w:hAnsi="宋体" w:eastAsia="宋体" w:cs="宋体"/>
                <w:color w:val="auto"/>
                <w:kern w:val="28"/>
                <w:sz w:val="21"/>
                <w:szCs w:val="21"/>
                <w:highlight w:val="none"/>
                <w:lang w:val="en-US" w:eastAsia="zh-CN"/>
              </w:rPr>
              <w:t>生产设备和环保设备的安装，产生污染主要为</w:t>
            </w:r>
            <w:r>
              <w:rPr>
                <w:rFonts w:hint="eastAsia" w:ascii="宋体" w:hAnsi="宋体" w:cs="宋体"/>
                <w:color w:val="auto"/>
                <w:kern w:val="28"/>
                <w:sz w:val="21"/>
                <w:szCs w:val="21"/>
                <w:highlight w:val="none"/>
                <w:lang w:val="en-US" w:eastAsia="zh-CN"/>
              </w:rPr>
              <w:t>装修产生的扬尘、固废、噪声，</w:t>
            </w:r>
            <w:r>
              <w:rPr>
                <w:rFonts w:hint="eastAsia" w:ascii="宋体" w:hAnsi="宋体" w:eastAsia="宋体" w:cs="宋体"/>
                <w:color w:val="auto"/>
                <w:kern w:val="28"/>
                <w:sz w:val="21"/>
                <w:szCs w:val="21"/>
                <w:highlight w:val="none"/>
                <w:lang w:val="en-US" w:eastAsia="zh-CN"/>
              </w:rPr>
              <w:t>设备安装噪声及废包装等。</w:t>
            </w:r>
          </w:p>
          <w:p w14:paraId="1C42EB2C">
            <w:pPr>
              <w:keepNext w:val="0"/>
              <w:keepLines w:val="0"/>
              <w:pageBreakBefore w:val="0"/>
              <w:widowControl/>
              <w:kinsoku/>
              <w:wordWrap/>
              <w:overflowPunct/>
              <w:topLinePunct w:val="0"/>
              <w:autoSpaceDE/>
              <w:autoSpaceDN/>
              <w:bidi w:val="0"/>
              <w:adjustRightInd w:val="0"/>
              <w:snapToGrid w:val="0"/>
              <w:jc w:val="center"/>
              <w:textAlignment w:val="auto"/>
              <w:rPr>
                <w:rFonts w:hint="eastAsia" w:cs="Times New Roman"/>
                <w:b/>
                <w:bCs/>
                <w:color w:val="0000FF"/>
                <w:spacing w:val="4"/>
                <w:szCs w:val="22"/>
                <w:highlight w:val="none"/>
                <w:lang w:val="en-US" w:eastAsia="zh-CN"/>
              </w:rPr>
            </w:pPr>
            <w:r>
              <w:rPr>
                <w:rFonts w:hint="eastAsia" w:cs="Times New Roman"/>
                <w:b/>
                <w:bCs/>
                <w:color w:val="0000FF"/>
                <w:spacing w:val="4"/>
                <w:szCs w:val="22"/>
                <w:highlight w:val="none"/>
                <w:lang w:val="en-US" w:eastAsia="zh-CN"/>
              </w:rPr>
              <w:object>
                <v:shape id="_x0000_i1026" o:spt="75" type="#_x0000_t75" style="height:187.55pt;width:157.6pt;" o:ole="t" filled="f" o:preferrelative="t" stroked="f" coordsize="21600,21600">
                  <v:path/>
                  <v:fill on="f" focussize="0,0"/>
                  <v:stroke on="f"/>
                  <v:imagedata r:id="rId16" o:title=""/>
                  <o:lock v:ext="edit" aspectratio="f"/>
                  <w10:wrap type="none"/>
                  <w10:anchorlock/>
                </v:shape>
                <o:OLEObject Type="Embed" ProgID="Visio.Drawing.15" ShapeID="_x0000_i1026" DrawAspect="Content" ObjectID="_1468075726" r:id="rId15">
                  <o:LockedField>false</o:LockedField>
                </o:OLEObject>
              </w:object>
            </w:r>
          </w:p>
          <w:p w14:paraId="4C891919">
            <w:pPr>
              <w:keepNext w:val="0"/>
              <w:keepLines w:val="0"/>
              <w:pageBreakBefore w:val="0"/>
              <w:widowControl/>
              <w:numPr>
                <w:ilvl w:val="0"/>
                <w:numId w:val="0"/>
              </w:numPr>
              <w:kinsoku/>
              <w:wordWrap/>
              <w:overflowPunct/>
              <w:topLinePunct w:val="0"/>
              <w:autoSpaceDE/>
              <w:autoSpaceDN/>
              <w:bidi w:val="0"/>
              <w:adjustRightInd/>
              <w:snapToGrid/>
              <w:ind w:firstLine="498" w:firstLineChars="200"/>
              <w:jc w:val="center"/>
              <w:textAlignment w:val="auto"/>
              <w:rPr>
                <w:rFonts w:hint="default" w:cs="Times New Roman"/>
                <w:b/>
                <w:bCs/>
                <w:color w:val="auto"/>
                <w:spacing w:val="4"/>
                <w:szCs w:val="22"/>
                <w:highlight w:val="none"/>
                <w:lang w:val="en-US" w:eastAsia="zh-CN"/>
              </w:rPr>
            </w:pPr>
            <w:r>
              <w:rPr>
                <w:rFonts w:hint="eastAsia" w:cs="Times New Roman"/>
                <w:b/>
                <w:bCs/>
                <w:color w:val="auto"/>
                <w:spacing w:val="4"/>
                <w:szCs w:val="22"/>
                <w:highlight w:val="none"/>
                <w:lang w:val="en-US" w:eastAsia="zh-CN"/>
              </w:rPr>
              <w:t>图2 施工流程图</w:t>
            </w:r>
          </w:p>
          <w:p w14:paraId="2200FC37">
            <w:pPr>
              <w:keepNext w:val="0"/>
              <w:keepLines w:val="0"/>
              <w:pageBreakBefore w:val="0"/>
              <w:widowControl/>
              <w:numPr>
                <w:ilvl w:val="0"/>
                <w:numId w:val="0"/>
              </w:numPr>
              <w:kinsoku/>
              <w:wordWrap/>
              <w:overflowPunct/>
              <w:topLinePunct w:val="0"/>
              <w:autoSpaceDE/>
              <w:autoSpaceDN/>
              <w:bidi w:val="0"/>
              <w:adjustRightInd/>
              <w:snapToGrid/>
              <w:ind w:firstLine="498" w:firstLineChars="200"/>
              <w:jc w:val="both"/>
              <w:textAlignment w:val="auto"/>
              <w:rPr>
                <w:rFonts w:hint="eastAsia" w:cs="Times New Roman"/>
                <w:b/>
                <w:bCs/>
                <w:color w:val="auto"/>
                <w:spacing w:val="4"/>
                <w:szCs w:val="22"/>
                <w:highlight w:val="none"/>
                <w:lang w:val="en-US" w:eastAsia="zh-CN"/>
              </w:rPr>
            </w:pPr>
            <w:r>
              <w:rPr>
                <w:rFonts w:hint="eastAsia" w:cs="Times New Roman"/>
                <w:b/>
                <w:bCs/>
                <w:color w:val="auto"/>
                <w:spacing w:val="4"/>
                <w:szCs w:val="22"/>
                <w:highlight w:val="none"/>
                <w:lang w:val="en-US" w:eastAsia="zh-CN"/>
              </w:rPr>
              <w:t>二、运营期</w:t>
            </w:r>
          </w:p>
          <w:p w14:paraId="4D7A0462">
            <w:pPr>
              <w:keepNext w:val="0"/>
              <w:keepLines w:val="0"/>
              <w:pageBreakBefore w:val="0"/>
              <w:widowControl/>
              <w:kinsoku/>
              <w:wordWrap/>
              <w:overflowPunct/>
              <w:topLinePunct w:val="0"/>
              <w:autoSpaceDE/>
              <w:autoSpaceDN/>
              <w:bidi w:val="0"/>
              <w:adjustRightInd w:val="0"/>
              <w:snapToGrid w:val="0"/>
              <w:ind w:left="0" w:leftChars="0" w:firstLine="420" w:firstLineChars="200"/>
              <w:textAlignment w:val="auto"/>
              <w:rPr>
                <w:rFonts w:hint="eastAsia" w:ascii="宋体" w:hAnsi="宋体" w:cs="宋体"/>
                <w:color w:val="auto"/>
                <w:kern w:val="28"/>
                <w:sz w:val="21"/>
                <w:szCs w:val="21"/>
                <w:highlight w:val="none"/>
                <w:lang w:val="en-US" w:eastAsia="zh-CN"/>
              </w:rPr>
            </w:pPr>
            <w:r>
              <w:rPr>
                <w:rFonts w:hint="eastAsia" w:ascii="宋体" w:hAnsi="宋体" w:eastAsia="宋体" w:cs="宋体"/>
                <w:color w:val="auto"/>
                <w:kern w:val="28"/>
                <w:sz w:val="21"/>
                <w:szCs w:val="21"/>
                <w:highlight w:val="none"/>
                <w:lang w:val="en-US" w:eastAsia="zh-CN"/>
              </w:rPr>
              <w:t>1、</w:t>
            </w:r>
            <w:r>
              <w:rPr>
                <w:rFonts w:hint="eastAsia" w:ascii="宋体" w:hAnsi="宋体" w:cs="宋体"/>
                <w:color w:val="auto"/>
                <w:kern w:val="28"/>
                <w:sz w:val="21"/>
                <w:szCs w:val="21"/>
                <w:highlight w:val="none"/>
                <w:lang w:val="en-US" w:eastAsia="zh-CN"/>
              </w:rPr>
              <w:t>工艺流程</w:t>
            </w:r>
          </w:p>
          <w:p w14:paraId="2671291A">
            <w:pPr>
              <w:pStyle w:val="44"/>
              <w:ind w:left="0" w:leftChars="0" w:firstLine="0" w:firstLineChars="0"/>
              <w:jc w:val="center"/>
              <w:rPr>
                <w:rFonts w:hint="default"/>
                <w:color w:val="0000FF"/>
                <w:highlight w:val="none"/>
                <w:lang w:val="en-US" w:eastAsia="zh-CN"/>
              </w:rPr>
            </w:pPr>
            <w:r>
              <w:rPr>
                <w:rFonts w:hint="default"/>
                <w:color w:val="0000FF"/>
                <w:highlight w:val="none"/>
                <w:lang w:val="en-US" w:eastAsia="zh-CN"/>
              </w:rPr>
              <w:object>
                <v:shape id="_x0000_i1027" o:spt="75" type="#_x0000_t75" style="height:295.5pt;width:432.4pt;" o:ole="t" filled="f" o:preferrelative="t" stroked="f" coordsize="21600,21600">
                  <v:path/>
                  <v:fill on="f" focussize="0,0"/>
                  <v:stroke on="f"/>
                  <v:imagedata r:id="rId18" o:title=""/>
                  <o:lock v:ext="edit" aspectratio="f"/>
                  <w10:wrap type="none"/>
                  <w10:anchorlock/>
                </v:shape>
                <o:OLEObject Type="Embed" ProgID="Visio.Drawing.15" ShapeID="_x0000_i1027" DrawAspect="Content" ObjectID="_1468075727" r:id="rId17">
                  <o:LockedField>false</o:LockedField>
                </o:OLEObject>
              </w:object>
            </w:r>
            <w:r>
              <w:rPr>
                <w:rFonts w:hint="eastAsia" w:ascii="Times New Roman" w:hAnsi="Times New Roman" w:eastAsia="宋体" w:cs="Times New Roman"/>
                <w:b/>
                <w:bCs/>
                <w:color w:val="auto"/>
                <w:kern w:val="2"/>
                <w:sz w:val="21"/>
                <w:szCs w:val="18"/>
                <w:highlight w:val="none"/>
                <w:lang w:val="en-US" w:eastAsia="zh-CN" w:bidi="ar-SA"/>
              </w:rPr>
              <w:t>图</w:t>
            </w:r>
            <w:r>
              <w:rPr>
                <w:rFonts w:hint="eastAsia" w:cs="Times New Roman"/>
                <w:b/>
                <w:bCs/>
                <w:color w:val="auto"/>
                <w:kern w:val="2"/>
                <w:sz w:val="21"/>
                <w:szCs w:val="18"/>
                <w:highlight w:val="none"/>
                <w:lang w:val="en-US" w:eastAsia="zh-CN" w:bidi="ar-SA"/>
              </w:rPr>
              <w:t>3</w:t>
            </w:r>
            <w:r>
              <w:rPr>
                <w:rFonts w:hint="eastAsia" w:ascii="Times New Roman" w:hAnsi="Times New Roman" w:eastAsia="宋体" w:cs="Times New Roman"/>
                <w:b/>
                <w:bCs/>
                <w:color w:val="auto"/>
                <w:kern w:val="2"/>
                <w:sz w:val="21"/>
                <w:szCs w:val="18"/>
                <w:highlight w:val="none"/>
                <w:lang w:val="en-US" w:eastAsia="zh-CN" w:bidi="ar-SA"/>
              </w:rPr>
              <w:t xml:space="preserve"> </w:t>
            </w:r>
            <w:r>
              <w:rPr>
                <w:rFonts w:hint="eastAsia" w:cs="Times New Roman"/>
                <w:b/>
                <w:bCs/>
                <w:color w:val="auto"/>
                <w:kern w:val="2"/>
                <w:sz w:val="21"/>
                <w:szCs w:val="18"/>
                <w:highlight w:val="none"/>
                <w:lang w:val="en-US" w:eastAsia="zh-CN" w:bidi="ar-SA"/>
              </w:rPr>
              <w:t>实验</w:t>
            </w:r>
            <w:r>
              <w:rPr>
                <w:rFonts w:hint="eastAsia" w:ascii="Times New Roman" w:hAnsi="Times New Roman" w:eastAsia="宋体" w:cs="Times New Roman"/>
                <w:b/>
                <w:bCs/>
                <w:color w:val="auto"/>
                <w:kern w:val="2"/>
                <w:sz w:val="21"/>
                <w:szCs w:val="18"/>
                <w:highlight w:val="none"/>
                <w:lang w:val="en-US" w:eastAsia="zh-CN" w:bidi="ar-SA"/>
              </w:rPr>
              <w:t>流程图</w:t>
            </w:r>
          </w:p>
        </w:tc>
      </w:tr>
    </w:tbl>
    <w:p w14:paraId="183BD9D1">
      <w:pPr>
        <w:pStyle w:val="41"/>
        <w:keepNext w:val="0"/>
        <w:keepLines w:val="0"/>
        <w:pageBreakBefore w:val="0"/>
        <w:widowControl/>
        <w:kinsoku/>
        <w:wordWrap/>
        <w:overflowPunct/>
        <w:topLinePunct w:val="0"/>
        <w:autoSpaceDE/>
        <w:autoSpaceDN/>
        <w:bidi w:val="0"/>
        <w:adjustRightInd w:val="0"/>
        <w:snapToGrid w:val="0"/>
        <w:spacing w:beforeAutospacing="0" w:afterAutospacing="0" w:line="240" w:lineRule="auto"/>
        <w:jc w:val="center"/>
        <w:textAlignment w:val="auto"/>
        <w:rPr>
          <w:rFonts w:hint="default" w:ascii="Times New Roman" w:hAnsi="Times New Roman" w:cs="Times New Roman"/>
          <w:b/>
          <w:bCs/>
          <w:color w:val="0000FF"/>
          <w:kern w:val="2"/>
          <w:sz w:val="24"/>
          <w:szCs w:val="24"/>
          <w:highlight w:val="none"/>
        </w:rPr>
        <w:sectPr>
          <w:footerReference r:id="rId8" w:type="default"/>
          <w:pgSz w:w="11907" w:h="16840"/>
          <w:pgMar w:top="1417" w:right="1417" w:bottom="1417" w:left="1417" w:header="992" w:footer="992" w:gutter="0"/>
          <w:pgBorders>
            <w:top w:val="none" w:sz="0" w:space="0"/>
            <w:left w:val="none" w:sz="0" w:space="0"/>
            <w:bottom w:val="none" w:sz="0" w:space="0"/>
            <w:right w:val="none" w:sz="0" w:space="0"/>
          </w:pgBorders>
          <w:pgNumType w:fmt="numberInDash"/>
          <w:cols w:space="720" w:num="1"/>
          <w:docGrid w:linePitch="286" w:charSpace="0"/>
        </w:sectPr>
      </w:pPr>
    </w:p>
    <w:tbl>
      <w:tblPr>
        <w:tblStyle w:val="45"/>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8646"/>
      </w:tblGrid>
      <w:tr w14:paraId="0238E2CB">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6" w:type="pct"/>
            <w:tcBorders>
              <w:top w:val="single" w:color="auto" w:sz="4" w:space="0"/>
              <w:left w:val="single" w:color="auto" w:sz="8" w:space="0"/>
              <w:bottom w:val="single" w:color="auto" w:sz="4" w:space="0"/>
              <w:right w:val="single" w:color="auto" w:sz="4" w:space="0"/>
            </w:tcBorders>
            <w:vAlign w:val="top"/>
          </w:tcPr>
          <w:p w14:paraId="389D5178">
            <w:pPr>
              <w:pStyle w:val="41"/>
              <w:keepNext w:val="0"/>
              <w:keepLines w:val="0"/>
              <w:pageBreakBefore w:val="0"/>
              <w:widowControl/>
              <w:kinsoku/>
              <w:wordWrap/>
              <w:overflowPunct/>
              <w:topLinePunct w:val="0"/>
              <w:autoSpaceDE/>
              <w:autoSpaceDN/>
              <w:bidi w:val="0"/>
              <w:adjustRightInd w:val="0"/>
              <w:snapToGrid w:val="0"/>
              <w:spacing w:beforeAutospacing="0" w:afterAutospacing="0" w:line="240" w:lineRule="auto"/>
              <w:jc w:val="both"/>
              <w:textAlignment w:val="auto"/>
              <w:rPr>
                <w:rFonts w:hint="default" w:ascii="Times New Roman" w:hAnsi="Times New Roman" w:cs="Times New Roman"/>
                <w:b/>
                <w:bCs/>
                <w:color w:val="0000FF"/>
                <w:kern w:val="2"/>
                <w:sz w:val="21"/>
                <w:szCs w:val="21"/>
                <w:highlight w:val="none"/>
              </w:rPr>
            </w:pPr>
          </w:p>
        </w:tc>
        <w:tc>
          <w:tcPr>
            <w:tcW w:w="4653" w:type="pct"/>
            <w:tcBorders>
              <w:top w:val="single" w:color="auto" w:sz="4" w:space="0"/>
              <w:left w:val="single" w:color="auto" w:sz="4" w:space="0"/>
              <w:bottom w:val="single" w:color="auto" w:sz="4" w:space="0"/>
              <w:right w:val="single" w:color="auto" w:sz="8" w:space="0"/>
            </w:tcBorders>
            <w:vAlign w:val="top"/>
          </w:tcPr>
          <w:p w14:paraId="62AB163B">
            <w:pPr>
              <w:pStyle w:val="358"/>
              <w:ind w:firstLine="480"/>
              <w:jc w:val="both"/>
              <w:rPr>
                <w:color w:val="auto"/>
              </w:rPr>
            </w:pPr>
            <w:r>
              <w:rPr>
                <w:rFonts w:hint="eastAsia"/>
                <w:color w:val="auto"/>
              </w:rPr>
              <w:t>本项目</w:t>
            </w:r>
            <w:r>
              <w:rPr>
                <w:rFonts w:hint="eastAsia"/>
                <w:color w:val="auto"/>
                <w:lang w:val="en-US" w:eastAsia="zh-CN"/>
              </w:rPr>
              <w:t>实验</w:t>
            </w:r>
            <w:r>
              <w:rPr>
                <w:rFonts w:hint="eastAsia"/>
                <w:color w:val="auto"/>
              </w:rPr>
              <w:t>检测流程如下：按规定采集样品→样品前处理→实验检测→容器清洗。</w:t>
            </w:r>
          </w:p>
          <w:p w14:paraId="3DEEC66B">
            <w:pPr>
              <w:pStyle w:val="358"/>
              <w:ind w:firstLine="480"/>
              <w:jc w:val="both"/>
              <w:rPr>
                <w:color w:val="auto"/>
              </w:rPr>
            </w:pPr>
            <w:r>
              <w:rPr>
                <w:rFonts w:hint="eastAsia" w:ascii="宋体" w:hAnsi="宋体"/>
                <w:color w:val="auto"/>
              </w:rPr>
              <w:t>①</w:t>
            </w:r>
            <w:r>
              <w:rPr>
                <w:rFonts w:hint="eastAsia"/>
                <w:color w:val="auto"/>
              </w:rPr>
              <w:t>样品前处理</w:t>
            </w:r>
          </w:p>
          <w:p w14:paraId="20E4E536">
            <w:pPr>
              <w:pStyle w:val="358"/>
              <w:ind w:firstLine="480"/>
              <w:jc w:val="both"/>
              <w:rPr>
                <w:color w:val="auto"/>
              </w:rPr>
            </w:pPr>
            <w:r>
              <w:rPr>
                <w:rFonts w:hint="eastAsia"/>
                <w:color w:val="auto"/>
              </w:rPr>
              <w:t>液体样本大多数情况下都必须经过处理才能进行分析测定。特别是许多复杂样本以多相非均一态的形式存在，如废水中含有的乳液、固体微粒与悬浮物等，所以，复杂的样本必须经过前处理后才能进行分析测定，样本前处理的目的是：浓缩痕量的被测组分，提高方法的灵敏度，降低检测限；去除样本中的基体与其他干扰物质；通过衍生化与其他反应，使被测物转化成为检测灵敏度更高的物质或转化为与样本中干扰组分能够分离的物质，提高方法的灵敏度和选择性浓缩样本的质量与体积，便于运输与保存，提高样本的稳定性，使之不受空气的影响；保护分析仪器以及测试系统，以免影响仪器的性能以及寿命。</w:t>
            </w:r>
          </w:p>
          <w:p w14:paraId="7AFD1C2C">
            <w:pPr>
              <w:pStyle w:val="358"/>
              <w:ind w:firstLine="480"/>
              <w:jc w:val="both"/>
              <w:rPr>
                <w:color w:val="auto"/>
              </w:rPr>
            </w:pPr>
            <w:r>
              <w:rPr>
                <w:rFonts w:hint="eastAsia"/>
                <w:color w:val="auto"/>
              </w:rPr>
              <w:t>本环节无机前处理过程使用硫酸、盐酸</w:t>
            </w:r>
            <w:r>
              <w:rPr>
                <w:rFonts w:hint="eastAsia"/>
                <w:color w:val="auto"/>
                <w:lang w:eastAsia="zh-CN"/>
              </w:rPr>
              <w:t>、</w:t>
            </w:r>
            <w:r>
              <w:rPr>
                <w:rFonts w:hint="eastAsia"/>
                <w:color w:val="auto"/>
                <w:lang w:val="en-US" w:eastAsia="zh-CN"/>
              </w:rPr>
              <w:t>硝酸</w:t>
            </w:r>
            <w:r>
              <w:rPr>
                <w:rFonts w:hint="eastAsia"/>
                <w:color w:val="auto"/>
              </w:rPr>
              <w:t>等强酸试剂，挥发产生酸性废气</w:t>
            </w:r>
            <w:r>
              <w:rPr>
                <w:rFonts w:hint="eastAsia"/>
                <w:color w:val="auto"/>
                <w:lang w:eastAsia="zh-CN"/>
              </w:rPr>
              <w:t>、</w:t>
            </w:r>
            <w:r>
              <w:rPr>
                <w:rFonts w:hint="eastAsia"/>
                <w:color w:val="auto"/>
                <w:lang w:val="en-US" w:eastAsia="zh-CN"/>
              </w:rPr>
              <w:t>氮氧化物</w:t>
            </w:r>
            <w:r>
              <w:rPr>
                <w:rFonts w:hint="eastAsia"/>
                <w:color w:val="auto"/>
              </w:rPr>
              <w:t>，</w:t>
            </w:r>
            <w:r>
              <w:rPr>
                <w:rFonts w:hint="eastAsia"/>
                <w:color w:val="auto"/>
                <w:lang w:val="en-US" w:eastAsia="zh-CN"/>
              </w:rPr>
              <w:t>元素</w:t>
            </w:r>
            <w:r>
              <w:rPr>
                <w:rFonts w:hint="eastAsia"/>
                <w:color w:val="auto"/>
              </w:rPr>
              <w:t>前处理过程使用硫酸等强酸试剂</w:t>
            </w:r>
            <w:r>
              <w:rPr>
                <w:rFonts w:hint="eastAsia"/>
                <w:color w:val="auto"/>
                <w:lang w:eastAsia="zh-CN"/>
              </w:rPr>
              <w:t>，</w:t>
            </w:r>
            <w:r>
              <w:rPr>
                <w:rFonts w:hint="eastAsia"/>
                <w:color w:val="auto"/>
              </w:rPr>
              <w:t>丙酮等有机试剂，挥发产生酸性废气</w:t>
            </w:r>
            <w:r>
              <w:rPr>
                <w:rFonts w:hint="eastAsia"/>
                <w:color w:val="auto"/>
                <w:lang w:eastAsia="zh-CN"/>
              </w:rPr>
              <w:t>、</w:t>
            </w:r>
            <w:r>
              <w:rPr>
                <w:rFonts w:hint="eastAsia"/>
                <w:color w:val="auto"/>
              </w:rPr>
              <w:t>有机废气。</w:t>
            </w:r>
          </w:p>
          <w:p w14:paraId="0C2E0E2F">
            <w:pPr>
              <w:pStyle w:val="358"/>
              <w:ind w:firstLine="480"/>
              <w:jc w:val="both"/>
              <w:rPr>
                <w:color w:val="auto"/>
              </w:rPr>
            </w:pPr>
            <w:r>
              <w:rPr>
                <w:rFonts w:hint="eastAsia" w:ascii="宋体" w:hAnsi="宋体"/>
                <w:color w:val="auto"/>
              </w:rPr>
              <w:t>②</w:t>
            </w:r>
            <w:r>
              <w:rPr>
                <w:rFonts w:hint="eastAsia"/>
                <w:color w:val="auto"/>
              </w:rPr>
              <w:t>样品检验</w:t>
            </w:r>
          </w:p>
          <w:p w14:paraId="7D1C5BFF">
            <w:pPr>
              <w:pStyle w:val="358"/>
              <w:ind w:firstLine="480"/>
              <w:jc w:val="both"/>
              <w:rPr>
                <w:color w:val="auto"/>
              </w:rPr>
            </w:pPr>
            <w:r>
              <w:rPr>
                <w:rFonts w:hint="eastAsia"/>
                <w:color w:val="auto"/>
              </w:rPr>
              <w:t>样品检测过程主要包括理化实验和仪器检测。</w:t>
            </w:r>
          </w:p>
          <w:p w14:paraId="00FF8FA3">
            <w:pPr>
              <w:pStyle w:val="358"/>
              <w:ind w:firstLine="480"/>
              <w:jc w:val="both"/>
              <w:rPr>
                <w:color w:val="auto"/>
              </w:rPr>
            </w:pPr>
            <w:r>
              <w:rPr>
                <w:rFonts w:hint="eastAsia"/>
                <w:color w:val="auto"/>
              </w:rPr>
              <w:t>理化实验主要使用滴定</w:t>
            </w:r>
            <w:r>
              <w:rPr>
                <w:rFonts w:hint="eastAsia" w:ascii="Times New Roman" w:hAnsi="Times New Roman" w:eastAsia="宋体" w:cs="Times New Roman"/>
                <w:color w:val="auto"/>
              </w:rPr>
              <w:t>法，仪器实验主要使用</w:t>
            </w:r>
            <w:r>
              <w:rPr>
                <w:rFonts w:hint="eastAsia" w:ascii="Times New Roman" w:hAnsi="Times New Roman" w:eastAsia="宋体" w:cs="Times New Roman"/>
                <w:color w:val="auto"/>
                <w:lang w:val="en-US" w:eastAsia="zh-CN"/>
              </w:rPr>
              <w:t>可见分光光度计</w:t>
            </w:r>
            <w:r>
              <w:rPr>
                <w:rFonts w:hint="eastAsia" w:ascii="Times New Roman" w:hAnsi="Times New Roman" w:eastAsia="宋体" w:cs="Times New Roman"/>
                <w:color w:val="auto"/>
              </w:rPr>
              <w:t>、</w:t>
            </w:r>
            <w:r>
              <w:rPr>
                <w:rFonts w:hint="eastAsia" w:ascii="Times New Roman" w:hAnsi="Times New Roman" w:eastAsia="宋体" w:cs="Times New Roman"/>
                <w:color w:val="auto"/>
                <w:lang w:val="en-US" w:eastAsia="zh-CN"/>
              </w:rPr>
              <w:t>原子荧光光度计</w:t>
            </w:r>
            <w:r>
              <w:rPr>
                <w:rFonts w:hint="eastAsia" w:ascii="Times New Roman" w:hAnsi="Times New Roman" w:eastAsia="宋体" w:cs="Times New Roman"/>
                <w:color w:val="auto"/>
              </w:rPr>
              <w:t>、</w:t>
            </w:r>
            <w:r>
              <w:rPr>
                <w:rFonts w:hint="eastAsia" w:ascii="Times New Roman" w:hAnsi="Times New Roman" w:eastAsia="宋体" w:cs="Times New Roman"/>
                <w:color w:val="auto"/>
                <w:lang w:val="en-US" w:eastAsia="zh-CN"/>
              </w:rPr>
              <w:t>原子吸收分光光度计</w:t>
            </w:r>
            <w:r>
              <w:rPr>
                <w:rFonts w:hint="eastAsia" w:ascii="Times New Roman" w:hAnsi="Times New Roman" w:eastAsia="宋体" w:cs="Times New Roman"/>
                <w:color w:val="auto"/>
              </w:rPr>
              <w:t>等设备进行检测。</w:t>
            </w:r>
          </w:p>
          <w:p w14:paraId="775D8CD4">
            <w:pPr>
              <w:pStyle w:val="358"/>
              <w:ind w:firstLine="480"/>
              <w:jc w:val="both"/>
              <w:rPr>
                <w:color w:val="auto"/>
              </w:rPr>
            </w:pPr>
            <w:r>
              <w:rPr>
                <w:rFonts w:hint="eastAsia"/>
                <w:color w:val="auto"/>
              </w:rPr>
              <w:t>本环节理化实验过程使用硫酸、盐酸</w:t>
            </w:r>
            <w:r>
              <w:rPr>
                <w:rFonts w:hint="eastAsia"/>
                <w:color w:val="auto"/>
                <w:lang w:eastAsia="zh-CN"/>
              </w:rPr>
              <w:t>、</w:t>
            </w:r>
            <w:r>
              <w:rPr>
                <w:rFonts w:hint="eastAsia"/>
                <w:color w:val="auto"/>
                <w:lang w:val="en-US" w:eastAsia="zh-CN"/>
              </w:rPr>
              <w:t>硝酸</w:t>
            </w:r>
            <w:r>
              <w:rPr>
                <w:rFonts w:hint="eastAsia"/>
                <w:color w:val="auto"/>
              </w:rPr>
              <w:t>等强酸试剂，挥发产生酸性废气</w:t>
            </w:r>
            <w:r>
              <w:rPr>
                <w:rFonts w:hint="eastAsia"/>
                <w:color w:val="auto"/>
                <w:lang w:val="en-US" w:eastAsia="zh-CN"/>
              </w:rPr>
              <w:t>和氮氧化物</w:t>
            </w:r>
            <w:r>
              <w:rPr>
                <w:rFonts w:hint="eastAsia"/>
                <w:color w:val="auto"/>
              </w:rPr>
              <w:t>，使用丙酮等有机试剂挥发产生挥发性有机物（V</w:t>
            </w:r>
            <w:r>
              <w:rPr>
                <w:color w:val="auto"/>
              </w:rPr>
              <w:t>OCs</w:t>
            </w:r>
            <w:r>
              <w:rPr>
                <w:rFonts w:hint="eastAsia"/>
                <w:color w:val="auto"/>
              </w:rPr>
              <w:t>），以非甲烷总烃计。</w:t>
            </w:r>
          </w:p>
          <w:p w14:paraId="745CED8F">
            <w:pPr>
              <w:pStyle w:val="358"/>
              <w:ind w:firstLine="480"/>
              <w:jc w:val="both"/>
              <w:rPr>
                <w:color w:val="auto"/>
              </w:rPr>
            </w:pPr>
            <w:r>
              <w:rPr>
                <w:rFonts w:hint="eastAsia" w:ascii="宋体" w:hAnsi="宋体"/>
                <w:color w:val="auto"/>
              </w:rPr>
              <w:t>③</w:t>
            </w:r>
            <w:r>
              <w:rPr>
                <w:rFonts w:hint="eastAsia"/>
                <w:color w:val="auto"/>
              </w:rPr>
              <w:t>样品清理、容器清洗</w:t>
            </w:r>
          </w:p>
          <w:p w14:paraId="743F608B">
            <w:pPr>
              <w:pStyle w:val="358"/>
              <w:ind w:firstLine="480"/>
              <w:jc w:val="both"/>
              <w:rPr>
                <w:color w:val="auto"/>
              </w:rPr>
            </w:pPr>
            <w:r>
              <w:rPr>
                <w:rFonts w:hint="eastAsia"/>
                <w:color w:val="auto"/>
              </w:rPr>
              <w:t>实验完毕进行样品清理和容器清洗。</w:t>
            </w:r>
          </w:p>
          <w:p w14:paraId="3D70CADF">
            <w:pPr>
              <w:pStyle w:val="358"/>
              <w:ind w:firstLine="480"/>
              <w:jc w:val="both"/>
              <w:rPr>
                <w:color w:val="auto"/>
              </w:rPr>
            </w:pPr>
            <w:r>
              <w:rPr>
                <w:rFonts w:hint="eastAsia"/>
                <w:color w:val="auto"/>
              </w:rPr>
              <w:t>本环节容器清洗过程产生清洗废水，样品清理产生废有机试剂等</w:t>
            </w:r>
            <w:r>
              <w:rPr>
                <w:rFonts w:hint="eastAsia"/>
                <w:color w:val="auto"/>
                <w:lang w:val="en-US" w:eastAsia="zh-CN"/>
              </w:rPr>
              <w:t>实验废液</w:t>
            </w:r>
            <w:r>
              <w:rPr>
                <w:rFonts w:hint="eastAsia"/>
                <w:color w:val="auto"/>
              </w:rPr>
              <w:t>。</w:t>
            </w:r>
          </w:p>
          <w:p w14:paraId="66DE72CC">
            <w:pPr>
              <w:pStyle w:val="358"/>
              <w:ind w:firstLine="480"/>
              <w:jc w:val="both"/>
              <w:rPr>
                <w:color w:val="auto"/>
              </w:rPr>
            </w:pPr>
            <w:r>
              <w:rPr>
                <w:rFonts w:hint="eastAsia" w:ascii="宋体" w:hAnsi="宋体"/>
                <w:color w:val="auto"/>
              </w:rPr>
              <w:t>④</w:t>
            </w:r>
            <w:r>
              <w:rPr>
                <w:rFonts w:hint="eastAsia"/>
                <w:color w:val="auto"/>
              </w:rPr>
              <w:t>纯水制备</w:t>
            </w:r>
          </w:p>
          <w:p w14:paraId="02E8FD74">
            <w:pPr>
              <w:pStyle w:val="358"/>
              <w:ind w:firstLine="480"/>
              <w:jc w:val="both"/>
              <w:rPr>
                <w:rFonts w:hint="eastAsia"/>
                <w:color w:val="auto"/>
              </w:rPr>
            </w:pPr>
            <w:r>
              <w:rPr>
                <w:rFonts w:hint="eastAsia"/>
                <w:color w:val="auto"/>
              </w:rPr>
              <w:t>实验过程和容器清洗过程使用纯水，实验室配备纯水机制备纯水。本环节产生浓水</w:t>
            </w:r>
            <w:r>
              <w:rPr>
                <w:rFonts w:hint="eastAsia"/>
                <w:color w:val="auto"/>
                <w:lang w:eastAsia="zh-CN"/>
              </w:rPr>
              <w:t>、</w:t>
            </w:r>
            <w:r>
              <w:rPr>
                <w:rFonts w:hint="eastAsia"/>
                <w:color w:val="auto"/>
                <w:lang w:val="en-US" w:eastAsia="zh-CN"/>
              </w:rPr>
              <w:t>废反渗透膜</w:t>
            </w:r>
            <w:r>
              <w:rPr>
                <w:rFonts w:hint="eastAsia"/>
                <w:color w:val="auto"/>
              </w:rPr>
              <w:t>。</w:t>
            </w:r>
          </w:p>
          <w:p w14:paraId="73F96079">
            <w:pPr>
              <w:keepNext w:val="0"/>
              <w:keepLines w:val="0"/>
              <w:pageBreakBefore w:val="0"/>
              <w:widowControl/>
              <w:kinsoku/>
              <w:wordWrap/>
              <w:overflowPunct/>
              <w:topLinePunct w:val="0"/>
              <w:autoSpaceDE/>
              <w:autoSpaceDN/>
              <w:bidi w:val="0"/>
              <w:adjustRightInd w:val="0"/>
              <w:snapToGrid w:val="0"/>
              <w:jc w:val="both"/>
              <w:textAlignment w:val="auto"/>
              <w:rPr>
                <w:rFonts w:hint="default" w:ascii="宋体" w:hAnsi="宋体" w:cs="宋体"/>
                <w:color w:val="auto"/>
                <w:kern w:val="28"/>
                <w:sz w:val="21"/>
                <w:szCs w:val="21"/>
                <w:highlight w:val="none"/>
                <w:lang w:val="en-US" w:eastAsia="zh-CN"/>
              </w:rPr>
            </w:pPr>
            <w:r>
              <w:rPr>
                <w:rFonts w:hint="eastAsia" w:ascii="宋体" w:hAnsi="宋体" w:cs="宋体"/>
                <w:color w:val="auto"/>
                <w:kern w:val="28"/>
                <w:sz w:val="21"/>
                <w:szCs w:val="21"/>
                <w:highlight w:val="none"/>
                <w:lang w:val="en-US" w:eastAsia="zh-CN"/>
              </w:rPr>
              <w:t>2、产污环节一览表</w:t>
            </w:r>
          </w:p>
          <w:p w14:paraId="2E666B19">
            <w:pPr>
              <w:autoSpaceDE w:val="0"/>
              <w:autoSpaceDN w:val="0"/>
              <w:adjustRightInd w:val="0"/>
              <w:snapToGrid w:val="0"/>
              <w:spacing w:line="240" w:lineRule="auto"/>
              <w:jc w:val="center"/>
              <w:rPr>
                <w:rFonts w:hint="default" w:ascii="Times New Roman" w:hAnsi="Times New Roman" w:eastAsia="宋体" w:cs="Times New Roman"/>
                <w:b/>
                <w:bCs/>
                <w:color w:val="auto"/>
                <w:sz w:val="21"/>
                <w:szCs w:val="18"/>
                <w:highlight w:val="none"/>
                <w:lang w:val="en-US" w:eastAsia="zh-CN"/>
              </w:rPr>
            </w:pPr>
          </w:p>
          <w:p w14:paraId="3E6422BC">
            <w:pPr>
              <w:autoSpaceDE w:val="0"/>
              <w:autoSpaceDN w:val="0"/>
              <w:adjustRightInd w:val="0"/>
              <w:snapToGrid w:val="0"/>
              <w:spacing w:line="240" w:lineRule="auto"/>
              <w:jc w:val="center"/>
              <w:rPr>
                <w:rFonts w:hint="default" w:ascii="Times New Roman" w:hAnsi="Times New Roman" w:eastAsia="宋体" w:cs="Times New Roman"/>
                <w:b/>
                <w:bCs/>
                <w:color w:val="auto"/>
                <w:sz w:val="21"/>
                <w:szCs w:val="18"/>
                <w:highlight w:val="none"/>
                <w:lang w:val="en-US" w:eastAsia="zh-CN"/>
              </w:rPr>
            </w:pPr>
          </w:p>
          <w:p w14:paraId="5AE4D900">
            <w:pPr>
              <w:autoSpaceDE w:val="0"/>
              <w:autoSpaceDN w:val="0"/>
              <w:adjustRightInd w:val="0"/>
              <w:snapToGrid w:val="0"/>
              <w:spacing w:line="240" w:lineRule="auto"/>
              <w:jc w:val="center"/>
              <w:rPr>
                <w:rFonts w:hint="default" w:ascii="Times New Roman" w:hAnsi="Times New Roman" w:eastAsia="宋体" w:cs="Times New Roman"/>
                <w:b/>
                <w:bCs/>
                <w:color w:val="auto"/>
                <w:sz w:val="21"/>
                <w:szCs w:val="18"/>
                <w:highlight w:val="none"/>
                <w:lang w:val="en-US" w:eastAsia="zh-CN"/>
              </w:rPr>
            </w:pPr>
          </w:p>
          <w:p w14:paraId="245D62D2">
            <w:pPr>
              <w:autoSpaceDE w:val="0"/>
              <w:autoSpaceDN w:val="0"/>
              <w:adjustRightInd w:val="0"/>
              <w:snapToGrid w:val="0"/>
              <w:spacing w:line="240" w:lineRule="auto"/>
              <w:jc w:val="center"/>
              <w:rPr>
                <w:rFonts w:hint="default" w:ascii="Times New Roman" w:hAnsi="Times New Roman" w:eastAsia="宋体" w:cs="Times New Roman"/>
                <w:b/>
                <w:bCs/>
                <w:color w:val="auto"/>
                <w:sz w:val="21"/>
                <w:szCs w:val="18"/>
                <w:highlight w:val="none"/>
                <w:lang w:val="en-US" w:eastAsia="zh-CN"/>
              </w:rPr>
            </w:pPr>
            <w:r>
              <w:rPr>
                <w:rFonts w:hint="default" w:ascii="Times New Roman" w:hAnsi="Times New Roman" w:eastAsia="宋体" w:cs="Times New Roman"/>
                <w:b/>
                <w:bCs/>
                <w:color w:val="auto"/>
                <w:sz w:val="21"/>
                <w:szCs w:val="18"/>
                <w:highlight w:val="none"/>
                <w:lang w:val="en-US" w:eastAsia="zh-CN"/>
              </w:rPr>
              <w:t>表</w:t>
            </w:r>
            <w:r>
              <w:rPr>
                <w:rFonts w:hint="eastAsia" w:cs="Times New Roman"/>
                <w:b/>
                <w:bCs/>
                <w:color w:val="auto"/>
                <w:sz w:val="21"/>
                <w:szCs w:val="18"/>
                <w:highlight w:val="none"/>
                <w:lang w:val="en-US" w:eastAsia="zh-CN"/>
              </w:rPr>
              <w:t>10</w:t>
            </w:r>
            <w:r>
              <w:rPr>
                <w:rFonts w:hint="default" w:ascii="Times New Roman" w:hAnsi="Times New Roman" w:eastAsia="宋体" w:cs="Times New Roman"/>
                <w:b/>
                <w:bCs/>
                <w:color w:val="auto"/>
                <w:sz w:val="21"/>
                <w:szCs w:val="18"/>
                <w:highlight w:val="none"/>
                <w:lang w:val="en-US" w:eastAsia="zh-CN"/>
              </w:rPr>
              <w:t xml:space="preserve"> 污染物及污染源一览表</w:t>
            </w:r>
          </w:p>
          <w:tbl>
            <w:tblPr>
              <w:tblStyle w:val="45"/>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51"/>
              <w:gridCol w:w="685"/>
              <w:gridCol w:w="2864"/>
              <w:gridCol w:w="3930"/>
            </w:tblGrid>
            <w:tr w14:paraId="249538C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64" w:type="pct"/>
                  <w:tcBorders>
                    <w:tl2br w:val="nil"/>
                    <w:tr2bl w:val="nil"/>
                  </w:tcBorders>
                  <w:vAlign w:val="center"/>
                </w:tcPr>
                <w:p w14:paraId="258B4F35">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污染物</w:t>
                  </w:r>
                </w:p>
              </w:tc>
              <w:tc>
                <w:tcPr>
                  <w:tcW w:w="2104" w:type="pct"/>
                  <w:gridSpan w:val="2"/>
                  <w:tcBorders>
                    <w:tl2br w:val="nil"/>
                    <w:tr2bl w:val="nil"/>
                  </w:tcBorders>
                  <w:vAlign w:val="center"/>
                </w:tcPr>
                <w:p w14:paraId="21869B28">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来源</w:t>
                  </w:r>
                </w:p>
              </w:tc>
              <w:tc>
                <w:tcPr>
                  <w:tcW w:w="2330" w:type="pct"/>
                  <w:tcBorders>
                    <w:tl2br w:val="nil"/>
                    <w:tr2bl w:val="nil"/>
                  </w:tcBorders>
                  <w:vAlign w:val="center"/>
                </w:tcPr>
                <w:p w14:paraId="0CF2B00A">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污染物种类</w:t>
                  </w:r>
                </w:p>
              </w:tc>
            </w:tr>
            <w:tr w14:paraId="14D9994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64" w:type="pct"/>
                  <w:vMerge w:val="restart"/>
                  <w:tcBorders>
                    <w:tl2br w:val="nil"/>
                    <w:tr2bl w:val="nil"/>
                  </w:tcBorders>
                  <w:vAlign w:val="center"/>
                </w:tcPr>
                <w:p w14:paraId="70C9519D">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color w:val="auto"/>
                      <w:sz w:val="21"/>
                      <w:szCs w:val="21"/>
                      <w:highlight w:val="none"/>
                      <w:lang w:val="en-US" w:eastAsia="zh-CN"/>
                    </w:rPr>
                  </w:pPr>
                  <w:r>
                    <w:rPr>
                      <w:rFonts w:hint="default" w:cs="Times New Roman"/>
                      <w:color w:val="auto"/>
                      <w:sz w:val="21"/>
                      <w:szCs w:val="21"/>
                      <w:highlight w:val="none"/>
                      <w:lang w:val="en-US" w:eastAsia="zh-CN"/>
                    </w:rPr>
                    <w:t>废气</w:t>
                  </w:r>
                </w:p>
              </w:tc>
              <w:tc>
                <w:tcPr>
                  <w:tcW w:w="406" w:type="pct"/>
                  <w:vMerge w:val="restart"/>
                  <w:tcBorders>
                    <w:tl2br w:val="nil"/>
                    <w:tr2bl w:val="nil"/>
                  </w:tcBorders>
                  <w:vAlign w:val="center"/>
                </w:tcPr>
                <w:p w14:paraId="6C4F75AF">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检测过程</w:t>
                  </w:r>
                </w:p>
              </w:tc>
              <w:tc>
                <w:tcPr>
                  <w:tcW w:w="1698" w:type="pct"/>
                  <w:tcBorders>
                    <w:tl2br w:val="nil"/>
                    <w:tr2bl w:val="nil"/>
                  </w:tcBorders>
                  <w:vAlign w:val="center"/>
                </w:tcPr>
                <w:p w14:paraId="16824393">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cs="Times New Roman"/>
                      <w:color w:val="0000FF"/>
                      <w:sz w:val="21"/>
                      <w:szCs w:val="21"/>
                      <w:highlight w:val="none"/>
                      <w:lang w:val="en-US" w:eastAsia="zh-CN"/>
                    </w:rPr>
                  </w:pPr>
                  <w:r>
                    <w:rPr>
                      <w:rStyle w:val="287"/>
                      <w:rFonts w:hint="default" w:ascii="Times New Roman" w:hAnsi="Times New Roman" w:cs="Times New Roman"/>
                      <w:bCs w:val="0"/>
                      <w:color w:val="auto"/>
                      <w:sz w:val="21"/>
                      <w:szCs w:val="21"/>
                      <w:highlight w:val="none"/>
                    </w:rPr>
                    <w:t>硫酸</w:t>
                  </w:r>
                  <w:r>
                    <w:rPr>
                      <w:rStyle w:val="287"/>
                      <w:rFonts w:hint="default" w:ascii="Times New Roman" w:hAnsi="Times New Roman" w:cs="Times New Roman"/>
                      <w:bCs w:val="0"/>
                      <w:color w:val="auto"/>
                      <w:sz w:val="21"/>
                      <w:szCs w:val="21"/>
                      <w:highlight w:val="none"/>
                      <w:lang w:val="en-US" w:eastAsia="zh-CN"/>
                    </w:rPr>
                    <w:t>使用</w:t>
                  </w:r>
                </w:p>
              </w:tc>
              <w:tc>
                <w:tcPr>
                  <w:tcW w:w="2330" w:type="pct"/>
                  <w:tcBorders>
                    <w:tl2br w:val="nil"/>
                    <w:tr2bl w:val="nil"/>
                  </w:tcBorders>
                  <w:vAlign w:val="center"/>
                </w:tcPr>
                <w:p w14:paraId="0B60A327">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bCs/>
                      <w:color w:val="0000FF"/>
                      <w:kern w:val="2"/>
                      <w:sz w:val="21"/>
                      <w:szCs w:val="21"/>
                      <w:highlight w:val="none"/>
                      <w:vertAlign w:val="baseline"/>
                      <w:lang w:val="en-US" w:eastAsia="zh-CN" w:bidi="ar-SA"/>
                    </w:rPr>
                  </w:pPr>
                  <w:r>
                    <w:rPr>
                      <w:rFonts w:hint="default" w:ascii="Times New Roman" w:hAnsi="Times New Roman" w:cs="Times New Roman"/>
                      <w:color w:val="auto"/>
                      <w:sz w:val="21"/>
                      <w:szCs w:val="21"/>
                      <w:highlight w:val="none"/>
                      <w:lang w:val="en-US" w:eastAsia="zh-CN"/>
                    </w:rPr>
                    <w:t>硫酸雾</w:t>
                  </w:r>
                </w:p>
              </w:tc>
            </w:tr>
            <w:tr w14:paraId="68240C0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64" w:type="pct"/>
                  <w:vMerge w:val="continue"/>
                  <w:tcBorders>
                    <w:tl2br w:val="nil"/>
                    <w:tr2bl w:val="nil"/>
                  </w:tcBorders>
                  <w:vAlign w:val="center"/>
                </w:tcPr>
                <w:p w14:paraId="7FD0A050">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color w:val="0000FF"/>
                      <w:sz w:val="21"/>
                      <w:szCs w:val="21"/>
                      <w:highlight w:val="none"/>
                      <w:lang w:val="en-US" w:eastAsia="zh-CN"/>
                    </w:rPr>
                  </w:pPr>
                </w:p>
              </w:tc>
              <w:tc>
                <w:tcPr>
                  <w:tcW w:w="406" w:type="pct"/>
                  <w:vMerge w:val="continue"/>
                  <w:tcBorders>
                    <w:tl2br w:val="nil"/>
                    <w:tr2bl w:val="nil"/>
                  </w:tcBorders>
                  <w:vAlign w:val="center"/>
                </w:tcPr>
                <w:p w14:paraId="2AC1F8BD">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0000FF"/>
                      <w:sz w:val="21"/>
                      <w:szCs w:val="21"/>
                      <w:highlight w:val="none"/>
                      <w:lang w:val="en-US" w:eastAsia="zh-CN"/>
                    </w:rPr>
                  </w:pPr>
                </w:p>
              </w:tc>
              <w:tc>
                <w:tcPr>
                  <w:tcW w:w="1698" w:type="pct"/>
                  <w:tcBorders>
                    <w:tl2br w:val="nil"/>
                    <w:tr2bl w:val="nil"/>
                  </w:tcBorders>
                  <w:vAlign w:val="center"/>
                </w:tcPr>
                <w:p w14:paraId="67208030">
                  <w:pPr>
                    <w:pStyle w:val="63"/>
                    <w:keepNext w:val="0"/>
                    <w:keepLines w:val="0"/>
                    <w:pageBreakBefore w:val="0"/>
                    <w:widowControl w:val="0"/>
                    <w:kinsoku/>
                    <w:wordWrap/>
                    <w:overflowPunct/>
                    <w:topLinePunct w:val="0"/>
                    <w:bidi w:val="0"/>
                    <w:spacing w:line="240" w:lineRule="auto"/>
                    <w:ind w:left="0" w:leftChars="0"/>
                    <w:jc w:val="center"/>
                    <w:textAlignment w:val="auto"/>
                    <w:rPr>
                      <w:rStyle w:val="287"/>
                      <w:rFonts w:hint="eastAsia" w:ascii="Times New Roman" w:hAnsi="Times New Roman" w:cs="Times New Roman"/>
                      <w:color w:val="0000FF"/>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硝酸使用</w:t>
                  </w:r>
                </w:p>
              </w:tc>
              <w:tc>
                <w:tcPr>
                  <w:tcW w:w="2330" w:type="pct"/>
                  <w:vMerge w:val="restart"/>
                  <w:tcBorders>
                    <w:tl2br w:val="nil"/>
                    <w:tr2bl w:val="nil"/>
                  </w:tcBorders>
                  <w:vAlign w:val="center"/>
                </w:tcPr>
                <w:p w14:paraId="3296B49C">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cs="Times New Roman"/>
                      <w:bCs/>
                      <w:color w:val="0000FF"/>
                      <w:kern w:val="2"/>
                      <w:sz w:val="21"/>
                      <w:szCs w:val="21"/>
                      <w:highlight w:val="none"/>
                      <w:vertAlign w:val="baseline"/>
                      <w:lang w:val="en-US" w:eastAsia="zh-CN" w:bidi="ar-SA"/>
                    </w:rPr>
                  </w:pPr>
                  <w:r>
                    <w:rPr>
                      <w:rFonts w:hint="eastAsia" w:cs="Times New Roman"/>
                      <w:color w:val="auto"/>
                      <w:kern w:val="0"/>
                      <w:sz w:val="21"/>
                      <w:szCs w:val="21"/>
                      <w:highlight w:val="none"/>
                      <w:lang w:val="en-US" w:eastAsia="zh-CN"/>
                    </w:rPr>
                    <w:t>氮氧化物</w:t>
                  </w:r>
                </w:p>
              </w:tc>
            </w:tr>
            <w:tr w14:paraId="5771588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64" w:type="pct"/>
                  <w:vMerge w:val="continue"/>
                  <w:tcBorders>
                    <w:tl2br w:val="nil"/>
                    <w:tr2bl w:val="nil"/>
                  </w:tcBorders>
                  <w:vAlign w:val="center"/>
                </w:tcPr>
                <w:p w14:paraId="64E7A547">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color w:val="0000FF"/>
                      <w:sz w:val="21"/>
                      <w:szCs w:val="21"/>
                      <w:highlight w:val="none"/>
                      <w:lang w:val="en-US" w:eastAsia="zh-CN"/>
                    </w:rPr>
                  </w:pPr>
                </w:p>
              </w:tc>
              <w:tc>
                <w:tcPr>
                  <w:tcW w:w="406" w:type="pct"/>
                  <w:vMerge w:val="continue"/>
                  <w:tcBorders>
                    <w:tl2br w:val="nil"/>
                    <w:tr2bl w:val="nil"/>
                  </w:tcBorders>
                  <w:vAlign w:val="center"/>
                </w:tcPr>
                <w:p w14:paraId="7E5DE8E7">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0000FF"/>
                      <w:sz w:val="21"/>
                      <w:szCs w:val="21"/>
                      <w:highlight w:val="none"/>
                      <w:lang w:val="en-US" w:eastAsia="zh-CN"/>
                    </w:rPr>
                  </w:pPr>
                </w:p>
              </w:tc>
              <w:tc>
                <w:tcPr>
                  <w:tcW w:w="1698" w:type="pct"/>
                  <w:tcBorders>
                    <w:tl2br w:val="nil"/>
                    <w:tr2bl w:val="nil"/>
                  </w:tcBorders>
                  <w:vAlign w:val="center"/>
                </w:tcPr>
                <w:p w14:paraId="613295D2">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cs="Times New Roman"/>
                      <w:color w:val="0000FF"/>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盐酸使用</w:t>
                  </w:r>
                </w:p>
              </w:tc>
              <w:tc>
                <w:tcPr>
                  <w:tcW w:w="2330" w:type="pct"/>
                  <w:tcBorders>
                    <w:tl2br w:val="nil"/>
                    <w:tr2bl w:val="nil"/>
                  </w:tcBorders>
                  <w:vAlign w:val="center"/>
                </w:tcPr>
                <w:p w14:paraId="12F3781D">
                  <w:pPr>
                    <w:pStyle w:val="63"/>
                    <w:keepNext w:val="0"/>
                    <w:keepLines w:val="0"/>
                    <w:pageBreakBefore w:val="0"/>
                    <w:widowControl w:val="0"/>
                    <w:kinsoku/>
                    <w:wordWrap/>
                    <w:overflowPunct/>
                    <w:topLinePunct w:val="0"/>
                    <w:bidi w:val="0"/>
                    <w:spacing w:line="240" w:lineRule="auto"/>
                    <w:ind w:left="0" w:leftChars="0"/>
                    <w:jc w:val="center"/>
                    <w:textAlignment w:val="auto"/>
                    <w:rPr>
                      <w:rFonts w:hint="eastAsia" w:cs="Times New Roman"/>
                      <w:bCs/>
                      <w:color w:val="0000FF"/>
                      <w:kern w:val="2"/>
                      <w:sz w:val="21"/>
                      <w:szCs w:val="21"/>
                      <w:highlight w:val="none"/>
                      <w:vertAlign w:val="baseline"/>
                      <w:lang w:val="en-US" w:eastAsia="zh-CN" w:bidi="ar-SA"/>
                    </w:rPr>
                  </w:pPr>
                  <w:r>
                    <w:rPr>
                      <w:rFonts w:hint="eastAsia" w:cs="Times New Roman"/>
                      <w:i w:val="0"/>
                      <w:iCs w:val="0"/>
                      <w:color w:val="auto"/>
                      <w:kern w:val="0"/>
                      <w:sz w:val="21"/>
                      <w:szCs w:val="21"/>
                      <w:highlight w:val="none"/>
                      <w:u w:val="none"/>
                      <w:lang w:val="en-US" w:eastAsia="zh-CN" w:bidi="ar"/>
                    </w:rPr>
                    <w:t>氯化氢</w:t>
                  </w:r>
                </w:p>
              </w:tc>
            </w:tr>
            <w:tr w14:paraId="41FF2835">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564" w:type="pct"/>
                  <w:vMerge w:val="continue"/>
                  <w:tcBorders>
                    <w:tl2br w:val="nil"/>
                    <w:tr2bl w:val="nil"/>
                  </w:tcBorders>
                  <w:vAlign w:val="center"/>
                </w:tcPr>
                <w:p w14:paraId="64AD4EDD">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color w:val="0000FF"/>
                      <w:sz w:val="21"/>
                      <w:szCs w:val="21"/>
                      <w:highlight w:val="none"/>
                      <w:lang w:val="en-US" w:eastAsia="zh-CN"/>
                    </w:rPr>
                  </w:pPr>
                </w:p>
              </w:tc>
              <w:tc>
                <w:tcPr>
                  <w:tcW w:w="406" w:type="pct"/>
                  <w:vMerge w:val="continue"/>
                  <w:tcBorders>
                    <w:tl2br w:val="nil"/>
                    <w:tr2bl w:val="nil"/>
                  </w:tcBorders>
                  <w:vAlign w:val="center"/>
                </w:tcPr>
                <w:p w14:paraId="321EB256">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0000FF"/>
                      <w:sz w:val="21"/>
                      <w:szCs w:val="21"/>
                      <w:highlight w:val="none"/>
                      <w:lang w:val="en-US" w:eastAsia="zh-CN"/>
                    </w:rPr>
                  </w:pPr>
                </w:p>
              </w:tc>
              <w:tc>
                <w:tcPr>
                  <w:tcW w:w="1698" w:type="pct"/>
                  <w:tcBorders>
                    <w:tl2br w:val="nil"/>
                    <w:tr2bl w:val="nil"/>
                  </w:tcBorders>
                  <w:vAlign w:val="center"/>
                </w:tcPr>
                <w:p w14:paraId="1BB468D8">
                  <w:pPr>
                    <w:pStyle w:val="63"/>
                    <w:keepNext w:val="0"/>
                    <w:keepLines w:val="0"/>
                    <w:pageBreakBefore w:val="0"/>
                    <w:widowControl w:val="0"/>
                    <w:kinsoku/>
                    <w:wordWrap/>
                    <w:overflowPunct/>
                    <w:topLinePunct w:val="0"/>
                    <w:bidi w:val="0"/>
                    <w:spacing w:line="240" w:lineRule="auto"/>
                    <w:ind w:left="0" w:leftChars="0"/>
                    <w:jc w:val="center"/>
                    <w:textAlignment w:val="auto"/>
                    <w:rPr>
                      <w:rFonts w:hint="eastAsia" w:cs="Times New Roman"/>
                      <w:color w:val="0000FF"/>
                      <w:sz w:val="21"/>
                      <w:szCs w:val="21"/>
                      <w:highlight w:val="none"/>
                      <w:lang w:val="en-US" w:eastAsia="zh-CN"/>
                    </w:rPr>
                  </w:pPr>
                  <w:r>
                    <w:rPr>
                      <w:rStyle w:val="287"/>
                      <w:rFonts w:hint="default" w:ascii="Times New Roman" w:hAnsi="Times New Roman" w:cs="Times New Roman"/>
                      <w:color w:val="auto"/>
                      <w:sz w:val="21"/>
                      <w:szCs w:val="21"/>
                      <w:highlight w:val="none"/>
                      <w:lang w:val="en-US" w:eastAsia="zh-CN"/>
                    </w:rPr>
                    <w:t>氨水使用</w:t>
                  </w:r>
                </w:p>
              </w:tc>
              <w:tc>
                <w:tcPr>
                  <w:tcW w:w="2330" w:type="pct"/>
                  <w:tcBorders>
                    <w:tl2br w:val="nil"/>
                    <w:tr2bl w:val="nil"/>
                  </w:tcBorders>
                  <w:vAlign w:val="center"/>
                </w:tcPr>
                <w:p w14:paraId="53F687BA">
                  <w:pPr>
                    <w:pStyle w:val="63"/>
                    <w:keepNext w:val="0"/>
                    <w:keepLines w:val="0"/>
                    <w:pageBreakBefore w:val="0"/>
                    <w:widowControl w:val="0"/>
                    <w:kinsoku/>
                    <w:wordWrap/>
                    <w:overflowPunct/>
                    <w:topLinePunct w:val="0"/>
                    <w:bidi w:val="0"/>
                    <w:spacing w:line="240" w:lineRule="auto"/>
                    <w:ind w:left="0" w:leftChars="0"/>
                    <w:jc w:val="center"/>
                    <w:textAlignment w:val="auto"/>
                    <w:rPr>
                      <w:rFonts w:hint="eastAsia" w:cs="Times New Roman"/>
                      <w:bCs/>
                      <w:color w:val="0000FF"/>
                      <w:kern w:val="2"/>
                      <w:sz w:val="21"/>
                      <w:szCs w:val="21"/>
                      <w:highlight w:val="none"/>
                      <w:vertAlign w:val="baseline"/>
                      <w:lang w:val="en-US" w:eastAsia="zh-CN" w:bidi="ar-SA"/>
                    </w:rPr>
                  </w:pPr>
                  <w:r>
                    <w:rPr>
                      <w:rStyle w:val="287"/>
                      <w:rFonts w:hint="eastAsia" w:ascii="Times New Roman" w:hAnsi="Times New Roman" w:cs="Times New Roman"/>
                      <w:color w:val="auto"/>
                      <w:sz w:val="21"/>
                      <w:szCs w:val="21"/>
                      <w:highlight w:val="none"/>
                      <w:lang w:val="en-US" w:eastAsia="zh-CN"/>
                    </w:rPr>
                    <w:t>氨</w:t>
                  </w:r>
                </w:p>
              </w:tc>
            </w:tr>
            <w:tr w14:paraId="4D79F4CF">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64" w:type="pct"/>
                  <w:vMerge w:val="continue"/>
                  <w:tcBorders>
                    <w:tl2br w:val="nil"/>
                    <w:tr2bl w:val="nil"/>
                  </w:tcBorders>
                  <w:vAlign w:val="center"/>
                </w:tcPr>
                <w:p w14:paraId="32728704">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color w:val="0000FF"/>
                      <w:sz w:val="21"/>
                      <w:szCs w:val="21"/>
                      <w:highlight w:val="none"/>
                      <w:lang w:val="en-US" w:eastAsia="zh-CN"/>
                    </w:rPr>
                  </w:pPr>
                </w:p>
              </w:tc>
              <w:tc>
                <w:tcPr>
                  <w:tcW w:w="406" w:type="pct"/>
                  <w:vMerge w:val="continue"/>
                  <w:tcBorders>
                    <w:tl2br w:val="nil"/>
                    <w:tr2bl w:val="nil"/>
                  </w:tcBorders>
                  <w:vAlign w:val="center"/>
                </w:tcPr>
                <w:p w14:paraId="392AD3FF">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s="Times New Roman"/>
                      <w:color w:val="0000FF"/>
                      <w:sz w:val="21"/>
                      <w:szCs w:val="21"/>
                      <w:highlight w:val="none"/>
                      <w:lang w:val="en-US" w:eastAsia="zh-CN"/>
                    </w:rPr>
                  </w:pPr>
                </w:p>
              </w:tc>
              <w:tc>
                <w:tcPr>
                  <w:tcW w:w="1698" w:type="pct"/>
                  <w:tcBorders>
                    <w:tl2br w:val="nil"/>
                    <w:tr2bl w:val="nil"/>
                  </w:tcBorders>
                  <w:vAlign w:val="center"/>
                </w:tcPr>
                <w:p w14:paraId="56303487">
                  <w:pPr>
                    <w:pStyle w:val="63"/>
                    <w:keepNext w:val="0"/>
                    <w:keepLines w:val="0"/>
                    <w:pageBreakBefore w:val="0"/>
                    <w:widowControl w:val="0"/>
                    <w:kinsoku/>
                    <w:wordWrap/>
                    <w:overflowPunct/>
                    <w:topLinePunct w:val="0"/>
                    <w:bidi w:val="0"/>
                    <w:spacing w:line="240" w:lineRule="auto"/>
                    <w:ind w:left="0" w:leftChars="0"/>
                    <w:jc w:val="center"/>
                    <w:textAlignment w:val="auto"/>
                    <w:rPr>
                      <w:rFonts w:hint="eastAsia" w:cs="Times New Roman"/>
                      <w:color w:val="0000FF"/>
                      <w:sz w:val="21"/>
                      <w:szCs w:val="21"/>
                      <w:highlight w:val="none"/>
                      <w:lang w:val="en-US" w:eastAsia="zh-CN"/>
                    </w:rPr>
                  </w:pPr>
                  <w:r>
                    <w:rPr>
                      <w:rFonts w:hint="default" w:ascii="Times New Roman" w:hAnsi="Times New Roman" w:cs="Times New Roman"/>
                      <w:color w:val="auto"/>
                      <w:sz w:val="21"/>
                      <w:szCs w:val="21"/>
                      <w:highlight w:val="none"/>
                      <w:lang w:val="en-US" w:eastAsia="zh-CN"/>
                    </w:rPr>
                    <w:t>挥发性有机物使用</w:t>
                  </w:r>
                </w:p>
              </w:tc>
              <w:tc>
                <w:tcPr>
                  <w:tcW w:w="2330" w:type="pct"/>
                  <w:tcBorders>
                    <w:tl2br w:val="nil"/>
                    <w:tr2bl w:val="nil"/>
                  </w:tcBorders>
                  <w:vAlign w:val="center"/>
                </w:tcPr>
                <w:p w14:paraId="5DD76F86">
                  <w:pPr>
                    <w:pStyle w:val="63"/>
                    <w:keepNext w:val="0"/>
                    <w:keepLines w:val="0"/>
                    <w:pageBreakBefore w:val="0"/>
                    <w:widowControl w:val="0"/>
                    <w:kinsoku/>
                    <w:wordWrap/>
                    <w:overflowPunct/>
                    <w:topLinePunct w:val="0"/>
                    <w:bidi w:val="0"/>
                    <w:spacing w:line="240" w:lineRule="auto"/>
                    <w:ind w:left="0" w:leftChars="0"/>
                    <w:jc w:val="center"/>
                    <w:textAlignment w:val="auto"/>
                    <w:rPr>
                      <w:rFonts w:hint="eastAsia" w:cs="Times New Roman"/>
                      <w:bCs/>
                      <w:color w:val="0000FF"/>
                      <w:kern w:val="2"/>
                      <w:sz w:val="21"/>
                      <w:szCs w:val="21"/>
                      <w:highlight w:val="none"/>
                      <w:vertAlign w:val="baseline"/>
                      <w:lang w:val="en-US" w:eastAsia="zh-CN" w:bidi="ar-SA"/>
                    </w:rPr>
                  </w:pPr>
                  <w:r>
                    <w:rPr>
                      <w:rFonts w:hint="eastAsia" w:ascii="Times New Roman" w:hAnsi="Times New Roman" w:cs="Times New Roman"/>
                      <w:color w:val="auto"/>
                      <w:sz w:val="21"/>
                      <w:szCs w:val="21"/>
                      <w:highlight w:val="none"/>
                      <w:lang w:val="en-US" w:eastAsia="zh-CN"/>
                    </w:rPr>
                    <w:t>非甲烷总烃</w:t>
                  </w:r>
                </w:p>
              </w:tc>
            </w:tr>
            <w:tr w14:paraId="3C556784">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64" w:type="pct"/>
                  <w:tcBorders>
                    <w:tl2br w:val="nil"/>
                    <w:tr2bl w:val="nil"/>
                  </w:tcBorders>
                  <w:vAlign w:val="center"/>
                </w:tcPr>
                <w:p w14:paraId="5933F32F">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color w:val="auto"/>
                      <w:sz w:val="21"/>
                      <w:szCs w:val="21"/>
                      <w:highlight w:val="none"/>
                      <w:lang w:val="en-US" w:eastAsia="zh-CN"/>
                    </w:rPr>
                  </w:pPr>
                  <w:r>
                    <w:rPr>
                      <w:rFonts w:hint="default" w:cs="Times New Roman"/>
                      <w:color w:val="auto"/>
                      <w:sz w:val="21"/>
                      <w:szCs w:val="21"/>
                      <w:highlight w:val="none"/>
                      <w:lang w:val="en-US" w:eastAsia="zh-CN"/>
                    </w:rPr>
                    <w:t>废水</w:t>
                  </w:r>
                </w:p>
              </w:tc>
              <w:tc>
                <w:tcPr>
                  <w:tcW w:w="2104" w:type="pct"/>
                  <w:gridSpan w:val="2"/>
                  <w:tcBorders>
                    <w:tl2br w:val="nil"/>
                    <w:tr2bl w:val="nil"/>
                  </w:tcBorders>
                  <w:vAlign w:val="center"/>
                </w:tcPr>
                <w:p w14:paraId="1E528978">
                  <w:pPr>
                    <w:adjustRightInd w:val="0"/>
                    <w:snapToGrid w:val="0"/>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纯水制备</w:t>
                  </w:r>
                </w:p>
              </w:tc>
              <w:tc>
                <w:tcPr>
                  <w:tcW w:w="2330" w:type="pct"/>
                  <w:tcBorders>
                    <w:tl2br w:val="nil"/>
                    <w:tr2bl w:val="nil"/>
                  </w:tcBorders>
                  <w:vAlign w:val="center"/>
                </w:tcPr>
                <w:p w14:paraId="3E9174B5">
                  <w:pPr>
                    <w:adjustRightInd w:val="0"/>
                    <w:snapToGrid w:val="0"/>
                    <w:spacing w:line="240" w:lineRule="auto"/>
                    <w:jc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纯水制备废水（COD、溶解性总固体）</w:t>
                  </w:r>
                </w:p>
              </w:tc>
            </w:tr>
            <w:tr w14:paraId="6C0EB926">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64" w:type="pct"/>
                  <w:tcBorders>
                    <w:tl2br w:val="nil"/>
                    <w:tr2bl w:val="nil"/>
                  </w:tcBorders>
                  <w:vAlign w:val="center"/>
                </w:tcPr>
                <w:p w14:paraId="16E601DE">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color w:val="auto"/>
                      <w:sz w:val="21"/>
                      <w:szCs w:val="21"/>
                      <w:highlight w:val="none"/>
                      <w:lang w:val="en-US" w:eastAsia="zh-CN"/>
                    </w:rPr>
                  </w:pPr>
                  <w:r>
                    <w:rPr>
                      <w:rFonts w:hint="default" w:cs="Times New Roman"/>
                      <w:color w:val="auto"/>
                      <w:sz w:val="21"/>
                      <w:szCs w:val="21"/>
                      <w:highlight w:val="none"/>
                      <w:lang w:val="en-US" w:eastAsia="zh-CN"/>
                    </w:rPr>
                    <w:t>噪声</w:t>
                  </w:r>
                </w:p>
              </w:tc>
              <w:tc>
                <w:tcPr>
                  <w:tcW w:w="2104" w:type="pct"/>
                  <w:gridSpan w:val="2"/>
                  <w:tcBorders>
                    <w:tl2br w:val="nil"/>
                    <w:tr2bl w:val="nil"/>
                  </w:tcBorders>
                  <w:vAlign w:val="center"/>
                </w:tcPr>
                <w:p w14:paraId="7ED1E6F8">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设备运行</w:t>
                  </w:r>
                </w:p>
              </w:tc>
              <w:tc>
                <w:tcPr>
                  <w:tcW w:w="2330" w:type="pct"/>
                  <w:tcBorders>
                    <w:tl2br w:val="nil"/>
                    <w:tr2bl w:val="nil"/>
                  </w:tcBorders>
                  <w:vAlign w:val="center"/>
                </w:tcPr>
                <w:p w14:paraId="001B482E">
                  <w:pPr>
                    <w:adjustRightInd w:val="0"/>
                    <w:snapToGrid w:val="0"/>
                    <w:spacing w:line="240" w:lineRule="auto"/>
                    <w:jc w:val="center"/>
                    <w:rPr>
                      <w:rFonts w:hint="default"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设备噪声</w:t>
                  </w:r>
                </w:p>
              </w:tc>
            </w:tr>
            <w:tr w14:paraId="7B4DDA5E">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64" w:type="pct"/>
                  <w:vMerge w:val="restart"/>
                  <w:tcBorders>
                    <w:tl2br w:val="nil"/>
                    <w:tr2bl w:val="nil"/>
                  </w:tcBorders>
                  <w:vAlign w:val="center"/>
                </w:tcPr>
                <w:p w14:paraId="29AE05FF">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color w:val="auto"/>
                      <w:sz w:val="21"/>
                      <w:szCs w:val="21"/>
                      <w:highlight w:val="none"/>
                      <w:lang w:val="en-US" w:eastAsia="zh-CN"/>
                    </w:rPr>
                  </w:pPr>
                  <w:r>
                    <w:rPr>
                      <w:rFonts w:hint="default" w:cs="Times New Roman"/>
                      <w:color w:val="auto"/>
                      <w:sz w:val="21"/>
                      <w:szCs w:val="21"/>
                      <w:highlight w:val="none"/>
                      <w:lang w:val="en-US" w:eastAsia="zh-CN"/>
                    </w:rPr>
                    <w:t>固体</w:t>
                  </w:r>
                </w:p>
                <w:p w14:paraId="20A5F781">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s="Times New Roman"/>
                      <w:color w:val="auto"/>
                      <w:sz w:val="21"/>
                      <w:szCs w:val="21"/>
                      <w:highlight w:val="none"/>
                      <w:lang w:val="en-US" w:eastAsia="zh-CN"/>
                    </w:rPr>
                  </w:pPr>
                  <w:r>
                    <w:rPr>
                      <w:rFonts w:hint="default" w:cs="Times New Roman"/>
                      <w:color w:val="auto"/>
                      <w:sz w:val="21"/>
                      <w:szCs w:val="21"/>
                      <w:highlight w:val="none"/>
                      <w:lang w:val="en-US" w:eastAsia="zh-CN"/>
                    </w:rPr>
                    <w:t>废物</w:t>
                  </w:r>
                </w:p>
              </w:tc>
              <w:tc>
                <w:tcPr>
                  <w:tcW w:w="2104" w:type="pct"/>
                  <w:gridSpan w:val="2"/>
                  <w:tcBorders>
                    <w:tl2br w:val="nil"/>
                    <w:tr2bl w:val="nil"/>
                  </w:tcBorders>
                  <w:vAlign w:val="center"/>
                </w:tcPr>
                <w:p w14:paraId="091C23C1">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废气处理</w:t>
                  </w:r>
                </w:p>
              </w:tc>
              <w:tc>
                <w:tcPr>
                  <w:tcW w:w="2330" w:type="pct"/>
                  <w:tcBorders>
                    <w:tl2br w:val="nil"/>
                    <w:tr2bl w:val="nil"/>
                  </w:tcBorders>
                  <w:vAlign w:val="center"/>
                </w:tcPr>
                <w:p w14:paraId="0361464A">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废活性炭</w:t>
                  </w:r>
                </w:p>
              </w:tc>
            </w:tr>
            <w:tr w14:paraId="3C62347A">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64" w:type="pct"/>
                  <w:vMerge w:val="continue"/>
                  <w:tcBorders>
                    <w:tl2br w:val="nil"/>
                    <w:tr2bl w:val="nil"/>
                  </w:tcBorders>
                  <w:vAlign w:val="center"/>
                </w:tcPr>
                <w:p w14:paraId="00BDECB6">
                  <w:pPr>
                    <w:pStyle w:val="4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cs="Times New Roman"/>
                      <w:color w:val="auto"/>
                      <w:sz w:val="21"/>
                      <w:szCs w:val="21"/>
                      <w:highlight w:val="none"/>
                    </w:rPr>
                  </w:pPr>
                </w:p>
              </w:tc>
              <w:tc>
                <w:tcPr>
                  <w:tcW w:w="2104" w:type="pct"/>
                  <w:gridSpan w:val="2"/>
                  <w:tcBorders>
                    <w:tl2br w:val="nil"/>
                    <w:tr2bl w:val="nil"/>
                  </w:tcBorders>
                  <w:vAlign w:val="center"/>
                </w:tcPr>
                <w:p w14:paraId="4CE735C2">
                  <w:pPr>
                    <w:adjustRightInd w:val="0"/>
                    <w:snapToGrid w:val="0"/>
                    <w:spacing w:line="240" w:lineRule="auto"/>
                    <w:jc w:val="center"/>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检测过程</w:t>
                  </w:r>
                </w:p>
              </w:tc>
              <w:tc>
                <w:tcPr>
                  <w:tcW w:w="2330" w:type="pct"/>
                  <w:tcBorders>
                    <w:tl2br w:val="nil"/>
                    <w:tr2bl w:val="nil"/>
                  </w:tcBorders>
                  <w:vAlign w:val="center"/>
                </w:tcPr>
                <w:p w14:paraId="2E643153">
                  <w:pPr>
                    <w:adjustRightInd w:val="0"/>
                    <w:snapToGrid w:val="0"/>
                    <w:spacing w:line="240" w:lineRule="auto"/>
                    <w:jc w:val="center"/>
                    <w:rPr>
                      <w:rFonts w:hint="default" w:ascii="Times New Roman" w:hAnsi="Times New Roman" w:eastAsia="宋体" w:cs="Times New Roman"/>
                      <w:bCs/>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实验废液和器皿清洗水</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废耗材</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过期试剂</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废残留样品</w:t>
                  </w:r>
                </w:p>
              </w:tc>
            </w:tr>
          </w:tbl>
          <w:p w14:paraId="2F472CDA">
            <w:pPr>
              <w:ind w:firstLine="480" w:firstLineChars="200"/>
              <w:jc w:val="both"/>
              <w:rPr>
                <w:rFonts w:hint="default" w:ascii="Times New Roman" w:hAnsi="Times New Roman" w:cs="Times New Roman"/>
                <w:color w:val="0000FF"/>
                <w:highlight w:val="none"/>
                <w:lang w:val="en-US"/>
              </w:rPr>
            </w:pPr>
          </w:p>
        </w:tc>
      </w:tr>
      <w:tr w14:paraId="1C4E0EE5">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29" w:hRule="atLeast"/>
          <w:jc w:val="center"/>
        </w:trPr>
        <w:tc>
          <w:tcPr>
            <w:tcW w:w="346" w:type="pct"/>
            <w:tcBorders>
              <w:top w:val="single" w:color="auto" w:sz="4" w:space="0"/>
              <w:left w:val="single" w:color="auto" w:sz="8" w:space="0"/>
              <w:bottom w:val="single" w:color="auto" w:sz="4" w:space="0"/>
              <w:right w:val="single" w:color="auto" w:sz="4" w:space="0"/>
            </w:tcBorders>
            <w:vAlign w:val="center"/>
          </w:tcPr>
          <w:p w14:paraId="16E089FE">
            <w:pPr>
              <w:pStyle w:val="41"/>
              <w:keepNext w:val="0"/>
              <w:keepLines w:val="0"/>
              <w:pageBreakBefore w:val="0"/>
              <w:widowControl/>
              <w:kinsoku/>
              <w:wordWrap/>
              <w:overflowPunct/>
              <w:topLinePunct w:val="0"/>
              <w:autoSpaceDE/>
              <w:autoSpaceDN/>
              <w:bidi w:val="0"/>
              <w:adjustRightInd w:val="0"/>
              <w:snapToGrid w:val="0"/>
              <w:spacing w:beforeAutospacing="0" w:afterAutospacing="0" w:line="240" w:lineRule="auto"/>
              <w:jc w:val="center"/>
              <w:textAlignment w:val="auto"/>
              <w:rPr>
                <w:rFonts w:hint="default" w:ascii="Times New Roman" w:hAnsi="Times New Roman" w:cs="Times New Roman"/>
                <w:b/>
                <w:bCs/>
                <w:color w:val="0000FF"/>
                <w:kern w:val="2"/>
                <w:sz w:val="21"/>
                <w:szCs w:val="21"/>
                <w:highlight w:val="none"/>
              </w:rPr>
            </w:pPr>
            <w:bookmarkStart w:id="2" w:name="_Toc6563"/>
            <w:r>
              <w:rPr>
                <w:rFonts w:hint="default" w:ascii="Times New Roman" w:hAnsi="Times New Roman" w:cs="Times New Roman"/>
                <w:b/>
                <w:bCs/>
                <w:color w:val="auto"/>
                <w:kern w:val="2"/>
                <w:sz w:val="24"/>
                <w:szCs w:val="24"/>
                <w:highlight w:val="none"/>
              </w:rPr>
              <w:t>与项目有关的原有环境污染问题</w:t>
            </w:r>
          </w:p>
        </w:tc>
        <w:tc>
          <w:tcPr>
            <w:tcW w:w="4653" w:type="pct"/>
            <w:tcBorders>
              <w:top w:val="single" w:color="auto" w:sz="4" w:space="0"/>
              <w:left w:val="single" w:color="auto" w:sz="4" w:space="0"/>
              <w:bottom w:val="single" w:color="auto" w:sz="4" w:space="0"/>
              <w:right w:val="single" w:color="auto" w:sz="8" w:space="0"/>
            </w:tcBorders>
            <w:vAlign w:val="center"/>
          </w:tcPr>
          <w:p w14:paraId="6755C3D2">
            <w:pPr>
              <w:keepNext w:val="0"/>
              <w:keepLines w:val="0"/>
              <w:pageBreakBefore w:val="0"/>
              <w:widowControl/>
              <w:kinsoku/>
              <w:wordWrap/>
              <w:overflowPunct/>
              <w:topLinePunct w:val="0"/>
              <w:autoSpaceDE/>
              <w:autoSpaceDN/>
              <w:bidi w:val="0"/>
              <w:adjustRightInd w:val="0"/>
              <w:snapToGrid w:val="0"/>
              <w:jc w:val="both"/>
              <w:textAlignment w:val="auto"/>
              <w:rPr>
                <w:rFonts w:hint="eastAsia" w:ascii="宋体" w:hAnsi="宋体" w:cs="宋体"/>
                <w:color w:val="auto"/>
                <w:kern w:val="28"/>
                <w:sz w:val="21"/>
                <w:szCs w:val="21"/>
                <w:highlight w:val="none"/>
                <w:lang w:val="en-US" w:eastAsia="zh-CN"/>
              </w:rPr>
            </w:pPr>
          </w:p>
          <w:p w14:paraId="07080EEF">
            <w:pPr>
              <w:keepNext w:val="0"/>
              <w:keepLines w:val="0"/>
              <w:pageBreakBefore w:val="0"/>
              <w:widowControl/>
              <w:kinsoku/>
              <w:wordWrap/>
              <w:overflowPunct/>
              <w:topLinePunct w:val="0"/>
              <w:autoSpaceDE/>
              <w:autoSpaceDN/>
              <w:bidi w:val="0"/>
              <w:adjustRightInd w:val="0"/>
              <w:snapToGrid w:val="0"/>
              <w:jc w:val="both"/>
              <w:textAlignment w:val="auto"/>
              <w:rPr>
                <w:rFonts w:hint="eastAsia" w:ascii="宋体" w:hAnsi="宋体" w:cs="宋体"/>
                <w:color w:val="auto"/>
                <w:kern w:val="28"/>
                <w:sz w:val="21"/>
                <w:szCs w:val="21"/>
                <w:highlight w:val="none"/>
                <w:lang w:val="en-US" w:eastAsia="zh-CN"/>
              </w:rPr>
            </w:pPr>
          </w:p>
          <w:p w14:paraId="56FAAD8F">
            <w:pPr>
              <w:keepNext w:val="0"/>
              <w:keepLines w:val="0"/>
              <w:pageBreakBefore w:val="0"/>
              <w:widowControl/>
              <w:kinsoku/>
              <w:wordWrap/>
              <w:overflowPunct/>
              <w:topLinePunct w:val="0"/>
              <w:autoSpaceDE/>
              <w:autoSpaceDN/>
              <w:bidi w:val="0"/>
              <w:adjustRightInd w:val="0"/>
              <w:snapToGrid w:val="0"/>
              <w:jc w:val="both"/>
              <w:textAlignment w:val="auto"/>
              <w:rPr>
                <w:rFonts w:hint="eastAsia" w:ascii="宋体" w:hAnsi="宋体" w:cs="宋体"/>
                <w:color w:val="auto"/>
                <w:kern w:val="28"/>
                <w:sz w:val="21"/>
                <w:szCs w:val="21"/>
                <w:highlight w:val="none"/>
                <w:lang w:val="en-US" w:eastAsia="zh-CN"/>
              </w:rPr>
            </w:pPr>
          </w:p>
          <w:p w14:paraId="226B408A">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0000FF"/>
                <w:highlight w:val="none"/>
                <w:lang w:val="en-US"/>
              </w:rPr>
            </w:pPr>
            <w:r>
              <w:rPr>
                <w:rFonts w:hint="eastAsia" w:ascii="宋体" w:hAnsi="宋体" w:cs="宋体"/>
                <w:color w:val="auto"/>
                <w:kern w:val="28"/>
                <w:sz w:val="21"/>
                <w:szCs w:val="21"/>
                <w:highlight w:val="none"/>
                <w:lang w:val="en-US" w:eastAsia="zh-CN"/>
              </w:rPr>
              <w:t>**********</w:t>
            </w:r>
          </w:p>
          <w:p w14:paraId="5810017A">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0000FF"/>
                <w:highlight w:val="none"/>
                <w:lang w:val="en-US"/>
              </w:rPr>
            </w:pPr>
          </w:p>
          <w:p w14:paraId="7AB08341">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0000FF"/>
                <w:highlight w:val="none"/>
                <w:lang w:val="en-US"/>
              </w:rPr>
            </w:pPr>
          </w:p>
          <w:p w14:paraId="78B3AB25">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0000FF"/>
                <w:highlight w:val="none"/>
                <w:lang w:val="en-US"/>
              </w:rPr>
            </w:pPr>
          </w:p>
          <w:p w14:paraId="20609F50">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0000FF"/>
                <w:highlight w:val="none"/>
                <w:lang w:val="en-US"/>
              </w:rPr>
            </w:pPr>
          </w:p>
          <w:p w14:paraId="27EF4A05">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0000FF"/>
                <w:highlight w:val="none"/>
                <w:lang w:val="en-US"/>
              </w:rPr>
            </w:pPr>
          </w:p>
          <w:p w14:paraId="5654033B">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0000FF"/>
                <w:highlight w:val="none"/>
                <w:lang w:val="en-US"/>
              </w:rPr>
            </w:pPr>
          </w:p>
          <w:p w14:paraId="07D7364C">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0000FF"/>
                <w:highlight w:val="none"/>
                <w:lang w:val="en-US"/>
              </w:rPr>
            </w:pPr>
          </w:p>
          <w:p w14:paraId="14C13644">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0000FF"/>
                <w:highlight w:val="none"/>
                <w:lang w:val="en-US"/>
              </w:rPr>
            </w:pPr>
          </w:p>
          <w:p w14:paraId="057AF141">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0000FF"/>
                <w:highlight w:val="none"/>
                <w:lang w:val="en-US"/>
              </w:rPr>
            </w:pPr>
          </w:p>
          <w:p w14:paraId="4D60613E">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0000FF"/>
                <w:highlight w:val="none"/>
                <w:lang w:val="en-US"/>
              </w:rPr>
            </w:pPr>
          </w:p>
          <w:p w14:paraId="18428C9E">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0000FF"/>
                <w:highlight w:val="none"/>
                <w:lang w:val="en-US"/>
              </w:rPr>
            </w:pPr>
          </w:p>
          <w:p w14:paraId="5DCB012A">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0000FF"/>
                <w:highlight w:val="none"/>
                <w:lang w:val="en-US"/>
              </w:rPr>
            </w:pPr>
          </w:p>
          <w:p w14:paraId="3B4E2E43">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0000FF"/>
                <w:highlight w:val="none"/>
                <w:lang w:val="en-US"/>
              </w:rPr>
            </w:pPr>
          </w:p>
          <w:p w14:paraId="75CF9B5D">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0000FF"/>
                <w:highlight w:val="none"/>
                <w:lang w:val="en-US"/>
              </w:rPr>
            </w:pPr>
          </w:p>
          <w:p w14:paraId="7465BDB0">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0000FF"/>
                <w:highlight w:val="none"/>
                <w:lang w:val="en-US"/>
              </w:rPr>
            </w:pPr>
          </w:p>
          <w:p w14:paraId="78837233">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0000FF"/>
                <w:highlight w:val="none"/>
                <w:lang w:val="en-US"/>
              </w:rPr>
            </w:pPr>
          </w:p>
          <w:p w14:paraId="79A6A26E">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0000FF"/>
                <w:highlight w:val="none"/>
                <w:lang w:val="en-US"/>
              </w:rPr>
            </w:pPr>
          </w:p>
          <w:p w14:paraId="35390154">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0000FF"/>
                <w:highlight w:val="none"/>
                <w:lang w:val="en-US"/>
              </w:rPr>
            </w:pPr>
          </w:p>
          <w:p w14:paraId="7D3D6FD3">
            <w:pPr>
              <w:rPr>
                <w:rFonts w:hint="default"/>
                <w:lang w:val="en-US"/>
              </w:rPr>
            </w:pPr>
          </w:p>
        </w:tc>
      </w:tr>
    </w:tbl>
    <w:p w14:paraId="7D42C1A7">
      <w:pPr>
        <w:widowControl/>
        <w:spacing w:line="240" w:lineRule="auto"/>
        <w:rPr>
          <w:b/>
          <w:color w:val="0000FF"/>
          <w:sz w:val="30"/>
          <w:highlight w:val="none"/>
        </w:rPr>
      </w:pPr>
      <w:r>
        <w:rPr>
          <w:b/>
          <w:color w:val="0000FF"/>
          <w:sz w:val="30"/>
          <w:highlight w:val="none"/>
        </w:rPr>
        <w:br w:type="page"/>
      </w:r>
    </w:p>
    <w:bookmarkEnd w:id="2"/>
    <w:p w14:paraId="0E3B53F0">
      <w:pPr>
        <w:pStyle w:val="41"/>
        <w:keepNext w:val="0"/>
        <w:keepLines w:val="0"/>
        <w:pageBreakBefore w:val="0"/>
        <w:widowControl/>
        <w:numPr>
          <w:ilvl w:val="0"/>
          <w:numId w:val="4"/>
        </w:numPr>
        <w:kinsoku/>
        <w:wordWrap/>
        <w:overflowPunct/>
        <w:topLinePunct w:val="0"/>
        <w:autoSpaceDE/>
        <w:autoSpaceDN/>
        <w:bidi w:val="0"/>
        <w:adjustRightInd/>
        <w:snapToGrid/>
        <w:spacing w:before="287" w:beforeLines="100" w:beforeAutospacing="0" w:after="100" w:line="240" w:lineRule="auto"/>
        <w:jc w:val="center"/>
        <w:textAlignment w:val="auto"/>
        <w:outlineLvl w:val="0"/>
        <w:rPr>
          <w:rFonts w:hint="eastAsia" w:ascii="黑体" w:hAnsi="黑体" w:eastAsia="黑体"/>
          <w:snapToGrid w:val="0"/>
          <w:color w:val="auto"/>
          <w:sz w:val="30"/>
          <w:szCs w:val="30"/>
          <w:highlight w:val="none"/>
          <w:lang w:eastAsia="zh-CN"/>
        </w:rPr>
      </w:pPr>
      <w:r>
        <w:rPr>
          <w:rFonts w:hint="eastAsia" w:ascii="黑体" w:hAnsi="黑体" w:eastAsia="黑体"/>
          <w:snapToGrid w:val="0"/>
          <w:color w:val="auto"/>
          <w:sz w:val="30"/>
          <w:szCs w:val="30"/>
          <w:highlight w:val="none"/>
          <w:lang w:eastAsia="zh-CN"/>
        </w:rPr>
        <w:t>区域环境质量现状、环境保护目标及评价标准</w:t>
      </w:r>
    </w:p>
    <w:p w14:paraId="31170959">
      <w:pPr>
        <w:ind w:firstLine="40" w:firstLineChars="200"/>
        <w:jc w:val="both"/>
        <w:rPr>
          <w:rFonts w:hint="eastAsia" w:ascii="黑体" w:hAnsi="黑体" w:eastAsia="黑体"/>
          <w:snapToGrid w:val="0"/>
          <w:color w:val="0000FF"/>
          <w:sz w:val="2"/>
          <w:szCs w:val="2"/>
          <w:highlight w:val="none"/>
          <w:lang w:eastAsia="zh-CN"/>
        </w:rPr>
      </w:pPr>
    </w:p>
    <w:tbl>
      <w:tblPr>
        <w:tblStyle w:val="46"/>
        <w:tblpPr w:leftFromText="180" w:rightFromText="180" w:vertAnchor="text" w:tblpX="12602" w:tblpY="17787"/>
        <w:tblOverlap w:val="never"/>
        <w:tblW w:w="8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1091"/>
        <w:gridCol w:w="1091"/>
        <w:gridCol w:w="1091"/>
        <w:gridCol w:w="1091"/>
        <w:gridCol w:w="1091"/>
        <w:gridCol w:w="1091"/>
        <w:gridCol w:w="1091"/>
      </w:tblGrid>
      <w:tr w14:paraId="446DB1C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091" w:type="dxa"/>
          </w:tcPr>
          <w:p w14:paraId="3EEB18A7">
            <w:pPr>
              <w:jc w:val="both"/>
              <w:outlineLvl w:val="0"/>
              <w:rPr>
                <w:b/>
                <w:color w:val="0000FF"/>
                <w:sz w:val="32"/>
                <w:szCs w:val="22"/>
                <w:highlight w:val="none"/>
              </w:rPr>
            </w:pPr>
          </w:p>
        </w:tc>
        <w:tc>
          <w:tcPr>
            <w:tcW w:w="1091" w:type="dxa"/>
          </w:tcPr>
          <w:p w14:paraId="0F3FC6DE">
            <w:pPr>
              <w:jc w:val="both"/>
              <w:outlineLvl w:val="0"/>
              <w:rPr>
                <w:b/>
                <w:color w:val="0000FF"/>
                <w:sz w:val="32"/>
                <w:szCs w:val="22"/>
                <w:highlight w:val="none"/>
              </w:rPr>
            </w:pPr>
          </w:p>
        </w:tc>
        <w:tc>
          <w:tcPr>
            <w:tcW w:w="1091" w:type="dxa"/>
          </w:tcPr>
          <w:p w14:paraId="0E27D92C">
            <w:pPr>
              <w:jc w:val="both"/>
              <w:outlineLvl w:val="0"/>
              <w:rPr>
                <w:b/>
                <w:color w:val="0000FF"/>
                <w:sz w:val="32"/>
                <w:szCs w:val="22"/>
                <w:highlight w:val="none"/>
              </w:rPr>
            </w:pPr>
          </w:p>
        </w:tc>
        <w:tc>
          <w:tcPr>
            <w:tcW w:w="1091" w:type="dxa"/>
          </w:tcPr>
          <w:p w14:paraId="7FF692B7">
            <w:pPr>
              <w:jc w:val="both"/>
              <w:outlineLvl w:val="0"/>
              <w:rPr>
                <w:b/>
                <w:color w:val="0000FF"/>
                <w:sz w:val="32"/>
                <w:szCs w:val="22"/>
                <w:highlight w:val="none"/>
              </w:rPr>
            </w:pPr>
          </w:p>
        </w:tc>
        <w:tc>
          <w:tcPr>
            <w:tcW w:w="1091" w:type="dxa"/>
          </w:tcPr>
          <w:p w14:paraId="7232D73B">
            <w:pPr>
              <w:jc w:val="both"/>
              <w:outlineLvl w:val="0"/>
              <w:rPr>
                <w:b/>
                <w:color w:val="0000FF"/>
                <w:sz w:val="32"/>
                <w:szCs w:val="22"/>
                <w:highlight w:val="none"/>
              </w:rPr>
            </w:pPr>
          </w:p>
        </w:tc>
        <w:tc>
          <w:tcPr>
            <w:tcW w:w="1091" w:type="dxa"/>
          </w:tcPr>
          <w:p w14:paraId="6307F138">
            <w:pPr>
              <w:jc w:val="both"/>
              <w:outlineLvl w:val="0"/>
              <w:rPr>
                <w:b/>
                <w:color w:val="0000FF"/>
                <w:sz w:val="32"/>
                <w:szCs w:val="22"/>
                <w:highlight w:val="none"/>
              </w:rPr>
            </w:pPr>
          </w:p>
        </w:tc>
        <w:tc>
          <w:tcPr>
            <w:tcW w:w="1091" w:type="dxa"/>
          </w:tcPr>
          <w:p w14:paraId="1145A1A0">
            <w:pPr>
              <w:jc w:val="both"/>
              <w:outlineLvl w:val="0"/>
              <w:rPr>
                <w:b/>
                <w:color w:val="0000FF"/>
                <w:sz w:val="32"/>
                <w:szCs w:val="22"/>
                <w:highlight w:val="none"/>
              </w:rPr>
            </w:pPr>
          </w:p>
        </w:tc>
        <w:tc>
          <w:tcPr>
            <w:tcW w:w="1091" w:type="dxa"/>
          </w:tcPr>
          <w:p w14:paraId="34CD9642">
            <w:pPr>
              <w:jc w:val="both"/>
              <w:outlineLvl w:val="0"/>
              <w:rPr>
                <w:b/>
                <w:color w:val="0000FF"/>
                <w:sz w:val="32"/>
                <w:szCs w:val="22"/>
                <w:highlight w:val="none"/>
              </w:rPr>
            </w:pPr>
          </w:p>
        </w:tc>
      </w:tr>
    </w:tbl>
    <w:tbl>
      <w:tblPr>
        <w:tblStyle w:val="45"/>
        <w:tblW w:w="499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3"/>
        <w:gridCol w:w="8540"/>
      </w:tblGrid>
      <w:tr w14:paraId="7AAB0350">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400" w:type="pct"/>
            <w:tcBorders>
              <w:top w:val="single" w:color="auto" w:sz="8" w:space="0"/>
              <w:left w:val="single" w:color="auto" w:sz="8" w:space="0"/>
              <w:bottom w:val="single" w:color="auto" w:sz="4" w:space="0"/>
              <w:right w:val="single" w:color="auto" w:sz="4" w:space="0"/>
            </w:tcBorders>
            <w:vAlign w:val="center"/>
          </w:tcPr>
          <w:p w14:paraId="1F383497">
            <w:pPr>
              <w:adjustRightInd w:val="0"/>
              <w:snapToGrid w:val="0"/>
              <w:spacing w:line="240" w:lineRule="auto"/>
              <w:jc w:val="center"/>
              <w:rPr>
                <w:rFonts w:hint="default" w:ascii="Times New Roman" w:hAnsi="Times New Roman" w:cs="Times New Roman"/>
                <w:b/>
                <w:bCs/>
                <w:color w:val="auto"/>
                <w:kern w:val="0"/>
                <w:szCs w:val="21"/>
                <w:highlight w:val="none"/>
              </w:rPr>
            </w:pPr>
            <w:bookmarkStart w:id="3" w:name="_Toc18108"/>
            <w:r>
              <w:rPr>
                <w:rFonts w:hint="default" w:ascii="Times New Roman" w:hAnsi="Times New Roman" w:cs="Times New Roman"/>
                <w:b/>
                <w:bCs/>
                <w:color w:val="auto"/>
                <w:kern w:val="0"/>
                <w:szCs w:val="21"/>
                <w:highlight w:val="none"/>
              </w:rPr>
              <w:t>区域</w:t>
            </w:r>
          </w:p>
          <w:p w14:paraId="1140EB04">
            <w:pPr>
              <w:adjustRightInd w:val="0"/>
              <w:snapToGrid w:val="0"/>
              <w:spacing w:line="240" w:lineRule="auto"/>
              <w:jc w:val="center"/>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环境</w:t>
            </w:r>
          </w:p>
          <w:p w14:paraId="52DA224D">
            <w:pPr>
              <w:adjustRightInd w:val="0"/>
              <w:snapToGrid w:val="0"/>
              <w:spacing w:line="240" w:lineRule="auto"/>
              <w:jc w:val="center"/>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质量</w:t>
            </w:r>
          </w:p>
          <w:p w14:paraId="105E30A0">
            <w:pPr>
              <w:adjustRightInd w:val="0"/>
              <w:snapToGrid w:val="0"/>
              <w:spacing w:line="240" w:lineRule="auto"/>
              <w:jc w:val="center"/>
              <w:rPr>
                <w:rFonts w:hint="default" w:ascii="Times New Roman" w:hAnsi="Times New Roman" w:cs="Times New Roman"/>
                <w:b/>
                <w:bCs/>
                <w:color w:val="0000FF"/>
                <w:kern w:val="0"/>
                <w:sz w:val="21"/>
                <w:szCs w:val="21"/>
                <w:highlight w:val="none"/>
              </w:rPr>
            </w:pPr>
            <w:r>
              <w:rPr>
                <w:rFonts w:hint="default" w:ascii="Times New Roman" w:hAnsi="Times New Roman" w:cs="Times New Roman"/>
                <w:b/>
                <w:bCs/>
                <w:color w:val="auto"/>
                <w:kern w:val="0"/>
                <w:szCs w:val="21"/>
                <w:highlight w:val="none"/>
              </w:rPr>
              <w:t>现状</w:t>
            </w:r>
          </w:p>
        </w:tc>
        <w:tc>
          <w:tcPr>
            <w:tcW w:w="4599" w:type="pct"/>
            <w:tcBorders>
              <w:top w:val="single" w:color="auto" w:sz="8" w:space="0"/>
              <w:left w:val="single" w:color="auto" w:sz="4" w:space="0"/>
              <w:bottom w:val="single" w:color="auto" w:sz="4" w:space="0"/>
              <w:right w:val="single" w:color="auto" w:sz="8" w:space="0"/>
            </w:tcBorders>
          </w:tcPr>
          <w:p w14:paraId="66BC5ACD">
            <w:pPr>
              <w:adjustRightInd w:val="0"/>
              <w:snapToGrid w:val="0"/>
              <w:ind w:firstLine="422" w:firstLineChars="200"/>
              <w:jc w:val="both"/>
              <w:rPr>
                <w:rFonts w:hint="default" w:ascii="Times New Roman" w:hAnsi="Times New Roman" w:eastAsia="宋体" w:cs="Times New Roman"/>
                <w:b/>
                <w:color w:val="auto"/>
                <w:highlight w:val="none"/>
                <w:lang w:eastAsia="zh-CN"/>
              </w:rPr>
            </w:pPr>
            <w:r>
              <w:rPr>
                <w:rFonts w:hint="default" w:ascii="Times New Roman" w:hAnsi="Times New Roman" w:cs="Times New Roman"/>
                <w:b/>
                <w:color w:val="auto"/>
                <w:kern w:val="0"/>
                <w:sz w:val="21"/>
                <w:szCs w:val="21"/>
                <w:highlight w:val="none"/>
                <w:lang w:eastAsia="zh-CN"/>
              </w:rPr>
              <w:t>一</w:t>
            </w:r>
            <w:r>
              <w:rPr>
                <w:rFonts w:hint="default" w:ascii="Times New Roman" w:hAnsi="Times New Roman" w:cs="Times New Roman"/>
                <w:b/>
                <w:color w:val="auto"/>
                <w:kern w:val="0"/>
                <w:sz w:val="21"/>
                <w:szCs w:val="21"/>
                <w:highlight w:val="none"/>
              </w:rPr>
              <w:t>、</w:t>
            </w:r>
            <w:r>
              <w:rPr>
                <w:rFonts w:hint="default" w:ascii="Times New Roman" w:hAnsi="Times New Roman" w:cs="Times New Roman"/>
                <w:b/>
                <w:color w:val="auto"/>
                <w:highlight w:val="none"/>
                <w:lang w:eastAsia="zh-CN"/>
              </w:rPr>
              <w:t>大气环境</w:t>
            </w:r>
          </w:p>
          <w:p w14:paraId="228C3EE1">
            <w:pPr>
              <w:ind w:firstLine="420" w:firstLineChars="200"/>
              <w:jc w:val="both"/>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lang w:val="en-US" w:eastAsia="zh-CN"/>
              </w:rPr>
              <w:t>常规污染物环境质量现状</w:t>
            </w:r>
          </w:p>
          <w:p w14:paraId="79CB024D">
            <w:pPr>
              <w:ind w:firstLine="420" w:firstLineChars="200"/>
              <w:jc w:val="both"/>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本项目位于</w:t>
            </w:r>
            <w:r>
              <w:rPr>
                <w:rFonts w:hint="eastAsia" w:ascii="Times New Roman" w:hAnsi="Times New Roman" w:eastAsia="宋体" w:cs="Times New Roman"/>
                <w:color w:val="auto"/>
                <w:sz w:val="21"/>
                <w:szCs w:val="21"/>
                <w:highlight w:val="none"/>
                <w:lang w:val="en-US" w:eastAsia="zh-CN"/>
              </w:rPr>
              <w:t>陕西省</w:t>
            </w:r>
            <w:r>
              <w:rPr>
                <w:rFonts w:hint="eastAsia" w:cs="Times New Roman"/>
                <w:color w:val="auto"/>
                <w:sz w:val="21"/>
                <w:szCs w:val="21"/>
                <w:highlight w:val="none"/>
                <w:lang w:val="en-US" w:eastAsia="zh-CN"/>
              </w:rPr>
              <w:t>西安市</w:t>
            </w:r>
            <w:r>
              <w:rPr>
                <w:rFonts w:hint="eastAsia" w:ascii="Times New Roman" w:hAnsi="Times New Roman" w:eastAsia="宋体" w:cs="Times New Roman"/>
                <w:color w:val="auto"/>
                <w:sz w:val="21"/>
                <w:szCs w:val="21"/>
                <w:highlight w:val="none"/>
                <w:lang w:val="en-US" w:eastAsia="zh-CN"/>
              </w:rPr>
              <w:t>新城</w:t>
            </w:r>
            <w:r>
              <w:rPr>
                <w:rFonts w:hint="eastAsia" w:cs="Times New Roman"/>
                <w:color w:val="auto"/>
                <w:sz w:val="21"/>
                <w:szCs w:val="21"/>
                <w:highlight w:val="none"/>
                <w:lang w:val="en-US" w:eastAsia="zh-CN"/>
              </w:rPr>
              <w:t>区</w:t>
            </w:r>
            <w:r>
              <w:rPr>
                <w:rFonts w:hint="default" w:ascii="Times New Roman" w:hAnsi="Times New Roman" w:eastAsia="宋体" w:cs="Times New Roman"/>
                <w:color w:val="auto"/>
                <w:sz w:val="21"/>
                <w:szCs w:val="21"/>
                <w:highlight w:val="none"/>
                <w:lang w:val="en-US" w:eastAsia="zh-CN"/>
              </w:rPr>
              <w:t>，项目区域环境空气质量现状</w:t>
            </w:r>
            <w:r>
              <w:rPr>
                <w:rFonts w:hint="eastAsia" w:ascii="Times New Roman" w:hAnsi="Times New Roman" w:eastAsia="宋体" w:cs="Times New Roman"/>
                <w:color w:val="auto"/>
                <w:sz w:val="21"/>
                <w:szCs w:val="21"/>
                <w:highlight w:val="none"/>
                <w:lang w:val="en-US" w:eastAsia="zh-CN"/>
              </w:rPr>
              <w:t>引用陕西省生态环境厅办公室202</w:t>
            </w:r>
            <w:r>
              <w:rPr>
                <w:rFonts w:hint="eastAsia" w:cs="Times New Roman"/>
                <w:color w:val="auto"/>
                <w:sz w:val="21"/>
                <w:szCs w:val="21"/>
                <w:highlight w:val="none"/>
                <w:lang w:val="en-US" w:eastAsia="zh-CN"/>
              </w:rPr>
              <w:t>4</w:t>
            </w:r>
            <w:r>
              <w:rPr>
                <w:rFonts w:hint="eastAsia" w:ascii="Times New Roman" w:hAnsi="Times New Roman" w:eastAsia="宋体" w:cs="Times New Roman"/>
                <w:color w:val="auto"/>
                <w:sz w:val="21"/>
                <w:szCs w:val="21"/>
                <w:highlight w:val="none"/>
                <w:lang w:val="en-US" w:eastAsia="zh-CN"/>
              </w:rPr>
              <w:t>年1月1</w:t>
            </w:r>
            <w:r>
              <w:rPr>
                <w:rFonts w:hint="eastAsia" w:cs="Times New Roman"/>
                <w:color w:val="auto"/>
                <w:sz w:val="21"/>
                <w:szCs w:val="21"/>
                <w:highlight w:val="none"/>
                <w:lang w:val="en-US" w:eastAsia="zh-CN"/>
              </w:rPr>
              <w:t>9</w:t>
            </w:r>
            <w:r>
              <w:rPr>
                <w:rFonts w:hint="eastAsia" w:ascii="Times New Roman" w:hAnsi="Times New Roman" w:eastAsia="宋体" w:cs="Times New Roman"/>
                <w:color w:val="auto"/>
                <w:sz w:val="21"/>
                <w:szCs w:val="21"/>
                <w:highlight w:val="none"/>
                <w:lang w:val="en-US" w:eastAsia="zh-CN"/>
              </w:rPr>
              <w:t>日发布的《202</w:t>
            </w:r>
            <w:r>
              <w:rPr>
                <w:rFonts w:hint="eastAsia"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val="en-US" w:eastAsia="zh-CN"/>
              </w:rPr>
              <w:t>年12月及1~12月全省环境空气质量状况》中环境空气常规六项污染物统计结果，对区域环境空气质量现状进行分析，具体见表</w:t>
            </w:r>
            <w:r>
              <w:rPr>
                <w:rFonts w:hint="eastAsia" w:cs="Times New Roman"/>
                <w:color w:val="auto"/>
                <w:sz w:val="21"/>
                <w:szCs w:val="21"/>
                <w:highlight w:val="none"/>
                <w:lang w:val="en-US" w:eastAsia="zh-CN"/>
              </w:rPr>
              <w:t>17</w:t>
            </w:r>
            <w:r>
              <w:rPr>
                <w:rFonts w:hint="eastAsia" w:ascii="Times New Roman" w:hAnsi="Times New Roman" w:eastAsia="宋体" w:cs="Times New Roman"/>
                <w:color w:val="auto"/>
                <w:sz w:val="21"/>
                <w:szCs w:val="21"/>
                <w:highlight w:val="none"/>
                <w:lang w:val="en-US" w:eastAsia="zh-CN"/>
              </w:rPr>
              <w:t>。</w:t>
            </w:r>
          </w:p>
          <w:p w14:paraId="0E0CBEC8">
            <w:pPr>
              <w:keepNext w:val="0"/>
              <w:keepLines w:val="0"/>
              <w:pageBreakBefore w:val="0"/>
              <w:widowControl w:val="0"/>
              <w:tabs>
                <w:tab w:val="left" w:pos="8607"/>
              </w:tabs>
              <w:kinsoku/>
              <w:wordWrap/>
              <w:overflowPunct/>
              <w:topLinePunct w:val="0"/>
              <w:autoSpaceDE/>
              <w:autoSpaceDN/>
              <w:bidi w:val="0"/>
              <w:adjustRightInd w:val="0"/>
              <w:snapToGrid w:val="0"/>
              <w:spacing w:line="240" w:lineRule="auto"/>
              <w:ind w:firstLine="480" w:firstLineChars="200"/>
              <w:jc w:val="center"/>
              <w:textAlignment w:val="auto"/>
              <w:rPr>
                <w:rFonts w:hAnsi="黑体" w:eastAsia="黑体"/>
                <w:color w:val="auto"/>
                <w:sz w:val="24"/>
                <w:highlight w:val="none"/>
              </w:rPr>
            </w:pPr>
            <w:r>
              <w:rPr>
                <w:rFonts w:hAnsi="黑体" w:eastAsia="黑体"/>
                <w:color w:val="auto"/>
                <w:sz w:val="24"/>
                <w:highlight w:val="none"/>
              </w:rPr>
              <w:t>表</w:t>
            </w:r>
            <w:r>
              <w:rPr>
                <w:rFonts w:hint="eastAsia" w:eastAsia="黑体"/>
                <w:color w:val="auto"/>
                <w:sz w:val="24"/>
                <w:highlight w:val="none"/>
                <w:lang w:val="en-US" w:eastAsia="zh-CN"/>
              </w:rPr>
              <w:t>17</w:t>
            </w:r>
            <w:r>
              <w:rPr>
                <w:rFonts w:hAnsi="黑体" w:eastAsia="黑体"/>
                <w:color w:val="auto"/>
                <w:sz w:val="24"/>
                <w:highlight w:val="none"/>
              </w:rPr>
              <w:t xml:space="preserve">   区域空气质量现状评价表</w:t>
            </w:r>
          </w:p>
          <w:tbl>
            <w:tblPr>
              <w:tblStyle w:val="4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1"/>
              <w:gridCol w:w="2503"/>
              <w:gridCol w:w="1173"/>
              <w:gridCol w:w="1434"/>
              <w:gridCol w:w="1149"/>
              <w:gridCol w:w="1161"/>
            </w:tblGrid>
            <w:tr w14:paraId="633E658D">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41" w:type="pct"/>
                  <w:tcBorders>
                    <w:tl2br w:val="nil"/>
                    <w:tr2bl w:val="nil"/>
                  </w:tcBorders>
                  <w:noWrap w:val="0"/>
                  <w:vAlign w:val="center"/>
                </w:tcPr>
                <w:p w14:paraId="0D5BAECA">
                  <w:pPr>
                    <w:keepNext w:val="0"/>
                    <w:keepLines w:val="0"/>
                    <w:pageBreakBefore w:val="0"/>
                    <w:kinsoku/>
                    <w:wordWrap/>
                    <w:overflowPunct/>
                    <w:topLinePunct w:val="0"/>
                    <w:autoSpaceDE/>
                    <w:autoSpaceDN/>
                    <w:bidi w:val="0"/>
                    <w:adjustRightInd w:val="0"/>
                    <w:snapToGrid w:val="0"/>
                    <w:spacing w:line="240" w:lineRule="auto"/>
                    <w:jc w:val="center"/>
                    <w:rPr>
                      <w:color w:val="auto"/>
                      <w:sz w:val="21"/>
                      <w:szCs w:val="21"/>
                      <w:highlight w:val="none"/>
                    </w:rPr>
                  </w:pPr>
                  <w:r>
                    <w:rPr>
                      <w:rFonts w:hint="eastAsia"/>
                      <w:color w:val="auto"/>
                      <w:sz w:val="21"/>
                      <w:szCs w:val="21"/>
                      <w:highlight w:val="none"/>
                    </w:rPr>
                    <w:t>污染物</w:t>
                  </w:r>
                </w:p>
              </w:tc>
              <w:tc>
                <w:tcPr>
                  <w:tcW w:w="1504" w:type="pct"/>
                  <w:tcBorders>
                    <w:tl2br w:val="nil"/>
                    <w:tr2bl w:val="nil"/>
                  </w:tcBorders>
                  <w:noWrap w:val="0"/>
                  <w:vAlign w:val="center"/>
                </w:tcPr>
                <w:p w14:paraId="538C835B">
                  <w:pPr>
                    <w:keepNext w:val="0"/>
                    <w:keepLines w:val="0"/>
                    <w:pageBreakBefore w:val="0"/>
                    <w:kinsoku/>
                    <w:wordWrap/>
                    <w:overflowPunct/>
                    <w:topLinePunct w:val="0"/>
                    <w:autoSpaceDE/>
                    <w:autoSpaceDN/>
                    <w:bidi w:val="0"/>
                    <w:adjustRightInd w:val="0"/>
                    <w:snapToGrid w:val="0"/>
                    <w:spacing w:line="240" w:lineRule="auto"/>
                    <w:jc w:val="center"/>
                    <w:rPr>
                      <w:color w:val="auto"/>
                      <w:sz w:val="21"/>
                      <w:szCs w:val="21"/>
                      <w:highlight w:val="none"/>
                    </w:rPr>
                  </w:pPr>
                  <w:r>
                    <w:rPr>
                      <w:rFonts w:hint="eastAsia"/>
                      <w:color w:val="auto"/>
                      <w:sz w:val="21"/>
                      <w:szCs w:val="21"/>
                      <w:highlight w:val="none"/>
                    </w:rPr>
                    <w:t>评价指标</w:t>
                  </w:r>
                </w:p>
              </w:tc>
              <w:tc>
                <w:tcPr>
                  <w:tcW w:w="704" w:type="pct"/>
                  <w:tcBorders>
                    <w:tl2br w:val="nil"/>
                    <w:tr2bl w:val="nil"/>
                  </w:tcBorders>
                  <w:noWrap w:val="0"/>
                  <w:vAlign w:val="center"/>
                </w:tcPr>
                <w:p w14:paraId="46915532">
                  <w:pPr>
                    <w:keepNext w:val="0"/>
                    <w:keepLines w:val="0"/>
                    <w:pageBreakBefore w:val="0"/>
                    <w:kinsoku/>
                    <w:wordWrap/>
                    <w:overflowPunct/>
                    <w:topLinePunct w:val="0"/>
                    <w:autoSpaceDE/>
                    <w:autoSpaceDN/>
                    <w:bidi w:val="0"/>
                    <w:adjustRightInd w:val="0"/>
                    <w:snapToGrid w:val="0"/>
                    <w:spacing w:line="240" w:lineRule="auto"/>
                    <w:jc w:val="center"/>
                    <w:rPr>
                      <w:rFonts w:hint="eastAsia"/>
                      <w:color w:val="auto"/>
                      <w:sz w:val="21"/>
                      <w:szCs w:val="21"/>
                      <w:highlight w:val="none"/>
                    </w:rPr>
                  </w:pPr>
                  <w:r>
                    <w:rPr>
                      <w:rFonts w:hint="eastAsia"/>
                      <w:color w:val="auto"/>
                      <w:sz w:val="21"/>
                      <w:szCs w:val="21"/>
                      <w:highlight w:val="none"/>
                    </w:rPr>
                    <w:t>现状浓度</w:t>
                  </w:r>
                </w:p>
                <w:p w14:paraId="4314ADA2">
                  <w:pPr>
                    <w:keepNext w:val="0"/>
                    <w:keepLines w:val="0"/>
                    <w:pageBreakBefore w:val="0"/>
                    <w:kinsoku/>
                    <w:wordWrap/>
                    <w:overflowPunct/>
                    <w:topLinePunct w:val="0"/>
                    <w:autoSpaceDE/>
                    <w:autoSpaceDN/>
                    <w:bidi w:val="0"/>
                    <w:adjustRightInd w:val="0"/>
                    <w:snapToGrid w:val="0"/>
                    <w:spacing w:line="240" w:lineRule="auto"/>
                    <w:jc w:val="center"/>
                    <w:rPr>
                      <w:color w:val="auto"/>
                      <w:sz w:val="21"/>
                      <w:szCs w:val="21"/>
                      <w:highlight w:val="none"/>
                    </w:rPr>
                  </w:pPr>
                  <w:r>
                    <w:rPr>
                      <w:rFonts w:hint="eastAsia"/>
                      <w:color w:val="auto"/>
                      <w:sz w:val="21"/>
                      <w:szCs w:val="21"/>
                      <w:highlight w:val="none"/>
                    </w:rPr>
                    <w:t>（</w:t>
                  </w:r>
                  <w:r>
                    <w:rPr>
                      <w:color w:val="auto"/>
                      <w:sz w:val="21"/>
                      <w:szCs w:val="21"/>
                      <w:highlight w:val="none"/>
                    </w:rPr>
                    <w:t>μ</w:t>
                  </w:r>
                  <w:r>
                    <w:rPr>
                      <w:rFonts w:hint="eastAsia"/>
                      <w:color w:val="auto"/>
                      <w:sz w:val="21"/>
                      <w:szCs w:val="21"/>
                      <w:highlight w:val="none"/>
                    </w:rPr>
                    <w:t>g/m</w:t>
                  </w:r>
                  <w:r>
                    <w:rPr>
                      <w:rFonts w:hint="eastAsia"/>
                      <w:color w:val="auto"/>
                      <w:sz w:val="21"/>
                      <w:szCs w:val="21"/>
                      <w:highlight w:val="none"/>
                      <w:vertAlign w:val="superscript"/>
                    </w:rPr>
                    <w:t>3</w:t>
                  </w:r>
                  <w:r>
                    <w:rPr>
                      <w:rFonts w:hint="eastAsia"/>
                      <w:color w:val="auto"/>
                      <w:sz w:val="21"/>
                      <w:szCs w:val="21"/>
                      <w:highlight w:val="none"/>
                    </w:rPr>
                    <w:t>）</w:t>
                  </w:r>
                </w:p>
              </w:tc>
              <w:tc>
                <w:tcPr>
                  <w:tcW w:w="861" w:type="pct"/>
                  <w:tcBorders>
                    <w:tl2br w:val="nil"/>
                    <w:tr2bl w:val="nil"/>
                  </w:tcBorders>
                  <w:noWrap w:val="0"/>
                  <w:vAlign w:val="center"/>
                </w:tcPr>
                <w:p w14:paraId="427C313F">
                  <w:pPr>
                    <w:keepNext w:val="0"/>
                    <w:keepLines w:val="0"/>
                    <w:pageBreakBefore w:val="0"/>
                    <w:kinsoku/>
                    <w:wordWrap/>
                    <w:overflowPunct/>
                    <w:topLinePunct w:val="0"/>
                    <w:autoSpaceDE/>
                    <w:autoSpaceDN/>
                    <w:bidi w:val="0"/>
                    <w:adjustRightInd w:val="0"/>
                    <w:snapToGrid w:val="0"/>
                    <w:spacing w:line="240" w:lineRule="auto"/>
                    <w:jc w:val="center"/>
                    <w:rPr>
                      <w:rFonts w:hint="eastAsia"/>
                      <w:color w:val="auto"/>
                      <w:sz w:val="21"/>
                      <w:szCs w:val="21"/>
                      <w:highlight w:val="none"/>
                    </w:rPr>
                  </w:pPr>
                  <w:r>
                    <w:rPr>
                      <w:rFonts w:hint="eastAsia"/>
                      <w:color w:val="auto"/>
                      <w:sz w:val="21"/>
                      <w:szCs w:val="21"/>
                      <w:highlight w:val="none"/>
                    </w:rPr>
                    <w:t>标准值</w:t>
                  </w:r>
                </w:p>
                <w:p w14:paraId="48F0FA9A">
                  <w:pPr>
                    <w:keepNext w:val="0"/>
                    <w:keepLines w:val="0"/>
                    <w:pageBreakBefore w:val="0"/>
                    <w:kinsoku/>
                    <w:wordWrap/>
                    <w:overflowPunct/>
                    <w:topLinePunct w:val="0"/>
                    <w:autoSpaceDE/>
                    <w:autoSpaceDN/>
                    <w:bidi w:val="0"/>
                    <w:adjustRightInd w:val="0"/>
                    <w:snapToGrid w:val="0"/>
                    <w:spacing w:line="240" w:lineRule="auto"/>
                    <w:jc w:val="center"/>
                    <w:rPr>
                      <w:color w:val="auto"/>
                      <w:sz w:val="21"/>
                      <w:szCs w:val="21"/>
                      <w:highlight w:val="none"/>
                    </w:rPr>
                  </w:pPr>
                  <w:r>
                    <w:rPr>
                      <w:rFonts w:hint="eastAsia"/>
                      <w:color w:val="auto"/>
                      <w:sz w:val="21"/>
                      <w:szCs w:val="21"/>
                      <w:highlight w:val="none"/>
                    </w:rPr>
                    <w:t>（</w:t>
                  </w:r>
                  <w:r>
                    <w:rPr>
                      <w:color w:val="auto"/>
                      <w:sz w:val="21"/>
                      <w:szCs w:val="21"/>
                      <w:highlight w:val="none"/>
                    </w:rPr>
                    <w:t>μ</w:t>
                  </w:r>
                  <w:r>
                    <w:rPr>
                      <w:rFonts w:hint="eastAsia"/>
                      <w:color w:val="auto"/>
                      <w:sz w:val="21"/>
                      <w:szCs w:val="21"/>
                      <w:highlight w:val="none"/>
                    </w:rPr>
                    <w:t>g/m</w:t>
                  </w:r>
                  <w:r>
                    <w:rPr>
                      <w:rFonts w:hint="eastAsia"/>
                      <w:color w:val="auto"/>
                      <w:sz w:val="21"/>
                      <w:szCs w:val="21"/>
                      <w:highlight w:val="none"/>
                      <w:vertAlign w:val="superscript"/>
                    </w:rPr>
                    <w:t>3</w:t>
                  </w:r>
                  <w:r>
                    <w:rPr>
                      <w:rFonts w:hint="eastAsia"/>
                      <w:color w:val="auto"/>
                      <w:sz w:val="21"/>
                      <w:szCs w:val="21"/>
                      <w:highlight w:val="none"/>
                    </w:rPr>
                    <w:t>）</w:t>
                  </w:r>
                </w:p>
              </w:tc>
              <w:tc>
                <w:tcPr>
                  <w:tcW w:w="690" w:type="pct"/>
                  <w:tcBorders>
                    <w:tl2br w:val="nil"/>
                    <w:tr2bl w:val="nil"/>
                  </w:tcBorders>
                  <w:noWrap w:val="0"/>
                  <w:vAlign w:val="center"/>
                </w:tcPr>
                <w:p w14:paraId="0E0A43D8">
                  <w:pPr>
                    <w:keepNext w:val="0"/>
                    <w:keepLines w:val="0"/>
                    <w:pageBreakBefore w:val="0"/>
                    <w:kinsoku/>
                    <w:wordWrap/>
                    <w:overflowPunct/>
                    <w:topLinePunct w:val="0"/>
                    <w:autoSpaceDE/>
                    <w:autoSpaceDN/>
                    <w:bidi w:val="0"/>
                    <w:adjustRightInd w:val="0"/>
                    <w:snapToGrid w:val="0"/>
                    <w:spacing w:line="240" w:lineRule="auto"/>
                    <w:jc w:val="center"/>
                    <w:rPr>
                      <w:color w:val="auto"/>
                      <w:sz w:val="21"/>
                      <w:szCs w:val="21"/>
                      <w:highlight w:val="none"/>
                    </w:rPr>
                  </w:pPr>
                  <w:r>
                    <w:rPr>
                      <w:rFonts w:hint="eastAsia"/>
                      <w:color w:val="auto"/>
                      <w:sz w:val="21"/>
                      <w:szCs w:val="21"/>
                      <w:highlight w:val="none"/>
                    </w:rPr>
                    <w:t>占标率%</w:t>
                  </w:r>
                </w:p>
              </w:tc>
              <w:tc>
                <w:tcPr>
                  <w:tcW w:w="697" w:type="pct"/>
                  <w:tcBorders>
                    <w:tl2br w:val="nil"/>
                    <w:tr2bl w:val="nil"/>
                  </w:tcBorders>
                  <w:noWrap w:val="0"/>
                  <w:vAlign w:val="center"/>
                </w:tcPr>
                <w:p w14:paraId="3C1EEA21">
                  <w:pPr>
                    <w:keepNext w:val="0"/>
                    <w:keepLines w:val="0"/>
                    <w:pageBreakBefore w:val="0"/>
                    <w:kinsoku/>
                    <w:wordWrap/>
                    <w:overflowPunct/>
                    <w:topLinePunct w:val="0"/>
                    <w:autoSpaceDE/>
                    <w:autoSpaceDN/>
                    <w:bidi w:val="0"/>
                    <w:adjustRightInd w:val="0"/>
                    <w:snapToGrid w:val="0"/>
                    <w:spacing w:line="240" w:lineRule="auto"/>
                    <w:jc w:val="center"/>
                    <w:rPr>
                      <w:rFonts w:hint="eastAsia"/>
                      <w:color w:val="auto"/>
                      <w:sz w:val="21"/>
                      <w:szCs w:val="21"/>
                      <w:highlight w:val="none"/>
                    </w:rPr>
                  </w:pPr>
                  <w:r>
                    <w:rPr>
                      <w:rFonts w:hint="eastAsia"/>
                      <w:color w:val="auto"/>
                      <w:sz w:val="21"/>
                      <w:szCs w:val="21"/>
                      <w:highlight w:val="none"/>
                    </w:rPr>
                    <w:t>达标情况</w:t>
                  </w:r>
                </w:p>
              </w:tc>
            </w:tr>
            <w:tr w14:paraId="27A83AC2">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541" w:type="pct"/>
                  <w:tcBorders>
                    <w:tl2br w:val="nil"/>
                    <w:tr2bl w:val="nil"/>
                  </w:tcBorders>
                  <w:noWrap w:val="0"/>
                  <w:vAlign w:val="center"/>
                </w:tcPr>
                <w:p w14:paraId="201FB68E">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color w:val="auto"/>
                      <w:sz w:val="21"/>
                      <w:szCs w:val="21"/>
                      <w:highlight w:val="none"/>
                    </w:rPr>
                  </w:pPr>
                  <w:r>
                    <w:rPr>
                      <w:rFonts w:hint="eastAsia"/>
                      <w:color w:val="auto"/>
                      <w:sz w:val="21"/>
                      <w:szCs w:val="21"/>
                      <w:highlight w:val="none"/>
                    </w:rPr>
                    <w:t>PM</w:t>
                  </w:r>
                  <w:r>
                    <w:rPr>
                      <w:rFonts w:hint="eastAsia"/>
                      <w:color w:val="auto"/>
                      <w:sz w:val="21"/>
                      <w:szCs w:val="21"/>
                      <w:highlight w:val="none"/>
                      <w:vertAlign w:val="subscript"/>
                    </w:rPr>
                    <w:t>10</w:t>
                  </w:r>
                </w:p>
              </w:tc>
              <w:tc>
                <w:tcPr>
                  <w:tcW w:w="1504" w:type="pct"/>
                  <w:tcBorders>
                    <w:tl2br w:val="nil"/>
                    <w:tr2bl w:val="nil"/>
                  </w:tcBorders>
                  <w:noWrap w:val="0"/>
                  <w:vAlign w:val="center"/>
                </w:tcPr>
                <w:p w14:paraId="4AA2B2B5">
                  <w:pPr>
                    <w:keepNext w:val="0"/>
                    <w:keepLines w:val="0"/>
                    <w:pageBreakBefore w:val="0"/>
                    <w:kinsoku/>
                    <w:wordWrap/>
                    <w:overflowPunct/>
                    <w:topLinePunct w:val="0"/>
                    <w:autoSpaceDE/>
                    <w:autoSpaceDN/>
                    <w:bidi w:val="0"/>
                    <w:adjustRightInd w:val="0"/>
                    <w:snapToGrid w:val="0"/>
                    <w:spacing w:line="240" w:lineRule="auto"/>
                    <w:jc w:val="center"/>
                    <w:rPr>
                      <w:color w:val="auto"/>
                      <w:sz w:val="21"/>
                      <w:szCs w:val="21"/>
                      <w:highlight w:val="none"/>
                    </w:rPr>
                  </w:pPr>
                  <w:r>
                    <w:rPr>
                      <w:rFonts w:hint="eastAsia"/>
                      <w:color w:val="auto"/>
                      <w:sz w:val="21"/>
                      <w:szCs w:val="21"/>
                      <w:highlight w:val="none"/>
                    </w:rPr>
                    <w:t>年平均质量浓度</w:t>
                  </w:r>
                </w:p>
              </w:tc>
              <w:tc>
                <w:tcPr>
                  <w:tcW w:w="1121" w:type="dxa"/>
                  <w:tcBorders>
                    <w:tl2br w:val="nil"/>
                    <w:tr2bl w:val="nil"/>
                  </w:tcBorders>
                  <w:noWrap w:val="0"/>
                  <w:vAlign w:val="center"/>
                </w:tcPr>
                <w:p w14:paraId="67305B8D">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cs="Times New Roman"/>
                      <w:color w:val="auto"/>
                      <w:sz w:val="21"/>
                      <w:szCs w:val="21"/>
                      <w:highlight w:val="none"/>
                      <w:lang w:val="en-US"/>
                    </w:rPr>
                  </w:pPr>
                  <w:r>
                    <w:rPr>
                      <w:rFonts w:hint="eastAsia" w:cs="Times New Roman"/>
                      <w:color w:val="auto"/>
                      <w:sz w:val="21"/>
                      <w:szCs w:val="21"/>
                      <w:highlight w:val="none"/>
                      <w:lang w:val="en-US" w:eastAsia="zh-CN"/>
                    </w:rPr>
                    <w:t>77</w:t>
                  </w:r>
                </w:p>
              </w:tc>
              <w:tc>
                <w:tcPr>
                  <w:tcW w:w="1372" w:type="dxa"/>
                  <w:tcBorders>
                    <w:tl2br w:val="nil"/>
                    <w:tr2bl w:val="nil"/>
                  </w:tcBorders>
                  <w:noWrap w:val="0"/>
                  <w:vAlign w:val="center"/>
                </w:tcPr>
                <w:p w14:paraId="61300035">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70</w:t>
                  </w:r>
                </w:p>
              </w:tc>
              <w:tc>
                <w:tcPr>
                  <w:tcW w:w="1099" w:type="dxa"/>
                  <w:tcBorders>
                    <w:tl2br w:val="nil"/>
                    <w:tr2bl w:val="nil"/>
                  </w:tcBorders>
                  <w:noWrap w:val="0"/>
                  <w:vAlign w:val="center"/>
                </w:tcPr>
                <w:p w14:paraId="6E6ED5D9">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color w:val="auto"/>
                      <w:sz w:val="21"/>
                      <w:szCs w:val="21"/>
                      <w:highlight w:val="none"/>
                      <w:lang w:val="en-US" w:eastAsia="zh-CN"/>
                    </w:rPr>
                  </w:pPr>
                  <w:r>
                    <w:rPr>
                      <w:rFonts w:hint="eastAsia"/>
                      <w:color w:val="auto"/>
                      <w:sz w:val="21"/>
                      <w:szCs w:val="21"/>
                      <w:highlight w:val="none"/>
                      <w:lang w:val="en-US" w:eastAsia="zh-CN"/>
                    </w:rPr>
                    <w:t xml:space="preserve">110.00 </w:t>
                  </w:r>
                </w:p>
              </w:tc>
              <w:tc>
                <w:tcPr>
                  <w:tcW w:w="1110" w:type="dxa"/>
                  <w:tcBorders>
                    <w:tl2br w:val="nil"/>
                    <w:tr2bl w:val="nil"/>
                  </w:tcBorders>
                  <w:noWrap w:val="0"/>
                  <w:vAlign w:val="center"/>
                </w:tcPr>
                <w:p w14:paraId="4280F33C">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color w:val="auto"/>
                      <w:sz w:val="21"/>
                      <w:szCs w:val="21"/>
                      <w:highlight w:val="none"/>
                    </w:rPr>
                  </w:pPr>
                  <w:r>
                    <w:rPr>
                      <w:rFonts w:hint="eastAsia"/>
                      <w:color w:val="auto"/>
                      <w:sz w:val="21"/>
                      <w:szCs w:val="21"/>
                      <w:highlight w:val="none"/>
                      <w:lang w:val="en-US" w:eastAsia="zh-CN"/>
                    </w:rPr>
                    <w:t>不达</w:t>
                  </w:r>
                  <w:r>
                    <w:rPr>
                      <w:rFonts w:hint="eastAsia"/>
                      <w:color w:val="auto"/>
                      <w:sz w:val="21"/>
                      <w:szCs w:val="21"/>
                      <w:highlight w:val="none"/>
                    </w:rPr>
                    <w:t>标</w:t>
                  </w:r>
                </w:p>
              </w:tc>
            </w:tr>
            <w:tr w14:paraId="5F142218">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541" w:type="pct"/>
                  <w:tcBorders>
                    <w:tl2br w:val="nil"/>
                    <w:tr2bl w:val="nil"/>
                  </w:tcBorders>
                  <w:noWrap w:val="0"/>
                  <w:vAlign w:val="center"/>
                </w:tcPr>
                <w:p w14:paraId="7A382932">
                  <w:pPr>
                    <w:keepNext w:val="0"/>
                    <w:keepLines w:val="0"/>
                    <w:pageBreakBefore w:val="0"/>
                    <w:kinsoku/>
                    <w:wordWrap/>
                    <w:overflowPunct/>
                    <w:topLinePunct w:val="0"/>
                    <w:autoSpaceDE/>
                    <w:autoSpaceDN/>
                    <w:bidi w:val="0"/>
                    <w:adjustRightInd w:val="0"/>
                    <w:snapToGrid w:val="0"/>
                    <w:spacing w:line="240" w:lineRule="auto"/>
                    <w:jc w:val="center"/>
                    <w:rPr>
                      <w:color w:val="auto"/>
                      <w:sz w:val="21"/>
                      <w:szCs w:val="21"/>
                      <w:highlight w:val="none"/>
                    </w:rPr>
                  </w:pPr>
                  <w:r>
                    <w:rPr>
                      <w:rFonts w:hint="eastAsia"/>
                      <w:color w:val="auto"/>
                      <w:sz w:val="21"/>
                      <w:szCs w:val="21"/>
                      <w:highlight w:val="none"/>
                    </w:rPr>
                    <w:t>PM</w:t>
                  </w:r>
                  <w:r>
                    <w:rPr>
                      <w:rFonts w:hint="eastAsia"/>
                      <w:color w:val="auto"/>
                      <w:sz w:val="21"/>
                      <w:szCs w:val="21"/>
                      <w:highlight w:val="none"/>
                      <w:vertAlign w:val="subscript"/>
                    </w:rPr>
                    <w:t>2.5</w:t>
                  </w:r>
                </w:p>
              </w:tc>
              <w:tc>
                <w:tcPr>
                  <w:tcW w:w="1504" w:type="pct"/>
                  <w:tcBorders>
                    <w:tl2br w:val="nil"/>
                    <w:tr2bl w:val="nil"/>
                  </w:tcBorders>
                  <w:noWrap w:val="0"/>
                  <w:vAlign w:val="center"/>
                </w:tcPr>
                <w:p w14:paraId="768BC6F3">
                  <w:pPr>
                    <w:keepNext w:val="0"/>
                    <w:keepLines w:val="0"/>
                    <w:pageBreakBefore w:val="0"/>
                    <w:kinsoku/>
                    <w:wordWrap/>
                    <w:overflowPunct/>
                    <w:topLinePunct w:val="0"/>
                    <w:autoSpaceDE/>
                    <w:autoSpaceDN/>
                    <w:bidi w:val="0"/>
                    <w:adjustRightInd w:val="0"/>
                    <w:snapToGrid w:val="0"/>
                    <w:spacing w:line="240" w:lineRule="auto"/>
                    <w:jc w:val="center"/>
                    <w:rPr>
                      <w:color w:val="auto"/>
                      <w:sz w:val="21"/>
                      <w:szCs w:val="21"/>
                      <w:highlight w:val="none"/>
                    </w:rPr>
                  </w:pPr>
                  <w:r>
                    <w:rPr>
                      <w:rFonts w:hint="eastAsia"/>
                      <w:color w:val="auto"/>
                      <w:sz w:val="21"/>
                      <w:szCs w:val="21"/>
                      <w:highlight w:val="none"/>
                    </w:rPr>
                    <w:t>年平均质量浓度</w:t>
                  </w:r>
                </w:p>
              </w:tc>
              <w:tc>
                <w:tcPr>
                  <w:tcW w:w="1121" w:type="dxa"/>
                  <w:tcBorders>
                    <w:tl2br w:val="nil"/>
                    <w:tr2bl w:val="nil"/>
                  </w:tcBorders>
                  <w:noWrap w:val="0"/>
                  <w:vAlign w:val="center"/>
                </w:tcPr>
                <w:p w14:paraId="7D8F6E39">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cs="Times New Roman"/>
                      <w:color w:val="auto"/>
                      <w:sz w:val="21"/>
                      <w:szCs w:val="21"/>
                      <w:highlight w:val="none"/>
                      <w:lang w:val="en-US"/>
                    </w:rPr>
                  </w:pPr>
                  <w:r>
                    <w:rPr>
                      <w:rFonts w:hint="eastAsia" w:cs="Times New Roman"/>
                      <w:color w:val="auto"/>
                      <w:sz w:val="21"/>
                      <w:szCs w:val="21"/>
                      <w:highlight w:val="none"/>
                      <w:lang w:val="en-US" w:eastAsia="zh-CN"/>
                    </w:rPr>
                    <w:t>42</w:t>
                  </w:r>
                </w:p>
              </w:tc>
              <w:tc>
                <w:tcPr>
                  <w:tcW w:w="1372" w:type="dxa"/>
                  <w:tcBorders>
                    <w:tl2br w:val="nil"/>
                    <w:tr2bl w:val="nil"/>
                  </w:tcBorders>
                  <w:noWrap w:val="0"/>
                  <w:vAlign w:val="center"/>
                </w:tcPr>
                <w:p w14:paraId="023171E8">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35</w:t>
                  </w:r>
                </w:p>
              </w:tc>
              <w:tc>
                <w:tcPr>
                  <w:tcW w:w="1099" w:type="dxa"/>
                  <w:tcBorders>
                    <w:tl2br w:val="nil"/>
                    <w:tr2bl w:val="nil"/>
                  </w:tcBorders>
                  <w:noWrap w:val="0"/>
                  <w:vAlign w:val="center"/>
                </w:tcPr>
                <w:p w14:paraId="3FE79F32">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color w:val="auto"/>
                      <w:sz w:val="21"/>
                      <w:szCs w:val="21"/>
                      <w:highlight w:val="none"/>
                      <w:lang w:val="en-US" w:eastAsia="zh-CN"/>
                    </w:rPr>
                  </w:pPr>
                  <w:r>
                    <w:rPr>
                      <w:rFonts w:hint="eastAsia"/>
                      <w:color w:val="auto"/>
                      <w:sz w:val="21"/>
                      <w:szCs w:val="21"/>
                      <w:highlight w:val="none"/>
                      <w:lang w:val="en-US" w:eastAsia="zh-CN"/>
                    </w:rPr>
                    <w:t xml:space="preserve">120.00 </w:t>
                  </w:r>
                </w:p>
              </w:tc>
              <w:tc>
                <w:tcPr>
                  <w:tcW w:w="1110" w:type="dxa"/>
                  <w:tcBorders>
                    <w:tl2br w:val="nil"/>
                    <w:tr2bl w:val="nil"/>
                  </w:tcBorders>
                  <w:noWrap w:val="0"/>
                  <w:vAlign w:val="center"/>
                </w:tcPr>
                <w:p w14:paraId="58467CAA">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lang w:val="en-US" w:eastAsia="zh-CN"/>
                    </w:rPr>
                    <w:t>不达</w:t>
                  </w:r>
                  <w:r>
                    <w:rPr>
                      <w:rFonts w:hint="eastAsia"/>
                      <w:color w:val="auto"/>
                      <w:sz w:val="21"/>
                      <w:szCs w:val="21"/>
                      <w:highlight w:val="none"/>
                    </w:rPr>
                    <w:t>标</w:t>
                  </w:r>
                </w:p>
              </w:tc>
            </w:tr>
            <w:tr w14:paraId="77071BF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541" w:type="pct"/>
                  <w:tcBorders>
                    <w:tl2br w:val="nil"/>
                    <w:tr2bl w:val="nil"/>
                  </w:tcBorders>
                  <w:noWrap w:val="0"/>
                  <w:vAlign w:val="center"/>
                </w:tcPr>
                <w:p w14:paraId="42ECF5EE">
                  <w:pPr>
                    <w:keepNext w:val="0"/>
                    <w:keepLines w:val="0"/>
                    <w:pageBreakBefore w:val="0"/>
                    <w:kinsoku/>
                    <w:wordWrap/>
                    <w:overflowPunct/>
                    <w:topLinePunct w:val="0"/>
                    <w:autoSpaceDE/>
                    <w:autoSpaceDN/>
                    <w:bidi w:val="0"/>
                    <w:adjustRightInd w:val="0"/>
                    <w:snapToGrid w:val="0"/>
                    <w:spacing w:line="240" w:lineRule="auto"/>
                    <w:jc w:val="center"/>
                    <w:rPr>
                      <w:color w:val="auto"/>
                      <w:sz w:val="21"/>
                      <w:szCs w:val="21"/>
                      <w:highlight w:val="none"/>
                    </w:rPr>
                  </w:pPr>
                  <w:r>
                    <w:rPr>
                      <w:rFonts w:hint="eastAsia"/>
                      <w:color w:val="auto"/>
                      <w:sz w:val="21"/>
                      <w:szCs w:val="21"/>
                      <w:highlight w:val="none"/>
                    </w:rPr>
                    <w:t>SO</w:t>
                  </w:r>
                  <w:r>
                    <w:rPr>
                      <w:rFonts w:hint="eastAsia"/>
                      <w:color w:val="auto"/>
                      <w:sz w:val="21"/>
                      <w:szCs w:val="21"/>
                      <w:highlight w:val="none"/>
                      <w:vertAlign w:val="subscript"/>
                    </w:rPr>
                    <w:t>2</w:t>
                  </w:r>
                </w:p>
              </w:tc>
              <w:tc>
                <w:tcPr>
                  <w:tcW w:w="1504" w:type="pct"/>
                  <w:tcBorders>
                    <w:tl2br w:val="nil"/>
                    <w:tr2bl w:val="nil"/>
                  </w:tcBorders>
                  <w:noWrap w:val="0"/>
                  <w:vAlign w:val="center"/>
                </w:tcPr>
                <w:p w14:paraId="6E27120F">
                  <w:pPr>
                    <w:keepNext w:val="0"/>
                    <w:keepLines w:val="0"/>
                    <w:pageBreakBefore w:val="0"/>
                    <w:kinsoku/>
                    <w:wordWrap/>
                    <w:overflowPunct/>
                    <w:topLinePunct w:val="0"/>
                    <w:autoSpaceDE/>
                    <w:autoSpaceDN/>
                    <w:bidi w:val="0"/>
                    <w:adjustRightInd w:val="0"/>
                    <w:snapToGrid w:val="0"/>
                    <w:spacing w:line="240" w:lineRule="auto"/>
                    <w:jc w:val="center"/>
                    <w:rPr>
                      <w:color w:val="auto"/>
                      <w:sz w:val="21"/>
                      <w:szCs w:val="21"/>
                      <w:highlight w:val="none"/>
                    </w:rPr>
                  </w:pPr>
                  <w:r>
                    <w:rPr>
                      <w:rFonts w:hint="eastAsia"/>
                      <w:color w:val="auto"/>
                      <w:sz w:val="21"/>
                      <w:szCs w:val="21"/>
                      <w:highlight w:val="none"/>
                    </w:rPr>
                    <w:t>年平均质量浓度</w:t>
                  </w:r>
                </w:p>
              </w:tc>
              <w:tc>
                <w:tcPr>
                  <w:tcW w:w="1121" w:type="dxa"/>
                  <w:tcBorders>
                    <w:tl2br w:val="nil"/>
                    <w:tr2bl w:val="nil"/>
                  </w:tcBorders>
                  <w:noWrap w:val="0"/>
                  <w:vAlign w:val="center"/>
                </w:tcPr>
                <w:p w14:paraId="4BD1FE6F">
                  <w:pPr>
                    <w:keepNext w:val="0"/>
                    <w:keepLines w:val="0"/>
                    <w:pageBreakBefore w:val="0"/>
                    <w:kinsoku/>
                    <w:wordWrap/>
                    <w:overflowPunct/>
                    <w:topLinePunct w:val="0"/>
                    <w:autoSpaceDE/>
                    <w:autoSpaceDN/>
                    <w:bidi w:val="0"/>
                    <w:adjustRightInd w:val="0"/>
                    <w:snapToGrid w:val="0"/>
                    <w:spacing w:line="240" w:lineRule="auto"/>
                    <w:jc w:val="center"/>
                    <w:rPr>
                      <w:rFonts w:hint="eastAsia" w:ascii="Times New Roman" w:hAnsi="Times New Roman" w:cs="Times New Roman"/>
                      <w:color w:val="auto"/>
                      <w:sz w:val="21"/>
                      <w:szCs w:val="21"/>
                      <w:highlight w:val="none"/>
                    </w:rPr>
                  </w:pPr>
                  <w:r>
                    <w:rPr>
                      <w:rFonts w:hint="eastAsia" w:cs="Times New Roman"/>
                      <w:color w:val="auto"/>
                      <w:sz w:val="21"/>
                      <w:szCs w:val="21"/>
                      <w:highlight w:val="none"/>
                      <w:lang w:val="en-US" w:eastAsia="zh-CN"/>
                    </w:rPr>
                    <w:t>8</w:t>
                  </w:r>
                </w:p>
              </w:tc>
              <w:tc>
                <w:tcPr>
                  <w:tcW w:w="1372" w:type="dxa"/>
                  <w:tcBorders>
                    <w:tl2br w:val="nil"/>
                    <w:tr2bl w:val="nil"/>
                  </w:tcBorders>
                  <w:noWrap w:val="0"/>
                  <w:vAlign w:val="center"/>
                </w:tcPr>
                <w:p w14:paraId="33BCE38D">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60</w:t>
                  </w:r>
                </w:p>
              </w:tc>
              <w:tc>
                <w:tcPr>
                  <w:tcW w:w="1099" w:type="dxa"/>
                  <w:tcBorders>
                    <w:tl2br w:val="nil"/>
                    <w:tr2bl w:val="nil"/>
                  </w:tcBorders>
                  <w:noWrap w:val="0"/>
                  <w:vAlign w:val="center"/>
                </w:tcPr>
                <w:p w14:paraId="53140256">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color w:val="auto"/>
                      <w:sz w:val="21"/>
                      <w:szCs w:val="21"/>
                      <w:highlight w:val="none"/>
                      <w:lang w:val="en-US" w:eastAsia="zh-CN"/>
                    </w:rPr>
                  </w:pPr>
                  <w:r>
                    <w:rPr>
                      <w:rFonts w:hint="eastAsia"/>
                      <w:color w:val="auto"/>
                      <w:sz w:val="21"/>
                      <w:szCs w:val="21"/>
                      <w:highlight w:val="none"/>
                      <w:lang w:val="en-US" w:eastAsia="zh-CN"/>
                    </w:rPr>
                    <w:t xml:space="preserve">13.33 </w:t>
                  </w:r>
                </w:p>
              </w:tc>
              <w:tc>
                <w:tcPr>
                  <w:tcW w:w="1110" w:type="dxa"/>
                  <w:tcBorders>
                    <w:tl2br w:val="nil"/>
                    <w:tr2bl w:val="nil"/>
                  </w:tcBorders>
                  <w:noWrap w:val="0"/>
                  <w:vAlign w:val="center"/>
                </w:tcPr>
                <w:p w14:paraId="7385C474">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达标</w:t>
                  </w:r>
                </w:p>
              </w:tc>
            </w:tr>
            <w:tr w14:paraId="22E99CEF">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541" w:type="pct"/>
                  <w:tcBorders>
                    <w:tl2br w:val="nil"/>
                    <w:tr2bl w:val="nil"/>
                  </w:tcBorders>
                  <w:noWrap w:val="0"/>
                  <w:vAlign w:val="center"/>
                </w:tcPr>
                <w:p w14:paraId="23B348C0">
                  <w:pPr>
                    <w:keepNext w:val="0"/>
                    <w:keepLines w:val="0"/>
                    <w:pageBreakBefore w:val="0"/>
                    <w:kinsoku/>
                    <w:wordWrap/>
                    <w:overflowPunct/>
                    <w:topLinePunct w:val="0"/>
                    <w:autoSpaceDE/>
                    <w:autoSpaceDN/>
                    <w:bidi w:val="0"/>
                    <w:adjustRightInd w:val="0"/>
                    <w:snapToGrid w:val="0"/>
                    <w:spacing w:line="240" w:lineRule="auto"/>
                    <w:jc w:val="center"/>
                    <w:rPr>
                      <w:color w:val="auto"/>
                      <w:sz w:val="21"/>
                      <w:szCs w:val="21"/>
                      <w:highlight w:val="none"/>
                    </w:rPr>
                  </w:pPr>
                  <w:r>
                    <w:rPr>
                      <w:rFonts w:hint="eastAsia"/>
                      <w:color w:val="auto"/>
                      <w:sz w:val="21"/>
                      <w:szCs w:val="21"/>
                      <w:highlight w:val="none"/>
                    </w:rPr>
                    <w:t>NO</w:t>
                  </w:r>
                  <w:r>
                    <w:rPr>
                      <w:rFonts w:hint="eastAsia"/>
                      <w:color w:val="auto"/>
                      <w:sz w:val="21"/>
                      <w:szCs w:val="21"/>
                      <w:highlight w:val="none"/>
                      <w:vertAlign w:val="subscript"/>
                    </w:rPr>
                    <w:t>2</w:t>
                  </w:r>
                </w:p>
              </w:tc>
              <w:tc>
                <w:tcPr>
                  <w:tcW w:w="1504" w:type="pct"/>
                  <w:tcBorders>
                    <w:tl2br w:val="nil"/>
                    <w:tr2bl w:val="nil"/>
                  </w:tcBorders>
                  <w:noWrap w:val="0"/>
                  <w:vAlign w:val="center"/>
                </w:tcPr>
                <w:p w14:paraId="487DCDC4">
                  <w:pPr>
                    <w:keepNext w:val="0"/>
                    <w:keepLines w:val="0"/>
                    <w:pageBreakBefore w:val="0"/>
                    <w:kinsoku/>
                    <w:wordWrap/>
                    <w:overflowPunct/>
                    <w:topLinePunct w:val="0"/>
                    <w:autoSpaceDE/>
                    <w:autoSpaceDN/>
                    <w:bidi w:val="0"/>
                    <w:adjustRightInd w:val="0"/>
                    <w:snapToGrid w:val="0"/>
                    <w:spacing w:line="240" w:lineRule="auto"/>
                    <w:jc w:val="center"/>
                    <w:rPr>
                      <w:color w:val="auto"/>
                      <w:sz w:val="21"/>
                      <w:szCs w:val="21"/>
                      <w:highlight w:val="none"/>
                    </w:rPr>
                  </w:pPr>
                  <w:r>
                    <w:rPr>
                      <w:rFonts w:hint="eastAsia"/>
                      <w:color w:val="auto"/>
                      <w:sz w:val="21"/>
                      <w:szCs w:val="21"/>
                      <w:highlight w:val="none"/>
                    </w:rPr>
                    <w:t>年平均质量浓度</w:t>
                  </w:r>
                </w:p>
              </w:tc>
              <w:tc>
                <w:tcPr>
                  <w:tcW w:w="1121" w:type="dxa"/>
                  <w:tcBorders>
                    <w:tl2br w:val="nil"/>
                    <w:tr2bl w:val="nil"/>
                  </w:tcBorders>
                  <w:noWrap w:val="0"/>
                  <w:vAlign w:val="center"/>
                </w:tcPr>
                <w:p w14:paraId="097A5B55">
                  <w:pPr>
                    <w:keepNext w:val="0"/>
                    <w:keepLines w:val="0"/>
                    <w:pageBreakBefore w:val="0"/>
                    <w:kinsoku/>
                    <w:wordWrap/>
                    <w:overflowPunct/>
                    <w:topLinePunct w:val="0"/>
                    <w:autoSpaceDE/>
                    <w:autoSpaceDN/>
                    <w:bidi w:val="0"/>
                    <w:adjustRightInd w:val="0"/>
                    <w:snapToGrid w:val="0"/>
                    <w:spacing w:line="240" w:lineRule="auto"/>
                    <w:jc w:val="center"/>
                    <w:rPr>
                      <w:rFonts w:hint="eastAsia"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38</w:t>
                  </w:r>
                </w:p>
              </w:tc>
              <w:tc>
                <w:tcPr>
                  <w:tcW w:w="1372" w:type="dxa"/>
                  <w:tcBorders>
                    <w:tl2br w:val="nil"/>
                    <w:tr2bl w:val="nil"/>
                  </w:tcBorders>
                  <w:noWrap w:val="0"/>
                  <w:vAlign w:val="center"/>
                </w:tcPr>
                <w:p w14:paraId="4BF9F52D">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40</w:t>
                  </w:r>
                </w:p>
              </w:tc>
              <w:tc>
                <w:tcPr>
                  <w:tcW w:w="1099" w:type="dxa"/>
                  <w:tcBorders>
                    <w:tl2br w:val="nil"/>
                    <w:tr2bl w:val="nil"/>
                  </w:tcBorders>
                  <w:noWrap w:val="0"/>
                  <w:vAlign w:val="center"/>
                </w:tcPr>
                <w:p w14:paraId="2A86EF43">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color w:val="auto"/>
                      <w:sz w:val="21"/>
                      <w:szCs w:val="21"/>
                      <w:highlight w:val="none"/>
                      <w:lang w:val="en-US" w:eastAsia="zh-CN"/>
                    </w:rPr>
                  </w:pPr>
                  <w:r>
                    <w:rPr>
                      <w:rFonts w:hint="eastAsia"/>
                      <w:color w:val="auto"/>
                      <w:sz w:val="21"/>
                      <w:szCs w:val="21"/>
                      <w:highlight w:val="none"/>
                      <w:lang w:val="en-US" w:eastAsia="zh-CN"/>
                    </w:rPr>
                    <w:t xml:space="preserve">95.00 </w:t>
                  </w:r>
                </w:p>
              </w:tc>
              <w:tc>
                <w:tcPr>
                  <w:tcW w:w="1110" w:type="dxa"/>
                  <w:tcBorders>
                    <w:tl2br w:val="nil"/>
                    <w:tr2bl w:val="nil"/>
                  </w:tcBorders>
                  <w:noWrap w:val="0"/>
                  <w:vAlign w:val="center"/>
                </w:tcPr>
                <w:p w14:paraId="48C229F6">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达标</w:t>
                  </w:r>
                </w:p>
              </w:tc>
            </w:tr>
            <w:tr w14:paraId="5ED6EB84">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541" w:type="pct"/>
                  <w:tcBorders>
                    <w:tl2br w:val="nil"/>
                    <w:tr2bl w:val="nil"/>
                  </w:tcBorders>
                  <w:noWrap w:val="0"/>
                  <w:vAlign w:val="center"/>
                </w:tcPr>
                <w:p w14:paraId="21BA201A">
                  <w:pPr>
                    <w:keepNext w:val="0"/>
                    <w:keepLines w:val="0"/>
                    <w:pageBreakBefore w:val="0"/>
                    <w:kinsoku/>
                    <w:wordWrap/>
                    <w:overflowPunct/>
                    <w:topLinePunct w:val="0"/>
                    <w:autoSpaceDE/>
                    <w:autoSpaceDN/>
                    <w:bidi w:val="0"/>
                    <w:adjustRightInd w:val="0"/>
                    <w:snapToGrid w:val="0"/>
                    <w:spacing w:line="240" w:lineRule="auto"/>
                    <w:jc w:val="center"/>
                    <w:rPr>
                      <w:color w:val="auto"/>
                      <w:sz w:val="21"/>
                      <w:szCs w:val="21"/>
                      <w:highlight w:val="none"/>
                    </w:rPr>
                  </w:pPr>
                  <w:r>
                    <w:rPr>
                      <w:rFonts w:hint="eastAsia"/>
                      <w:color w:val="auto"/>
                      <w:sz w:val="21"/>
                      <w:szCs w:val="21"/>
                      <w:highlight w:val="none"/>
                    </w:rPr>
                    <w:t>CO</w:t>
                  </w:r>
                </w:p>
              </w:tc>
              <w:tc>
                <w:tcPr>
                  <w:tcW w:w="1504" w:type="pct"/>
                  <w:tcBorders>
                    <w:tl2br w:val="nil"/>
                    <w:tr2bl w:val="nil"/>
                  </w:tcBorders>
                  <w:noWrap w:val="0"/>
                  <w:vAlign w:val="center"/>
                </w:tcPr>
                <w:p w14:paraId="286EAF90">
                  <w:pPr>
                    <w:keepNext w:val="0"/>
                    <w:keepLines w:val="0"/>
                    <w:pageBreakBefore w:val="0"/>
                    <w:kinsoku/>
                    <w:wordWrap/>
                    <w:overflowPunct/>
                    <w:topLinePunct w:val="0"/>
                    <w:autoSpaceDE/>
                    <w:autoSpaceDN/>
                    <w:bidi w:val="0"/>
                    <w:adjustRightInd w:val="0"/>
                    <w:snapToGrid w:val="0"/>
                    <w:spacing w:line="240" w:lineRule="auto"/>
                    <w:jc w:val="center"/>
                    <w:rPr>
                      <w:color w:val="auto"/>
                      <w:sz w:val="21"/>
                      <w:szCs w:val="21"/>
                      <w:highlight w:val="none"/>
                    </w:rPr>
                  </w:pPr>
                  <w:r>
                    <w:rPr>
                      <w:rFonts w:hint="eastAsia"/>
                      <w:color w:val="auto"/>
                      <w:sz w:val="21"/>
                      <w:szCs w:val="21"/>
                      <w:highlight w:val="none"/>
                    </w:rPr>
                    <w:t>日平均第95百分位浓度</w:t>
                  </w:r>
                </w:p>
              </w:tc>
              <w:tc>
                <w:tcPr>
                  <w:tcW w:w="1121" w:type="dxa"/>
                  <w:tcBorders>
                    <w:tl2br w:val="nil"/>
                    <w:tr2bl w:val="nil"/>
                  </w:tcBorders>
                  <w:noWrap w:val="0"/>
                  <w:vAlign w:val="center"/>
                </w:tcPr>
                <w:p w14:paraId="4D6B7D05">
                  <w:pPr>
                    <w:keepNext w:val="0"/>
                    <w:keepLines w:val="0"/>
                    <w:pageBreakBefore w:val="0"/>
                    <w:kinsoku/>
                    <w:wordWrap/>
                    <w:overflowPunct/>
                    <w:topLinePunct w:val="0"/>
                    <w:autoSpaceDE/>
                    <w:autoSpaceDN/>
                    <w:bidi w:val="0"/>
                    <w:adjustRightInd w:val="0"/>
                    <w:snapToGrid w:val="0"/>
                    <w:spacing w:line="240" w:lineRule="auto"/>
                    <w:jc w:val="center"/>
                    <w:rPr>
                      <w:rFonts w:hint="eastAsia"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w:t>
                  </w:r>
                  <w:r>
                    <w:rPr>
                      <w:rFonts w:hint="eastAsia" w:cs="Times New Roman"/>
                      <w:color w:val="auto"/>
                      <w:sz w:val="21"/>
                      <w:szCs w:val="21"/>
                      <w:highlight w:val="none"/>
                      <w:lang w:val="en-US" w:eastAsia="zh-CN"/>
                    </w:rPr>
                    <w:t>5</w:t>
                  </w:r>
                  <w:r>
                    <w:rPr>
                      <w:rFonts w:hint="eastAsia" w:ascii="Times New Roman" w:hAnsi="Times New Roman" w:cs="Times New Roman"/>
                      <w:color w:val="auto"/>
                      <w:sz w:val="21"/>
                      <w:szCs w:val="21"/>
                      <w:highlight w:val="none"/>
                      <w:lang w:val="en-US" w:eastAsia="zh-CN"/>
                    </w:rPr>
                    <w:t>00</w:t>
                  </w:r>
                </w:p>
              </w:tc>
              <w:tc>
                <w:tcPr>
                  <w:tcW w:w="1372" w:type="dxa"/>
                  <w:tcBorders>
                    <w:tl2br w:val="nil"/>
                    <w:tr2bl w:val="nil"/>
                  </w:tcBorders>
                  <w:noWrap w:val="0"/>
                  <w:vAlign w:val="center"/>
                </w:tcPr>
                <w:p w14:paraId="0EE86B8C">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4000</w:t>
                  </w:r>
                </w:p>
              </w:tc>
              <w:tc>
                <w:tcPr>
                  <w:tcW w:w="1099" w:type="dxa"/>
                  <w:tcBorders>
                    <w:tl2br w:val="nil"/>
                    <w:tr2bl w:val="nil"/>
                  </w:tcBorders>
                  <w:noWrap w:val="0"/>
                  <w:vAlign w:val="center"/>
                </w:tcPr>
                <w:p w14:paraId="762E413F">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color w:val="auto"/>
                      <w:sz w:val="21"/>
                      <w:szCs w:val="21"/>
                      <w:highlight w:val="none"/>
                      <w:lang w:val="en-US" w:eastAsia="zh-CN"/>
                    </w:rPr>
                  </w:pPr>
                  <w:r>
                    <w:rPr>
                      <w:rFonts w:hint="eastAsia"/>
                      <w:color w:val="auto"/>
                      <w:sz w:val="21"/>
                      <w:szCs w:val="21"/>
                      <w:highlight w:val="none"/>
                      <w:lang w:val="en-US" w:eastAsia="zh-CN"/>
                    </w:rPr>
                    <w:t xml:space="preserve">37.50 </w:t>
                  </w:r>
                </w:p>
              </w:tc>
              <w:tc>
                <w:tcPr>
                  <w:tcW w:w="1110" w:type="dxa"/>
                  <w:tcBorders>
                    <w:tl2br w:val="nil"/>
                    <w:tr2bl w:val="nil"/>
                  </w:tcBorders>
                  <w:noWrap w:val="0"/>
                  <w:vAlign w:val="center"/>
                </w:tcPr>
                <w:p w14:paraId="278D3F23">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color w:val="auto"/>
                      <w:sz w:val="21"/>
                      <w:szCs w:val="21"/>
                      <w:highlight w:val="none"/>
                    </w:rPr>
                  </w:pPr>
                  <w:r>
                    <w:rPr>
                      <w:rFonts w:hint="eastAsia"/>
                      <w:color w:val="auto"/>
                      <w:sz w:val="21"/>
                      <w:szCs w:val="21"/>
                      <w:highlight w:val="none"/>
                    </w:rPr>
                    <w:t>达标</w:t>
                  </w:r>
                </w:p>
              </w:tc>
            </w:tr>
            <w:tr w14:paraId="67A2A573">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541" w:type="pct"/>
                  <w:tcBorders>
                    <w:tl2br w:val="nil"/>
                    <w:tr2bl w:val="nil"/>
                  </w:tcBorders>
                  <w:noWrap w:val="0"/>
                  <w:vAlign w:val="center"/>
                </w:tcPr>
                <w:p w14:paraId="4D120CA4">
                  <w:pPr>
                    <w:keepNext w:val="0"/>
                    <w:keepLines w:val="0"/>
                    <w:pageBreakBefore w:val="0"/>
                    <w:kinsoku/>
                    <w:wordWrap/>
                    <w:overflowPunct/>
                    <w:topLinePunct w:val="0"/>
                    <w:autoSpaceDE/>
                    <w:autoSpaceDN/>
                    <w:bidi w:val="0"/>
                    <w:adjustRightInd w:val="0"/>
                    <w:snapToGrid w:val="0"/>
                    <w:spacing w:line="240" w:lineRule="auto"/>
                    <w:jc w:val="center"/>
                    <w:rPr>
                      <w:color w:val="auto"/>
                      <w:sz w:val="21"/>
                      <w:szCs w:val="21"/>
                      <w:highlight w:val="none"/>
                    </w:rPr>
                  </w:pPr>
                  <w:r>
                    <w:rPr>
                      <w:rFonts w:hint="eastAsia"/>
                      <w:color w:val="auto"/>
                      <w:sz w:val="21"/>
                      <w:szCs w:val="21"/>
                      <w:highlight w:val="none"/>
                    </w:rPr>
                    <w:t>O</w:t>
                  </w:r>
                  <w:r>
                    <w:rPr>
                      <w:rFonts w:hint="eastAsia"/>
                      <w:color w:val="auto"/>
                      <w:sz w:val="21"/>
                      <w:szCs w:val="21"/>
                      <w:highlight w:val="none"/>
                      <w:vertAlign w:val="subscript"/>
                    </w:rPr>
                    <w:t>3</w:t>
                  </w:r>
                </w:p>
              </w:tc>
              <w:tc>
                <w:tcPr>
                  <w:tcW w:w="1504" w:type="pct"/>
                  <w:tcBorders>
                    <w:tl2br w:val="nil"/>
                    <w:tr2bl w:val="nil"/>
                  </w:tcBorders>
                  <w:noWrap w:val="0"/>
                  <w:vAlign w:val="center"/>
                </w:tcPr>
                <w:p w14:paraId="29FBF35C">
                  <w:pPr>
                    <w:keepNext w:val="0"/>
                    <w:keepLines w:val="0"/>
                    <w:pageBreakBefore w:val="0"/>
                    <w:kinsoku/>
                    <w:wordWrap/>
                    <w:overflowPunct/>
                    <w:topLinePunct w:val="0"/>
                    <w:autoSpaceDE/>
                    <w:autoSpaceDN/>
                    <w:bidi w:val="0"/>
                    <w:adjustRightInd w:val="0"/>
                    <w:snapToGrid w:val="0"/>
                    <w:spacing w:line="240" w:lineRule="auto"/>
                    <w:jc w:val="center"/>
                    <w:rPr>
                      <w:color w:val="auto"/>
                      <w:sz w:val="21"/>
                      <w:szCs w:val="21"/>
                      <w:highlight w:val="none"/>
                    </w:rPr>
                  </w:pPr>
                  <w:r>
                    <w:rPr>
                      <w:rFonts w:hint="eastAsia"/>
                      <w:color w:val="auto"/>
                      <w:sz w:val="21"/>
                      <w:szCs w:val="21"/>
                      <w:highlight w:val="none"/>
                    </w:rPr>
                    <w:t>日最大8小时平均第90百分位浓度</w:t>
                  </w:r>
                </w:p>
              </w:tc>
              <w:tc>
                <w:tcPr>
                  <w:tcW w:w="1121" w:type="dxa"/>
                  <w:tcBorders>
                    <w:tl2br w:val="nil"/>
                    <w:tr2bl w:val="nil"/>
                  </w:tcBorders>
                  <w:noWrap w:val="0"/>
                  <w:vAlign w:val="center"/>
                </w:tcPr>
                <w:p w14:paraId="7C1DB0E9">
                  <w:pPr>
                    <w:keepNext w:val="0"/>
                    <w:keepLines w:val="0"/>
                    <w:pageBreakBefore w:val="0"/>
                    <w:kinsoku/>
                    <w:wordWrap/>
                    <w:overflowPunct/>
                    <w:topLinePunct w:val="0"/>
                    <w:autoSpaceDE/>
                    <w:autoSpaceDN/>
                    <w:bidi w:val="0"/>
                    <w:adjustRightInd w:val="0"/>
                    <w:snapToGrid w:val="0"/>
                    <w:spacing w:line="240" w:lineRule="auto"/>
                    <w:jc w:val="center"/>
                    <w:rPr>
                      <w:rFonts w:hint="eastAsia"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16</w:t>
                  </w:r>
                  <w:r>
                    <w:rPr>
                      <w:rFonts w:hint="eastAsia" w:cs="Times New Roman"/>
                      <w:color w:val="auto"/>
                      <w:sz w:val="21"/>
                      <w:szCs w:val="21"/>
                      <w:highlight w:val="none"/>
                      <w:lang w:val="en-US" w:eastAsia="zh-CN"/>
                    </w:rPr>
                    <w:t>6</w:t>
                  </w:r>
                </w:p>
              </w:tc>
              <w:tc>
                <w:tcPr>
                  <w:tcW w:w="1372" w:type="dxa"/>
                  <w:tcBorders>
                    <w:tl2br w:val="nil"/>
                    <w:tr2bl w:val="nil"/>
                  </w:tcBorders>
                  <w:noWrap w:val="0"/>
                  <w:vAlign w:val="center"/>
                </w:tcPr>
                <w:p w14:paraId="6E971485">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color w:val="auto"/>
                      <w:sz w:val="21"/>
                      <w:szCs w:val="21"/>
                      <w:highlight w:val="none"/>
                    </w:rPr>
                  </w:pPr>
                  <w:r>
                    <w:rPr>
                      <w:rFonts w:hint="eastAsia"/>
                      <w:color w:val="auto"/>
                      <w:sz w:val="21"/>
                      <w:szCs w:val="21"/>
                      <w:highlight w:val="none"/>
                    </w:rPr>
                    <w:t>160</w:t>
                  </w:r>
                </w:p>
              </w:tc>
              <w:tc>
                <w:tcPr>
                  <w:tcW w:w="1099" w:type="dxa"/>
                  <w:tcBorders>
                    <w:tl2br w:val="nil"/>
                    <w:tr2bl w:val="nil"/>
                  </w:tcBorders>
                  <w:noWrap w:val="0"/>
                  <w:vAlign w:val="center"/>
                </w:tcPr>
                <w:p w14:paraId="61464884">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color w:val="auto"/>
                      <w:sz w:val="21"/>
                      <w:szCs w:val="21"/>
                      <w:highlight w:val="none"/>
                      <w:lang w:val="en-US" w:eastAsia="zh-CN"/>
                    </w:rPr>
                  </w:pPr>
                  <w:r>
                    <w:rPr>
                      <w:rFonts w:hint="eastAsia"/>
                      <w:color w:val="auto"/>
                      <w:sz w:val="21"/>
                      <w:szCs w:val="21"/>
                      <w:highlight w:val="none"/>
                      <w:lang w:val="en-US" w:eastAsia="zh-CN"/>
                    </w:rPr>
                    <w:t xml:space="preserve">103.75 </w:t>
                  </w:r>
                </w:p>
              </w:tc>
              <w:tc>
                <w:tcPr>
                  <w:tcW w:w="1110" w:type="dxa"/>
                  <w:tcBorders>
                    <w:tl2br w:val="nil"/>
                    <w:tr2bl w:val="nil"/>
                  </w:tcBorders>
                  <w:noWrap w:val="0"/>
                  <w:vAlign w:val="center"/>
                </w:tcPr>
                <w:p w14:paraId="33CCD531">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color w:val="auto"/>
                      <w:sz w:val="21"/>
                      <w:szCs w:val="21"/>
                      <w:highlight w:val="none"/>
                    </w:rPr>
                  </w:pPr>
                  <w:r>
                    <w:rPr>
                      <w:rFonts w:hint="eastAsia"/>
                      <w:color w:val="auto"/>
                      <w:sz w:val="21"/>
                      <w:szCs w:val="21"/>
                      <w:highlight w:val="none"/>
                      <w:lang w:val="en-US" w:eastAsia="zh-CN"/>
                    </w:rPr>
                    <w:t>不达</w:t>
                  </w:r>
                  <w:r>
                    <w:rPr>
                      <w:rFonts w:hint="eastAsia"/>
                      <w:color w:val="auto"/>
                      <w:sz w:val="21"/>
                      <w:szCs w:val="21"/>
                      <w:highlight w:val="none"/>
                    </w:rPr>
                    <w:t>标</w:t>
                  </w:r>
                </w:p>
              </w:tc>
            </w:tr>
          </w:tbl>
          <w:p w14:paraId="37CF6FF7">
            <w:pPr>
              <w:ind w:firstLine="420" w:firstLineChars="200"/>
              <w:jc w:val="both"/>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根据以上监测结果可知，</w:t>
            </w:r>
            <w:r>
              <w:rPr>
                <w:rFonts w:hint="eastAsia" w:cs="Times New Roman"/>
                <w:color w:val="auto"/>
                <w:sz w:val="21"/>
                <w:szCs w:val="21"/>
                <w:highlight w:val="none"/>
                <w:lang w:val="en-US" w:eastAsia="zh-CN"/>
              </w:rPr>
              <w:t>西安市新城区</w:t>
            </w:r>
            <w:r>
              <w:rPr>
                <w:rFonts w:hint="default" w:ascii="Times New Roman" w:hAnsi="Times New Roman" w:eastAsia="宋体" w:cs="Times New Roman"/>
                <w:color w:val="auto"/>
                <w:sz w:val="21"/>
                <w:szCs w:val="21"/>
                <w:highlight w:val="none"/>
                <w:lang w:val="en-US" w:eastAsia="zh-CN"/>
              </w:rPr>
              <w:t>环境空气常规六项污染物中，SO</w:t>
            </w:r>
            <w:r>
              <w:rPr>
                <w:rFonts w:hint="default" w:ascii="Times New Roman" w:hAnsi="Times New Roman" w:eastAsia="宋体" w:cs="Times New Roman"/>
                <w:color w:val="auto"/>
                <w:sz w:val="21"/>
                <w:szCs w:val="21"/>
                <w:highlight w:val="none"/>
                <w:vertAlign w:val="subscript"/>
                <w:lang w:val="en-US" w:eastAsia="zh-CN"/>
              </w:rPr>
              <w:t>2</w:t>
            </w:r>
            <w:r>
              <w:rPr>
                <w:rFonts w:hint="default" w:ascii="Times New Roman" w:hAnsi="Times New Roman" w:eastAsia="宋体" w:cs="Times New Roman"/>
                <w:color w:val="auto"/>
                <w:sz w:val="21"/>
                <w:szCs w:val="21"/>
                <w:highlight w:val="none"/>
                <w:lang w:val="en-US" w:eastAsia="zh-CN"/>
              </w:rPr>
              <w:t>、</w:t>
            </w:r>
            <w:r>
              <w:rPr>
                <w:rFonts w:hint="eastAsia" w:ascii="Times New Roman" w:hAnsi="Times New Roman" w:eastAsia="宋体" w:cs="Times New Roman"/>
                <w:color w:val="auto"/>
                <w:sz w:val="21"/>
                <w:szCs w:val="21"/>
                <w:highlight w:val="none"/>
                <w:lang w:val="en-US" w:eastAsia="zh-CN"/>
              </w:rPr>
              <w:t>N</w:t>
            </w:r>
            <w:r>
              <w:rPr>
                <w:rFonts w:hint="default" w:ascii="Times New Roman" w:hAnsi="Times New Roman" w:eastAsia="宋体" w:cs="Times New Roman"/>
                <w:color w:val="auto"/>
                <w:sz w:val="21"/>
                <w:szCs w:val="21"/>
                <w:highlight w:val="none"/>
                <w:lang w:val="en-US" w:eastAsia="zh-CN"/>
              </w:rPr>
              <w:t>O</w:t>
            </w:r>
            <w:r>
              <w:rPr>
                <w:rFonts w:hint="default" w:ascii="Times New Roman" w:hAnsi="Times New Roman" w:eastAsia="宋体" w:cs="Times New Roman"/>
                <w:color w:val="auto"/>
                <w:sz w:val="21"/>
                <w:szCs w:val="21"/>
                <w:highlight w:val="none"/>
                <w:vertAlign w:val="subscript"/>
                <w:lang w:val="en-US" w:eastAsia="zh-CN"/>
              </w:rPr>
              <w:t>2</w:t>
            </w:r>
            <w:r>
              <w:rPr>
                <w:rFonts w:hint="default" w:ascii="Times New Roman" w:hAnsi="Times New Roman" w:eastAsia="宋体" w:cs="Times New Roman"/>
                <w:color w:val="auto"/>
                <w:sz w:val="21"/>
                <w:szCs w:val="21"/>
                <w:highlight w:val="none"/>
                <w:lang w:val="en-US" w:eastAsia="zh-CN"/>
              </w:rPr>
              <w:t>的年</w:t>
            </w:r>
            <w:r>
              <w:rPr>
                <w:rFonts w:hint="eastAsia" w:ascii="Times New Roman" w:hAnsi="Times New Roman" w:eastAsia="宋体" w:cs="Times New Roman"/>
                <w:color w:val="auto"/>
                <w:sz w:val="21"/>
                <w:szCs w:val="21"/>
                <w:highlight w:val="none"/>
                <w:lang w:val="en-US" w:eastAsia="zh-CN"/>
              </w:rPr>
              <w:t>平</w:t>
            </w:r>
            <w:r>
              <w:rPr>
                <w:rFonts w:hint="default" w:ascii="Times New Roman" w:hAnsi="Times New Roman" w:eastAsia="宋体" w:cs="Times New Roman"/>
                <w:color w:val="auto"/>
                <w:sz w:val="21"/>
                <w:szCs w:val="21"/>
                <w:highlight w:val="none"/>
                <w:lang w:val="en-US" w:eastAsia="zh-CN"/>
              </w:rPr>
              <w:t>均</w:t>
            </w:r>
            <w:r>
              <w:rPr>
                <w:rFonts w:hint="eastAsia" w:ascii="Times New Roman" w:hAnsi="Times New Roman" w:eastAsia="宋体" w:cs="Times New Roman"/>
                <w:color w:val="auto"/>
                <w:sz w:val="21"/>
                <w:szCs w:val="21"/>
                <w:highlight w:val="none"/>
                <w:lang w:val="en-US" w:eastAsia="zh-CN"/>
              </w:rPr>
              <w:t>质量</w:t>
            </w:r>
            <w:r>
              <w:rPr>
                <w:rFonts w:hint="default" w:ascii="Times New Roman" w:hAnsi="Times New Roman" w:eastAsia="宋体" w:cs="Times New Roman"/>
                <w:color w:val="auto"/>
                <w:sz w:val="21"/>
                <w:szCs w:val="21"/>
                <w:highlight w:val="none"/>
                <w:lang w:val="en-US" w:eastAsia="zh-CN"/>
              </w:rPr>
              <w:t>浓度值、CO的24小时平均第95百分位浓度值均达到《环境空气质量标准》（GB3095-2012）及其修改单（公告2018年第29号）中二级标准限值要求</w:t>
            </w:r>
            <w:r>
              <w:rPr>
                <w:rFonts w:hint="eastAsia" w:ascii="Times New Roman" w:hAnsi="Times New Roman" w:eastAsia="宋体" w:cs="Times New Roman"/>
                <w:color w:val="auto"/>
                <w:sz w:val="21"/>
                <w:szCs w:val="21"/>
                <w:highlight w:val="none"/>
                <w:lang w:val="en-US" w:eastAsia="zh-CN"/>
              </w:rPr>
              <w:t>，PM</w:t>
            </w:r>
            <w:r>
              <w:rPr>
                <w:rFonts w:hint="eastAsia" w:ascii="Times New Roman" w:hAnsi="Times New Roman" w:eastAsia="宋体" w:cs="Times New Roman"/>
                <w:color w:val="auto"/>
                <w:sz w:val="21"/>
                <w:szCs w:val="21"/>
                <w:highlight w:val="none"/>
                <w:vertAlign w:val="subscript"/>
                <w:lang w:val="en-US" w:eastAsia="zh-CN"/>
              </w:rPr>
              <w:t>10</w:t>
            </w:r>
            <w:r>
              <w:rPr>
                <w:rFonts w:hint="eastAsia" w:ascii="Times New Roman" w:hAnsi="Times New Roman" w:eastAsia="宋体" w:cs="Times New Roman"/>
                <w:color w:val="auto"/>
                <w:sz w:val="21"/>
                <w:szCs w:val="21"/>
                <w:highlight w:val="none"/>
                <w:lang w:val="en-US" w:eastAsia="zh-CN"/>
              </w:rPr>
              <w:t>、PM</w:t>
            </w:r>
            <w:r>
              <w:rPr>
                <w:rFonts w:hint="eastAsia" w:ascii="Times New Roman" w:hAnsi="Times New Roman" w:eastAsia="宋体" w:cs="Times New Roman"/>
                <w:color w:val="auto"/>
                <w:sz w:val="21"/>
                <w:szCs w:val="21"/>
                <w:highlight w:val="none"/>
                <w:vertAlign w:val="subscript"/>
                <w:lang w:val="en-US" w:eastAsia="zh-CN"/>
              </w:rPr>
              <w:t>2.5</w:t>
            </w:r>
            <w:r>
              <w:rPr>
                <w:rFonts w:hint="eastAsia" w:ascii="Times New Roman" w:hAnsi="Times New Roman" w:eastAsia="宋体" w:cs="Times New Roman"/>
                <w:color w:val="auto"/>
                <w:sz w:val="21"/>
                <w:szCs w:val="21"/>
                <w:highlight w:val="none"/>
                <w:lang w:val="en-US" w:eastAsia="zh-CN"/>
              </w:rPr>
              <w:t>年平均质量浓度值</w:t>
            </w:r>
            <w:r>
              <w:rPr>
                <w:rFonts w:hint="eastAsia" w:cs="Times New Roman"/>
                <w:color w:val="auto"/>
                <w:sz w:val="21"/>
                <w:szCs w:val="21"/>
                <w:highlight w:val="none"/>
                <w:lang w:val="en-US" w:eastAsia="zh-CN"/>
              </w:rPr>
              <w:t>及</w:t>
            </w:r>
            <w:r>
              <w:rPr>
                <w:rFonts w:hint="default" w:ascii="Times New Roman" w:hAnsi="Times New Roman" w:eastAsia="宋体" w:cs="Times New Roman"/>
                <w:color w:val="auto"/>
                <w:sz w:val="21"/>
                <w:szCs w:val="21"/>
                <w:highlight w:val="none"/>
                <w:lang w:val="en-US" w:eastAsia="zh-CN"/>
              </w:rPr>
              <w:t>O</w:t>
            </w:r>
            <w:r>
              <w:rPr>
                <w:rFonts w:hint="default" w:ascii="Times New Roman" w:hAnsi="Times New Roman" w:eastAsia="宋体" w:cs="Times New Roman"/>
                <w:color w:val="auto"/>
                <w:sz w:val="21"/>
                <w:szCs w:val="21"/>
                <w:highlight w:val="none"/>
                <w:vertAlign w:val="subscript"/>
                <w:lang w:val="en-US" w:eastAsia="zh-CN"/>
              </w:rPr>
              <w:t>3</w:t>
            </w:r>
            <w:r>
              <w:rPr>
                <w:rFonts w:hint="default" w:ascii="Times New Roman" w:hAnsi="Times New Roman" w:eastAsia="宋体" w:cs="Times New Roman"/>
                <w:color w:val="auto"/>
                <w:sz w:val="21"/>
                <w:szCs w:val="21"/>
                <w:highlight w:val="none"/>
                <w:lang w:val="en-US" w:eastAsia="zh-CN"/>
              </w:rPr>
              <w:t>的日最大8小时平均第90百分位浓度值</w:t>
            </w:r>
            <w:r>
              <w:rPr>
                <w:rFonts w:hint="eastAsia" w:ascii="Times New Roman" w:hAnsi="Times New Roman" w:eastAsia="宋体" w:cs="Times New Roman"/>
                <w:color w:val="auto"/>
                <w:sz w:val="21"/>
                <w:szCs w:val="21"/>
                <w:highlight w:val="none"/>
                <w:lang w:val="en-US" w:eastAsia="zh-CN"/>
              </w:rPr>
              <w:t>均高于</w:t>
            </w:r>
            <w:r>
              <w:rPr>
                <w:rFonts w:hint="default" w:ascii="Times New Roman" w:hAnsi="Times New Roman" w:eastAsia="宋体" w:cs="Times New Roman"/>
                <w:color w:val="auto"/>
                <w:sz w:val="21"/>
                <w:szCs w:val="21"/>
                <w:highlight w:val="none"/>
                <w:lang w:val="en-US" w:eastAsia="zh-CN"/>
              </w:rPr>
              <w:t>《环境空气质量标准》（GB3095-2012）及其修改单（公告2018年第29号）中二级标准限值要求</w:t>
            </w:r>
            <w:r>
              <w:rPr>
                <w:rFonts w:hint="eastAsia" w:ascii="Times New Roman" w:hAnsi="Times New Roman" w:eastAsia="宋体" w:cs="Times New Roman"/>
                <w:color w:val="auto"/>
                <w:sz w:val="21"/>
                <w:szCs w:val="21"/>
                <w:highlight w:val="none"/>
                <w:lang w:val="en-US" w:eastAsia="zh-CN"/>
              </w:rPr>
              <w:t>。故项目所在区域属于环境空气质量不达标区。</w:t>
            </w:r>
          </w:p>
          <w:p w14:paraId="0DD251D6">
            <w:pPr>
              <w:ind w:firstLine="420" w:firstLineChars="200"/>
              <w:jc w:val="both"/>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lang w:val="en-US" w:eastAsia="zh-CN"/>
              </w:rPr>
              <w:t>特征污染物环境质量现状</w:t>
            </w:r>
          </w:p>
          <w:p w14:paraId="523F6782">
            <w:pPr>
              <w:ind w:firstLine="420" w:firstLineChars="200"/>
              <w:jc w:val="both"/>
              <w:rPr>
                <w:color w:val="auto"/>
                <w:kern w:val="0"/>
                <w:sz w:val="21"/>
                <w:szCs w:val="21"/>
                <w:highlight w:val="none"/>
              </w:rPr>
            </w:pPr>
            <w:r>
              <w:rPr>
                <w:rFonts w:hint="eastAsia" w:ascii="Times New Roman" w:hAnsi="Times New Roman" w:eastAsia="宋体" w:cs="Times New Roman"/>
                <w:color w:val="auto"/>
                <w:sz w:val="21"/>
                <w:szCs w:val="21"/>
                <w:highlight w:val="none"/>
                <w:lang w:val="en-US" w:eastAsia="zh-CN"/>
              </w:rPr>
              <w:t>本项目特征污染物</w:t>
            </w:r>
            <w:r>
              <w:rPr>
                <w:rFonts w:hint="eastAsia" w:cs="Times New Roman"/>
                <w:color w:val="auto"/>
                <w:sz w:val="21"/>
                <w:szCs w:val="21"/>
                <w:highlight w:val="none"/>
                <w:lang w:val="en-US" w:eastAsia="zh-CN"/>
              </w:rPr>
              <w:t>（硫酸雾</w:t>
            </w:r>
            <w:r>
              <w:rPr>
                <w:rFonts w:hint="default" w:ascii="Times New Roman" w:hAnsi="Times New Roman" w:cs="Times New Roman"/>
                <w:color w:val="auto"/>
                <w:sz w:val="21"/>
                <w:szCs w:val="21"/>
                <w:highlight w:val="none"/>
                <w:lang w:val="en-US" w:eastAsia="zh-CN"/>
              </w:rPr>
              <w:t>、</w:t>
            </w:r>
            <w:r>
              <w:rPr>
                <w:rFonts w:hint="eastAsia" w:cs="Times New Roman"/>
                <w:color w:val="auto"/>
                <w:sz w:val="21"/>
                <w:szCs w:val="21"/>
                <w:highlight w:val="none"/>
                <w:lang w:val="en-US" w:eastAsia="zh-CN"/>
              </w:rPr>
              <w:t>氯化氢、非甲烷总烃）委托</w:t>
            </w:r>
            <w:r>
              <w:rPr>
                <w:rFonts w:hint="eastAsia" w:ascii="Times New Roman" w:hAnsi="Times New Roman" w:eastAsia="宋体" w:cs="Times New Roman"/>
                <w:color w:val="auto"/>
                <w:sz w:val="21"/>
                <w:szCs w:val="21"/>
                <w:highlight w:val="none"/>
                <w:lang w:val="en-US" w:eastAsia="zh-CN"/>
              </w:rPr>
              <w:t>陕西昌泽环保科技有限公司</w:t>
            </w:r>
            <w:r>
              <w:rPr>
                <w:rFonts w:hint="default" w:ascii="Times New Roman" w:hAnsi="Times New Roman" w:eastAsia="宋体" w:cs="Times New Roman"/>
                <w:color w:val="auto"/>
                <w:sz w:val="21"/>
                <w:szCs w:val="21"/>
                <w:highlight w:val="none"/>
                <w:lang w:val="en-US" w:eastAsia="zh-CN"/>
              </w:rPr>
              <w:t>于</w:t>
            </w:r>
            <w:r>
              <w:rPr>
                <w:rFonts w:hint="eastAsia" w:ascii="Times New Roman" w:hAnsi="Times New Roman" w:eastAsia="宋体" w:cs="Times New Roman"/>
                <w:color w:val="auto"/>
                <w:sz w:val="21"/>
                <w:szCs w:val="21"/>
                <w:highlight w:val="none"/>
                <w:lang w:val="en-US" w:eastAsia="zh-CN"/>
              </w:rPr>
              <w:t>202</w:t>
            </w:r>
            <w:r>
              <w:rPr>
                <w:rFonts w:hint="eastAsia" w:cs="Times New Roman"/>
                <w:color w:val="auto"/>
                <w:sz w:val="21"/>
                <w:szCs w:val="21"/>
                <w:highlight w:val="none"/>
                <w:lang w:val="en-US" w:eastAsia="zh-CN"/>
              </w:rPr>
              <w:t>4</w:t>
            </w:r>
            <w:r>
              <w:rPr>
                <w:rFonts w:hint="eastAsia" w:ascii="Times New Roman" w:hAnsi="Times New Roman" w:eastAsia="宋体" w:cs="Times New Roman"/>
                <w:color w:val="auto"/>
                <w:sz w:val="21"/>
                <w:szCs w:val="21"/>
                <w:highlight w:val="none"/>
                <w:lang w:val="en-US" w:eastAsia="zh-CN"/>
              </w:rPr>
              <w:t>年</w:t>
            </w:r>
            <w:r>
              <w:rPr>
                <w:rFonts w:hint="eastAsia" w:cs="Times New Roman"/>
                <w:color w:val="auto"/>
                <w:sz w:val="21"/>
                <w:szCs w:val="21"/>
                <w:highlight w:val="none"/>
                <w:lang w:val="en-US" w:eastAsia="zh-CN"/>
              </w:rPr>
              <w:t>4</w:t>
            </w:r>
            <w:r>
              <w:rPr>
                <w:rFonts w:hint="eastAsia" w:ascii="Times New Roman" w:hAnsi="Times New Roman" w:eastAsia="宋体" w:cs="Times New Roman"/>
                <w:color w:val="auto"/>
                <w:sz w:val="21"/>
                <w:szCs w:val="21"/>
                <w:highlight w:val="none"/>
                <w:lang w:val="en-US" w:eastAsia="zh-CN"/>
              </w:rPr>
              <w:t>月</w:t>
            </w:r>
            <w:r>
              <w:rPr>
                <w:rFonts w:hint="eastAsia" w:cs="Times New Roman"/>
                <w:color w:val="auto"/>
                <w:sz w:val="21"/>
                <w:szCs w:val="21"/>
                <w:highlight w:val="none"/>
                <w:lang w:val="en-US" w:eastAsia="zh-CN"/>
              </w:rPr>
              <w:t>19</w:t>
            </w:r>
            <w:r>
              <w:rPr>
                <w:rFonts w:hint="eastAsia" w:ascii="Times New Roman" w:hAnsi="Times New Roman" w:eastAsia="宋体" w:cs="Times New Roman"/>
                <w:color w:val="auto"/>
                <w:sz w:val="21"/>
                <w:szCs w:val="21"/>
                <w:highlight w:val="none"/>
                <w:lang w:val="en-US" w:eastAsia="zh-CN"/>
              </w:rPr>
              <w:t>日至</w:t>
            </w:r>
            <w:r>
              <w:rPr>
                <w:rFonts w:hint="eastAsia" w:cs="Times New Roman"/>
                <w:color w:val="auto"/>
                <w:sz w:val="21"/>
                <w:szCs w:val="21"/>
                <w:highlight w:val="none"/>
                <w:lang w:val="en-US" w:eastAsia="zh-CN"/>
              </w:rPr>
              <w:t>21</w:t>
            </w:r>
            <w:r>
              <w:rPr>
                <w:rFonts w:hint="eastAsia" w:ascii="Times New Roman" w:hAnsi="Times New Roman" w:eastAsia="宋体" w:cs="Times New Roman"/>
                <w:color w:val="auto"/>
                <w:sz w:val="21"/>
                <w:szCs w:val="21"/>
                <w:highlight w:val="none"/>
                <w:lang w:val="en-US" w:eastAsia="zh-CN"/>
              </w:rPr>
              <w:t>日</w:t>
            </w:r>
            <w:r>
              <w:rPr>
                <w:rFonts w:hint="default" w:ascii="Times New Roman" w:hAnsi="Times New Roman" w:eastAsia="宋体" w:cs="Times New Roman"/>
                <w:color w:val="auto"/>
                <w:sz w:val="21"/>
                <w:szCs w:val="21"/>
                <w:highlight w:val="none"/>
                <w:lang w:val="en-US" w:eastAsia="zh-CN"/>
              </w:rPr>
              <w:t>对</w:t>
            </w:r>
            <w:r>
              <w:rPr>
                <w:rFonts w:hint="eastAsia" w:ascii="Times New Roman" w:hAnsi="Times New Roman" w:eastAsia="宋体" w:cs="Times New Roman"/>
                <w:color w:val="auto"/>
                <w:sz w:val="21"/>
                <w:szCs w:val="21"/>
                <w:highlight w:val="none"/>
                <w:lang w:val="en-US" w:eastAsia="zh-CN"/>
              </w:rPr>
              <w:t>《西安黄河机电有限公司环境实验室建设项目环境质量现状监测报告》（环（监）2024－0304号）的监测结果</w:t>
            </w:r>
            <w:r>
              <w:rPr>
                <w:rFonts w:hint="default"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kern w:val="0"/>
                <w:sz w:val="21"/>
                <w:szCs w:val="21"/>
                <w:highlight w:val="none"/>
                <w:lang w:val="en-US" w:eastAsia="zh-CN" w:bidi="ar-SA"/>
              </w:rPr>
              <w:t>监测因子为</w:t>
            </w:r>
            <w:r>
              <w:rPr>
                <w:rFonts w:hint="eastAsia" w:cs="Times New Roman"/>
                <w:color w:val="auto"/>
                <w:sz w:val="21"/>
                <w:szCs w:val="21"/>
                <w:highlight w:val="none"/>
                <w:lang w:val="en-US" w:eastAsia="zh-CN"/>
              </w:rPr>
              <w:t>硫酸雾</w:t>
            </w:r>
            <w:r>
              <w:rPr>
                <w:rFonts w:hint="default" w:ascii="Times New Roman" w:hAnsi="Times New Roman" w:cs="Times New Roman"/>
                <w:color w:val="auto"/>
                <w:sz w:val="21"/>
                <w:szCs w:val="21"/>
                <w:highlight w:val="none"/>
                <w:lang w:val="en-US" w:eastAsia="zh-CN"/>
              </w:rPr>
              <w:t>、</w:t>
            </w:r>
            <w:r>
              <w:rPr>
                <w:rFonts w:hint="eastAsia" w:cs="Times New Roman"/>
                <w:color w:val="auto"/>
                <w:sz w:val="21"/>
                <w:szCs w:val="21"/>
                <w:highlight w:val="none"/>
                <w:lang w:val="en-US" w:eastAsia="zh-CN"/>
              </w:rPr>
              <w:t>氯化氢、非甲烷总烃</w:t>
            </w:r>
            <w:r>
              <w:rPr>
                <w:rFonts w:hint="default" w:ascii="Times New Roman" w:hAnsi="Times New Roman" w:eastAsia="宋体" w:cs="Times New Roman"/>
                <w:color w:val="auto"/>
                <w:sz w:val="21"/>
                <w:szCs w:val="21"/>
                <w:highlight w:val="none"/>
                <w:lang w:val="en-US" w:eastAsia="zh-CN"/>
              </w:rPr>
              <w:t>，监测点位为</w:t>
            </w:r>
            <w:r>
              <w:rPr>
                <w:rFonts w:hint="eastAsia" w:cs="Times New Roman"/>
                <w:color w:val="auto"/>
                <w:sz w:val="21"/>
                <w:szCs w:val="21"/>
                <w:highlight w:val="none"/>
                <w:lang w:val="en-US" w:eastAsia="zh-CN"/>
              </w:rPr>
              <w:t>本</w:t>
            </w:r>
            <w:r>
              <w:rPr>
                <w:rFonts w:hint="default" w:ascii="Times New Roman" w:hAnsi="Times New Roman" w:eastAsia="宋体" w:cs="Times New Roman"/>
                <w:color w:val="auto"/>
                <w:sz w:val="21"/>
                <w:szCs w:val="21"/>
                <w:highlight w:val="none"/>
                <w:lang w:val="en-US" w:eastAsia="zh-CN"/>
              </w:rPr>
              <w:t>项目地</w:t>
            </w:r>
            <w:r>
              <w:rPr>
                <w:rFonts w:hint="eastAsia" w:cs="Times New Roman"/>
                <w:color w:val="auto"/>
                <w:sz w:val="21"/>
                <w:szCs w:val="21"/>
                <w:highlight w:val="none"/>
                <w:lang w:val="en-US" w:eastAsia="zh-CN"/>
              </w:rPr>
              <w:t>下风向120m</w:t>
            </w:r>
            <w:r>
              <w:rPr>
                <w:rFonts w:hint="default" w:ascii="Times New Roman" w:hAnsi="Times New Roman" w:eastAsia="宋体" w:cs="Times New Roman"/>
                <w:color w:val="auto"/>
                <w:sz w:val="21"/>
                <w:szCs w:val="21"/>
                <w:highlight w:val="none"/>
                <w:lang w:val="en-US" w:eastAsia="zh-CN"/>
              </w:rPr>
              <w:t>，</w:t>
            </w:r>
            <w:r>
              <w:rPr>
                <w:rFonts w:hint="eastAsia" w:cs="Times New Roman"/>
                <w:color w:val="auto"/>
                <w:sz w:val="21"/>
                <w:szCs w:val="21"/>
                <w:highlight w:val="none"/>
                <w:lang w:val="en-US" w:eastAsia="zh-CN"/>
              </w:rPr>
              <w:t>特征污染物氨引用</w:t>
            </w:r>
            <w:r>
              <w:rPr>
                <w:rFonts w:hint="eastAsia" w:ascii="Times New Roman" w:hAnsi="Times New Roman" w:eastAsia="宋体" w:cs="Times New Roman"/>
                <w:color w:val="auto"/>
                <w:sz w:val="21"/>
                <w:szCs w:val="21"/>
                <w:highlight w:val="none"/>
                <w:lang w:val="en-US" w:eastAsia="zh-CN"/>
              </w:rPr>
              <w:t>陕西昌泽环保科技有限公司</w:t>
            </w:r>
            <w:r>
              <w:rPr>
                <w:rFonts w:hint="default" w:ascii="Times New Roman" w:hAnsi="Times New Roman" w:eastAsia="宋体" w:cs="Times New Roman"/>
                <w:color w:val="auto"/>
                <w:sz w:val="21"/>
                <w:szCs w:val="21"/>
                <w:highlight w:val="none"/>
                <w:lang w:val="en-US" w:eastAsia="zh-CN"/>
              </w:rPr>
              <w:t>于</w:t>
            </w:r>
            <w:r>
              <w:rPr>
                <w:rFonts w:hint="eastAsia" w:ascii="Times New Roman" w:hAnsi="Times New Roman" w:eastAsia="宋体" w:cs="Times New Roman"/>
                <w:color w:val="auto"/>
                <w:sz w:val="21"/>
                <w:szCs w:val="21"/>
                <w:highlight w:val="none"/>
                <w:lang w:val="en-US" w:eastAsia="zh-CN"/>
              </w:rPr>
              <w:t>202</w:t>
            </w:r>
            <w:r>
              <w:rPr>
                <w:rFonts w:hint="eastAsia"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val="en-US" w:eastAsia="zh-CN"/>
              </w:rPr>
              <w:t>年</w:t>
            </w:r>
            <w:r>
              <w:rPr>
                <w:rFonts w:hint="eastAsia" w:cs="Times New Roman"/>
                <w:color w:val="auto"/>
                <w:sz w:val="21"/>
                <w:szCs w:val="21"/>
                <w:highlight w:val="none"/>
                <w:lang w:val="en-US" w:eastAsia="zh-CN"/>
              </w:rPr>
              <w:t>7</w:t>
            </w:r>
            <w:r>
              <w:rPr>
                <w:rFonts w:hint="eastAsia" w:ascii="Times New Roman" w:hAnsi="Times New Roman" w:eastAsia="宋体" w:cs="Times New Roman"/>
                <w:color w:val="auto"/>
                <w:sz w:val="21"/>
                <w:szCs w:val="21"/>
                <w:highlight w:val="none"/>
                <w:lang w:val="en-US" w:eastAsia="zh-CN"/>
              </w:rPr>
              <w:t>月</w:t>
            </w:r>
            <w:r>
              <w:rPr>
                <w:rFonts w:hint="eastAsia" w:cs="Times New Roman"/>
                <w:color w:val="auto"/>
                <w:sz w:val="21"/>
                <w:szCs w:val="21"/>
                <w:highlight w:val="none"/>
                <w:lang w:val="en-US" w:eastAsia="zh-CN"/>
              </w:rPr>
              <w:t>6</w:t>
            </w:r>
            <w:r>
              <w:rPr>
                <w:rFonts w:hint="eastAsia" w:ascii="Times New Roman" w:hAnsi="Times New Roman" w:eastAsia="宋体" w:cs="Times New Roman"/>
                <w:color w:val="auto"/>
                <w:sz w:val="21"/>
                <w:szCs w:val="21"/>
                <w:highlight w:val="none"/>
                <w:lang w:val="en-US" w:eastAsia="zh-CN"/>
              </w:rPr>
              <w:t>日至</w:t>
            </w:r>
            <w:r>
              <w:rPr>
                <w:rFonts w:hint="eastAsia" w:cs="Times New Roman"/>
                <w:color w:val="auto"/>
                <w:sz w:val="21"/>
                <w:szCs w:val="21"/>
                <w:highlight w:val="none"/>
                <w:lang w:val="en-US" w:eastAsia="zh-CN"/>
              </w:rPr>
              <w:t>8</w:t>
            </w:r>
            <w:r>
              <w:rPr>
                <w:rFonts w:hint="eastAsia" w:ascii="Times New Roman" w:hAnsi="Times New Roman" w:eastAsia="宋体" w:cs="Times New Roman"/>
                <w:color w:val="auto"/>
                <w:sz w:val="21"/>
                <w:szCs w:val="21"/>
                <w:highlight w:val="none"/>
                <w:lang w:val="en-US" w:eastAsia="zh-CN"/>
              </w:rPr>
              <w:t>日</w:t>
            </w:r>
            <w:r>
              <w:rPr>
                <w:rFonts w:hint="default" w:ascii="Times New Roman" w:hAnsi="Times New Roman" w:eastAsia="宋体" w:cs="Times New Roman"/>
                <w:color w:val="auto"/>
                <w:sz w:val="21"/>
                <w:szCs w:val="21"/>
                <w:highlight w:val="none"/>
                <w:lang w:val="en-US" w:eastAsia="zh-CN"/>
              </w:rPr>
              <w:t>对</w:t>
            </w:r>
            <w:r>
              <w:rPr>
                <w:rFonts w:hint="eastAsia" w:ascii="Times New Roman" w:hAnsi="Times New Roman" w:eastAsia="宋体" w:cs="Times New Roman"/>
                <w:color w:val="auto"/>
                <w:sz w:val="21"/>
                <w:szCs w:val="21"/>
                <w:highlight w:val="none"/>
                <w:lang w:val="en-US" w:eastAsia="zh-CN"/>
              </w:rPr>
              <w:t>《西安黄河机电有限公司综合污水处理项目环境质量现状监测报告》（环（监）2022－0704 号）的监测结果</w:t>
            </w:r>
            <w:r>
              <w:rPr>
                <w:rFonts w:hint="eastAsia" w:cs="Times New Roman"/>
                <w:color w:val="auto"/>
                <w:sz w:val="21"/>
                <w:szCs w:val="21"/>
                <w:highlight w:val="none"/>
                <w:lang w:val="en-US" w:eastAsia="zh-CN"/>
              </w:rPr>
              <w:t>，监测点位位于本项目地西北侧130m，</w:t>
            </w:r>
            <w:r>
              <w:rPr>
                <w:rFonts w:hint="eastAsia" w:ascii="Times New Roman" w:hAnsi="Times New Roman" w:eastAsia="宋体" w:cs="Times New Roman"/>
                <w:color w:val="auto"/>
                <w:kern w:val="0"/>
                <w:sz w:val="21"/>
                <w:szCs w:val="21"/>
                <w:highlight w:val="none"/>
              </w:rPr>
              <w:t>监测时间及监测点位有效且具有代表性</w:t>
            </w:r>
            <w:r>
              <w:rPr>
                <w:rFonts w:hint="eastAsia" w:ascii="Times New Roman" w:hAnsi="Times New Roman" w:eastAsia="宋体" w:cs="Times New Roman"/>
                <w:color w:val="auto"/>
                <w:kern w:val="0"/>
                <w:sz w:val="21"/>
                <w:szCs w:val="21"/>
                <w:highlight w:val="none"/>
                <w:lang w:val="en-US" w:eastAsia="zh-CN"/>
              </w:rPr>
              <w:t>，</w:t>
            </w:r>
            <w:r>
              <w:rPr>
                <w:rFonts w:hint="default" w:ascii="Times New Roman" w:hAnsi="Times New Roman" w:eastAsia="宋体" w:cs="Times New Roman"/>
                <w:color w:val="auto"/>
                <w:kern w:val="0"/>
                <w:sz w:val="21"/>
                <w:szCs w:val="21"/>
                <w:highlight w:val="none"/>
              </w:rPr>
              <w:t>监测点</w:t>
            </w:r>
            <w:r>
              <w:rPr>
                <w:rFonts w:hint="default" w:ascii="Times New Roman" w:hAnsi="Times New Roman" w:cs="Times New Roman"/>
                <w:color w:val="auto"/>
                <w:sz w:val="21"/>
                <w:szCs w:val="21"/>
                <w:highlight w:val="none"/>
              </w:rPr>
              <w:t>位基本信息见</w:t>
            </w:r>
            <w:r>
              <w:rPr>
                <w:rFonts w:hint="eastAsia" w:cs="Times New Roman"/>
                <w:color w:val="auto"/>
                <w:sz w:val="21"/>
                <w:szCs w:val="21"/>
                <w:highlight w:val="none"/>
                <w:lang w:val="en-US" w:eastAsia="zh-CN"/>
              </w:rPr>
              <w:t>下</w:t>
            </w:r>
            <w:r>
              <w:rPr>
                <w:rFonts w:hint="default" w:ascii="Times New Roman" w:hAnsi="Times New Roman" w:cs="Times New Roman"/>
                <w:color w:val="auto"/>
                <w:sz w:val="21"/>
                <w:szCs w:val="21"/>
                <w:highlight w:val="none"/>
              </w:rPr>
              <w:t>表，监测点位图见附图。监测结果见</w:t>
            </w:r>
            <w:r>
              <w:rPr>
                <w:rFonts w:hint="eastAsia" w:cs="Times New Roman"/>
                <w:color w:val="auto"/>
                <w:sz w:val="21"/>
                <w:szCs w:val="21"/>
                <w:highlight w:val="none"/>
                <w:lang w:val="en-US" w:eastAsia="zh-CN"/>
              </w:rPr>
              <w:t>下</w:t>
            </w:r>
            <w:r>
              <w:rPr>
                <w:rFonts w:hint="default" w:ascii="Times New Roman" w:hAnsi="Times New Roman" w:cs="Times New Roman"/>
                <w:color w:val="auto"/>
                <w:sz w:val="21"/>
                <w:szCs w:val="21"/>
                <w:highlight w:val="none"/>
              </w:rPr>
              <w:t>表。</w:t>
            </w:r>
          </w:p>
          <w:p w14:paraId="65BA1E45">
            <w:pPr>
              <w:autoSpaceDE w:val="0"/>
              <w:autoSpaceDN w:val="0"/>
              <w:adjustRightInd w:val="0"/>
              <w:snapToGrid w:val="0"/>
              <w:spacing w:line="240" w:lineRule="auto"/>
              <w:jc w:val="center"/>
              <w:rPr>
                <w:rFonts w:hint="default" w:ascii="Times New Roman" w:hAnsi="Times New Roman" w:eastAsia="宋体" w:cs="Times New Roman"/>
                <w:b/>
                <w:bCs/>
                <w:color w:val="auto"/>
                <w:sz w:val="21"/>
                <w:szCs w:val="18"/>
                <w:highlight w:val="none"/>
                <w:lang w:val="en-US" w:eastAsia="zh-CN"/>
              </w:rPr>
            </w:pPr>
            <w:bookmarkStart w:id="4" w:name="_Ref488155555"/>
            <w:r>
              <w:rPr>
                <w:rFonts w:hint="default" w:ascii="Times New Roman" w:hAnsi="Times New Roman" w:eastAsia="宋体" w:cs="Times New Roman"/>
                <w:b/>
                <w:bCs/>
                <w:color w:val="auto"/>
                <w:sz w:val="21"/>
                <w:szCs w:val="18"/>
                <w:highlight w:val="none"/>
                <w:lang w:val="en-US" w:eastAsia="zh-CN"/>
              </w:rPr>
              <w:t>表</w:t>
            </w:r>
            <w:bookmarkEnd w:id="4"/>
            <w:r>
              <w:rPr>
                <w:rFonts w:hint="eastAsia" w:cs="Times New Roman"/>
                <w:b/>
                <w:bCs/>
                <w:color w:val="auto"/>
                <w:sz w:val="21"/>
                <w:szCs w:val="18"/>
                <w:highlight w:val="none"/>
                <w:lang w:val="en-US" w:eastAsia="zh-CN"/>
              </w:rPr>
              <w:t>18</w:t>
            </w:r>
            <w:r>
              <w:rPr>
                <w:rFonts w:hint="default" w:ascii="Times New Roman" w:hAnsi="Times New Roman" w:eastAsia="宋体" w:cs="Times New Roman"/>
                <w:b/>
                <w:bCs/>
                <w:color w:val="auto"/>
                <w:sz w:val="21"/>
                <w:szCs w:val="18"/>
                <w:highlight w:val="none"/>
                <w:lang w:val="en-US" w:eastAsia="zh-CN"/>
              </w:rPr>
              <w:t xml:space="preserve"> 其他污染物补充监测点位基本信息</w:t>
            </w:r>
          </w:p>
          <w:tbl>
            <w:tblPr>
              <w:tblStyle w:val="45"/>
              <w:tblW w:w="5000" w:type="pct"/>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242"/>
              <w:gridCol w:w="703"/>
              <w:gridCol w:w="1004"/>
              <w:gridCol w:w="1324"/>
              <w:gridCol w:w="2066"/>
              <w:gridCol w:w="885"/>
              <w:gridCol w:w="1101"/>
            </w:tblGrid>
            <w:tr w14:paraId="6EE30AB3">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0" w:hRule="atLeast"/>
                <w:tblHeader/>
                <w:jc w:val="center"/>
              </w:trPr>
              <w:tc>
                <w:tcPr>
                  <w:tcW w:w="1242" w:type="dxa"/>
                  <w:vMerge w:val="restart"/>
                  <w:noWrap w:val="0"/>
                  <w:vAlign w:val="center"/>
                </w:tcPr>
                <w:p w14:paraId="51BBC15A">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监测点名称</w:t>
                  </w:r>
                </w:p>
              </w:tc>
              <w:tc>
                <w:tcPr>
                  <w:tcW w:w="1707" w:type="dxa"/>
                  <w:gridSpan w:val="2"/>
                  <w:noWrap w:val="0"/>
                  <w:vAlign w:val="center"/>
                </w:tcPr>
                <w:p w14:paraId="469C7662">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监测点坐标/m</w:t>
                  </w:r>
                </w:p>
              </w:tc>
              <w:tc>
                <w:tcPr>
                  <w:tcW w:w="1324" w:type="dxa"/>
                  <w:vMerge w:val="restart"/>
                  <w:noWrap w:val="0"/>
                  <w:vAlign w:val="center"/>
                </w:tcPr>
                <w:p w14:paraId="5444A552">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监测因子</w:t>
                  </w:r>
                </w:p>
              </w:tc>
              <w:tc>
                <w:tcPr>
                  <w:tcW w:w="2067" w:type="dxa"/>
                  <w:vMerge w:val="restart"/>
                  <w:noWrap w:val="0"/>
                  <w:vAlign w:val="center"/>
                </w:tcPr>
                <w:p w14:paraId="1B4298C8">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监测时段</w:t>
                  </w:r>
                </w:p>
              </w:tc>
              <w:tc>
                <w:tcPr>
                  <w:tcW w:w="885" w:type="dxa"/>
                  <w:vMerge w:val="restart"/>
                  <w:noWrap w:val="0"/>
                  <w:vAlign w:val="center"/>
                </w:tcPr>
                <w:p w14:paraId="7E02BBFA">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相对厂址方位</w:t>
                  </w:r>
                </w:p>
              </w:tc>
              <w:tc>
                <w:tcPr>
                  <w:tcW w:w="1101" w:type="dxa"/>
                  <w:vMerge w:val="restart"/>
                  <w:noWrap w:val="0"/>
                  <w:vAlign w:val="center"/>
                </w:tcPr>
                <w:p w14:paraId="4B6F378A">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相对厂界距离/m</w:t>
                  </w:r>
                </w:p>
              </w:tc>
            </w:tr>
            <w:tr w14:paraId="63CE5294">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0" w:hRule="atLeast"/>
                <w:jc w:val="center"/>
              </w:trPr>
              <w:tc>
                <w:tcPr>
                  <w:tcW w:w="1242" w:type="dxa"/>
                  <w:vMerge w:val="continue"/>
                  <w:noWrap w:val="0"/>
                  <w:vAlign w:val="center"/>
                </w:tcPr>
                <w:p w14:paraId="60FDD607">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textAlignment w:val="auto"/>
                    <w:rPr>
                      <w:rFonts w:hint="default" w:ascii="Times New Roman" w:hAnsi="Times New Roman" w:eastAsia="宋体" w:cs="Times New Roman"/>
                      <w:color w:val="auto"/>
                      <w:sz w:val="21"/>
                      <w:szCs w:val="21"/>
                      <w:highlight w:val="none"/>
                    </w:rPr>
                  </w:pPr>
                </w:p>
              </w:tc>
              <w:tc>
                <w:tcPr>
                  <w:tcW w:w="703" w:type="dxa"/>
                  <w:noWrap w:val="0"/>
                  <w:vAlign w:val="center"/>
                </w:tcPr>
                <w:p w14:paraId="7E153E8C">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X</w:t>
                  </w:r>
                </w:p>
              </w:tc>
              <w:tc>
                <w:tcPr>
                  <w:tcW w:w="1004" w:type="dxa"/>
                  <w:noWrap w:val="0"/>
                  <w:vAlign w:val="center"/>
                </w:tcPr>
                <w:p w14:paraId="54510A74">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Y</w:t>
                  </w:r>
                </w:p>
              </w:tc>
              <w:tc>
                <w:tcPr>
                  <w:tcW w:w="1324" w:type="dxa"/>
                  <w:vMerge w:val="continue"/>
                  <w:noWrap w:val="0"/>
                  <w:vAlign w:val="center"/>
                </w:tcPr>
                <w:p w14:paraId="11B4B64B">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textAlignment w:val="auto"/>
                    <w:rPr>
                      <w:rFonts w:hint="default" w:ascii="Times New Roman" w:hAnsi="Times New Roman" w:eastAsia="宋体" w:cs="Times New Roman"/>
                      <w:color w:val="0000FF"/>
                      <w:sz w:val="21"/>
                      <w:szCs w:val="21"/>
                      <w:highlight w:val="none"/>
                    </w:rPr>
                  </w:pPr>
                </w:p>
              </w:tc>
              <w:tc>
                <w:tcPr>
                  <w:tcW w:w="2067" w:type="dxa"/>
                  <w:vMerge w:val="continue"/>
                  <w:noWrap w:val="0"/>
                  <w:vAlign w:val="center"/>
                </w:tcPr>
                <w:p w14:paraId="2B048541">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textAlignment w:val="auto"/>
                    <w:rPr>
                      <w:rFonts w:hint="default" w:ascii="Times New Roman" w:hAnsi="Times New Roman" w:eastAsia="宋体" w:cs="Times New Roman"/>
                      <w:color w:val="0000FF"/>
                      <w:sz w:val="21"/>
                      <w:szCs w:val="21"/>
                      <w:highlight w:val="none"/>
                    </w:rPr>
                  </w:pPr>
                </w:p>
              </w:tc>
              <w:tc>
                <w:tcPr>
                  <w:tcW w:w="885" w:type="dxa"/>
                  <w:vMerge w:val="continue"/>
                  <w:noWrap w:val="0"/>
                  <w:vAlign w:val="center"/>
                </w:tcPr>
                <w:p w14:paraId="07E5D7CC">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textAlignment w:val="auto"/>
                    <w:rPr>
                      <w:rFonts w:hint="default" w:ascii="Times New Roman" w:hAnsi="Times New Roman" w:eastAsia="宋体" w:cs="Times New Roman"/>
                      <w:color w:val="0000FF"/>
                      <w:sz w:val="21"/>
                      <w:szCs w:val="21"/>
                      <w:highlight w:val="none"/>
                    </w:rPr>
                  </w:pPr>
                </w:p>
              </w:tc>
              <w:tc>
                <w:tcPr>
                  <w:tcW w:w="1101" w:type="dxa"/>
                  <w:vMerge w:val="continue"/>
                  <w:noWrap w:val="0"/>
                  <w:vAlign w:val="center"/>
                </w:tcPr>
                <w:p w14:paraId="4F0CB2CF">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textAlignment w:val="auto"/>
                    <w:rPr>
                      <w:rFonts w:hint="default" w:ascii="Times New Roman" w:hAnsi="Times New Roman" w:eastAsia="宋体" w:cs="Times New Roman"/>
                      <w:color w:val="0000FF"/>
                      <w:sz w:val="21"/>
                      <w:szCs w:val="21"/>
                      <w:highlight w:val="none"/>
                    </w:rPr>
                  </w:pPr>
                </w:p>
              </w:tc>
            </w:tr>
            <w:tr w14:paraId="18F05F71">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242" w:type="dxa"/>
                  <w:noWrap w:val="0"/>
                  <w:vAlign w:val="center"/>
                </w:tcPr>
                <w:p w14:paraId="7247B572">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textAlignment w:val="auto"/>
                    <w:rPr>
                      <w:rFonts w:hint="default" w:ascii="Times New Roman" w:hAnsi="Times New Roman" w:eastAsia="宋体" w:cs="Times New Roman"/>
                      <w:i w:val="0"/>
                      <w:iCs w:val="0"/>
                      <w:color w:val="auto"/>
                      <w:sz w:val="21"/>
                      <w:szCs w:val="21"/>
                      <w:highlight w:val="none"/>
                      <w:lang w:val="en-US" w:eastAsia="zh-CN"/>
                    </w:rPr>
                  </w:pPr>
                  <w:r>
                    <w:rPr>
                      <w:rFonts w:hint="eastAsia"/>
                      <w:b w:val="0"/>
                      <w:bCs w:val="0"/>
                      <w:color w:val="auto"/>
                      <w:szCs w:val="24"/>
                      <w:highlight w:val="none"/>
                      <w:u w:val="none"/>
                      <w:lang w:val="en-US" w:eastAsia="zh-CN"/>
                    </w:rPr>
                    <w:t>******</w:t>
                  </w:r>
                </w:p>
              </w:tc>
              <w:tc>
                <w:tcPr>
                  <w:tcW w:w="703" w:type="dxa"/>
                  <w:noWrap w:val="0"/>
                  <w:vAlign w:val="center"/>
                </w:tcPr>
                <w:p w14:paraId="66B3212D">
                  <w:pPr>
                    <w:keepNext w:val="0"/>
                    <w:keepLines w:val="0"/>
                    <w:pageBreakBefore w:val="0"/>
                    <w:widowControl w:val="0"/>
                    <w:kinsoku/>
                    <w:wordWrap/>
                    <w:overflowPunct/>
                    <w:topLinePunct w:val="0"/>
                    <w:autoSpaceDE/>
                    <w:autoSpaceDN/>
                    <w:bidi w:val="0"/>
                    <w:adjustRightInd w:val="0"/>
                    <w:snapToGrid w:val="0"/>
                    <w:spacing w:before="31" w:after="31" w:line="320" w:lineRule="exact"/>
                    <w:ind w:firstLine="0"/>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b w:val="0"/>
                      <w:bCs w:val="0"/>
                      <w:color w:val="auto"/>
                      <w:szCs w:val="24"/>
                      <w:highlight w:val="none"/>
                      <w:u w:val="none"/>
                      <w:lang w:val="en-US" w:eastAsia="zh-CN"/>
                    </w:rPr>
                    <w:t>***</w:t>
                  </w:r>
                </w:p>
              </w:tc>
              <w:tc>
                <w:tcPr>
                  <w:tcW w:w="1004" w:type="dxa"/>
                  <w:noWrap w:val="0"/>
                  <w:vAlign w:val="center"/>
                </w:tcPr>
                <w:p w14:paraId="310AFCFD">
                  <w:pPr>
                    <w:keepNext w:val="0"/>
                    <w:keepLines w:val="0"/>
                    <w:pageBreakBefore w:val="0"/>
                    <w:widowControl w:val="0"/>
                    <w:kinsoku/>
                    <w:wordWrap/>
                    <w:overflowPunct/>
                    <w:topLinePunct w:val="0"/>
                    <w:autoSpaceDE/>
                    <w:autoSpaceDN/>
                    <w:bidi w:val="0"/>
                    <w:adjustRightInd w:val="0"/>
                    <w:snapToGrid w:val="0"/>
                    <w:spacing w:before="31" w:after="31" w:line="320" w:lineRule="exact"/>
                    <w:ind w:firstLine="0"/>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b w:val="0"/>
                      <w:bCs w:val="0"/>
                      <w:color w:val="auto"/>
                      <w:szCs w:val="24"/>
                      <w:highlight w:val="none"/>
                      <w:u w:val="none"/>
                      <w:lang w:val="en-US" w:eastAsia="zh-CN"/>
                    </w:rPr>
                    <w:t>***</w:t>
                  </w:r>
                </w:p>
              </w:tc>
              <w:tc>
                <w:tcPr>
                  <w:tcW w:w="1324" w:type="dxa"/>
                  <w:noWrap w:val="0"/>
                  <w:vAlign w:val="center"/>
                </w:tcPr>
                <w:p w14:paraId="0696C560">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textAlignment w:val="auto"/>
                    <w:rPr>
                      <w:rFonts w:hint="default" w:ascii="Times New Roman" w:hAnsi="Times New Roman" w:eastAsia="宋体" w:cs="Times New Roman"/>
                      <w:color w:val="auto"/>
                      <w:kern w:val="44"/>
                      <w:sz w:val="21"/>
                      <w:szCs w:val="21"/>
                      <w:highlight w:val="none"/>
                      <w:lang w:val="en-US" w:eastAsia="zh-CN" w:bidi="ar-SA"/>
                    </w:rPr>
                  </w:pPr>
                  <w:r>
                    <w:rPr>
                      <w:rFonts w:hint="eastAsia" w:cs="Times New Roman"/>
                      <w:color w:val="auto"/>
                      <w:sz w:val="21"/>
                      <w:szCs w:val="21"/>
                      <w:highlight w:val="none"/>
                      <w:lang w:val="en-US" w:eastAsia="zh-CN"/>
                    </w:rPr>
                    <w:t>硫酸雾</w:t>
                  </w:r>
                  <w:r>
                    <w:rPr>
                      <w:rFonts w:hint="default" w:ascii="Times New Roman" w:hAnsi="Times New Roman" w:cs="Times New Roman"/>
                      <w:color w:val="auto"/>
                      <w:sz w:val="21"/>
                      <w:szCs w:val="21"/>
                      <w:highlight w:val="none"/>
                      <w:lang w:val="en-US" w:eastAsia="zh-CN"/>
                    </w:rPr>
                    <w:t>、</w:t>
                  </w:r>
                  <w:r>
                    <w:rPr>
                      <w:rFonts w:hint="eastAsia" w:cs="Times New Roman"/>
                      <w:color w:val="auto"/>
                      <w:sz w:val="21"/>
                      <w:szCs w:val="21"/>
                      <w:highlight w:val="none"/>
                      <w:lang w:val="en-US" w:eastAsia="zh-CN"/>
                    </w:rPr>
                    <w:t>氯化氢、非甲烷总烃</w:t>
                  </w:r>
                </w:p>
              </w:tc>
              <w:tc>
                <w:tcPr>
                  <w:tcW w:w="2067" w:type="dxa"/>
                  <w:noWrap w:val="0"/>
                  <w:vAlign w:val="center"/>
                </w:tcPr>
                <w:p w14:paraId="0282075F">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textAlignment w:val="auto"/>
                    <w:rPr>
                      <w:rFonts w:hint="default" w:ascii="Times New Roman" w:hAnsi="Times New Roman" w:eastAsia="宋体" w:cs="Times New Roman"/>
                      <w:color w:val="0000FF"/>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202</w:t>
                  </w:r>
                  <w:r>
                    <w:rPr>
                      <w:rFonts w:hint="eastAsia" w:cs="Times New Roman"/>
                      <w:color w:val="auto"/>
                      <w:sz w:val="21"/>
                      <w:szCs w:val="21"/>
                      <w:highlight w:val="none"/>
                      <w:lang w:val="en-US" w:eastAsia="zh-CN"/>
                    </w:rPr>
                    <w:t>4</w:t>
                  </w:r>
                  <w:r>
                    <w:rPr>
                      <w:rFonts w:hint="eastAsia" w:ascii="Times New Roman" w:hAnsi="Times New Roman" w:eastAsia="宋体" w:cs="Times New Roman"/>
                      <w:color w:val="auto"/>
                      <w:sz w:val="21"/>
                      <w:szCs w:val="21"/>
                      <w:highlight w:val="none"/>
                      <w:lang w:val="en-US" w:eastAsia="zh-CN"/>
                    </w:rPr>
                    <w:t>年</w:t>
                  </w:r>
                  <w:r>
                    <w:rPr>
                      <w:rFonts w:hint="eastAsia" w:cs="Times New Roman"/>
                      <w:color w:val="auto"/>
                      <w:sz w:val="21"/>
                      <w:szCs w:val="21"/>
                      <w:highlight w:val="none"/>
                      <w:lang w:val="en-US" w:eastAsia="zh-CN"/>
                    </w:rPr>
                    <w:t>4</w:t>
                  </w:r>
                  <w:r>
                    <w:rPr>
                      <w:rFonts w:hint="eastAsia" w:ascii="Times New Roman" w:hAnsi="Times New Roman" w:eastAsia="宋体" w:cs="Times New Roman"/>
                      <w:color w:val="auto"/>
                      <w:sz w:val="21"/>
                      <w:szCs w:val="21"/>
                      <w:highlight w:val="none"/>
                      <w:lang w:val="en-US" w:eastAsia="zh-CN"/>
                    </w:rPr>
                    <w:t>月</w:t>
                  </w:r>
                  <w:r>
                    <w:rPr>
                      <w:rFonts w:hint="eastAsia" w:cs="Times New Roman"/>
                      <w:color w:val="auto"/>
                      <w:sz w:val="21"/>
                      <w:szCs w:val="21"/>
                      <w:highlight w:val="none"/>
                      <w:lang w:val="en-US" w:eastAsia="zh-CN"/>
                    </w:rPr>
                    <w:t>19</w:t>
                  </w:r>
                  <w:r>
                    <w:rPr>
                      <w:rFonts w:hint="eastAsia" w:ascii="Times New Roman" w:hAnsi="Times New Roman" w:eastAsia="宋体" w:cs="Times New Roman"/>
                      <w:color w:val="auto"/>
                      <w:sz w:val="21"/>
                      <w:szCs w:val="21"/>
                      <w:highlight w:val="none"/>
                      <w:lang w:val="en-US" w:eastAsia="zh-CN"/>
                    </w:rPr>
                    <w:t>日至</w:t>
                  </w:r>
                  <w:r>
                    <w:rPr>
                      <w:rFonts w:hint="eastAsia" w:cs="Times New Roman"/>
                      <w:color w:val="auto"/>
                      <w:sz w:val="21"/>
                      <w:szCs w:val="21"/>
                      <w:highlight w:val="none"/>
                      <w:lang w:val="en-US" w:eastAsia="zh-CN"/>
                    </w:rPr>
                    <w:t>21</w:t>
                  </w:r>
                  <w:r>
                    <w:rPr>
                      <w:rFonts w:hint="eastAsia" w:ascii="Times New Roman" w:hAnsi="Times New Roman" w:eastAsia="宋体" w:cs="Times New Roman"/>
                      <w:color w:val="auto"/>
                      <w:sz w:val="21"/>
                      <w:szCs w:val="21"/>
                      <w:highlight w:val="none"/>
                      <w:lang w:val="en-US" w:eastAsia="zh-CN"/>
                    </w:rPr>
                    <w:t>日</w:t>
                  </w:r>
                </w:p>
              </w:tc>
              <w:tc>
                <w:tcPr>
                  <w:tcW w:w="885" w:type="dxa"/>
                  <w:noWrap w:val="0"/>
                  <w:vAlign w:val="center"/>
                </w:tcPr>
                <w:p w14:paraId="619FFC29">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cs="Times New Roman"/>
                      <w:color w:val="auto"/>
                      <w:kern w:val="2"/>
                      <w:sz w:val="21"/>
                      <w:szCs w:val="21"/>
                      <w:highlight w:val="none"/>
                      <w:lang w:val="en-US" w:eastAsia="zh-CN" w:bidi="ar-SA"/>
                    </w:rPr>
                    <w:t>西南</w:t>
                  </w:r>
                </w:p>
              </w:tc>
              <w:tc>
                <w:tcPr>
                  <w:tcW w:w="1101" w:type="dxa"/>
                  <w:noWrap w:val="0"/>
                  <w:vAlign w:val="center"/>
                </w:tcPr>
                <w:p w14:paraId="1F00271D">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cs="Times New Roman"/>
                      <w:color w:val="auto"/>
                      <w:kern w:val="2"/>
                      <w:sz w:val="21"/>
                      <w:szCs w:val="21"/>
                      <w:highlight w:val="none"/>
                      <w:lang w:val="en-US" w:eastAsia="zh-CN" w:bidi="ar-SA"/>
                    </w:rPr>
                    <w:t>120</w:t>
                  </w:r>
                </w:p>
              </w:tc>
            </w:tr>
            <w:tr w14:paraId="6BF3AA72">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242" w:type="dxa"/>
                  <w:noWrap w:val="0"/>
                  <w:vAlign w:val="center"/>
                </w:tcPr>
                <w:p w14:paraId="448818F4">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eastAsia" w:ascii="Times New Roman" w:hAnsi="Times New Roman" w:eastAsia="宋体" w:cs="Times New Roman"/>
                      <w:color w:val="auto"/>
                      <w:sz w:val="21"/>
                      <w:szCs w:val="21"/>
                      <w:highlight w:val="none"/>
                      <w:lang w:val="en-US" w:eastAsia="zh-CN"/>
                    </w:rPr>
                  </w:pPr>
                  <w:bookmarkStart w:id="5" w:name="_Ref488155560"/>
                  <w:r>
                    <w:rPr>
                      <w:rFonts w:hint="eastAsia"/>
                      <w:b w:val="0"/>
                      <w:bCs w:val="0"/>
                      <w:color w:val="auto"/>
                      <w:szCs w:val="24"/>
                      <w:highlight w:val="none"/>
                      <w:u w:val="none"/>
                      <w:lang w:val="en-US" w:eastAsia="zh-CN"/>
                    </w:rPr>
                    <w:t>******</w:t>
                  </w:r>
                </w:p>
              </w:tc>
              <w:tc>
                <w:tcPr>
                  <w:tcW w:w="703" w:type="dxa"/>
                  <w:noWrap w:val="0"/>
                  <w:vAlign w:val="center"/>
                </w:tcPr>
                <w:p w14:paraId="568E9946">
                  <w:pPr>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default" w:ascii="Times New Roman" w:cs="Times New Roman"/>
                      <w:color w:val="auto"/>
                      <w:kern w:val="2"/>
                      <w:sz w:val="21"/>
                      <w:szCs w:val="21"/>
                      <w:highlight w:val="none"/>
                      <w:lang w:val="en-US" w:eastAsia="zh-CN" w:bidi="ar-SA"/>
                    </w:rPr>
                  </w:pPr>
                  <w:r>
                    <w:rPr>
                      <w:rFonts w:hint="eastAsia"/>
                      <w:b w:val="0"/>
                      <w:bCs w:val="0"/>
                      <w:color w:val="auto"/>
                      <w:szCs w:val="24"/>
                      <w:highlight w:val="none"/>
                      <w:u w:val="none"/>
                      <w:lang w:val="en-US" w:eastAsia="zh-CN"/>
                    </w:rPr>
                    <w:t>***</w:t>
                  </w:r>
                </w:p>
              </w:tc>
              <w:tc>
                <w:tcPr>
                  <w:tcW w:w="1004" w:type="dxa"/>
                  <w:noWrap w:val="0"/>
                  <w:vAlign w:val="center"/>
                </w:tcPr>
                <w:p w14:paraId="2A152281">
                  <w:pPr>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default" w:ascii="Times New Roman" w:cs="Times New Roman"/>
                      <w:color w:val="auto"/>
                      <w:kern w:val="2"/>
                      <w:sz w:val="21"/>
                      <w:szCs w:val="21"/>
                      <w:highlight w:val="none"/>
                      <w:lang w:val="en-US" w:eastAsia="zh-CN" w:bidi="ar-SA"/>
                    </w:rPr>
                  </w:pPr>
                  <w:r>
                    <w:rPr>
                      <w:rFonts w:hint="eastAsia"/>
                      <w:b w:val="0"/>
                      <w:bCs w:val="0"/>
                      <w:color w:val="auto"/>
                      <w:szCs w:val="24"/>
                      <w:highlight w:val="none"/>
                      <w:u w:val="none"/>
                      <w:lang w:val="en-US" w:eastAsia="zh-CN"/>
                    </w:rPr>
                    <w:t>***</w:t>
                  </w:r>
                </w:p>
              </w:tc>
              <w:tc>
                <w:tcPr>
                  <w:tcW w:w="1324" w:type="dxa"/>
                  <w:noWrap w:val="0"/>
                  <w:vAlign w:val="center"/>
                </w:tcPr>
                <w:p w14:paraId="18735E42">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氨</w:t>
                  </w:r>
                </w:p>
              </w:tc>
              <w:tc>
                <w:tcPr>
                  <w:tcW w:w="2067" w:type="dxa"/>
                  <w:noWrap w:val="0"/>
                  <w:vAlign w:val="center"/>
                </w:tcPr>
                <w:p w14:paraId="5F64FC8B">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eastAsia" w:ascii="Times New Roman" w:hAnsi="Times New Roman" w:cs="Times New Roman"/>
                      <w:color w:val="0000FF"/>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202</w:t>
                  </w:r>
                  <w:r>
                    <w:rPr>
                      <w:rFonts w:hint="eastAsia"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val="en-US" w:eastAsia="zh-CN"/>
                    </w:rPr>
                    <w:t>年</w:t>
                  </w:r>
                  <w:r>
                    <w:rPr>
                      <w:rFonts w:hint="eastAsia" w:cs="Times New Roman"/>
                      <w:color w:val="auto"/>
                      <w:sz w:val="21"/>
                      <w:szCs w:val="21"/>
                      <w:highlight w:val="none"/>
                      <w:lang w:val="en-US" w:eastAsia="zh-CN"/>
                    </w:rPr>
                    <w:t>7</w:t>
                  </w:r>
                  <w:r>
                    <w:rPr>
                      <w:rFonts w:hint="eastAsia" w:ascii="Times New Roman" w:hAnsi="Times New Roman" w:eastAsia="宋体" w:cs="Times New Roman"/>
                      <w:color w:val="auto"/>
                      <w:sz w:val="21"/>
                      <w:szCs w:val="21"/>
                      <w:highlight w:val="none"/>
                      <w:lang w:val="en-US" w:eastAsia="zh-CN"/>
                    </w:rPr>
                    <w:t>月</w:t>
                  </w:r>
                  <w:r>
                    <w:rPr>
                      <w:rFonts w:hint="eastAsia" w:cs="Times New Roman"/>
                      <w:color w:val="auto"/>
                      <w:sz w:val="21"/>
                      <w:szCs w:val="21"/>
                      <w:highlight w:val="none"/>
                      <w:lang w:val="en-US" w:eastAsia="zh-CN"/>
                    </w:rPr>
                    <w:t>6</w:t>
                  </w:r>
                  <w:r>
                    <w:rPr>
                      <w:rFonts w:hint="eastAsia" w:ascii="Times New Roman" w:hAnsi="Times New Roman" w:eastAsia="宋体" w:cs="Times New Roman"/>
                      <w:color w:val="auto"/>
                      <w:sz w:val="21"/>
                      <w:szCs w:val="21"/>
                      <w:highlight w:val="none"/>
                      <w:lang w:val="en-US" w:eastAsia="zh-CN"/>
                    </w:rPr>
                    <w:t>日至</w:t>
                  </w:r>
                  <w:r>
                    <w:rPr>
                      <w:rFonts w:hint="eastAsia" w:cs="Times New Roman"/>
                      <w:color w:val="auto"/>
                      <w:sz w:val="21"/>
                      <w:szCs w:val="21"/>
                      <w:highlight w:val="none"/>
                      <w:lang w:val="en-US" w:eastAsia="zh-CN"/>
                    </w:rPr>
                    <w:t>8</w:t>
                  </w:r>
                  <w:r>
                    <w:rPr>
                      <w:rFonts w:hint="eastAsia" w:ascii="Times New Roman" w:hAnsi="Times New Roman" w:eastAsia="宋体" w:cs="Times New Roman"/>
                      <w:color w:val="auto"/>
                      <w:sz w:val="21"/>
                      <w:szCs w:val="21"/>
                      <w:highlight w:val="none"/>
                      <w:lang w:val="en-US" w:eastAsia="zh-CN"/>
                    </w:rPr>
                    <w:t>日</w:t>
                  </w:r>
                </w:p>
              </w:tc>
              <w:tc>
                <w:tcPr>
                  <w:tcW w:w="885" w:type="dxa"/>
                  <w:noWrap w:val="0"/>
                  <w:vAlign w:val="center"/>
                </w:tcPr>
                <w:p w14:paraId="40A9C08A">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eastAsia" w:ascii="Times New Roman"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西北</w:t>
                  </w:r>
                </w:p>
              </w:tc>
              <w:tc>
                <w:tcPr>
                  <w:tcW w:w="1101" w:type="dxa"/>
                  <w:noWrap w:val="0"/>
                  <w:vAlign w:val="center"/>
                </w:tcPr>
                <w:p w14:paraId="1C6A41EB">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default" w:ascii="Times New Roman" w:cs="Times New Roman"/>
                      <w:color w:val="auto"/>
                      <w:kern w:val="2"/>
                      <w:sz w:val="21"/>
                      <w:szCs w:val="21"/>
                      <w:highlight w:val="none"/>
                      <w:lang w:val="en-US" w:eastAsia="zh-CN" w:bidi="ar-SA"/>
                    </w:rPr>
                  </w:pPr>
                  <w:r>
                    <w:rPr>
                      <w:rFonts w:hint="eastAsia" w:ascii="Times New Roman" w:cs="Times New Roman"/>
                      <w:color w:val="auto"/>
                      <w:kern w:val="2"/>
                      <w:sz w:val="21"/>
                      <w:szCs w:val="21"/>
                      <w:highlight w:val="none"/>
                      <w:lang w:val="en-US" w:eastAsia="zh-CN" w:bidi="ar-SA"/>
                    </w:rPr>
                    <w:t>130</w:t>
                  </w:r>
                </w:p>
              </w:tc>
            </w:tr>
          </w:tbl>
          <w:p w14:paraId="7B99DA37">
            <w:pPr>
              <w:autoSpaceDE w:val="0"/>
              <w:autoSpaceDN w:val="0"/>
              <w:adjustRightInd w:val="0"/>
              <w:snapToGrid w:val="0"/>
              <w:spacing w:line="240" w:lineRule="auto"/>
              <w:jc w:val="center"/>
              <w:rPr>
                <w:rFonts w:hint="default" w:ascii="Times New Roman" w:hAnsi="Times New Roman" w:eastAsia="宋体" w:cs="Times New Roman"/>
                <w:b/>
                <w:bCs/>
                <w:color w:val="auto"/>
                <w:sz w:val="21"/>
                <w:szCs w:val="18"/>
                <w:highlight w:val="none"/>
                <w:lang w:val="en-US" w:eastAsia="zh-CN"/>
              </w:rPr>
            </w:pPr>
            <w:r>
              <w:rPr>
                <w:rFonts w:hint="default" w:ascii="Times New Roman" w:hAnsi="Times New Roman" w:eastAsia="宋体" w:cs="Times New Roman"/>
                <w:b/>
                <w:bCs/>
                <w:color w:val="auto"/>
                <w:sz w:val="21"/>
                <w:szCs w:val="18"/>
                <w:highlight w:val="none"/>
                <w:lang w:val="en-US" w:eastAsia="zh-CN"/>
              </w:rPr>
              <w:t>表</w:t>
            </w:r>
            <w:bookmarkEnd w:id="5"/>
            <w:r>
              <w:rPr>
                <w:rFonts w:hint="eastAsia" w:cs="Times New Roman"/>
                <w:b/>
                <w:bCs/>
                <w:color w:val="auto"/>
                <w:sz w:val="21"/>
                <w:szCs w:val="18"/>
                <w:highlight w:val="none"/>
                <w:lang w:val="en-US" w:eastAsia="zh-CN"/>
              </w:rPr>
              <w:t xml:space="preserve">19 </w:t>
            </w:r>
            <w:r>
              <w:rPr>
                <w:rFonts w:hint="default" w:ascii="Times New Roman" w:hAnsi="Times New Roman" w:eastAsia="宋体" w:cs="Times New Roman"/>
                <w:b/>
                <w:bCs/>
                <w:color w:val="auto"/>
                <w:sz w:val="21"/>
                <w:szCs w:val="18"/>
                <w:highlight w:val="none"/>
                <w:lang w:val="en-US" w:eastAsia="zh-CN"/>
              </w:rPr>
              <w:t xml:space="preserve"> 其他污染物环境质量现状（监测结果）表</w:t>
            </w:r>
          </w:p>
          <w:tbl>
            <w:tblPr>
              <w:tblStyle w:val="45"/>
              <w:tblW w:w="5000" w:type="pct"/>
              <w:jc w:val="center"/>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3"/>
              <w:gridCol w:w="715"/>
              <w:gridCol w:w="716"/>
              <w:gridCol w:w="715"/>
              <w:gridCol w:w="643"/>
              <w:gridCol w:w="1213"/>
              <w:gridCol w:w="1213"/>
              <w:gridCol w:w="786"/>
              <w:gridCol w:w="587"/>
              <w:gridCol w:w="785"/>
            </w:tblGrid>
            <w:tr w14:paraId="2A204A60">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3" w:hRule="atLeast"/>
                <w:tblHeader/>
                <w:jc w:val="center"/>
              </w:trPr>
              <w:tc>
                <w:tcPr>
                  <w:tcW w:w="953" w:type="dxa"/>
                  <w:vMerge w:val="restart"/>
                  <w:noWrap w:val="0"/>
                  <w:vAlign w:val="center"/>
                </w:tcPr>
                <w:p w14:paraId="63100404">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监测点位</w:t>
                  </w:r>
                </w:p>
              </w:tc>
              <w:tc>
                <w:tcPr>
                  <w:tcW w:w="1431" w:type="dxa"/>
                  <w:gridSpan w:val="2"/>
                  <w:noWrap w:val="0"/>
                  <w:vAlign w:val="center"/>
                </w:tcPr>
                <w:p w14:paraId="2B7C0A79">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监测点坐标/m</w:t>
                  </w:r>
                </w:p>
              </w:tc>
              <w:tc>
                <w:tcPr>
                  <w:tcW w:w="715" w:type="dxa"/>
                  <w:vMerge w:val="restart"/>
                  <w:noWrap w:val="0"/>
                  <w:vAlign w:val="center"/>
                </w:tcPr>
                <w:p w14:paraId="426B3CD7">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污染物</w:t>
                  </w:r>
                </w:p>
              </w:tc>
              <w:tc>
                <w:tcPr>
                  <w:tcW w:w="643" w:type="dxa"/>
                  <w:vMerge w:val="restart"/>
                  <w:noWrap w:val="0"/>
                  <w:vAlign w:val="center"/>
                </w:tcPr>
                <w:p w14:paraId="5D561DCC">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平均时间</w:t>
                  </w:r>
                </w:p>
              </w:tc>
              <w:tc>
                <w:tcPr>
                  <w:tcW w:w="1213" w:type="dxa"/>
                  <w:vMerge w:val="restart"/>
                  <w:noWrap w:val="0"/>
                  <w:vAlign w:val="center"/>
                </w:tcPr>
                <w:p w14:paraId="4998071A">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评价标准/（μg/m</w:t>
                  </w:r>
                  <w:r>
                    <w:rPr>
                      <w:rFonts w:hint="default" w:ascii="Times New Roman" w:hAnsi="Times New Roman" w:eastAsia="宋体" w:cs="Times New Roman"/>
                      <w:b/>
                      <w:bCs/>
                      <w:color w:val="auto"/>
                      <w:sz w:val="21"/>
                      <w:szCs w:val="21"/>
                      <w:highlight w:val="none"/>
                      <w:vertAlign w:val="superscript"/>
                    </w:rPr>
                    <w:t>3</w:t>
                  </w:r>
                  <w:r>
                    <w:rPr>
                      <w:rFonts w:hint="default" w:ascii="Times New Roman" w:hAnsi="Times New Roman" w:eastAsia="宋体" w:cs="Times New Roman"/>
                      <w:b/>
                      <w:bCs/>
                      <w:color w:val="auto"/>
                      <w:sz w:val="21"/>
                      <w:szCs w:val="21"/>
                      <w:highlight w:val="none"/>
                    </w:rPr>
                    <w:t>）</w:t>
                  </w:r>
                </w:p>
              </w:tc>
              <w:tc>
                <w:tcPr>
                  <w:tcW w:w="1213" w:type="dxa"/>
                  <w:vMerge w:val="restart"/>
                  <w:noWrap w:val="0"/>
                  <w:vAlign w:val="center"/>
                </w:tcPr>
                <w:p w14:paraId="5AF7EEB9">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监测浓度范围/</w:t>
                  </w:r>
                </w:p>
                <w:p w14:paraId="1B42A793">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（μg/m</w:t>
                  </w:r>
                  <w:r>
                    <w:rPr>
                      <w:rFonts w:hint="default" w:ascii="Times New Roman" w:hAnsi="Times New Roman" w:eastAsia="宋体" w:cs="Times New Roman"/>
                      <w:b/>
                      <w:bCs/>
                      <w:color w:val="auto"/>
                      <w:sz w:val="21"/>
                      <w:szCs w:val="21"/>
                      <w:highlight w:val="none"/>
                      <w:vertAlign w:val="superscript"/>
                    </w:rPr>
                    <w:t>3</w:t>
                  </w:r>
                  <w:r>
                    <w:rPr>
                      <w:rFonts w:hint="default" w:ascii="Times New Roman" w:hAnsi="Times New Roman" w:eastAsia="宋体" w:cs="Times New Roman"/>
                      <w:b/>
                      <w:bCs/>
                      <w:color w:val="auto"/>
                      <w:sz w:val="21"/>
                      <w:szCs w:val="21"/>
                      <w:highlight w:val="none"/>
                    </w:rPr>
                    <w:t>）</w:t>
                  </w:r>
                </w:p>
              </w:tc>
              <w:tc>
                <w:tcPr>
                  <w:tcW w:w="786" w:type="dxa"/>
                  <w:vMerge w:val="restart"/>
                  <w:noWrap w:val="0"/>
                  <w:vAlign w:val="center"/>
                </w:tcPr>
                <w:p w14:paraId="57B349D8">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最大浓度占标率/%</w:t>
                  </w:r>
                </w:p>
              </w:tc>
              <w:tc>
                <w:tcPr>
                  <w:tcW w:w="587" w:type="dxa"/>
                  <w:vMerge w:val="restart"/>
                  <w:noWrap w:val="0"/>
                  <w:vAlign w:val="center"/>
                </w:tcPr>
                <w:p w14:paraId="2D31C507">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超标率/%</w:t>
                  </w:r>
                </w:p>
              </w:tc>
              <w:tc>
                <w:tcPr>
                  <w:tcW w:w="785" w:type="dxa"/>
                  <w:vMerge w:val="restart"/>
                  <w:noWrap w:val="0"/>
                  <w:vAlign w:val="center"/>
                </w:tcPr>
                <w:p w14:paraId="5B3C4718">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eastAsia"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rPr>
                    <w:t>达标</w:t>
                  </w:r>
                </w:p>
                <w:p w14:paraId="67A96224">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情况</w:t>
                  </w:r>
                </w:p>
              </w:tc>
            </w:tr>
            <w:tr w14:paraId="72E22C83">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953" w:type="dxa"/>
                  <w:vMerge w:val="continue"/>
                  <w:noWrap w:val="0"/>
                  <w:vAlign w:val="center"/>
                </w:tcPr>
                <w:p w14:paraId="48BBC484">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default" w:ascii="Times New Roman" w:hAnsi="Times New Roman" w:eastAsia="宋体" w:cs="Times New Roman"/>
                      <w:color w:val="auto"/>
                      <w:sz w:val="21"/>
                      <w:szCs w:val="21"/>
                      <w:highlight w:val="none"/>
                    </w:rPr>
                  </w:pPr>
                </w:p>
              </w:tc>
              <w:tc>
                <w:tcPr>
                  <w:tcW w:w="715" w:type="dxa"/>
                  <w:noWrap w:val="0"/>
                  <w:vAlign w:val="center"/>
                </w:tcPr>
                <w:p w14:paraId="192F77AE">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X</w:t>
                  </w:r>
                </w:p>
              </w:tc>
              <w:tc>
                <w:tcPr>
                  <w:tcW w:w="716" w:type="dxa"/>
                  <w:noWrap w:val="0"/>
                  <w:vAlign w:val="center"/>
                </w:tcPr>
                <w:p w14:paraId="39224F0E">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Y</w:t>
                  </w:r>
                </w:p>
              </w:tc>
              <w:tc>
                <w:tcPr>
                  <w:tcW w:w="715" w:type="dxa"/>
                  <w:vMerge w:val="continue"/>
                  <w:noWrap w:val="0"/>
                  <w:vAlign w:val="center"/>
                </w:tcPr>
                <w:p w14:paraId="72CFA1B4">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default" w:ascii="Times New Roman" w:hAnsi="Times New Roman" w:eastAsia="宋体" w:cs="Times New Roman"/>
                      <w:color w:val="auto"/>
                      <w:sz w:val="21"/>
                      <w:szCs w:val="21"/>
                      <w:highlight w:val="none"/>
                    </w:rPr>
                  </w:pPr>
                </w:p>
              </w:tc>
              <w:tc>
                <w:tcPr>
                  <w:tcW w:w="643" w:type="dxa"/>
                  <w:vMerge w:val="continue"/>
                  <w:noWrap w:val="0"/>
                  <w:vAlign w:val="center"/>
                </w:tcPr>
                <w:p w14:paraId="659378A2">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default" w:ascii="Times New Roman" w:hAnsi="Times New Roman" w:eastAsia="宋体" w:cs="Times New Roman"/>
                      <w:color w:val="auto"/>
                      <w:sz w:val="21"/>
                      <w:szCs w:val="21"/>
                      <w:highlight w:val="none"/>
                    </w:rPr>
                  </w:pPr>
                </w:p>
              </w:tc>
              <w:tc>
                <w:tcPr>
                  <w:tcW w:w="1213" w:type="dxa"/>
                  <w:vMerge w:val="continue"/>
                  <w:noWrap w:val="0"/>
                  <w:vAlign w:val="center"/>
                </w:tcPr>
                <w:p w14:paraId="19F8D170">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default" w:ascii="Times New Roman" w:hAnsi="Times New Roman" w:eastAsia="宋体" w:cs="Times New Roman"/>
                      <w:color w:val="auto"/>
                      <w:sz w:val="21"/>
                      <w:szCs w:val="21"/>
                      <w:highlight w:val="none"/>
                    </w:rPr>
                  </w:pPr>
                </w:p>
              </w:tc>
              <w:tc>
                <w:tcPr>
                  <w:tcW w:w="1213" w:type="dxa"/>
                  <w:vMerge w:val="continue"/>
                  <w:noWrap w:val="0"/>
                  <w:vAlign w:val="center"/>
                </w:tcPr>
                <w:p w14:paraId="0BC90C39">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default" w:ascii="Times New Roman" w:hAnsi="Times New Roman" w:eastAsia="宋体" w:cs="Times New Roman"/>
                      <w:color w:val="auto"/>
                      <w:sz w:val="21"/>
                      <w:szCs w:val="21"/>
                      <w:highlight w:val="none"/>
                    </w:rPr>
                  </w:pPr>
                </w:p>
              </w:tc>
              <w:tc>
                <w:tcPr>
                  <w:tcW w:w="786" w:type="dxa"/>
                  <w:vMerge w:val="continue"/>
                  <w:noWrap w:val="0"/>
                  <w:vAlign w:val="center"/>
                </w:tcPr>
                <w:p w14:paraId="3CB47F42">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default" w:ascii="Times New Roman" w:hAnsi="Times New Roman" w:eastAsia="宋体" w:cs="Times New Roman"/>
                      <w:color w:val="auto"/>
                      <w:sz w:val="21"/>
                      <w:szCs w:val="21"/>
                      <w:highlight w:val="none"/>
                    </w:rPr>
                  </w:pPr>
                </w:p>
              </w:tc>
              <w:tc>
                <w:tcPr>
                  <w:tcW w:w="587" w:type="dxa"/>
                  <w:vMerge w:val="continue"/>
                  <w:noWrap w:val="0"/>
                  <w:vAlign w:val="center"/>
                </w:tcPr>
                <w:p w14:paraId="032DBF05">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default" w:ascii="Times New Roman" w:hAnsi="Times New Roman" w:eastAsia="宋体" w:cs="Times New Roman"/>
                      <w:color w:val="auto"/>
                      <w:sz w:val="21"/>
                      <w:szCs w:val="21"/>
                      <w:highlight w:val="none"/>
                    </w:rPr>
                  </w:pPr>
                </w:p>
              </w:tc>
              <w:tc>
                <w:tcPr>
                  <w:tcW w:w="785" w:type="dxa"/>
                  <w:vMerge w:val="continue"/>
                  <w:noWrap w:val="0"/>
                  <w:vAlign w:val="center"/>
                </w:tcPr>
                <w:p w14:paraId="18AA574B">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default" w:ascii="Times New Roman" w:hAnsi="Times New Roman" w:eastAsia="宋体" w:cs="Times New Roman"/>
                      <w:color w:val="auto"/>
                      <w:sz w:val="21"/>
                      <w:szCs w:val="21"/>
                      <w:highlight w:val="none"/>
                    </w:rPr>
                  </w:pPr>
                </w:p>
              </w:tc>
            </w:tr>
            <w:tr w14:paraId="037330A1">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953" w:type="dxa"/>
                  <w:vMerge w:val="restart"/>
                  <w:noWrap w:val="0"/>
                  <w:vAlign w:val="center"/>
                </w:tcPr>
                <w:p w14:paraId="4A2F065A">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b w:val="0"/>
                      <w:bCs w:val="0"/>
                      <w:color w:val="auto"/>
                      <w:szCs w:val="24"/>
                      <w:highlight w:val="none"/>
                      <w:u w:val="none"/>
                      <w:lang w:val="en-US" w:eastAsia="zh-CN"/>
                    </w:rPr>
                    <w:t>******</w:t>
                  </w:r>
                </w:p>
              </w:tc>
              <w:tc>
                <w:tcPr>
                  <w:tcW w:w="715" w:type="dxa"/>
                  <w:vMerge w:val="restart"/>
                  <w:noWrap w:val="0"/>
                  <w:vAlign w:val="center"/>
                </w:tcPr>
                <w:p w14:paraId="4D1C3EF3">
                  <w:pPr>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default" w:ascii="Times New Roman" w:hAnsi="Times New Roman" w:eastAsia="宋体" w:cs="Times New Roman"/>
                      <w:b/>
                      <w:bCs/>
                      <w:color w:val="auto"/>
                      <w:kern w:val="44"/>
                      <w:sz w:val="21"/>
                      <w:szCs w:val="21"/>
                      <w:highlight w:val="none"/>
                      <w:lang w:val="en-US" w:eastAsia="zh-CN" w:bidi="ar-SA"/>
                    </w:rPr>
                  </w:pPr>
                  <w:r>
                    <w:rPr>
                      <w:rFonts w:hint="eastAsia"/>
                      <w:b w:val="0"/>
                      <w:bCs w:val="0"/>
                      <w:color w:val="auto"/>
                      <w:szCs w:val="24"/>
                      <w:highlight w:val="none"/>
                      <w:u w:val="none"/>
                      <w:lang w:val="en-US" w:eastAsia="zh-CN"/>
                    </w:rPr>
                    <w:t>***</w:t>
                  </w:r>
                </w:p>
              </w:tc>
              <w:tc>
                <w:tcPr>
                  <w:tcW w:w="716" w:type="dxa"/>
                  <w:vMerge w:val="restart"/>
                  <w:noWrap w:val="0"/>
                  <w:vAlign w:val="center"/>
                </w:tcPr>
                <w:p w14:paraId="44A5C5A2">
                  <w:pPr>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default" w:ascii="Times New Roman" w:hAnsi="Times New Roman" w:eastAsia="宋体" w:cs="Times New Roman"/>
                      <w:b/>
                      <w:bCs/>
                      <w:color w:val="0000FF"/>
                      <w:kern w:val="44"/>
                      <w:sz w:val="21"/>
                      <w:szCs w:val="21"/>
                      <w:highlight w:val="none"/>
                      <w:lang w:val="en-US" w:eastAsia="zh-CN" w:bidi="ar-SA"/>
                    </w:rPr>
                  </w:pPr>
                  <w:r>
                    <w:rPr>
                      <w:rFonts w:hint="eastAsia"/>
                      <w:b w:val="0"/>
                      <w:bCs w:val="0"/>
                      <w:color w:val="auto"/>
                      <w:szCs w:val="24"/>
                      <w:highlight w:val="none"/>
                      <w:u w:val="none"/>
                      <w:lang w:val="en-US" w:eastAsia="zh-CN"/>
                    </w:rPr>
                    <w:t>***</w:t>
                  </w:r>
                </w:p>
              </w:tc>
              <w:tc>
                <w:tcPr>
                  <w:tcW w:w="715" w:type="dxa"/>
                  <w:noWrap w:val="0"/>
                  <w:vAlign w:val="center"/>
                </w:tcPr>
                <w:p w14:paraId="1BEDA309">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default" w:ascii="Times New Roman" w:hAnsi="Times New Roman" w:eastAsia="宋体" w:cs="Times New Roman"/>
                      <w:color w:val="auto"/>
                      <w:kern w:val="44"/>
                      <w:sz w:val="21"/>
                      <w:szCs w:val="21"/>
                      <w:highlight w:val="none"/>
                      <w:lang w:val="en-US" w:eastAsia="zh-CN" w:bidi="ar-SA"/>
                    </w:rPr>
                  </w:pPr>
                  <w:r>
                    <w:rPr>
                      <w:rFonts w:hint="eastAsia" w:cs="Times New Roman"/>
                      <w:color w:val="auto"/>
                      <w:sz w:val="21"/>
                      <w:szCs w:val="21"/>
                      <w:highlight w:val="none"/>
                      <w:lang w:val="en-US" w:eastAsia="zh-CN"/>
                    </w:rPr>
                    <w:t>硫酸雾</w:t>
                  </w:r>
                </w:p>
              </w:tc>
              <w:tc>
                <w:tcPr>
                  <w:tcW w:w="643" w:type="dxa"/>
                  <w:noWrap w:val="0"/>
                  <w:vAlign w:val="center"/>
                </w:tcPr>
                <w:p w14:paraId="0E3249C1">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firstLineChars="0"/>
                    <w:textAlignment w:val="auto"/>
                    <w:rPr>
                      <w:rFonts w:hint="default" w:ascii="Times New Roman" w:hAnsi="Times New Roman" w:eastAsia="宋体"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1h</w:t>
                  </w:r>
                </w:p>
              </w:tc>
              <w:tc>
                <w:tcPr>
                  <w:tcW w:w="1213" w:type="dxa"/>
                  <w:noWrap w:val="0"/>
                  <w:vAlign w:val="center"/>
                </w:tcPr>
                <w:p w14:paraId="1B069010">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300</w:t>
                  </w:r>
                </w:p>
              </w:tc>
              <w:tc>
                <w:tcPr>
                  <w:tcW w:w="1213" w:type="dxa"/>
                  <w:noWrap w:val="0"/>
                  <w:vAlign w:val="center"/>
                </w:tcPr>
                <w:p w14:paraId="398FBFC5">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cs="Times New Roman"/>
                      <w:color w:val="auto"/>
                      <w:sz w:val="21"/>
                      <w:szCs w:val="21"/>
                      <w:highlight w:val="none"/>
                      <w:lang w:val="en-US" w:eastAsia="zh-CN"/>
                    </w:rPr>
                    <w:t>84-121</w:t>
                  </w:r>
                </w:p>
              </w:tc>
              <w:tc>
                <w:tcPr>
                  <w:tcW w:w="786" w:type="dxa"/>
                  <w:noWrap w:val="0"/>
                  <w:vAlign w:val="center"/>
                </w:tcPr>
                <w:p w14:paraId="6D2E5ECA">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cs="Times New Roman"/>
                      <w:color w:val="auto"/>
                      <w:sz w:val="21"/>
                      <w:szCs w:val="21"/>
                      <w:highlight w:val="none"/>
                      <w:lang w:val="en-US" w:eastAsia="zh-CN"/>
                    </w:rPr>
                    <w:t>40.33</w:t>
                  </w:r>
                </w:p>
              </w:tc>
              <w:tc>
                <w:tcPr>
                  <w:tcW w:w="587" w:type="dxa"/>
                  <w:noWrap w:val="0"/>
                  <w:vAlign w:val="center"/>
                </w:tcPr>
                <w:p w14:paraId="6EE21906">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firstLineChars="0"/>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0</w:t>
                  </w:r>
                </w:p>
              </w:tc>
              <w:tc>
                <w:tcPr>
                  <w:tcW w:w="785" w:type="dxa"/>
                  <w:noWrap w:val="0"/>
                  <w:vAlign w:val="center"/>
                </w:tcPr>
                <w:p w14:paraId="60F0E56F">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firstLineChars="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达标</w:t>
                  </w:r>
                </w:p>
              </w:tc>
            </w:tr>
            <w:tr w14:paraId="4F15606C">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3" w:type="dxa"/>
                  <w:vMerge w:val="continue"/>
                  <w:noWrap w:val="0"/>
                  <w:vAlign w:val="center"/>
                </w:tcPr>
                <w:p w14:paraId="1E73FEFA">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eastAsia" w:ascii="Times New Roman" w:hAnsi="Times New Roman" w:cs="Times New Roman"/>
                      <w:color w:val="auto"/>
                      <w:kern w:val="2"/>
                      <w:sz w:val="21"/>
                      <w:szCs w:val="21"/>
                      <w:highlight w:val="none"/>
                      <w:lang w:val="en-US" w:eastAsia="zh-CN" w:bidi="ar-SA"/>
                    </w:rPr>
                  </w:pPr>
                </w:p>
              </w:tc>
              <w:tc>
                <w:tcPr>
                  <w:tcW w:w="715" w:type="dxa"/>
                  <w:vMerge w:val="continue"/>
                  <w:noWrap w:val="0"/>
                  <w:vAlign w:val="center"/>
                </w:tcPr>
                <w:p w14:paraId="042810F8">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eastAsia" w:ascii="Times New Roman" w:hAnsi="Times New Roman" w:cs="Times New Roman"/>
                      <w:color w:val="auto"/>
                      <w:kern w:val="2"/>
                      <w:sz w:val="21"/>
                      <w:szCs w:val="21"/>
                      <w:highlight w:val="none"/>
                      <w:lang w:val="en-US" w:eastAsia="zh-CN" w:bidi="ar-SA"/>
                    </w:rPr>
                  </w:pPr>
                </w:p>
              </w:tc>
              <w:tc>
                <w:tcPr>
                  <w:tcW w:w="716" w:type="dxa"/>
                  <w:vMerge w:val="continue"/>
                  <w:noWrap w:val="0"/>
                  <w:vAlign w:val="center"/>
                </w:tcPr>
                <w:p w14:paraId="67EACC10">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eastAsia" w:ascii="Times New Roman" w:hAnsi="Times New Roman" w:cs="Times New Roman"/>
                      <w:color w:val="auto"/>
                      <w:kern w:val="2"/>
                      <w:sz w:val="21"/>
                      <w:szCs w:val="21"/>
                      <w:highlight w:val="none"/>
                      <w:lang w:val="en-US" w:eastAsia="zh-CN" w:bidi="ar-SA"/>
                    </w:rPr>
                  </w:pPr>
                </w:p>
              </w:tc>
              <w:tc>
                <w:tcPr>
                  <w:tcW w:w="715" w:type="dxa"/>
                  <w:noWrap w:val="0"/>
                  <w:vAlign w:val="center"/>
                </w:tcPr>
                <w:p w14:paraId="18F45CEC">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eastAsia" w:ascii="Times New Roman" w:hAnsi="Times New Roman" w:eastAsia="宋体" w:cs="Times New Roman"/>
                      <w:color w:val="auto"/>
                      <w:kern w:val="44"/>
                      <w:sz w:val="21"/>
                      <w:szCs w:val="21"/>
                      <w:highlight w:val="none"/>
                      <w:lang w:val="en-US" w:eastAsia="zh-CN" w:bidi="ar-SA"/>
                    </w:rPr>
                  </w:pPr>
                  <w:r>
                    <w:rPr>
                      <w:rFonts w:hint="eastAsia" w:ascii="Times New Roman" w:hAnsi="Times New Roman" w:eastAsia="宋体" w:cs="Times New Roman"/>
                      <w:color w:val="auto"/>
                      <w:kern w:val="44"/>
                      <w:sz w:val="21"/>
                      <w:szCs w:val="21"/>
                      <w:highlight w:val="none"/>
                      <w:lang w:val="en-US" w:eastAsia="zh-CN" w:bidi="ar-SA"/>
                    </w:rPr>
                    <w:t>HCl</w:t>
                  </w:r>
                </w:p>
              </w:tc>
              <w:tc>
                <w:tcPr>
                  <w:tcW w:w="643" w:type="dxa"/>
                  <w:noWrap w:val="0"/>
                  <w:vAlign w:val="center"/>
                </w:tcPr>
                <w:p w14:paraId="0849493F">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default" w:ascii="Times New Roman" w:hAnsi="Times New Roman" w:eastAsia="宋体" w:cs="Times New Roman"/>
                      <w:color w:val="auto"/>
                      <w:kern w:val="44"/>
                      <w:sz w:val="21"/>
                      <w:szCs w:val="21"/>
                      <w:highlight w:val="none"/>
                      <w:lang w:val="en-US" w:eastAsia="zh-CN" w:bidi="ar-SA"/>
                    </w:rPr>
                  </w:pPr>
                  <w:r>
                    <w:rPr>
                      <w:rFonts w:hint="eastAsia" w:ascii="Times New Roman" w:hAnsi="Times New Roman" w:eastAsia="宋体" w:cs="Times New Roman"/>
                      <w:color w:val="auto"/>
                      <w:kern w:val="44"/>
                      <w:sz w:val="21"/>
                      <w:szCs w:val="21"/>
                      <w:highlight w:val="none"/>
                      <w:lang w:val="en-US" w:eastAsia="zh-CN" w:bidi="ar-SA"/>
                    </w:rPr>
                    <w:t>1h</w:t>
                  </w:r>
                </w:p>
              </w:tc>
              <w:tc>
                <w:tcPr>
                  <w:tcW w:w="1213" w:type="dxa"/>
                  <w:noWrap w:val="0"/>
                  <w:vAlign w:val="center"/>
                </w:tcPr>
                <w:p w14:paraId="696DA022">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default" w:ascii="Times New Roman" w:hAnsi="Times New Roman" w:eastAsia="宋体" w:cs="Times New Roman"/>
                      <w:color w:val="auto"/>
                      <w:kern w:val="44"/>
                      <w:sz w:val="21"/>
                      <w:szCs w:val="21"/>
                      <w:highlight w:val="none"/>
                      <w:lang w:val="en-US" w:eastAsia="zh-CN" w:bidi="ar-SA"/>
                    </w:rPr>
                  </w:pPr>
                  <w:r>
                    <w:rPr>
                      <w:rFonts w:hint="eastAsia" w:ascii="Times New Roman" w:hAnsi="Times New Roman" w:eastAsia="宋体" w:cs="Times New Roman"/>
                      <w:color w:val="auto"/>
                      <w:kern w:val="44"/>
                      <w:sz w:val="21"/>
                      <w:szCs w:val="21"/>
                      <w:highlight w:val="none"/>
                      <w:lang w:val="en-US" w:eastAsia="zh-CN" w:bidi="ar-SA"/>
                    </w:rPr>
                    <w:t>50</w:t>
                  </w:r>
                </w:p>
              </w:tc>
              <w:tc>
                <w:tcPr>
                  <w:tcW w:w="1213" w:type="dxa"/>
                  <w:noWrap w:val="0"/>
                  <w:vAlign w:val="center"/>
                </w:tcPr>
                <w:p w14:paraId="48E929EE">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default" w:ascii="Times New Roman" w:hAnsi="Times New Roman" w:eastAsia="宋体" w:cs="Times New Roman"/>
                      <w:color w:val="auto"/>
                      <w:kern w:val="44"/>
                      <w:sz w:val="21"/>
                      <w:szCs w:val="21"/>
                      <w:highlight w:val="none"/>
                      <w:lang w:val="en-US" w:eastAsia="zh-CN" w:bidi="ar-SA"/>
                    </w:rPr>
                  </w:pPr>
                  <w:r>
                    <w:rPr>
                      <w:rFonts w:hint="eastAsia" w:ascii="Times New Roman" w:cs="Times New Roman"/>
                      <w:color w:val="auto"/>
                      <w:kern w:val="44"/>
                      <w:sz w:val="21"/>
                      <w:szCs w:val="21"/>
                      <w:highlight w:val="none"/>
                      <w:lang w:val="en-US" w:eastAsia="zh-CN" w:bidi="ar-SA"/>
                    </w:rPr>
                    <w:t>23-48</w:t>
                  </w:r>
                </w:p>
              </w:tc>
              <w:tc>
                <w:tcPr>
                  <w:tcW w:w="786" w:type="dxa"/>
                  <w:noWrap w:val="0"/>
                  <w:vAlign w:val="center"/>
                </w:tcPr>
                <w:p w14:paraId="4A27441D">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default" w:ascii="Times New Roman" w:hAnsi="Times New Roman" w:eastAsia="宋体" w:cs="Times New Roman"/>
                      <w:color w:val="auto"/>
                      <w:kern w:val="44"/>
                      <w:sz w:val="21"/>
                      <w:szCs w:val="21"/>
                      <w:highlight w:val="none"/>
                      <w:lang w:val="en-US" w:eastAsia="zh-CN" w:bidi="ar-SA"/>
                    </w:rPr>
                  </w:pPr>
                  <w:r>
                    <w:rPr>
                      <w:rFonts w:hint="eastAsia" w:ascii="Times New Roman" w:cs="Times New Roman"/>
                      <w:color w:val="auto"/>
                      <w:kern w:val="44"/>
                      <w:sz w:val="21"/>
                      <w:szCs w:val="21"/>
                      <w:highlight w:val="none"/>
                      <w:lang w:val="en-US" w:eastAsia="zh-CN" w:bidi="ar-SA"/>
                    </w:rPr>
                    <w:t>96.00</w:t>
                  </w:r>
                </w:p>
              </w:tc>
              <w:tc>
                <w:tcPr>
                  <w:tcW w:w="587" w:type="dxa"/>
                  <w:noWrap w:val="0"/>
                  <w:vAlign w:val="center"/>
                </w:tcPr>
                <w:p w14:paraId="43D237CE">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default" w:ascii="Times New Roman" w:hAnsi="Times New Roman" w:eastAsia="宋体" w:cs="Times New Roman"/>
                      <w:color w:val="auto"/>
                      <w:kern w:val="44"/>
                      <w:sz w:val="21"/>
                      <w:szCs w:val="21"/>
                      <w:highlight w:val="none"/>
                      <w:lang w:val="en-US" w:eastAsia="zh-CN" w:bidi="ar-SA"/>
                    </w:rPr>
                  </w:pPr>
                  <w:r>
                    <w:rPr>
                      <w:rFonts w:hint="eastAsia" w:ascii="Times New Roman" w:hAnsi="Times New Roman" w:eastAsia="宋体" w:cs="Times New Roman"/>
                      <w:color w:val="auto"/>
                      <w:kern w:val="44"/>
                      <w:sz w:val="21"/>
                      <w:szCs w:val="21"/>
                      <w:highlight w:val="none"/>
                      <w:lang w:val="en-US" w:eastAsia="zh-CN" w:bidi="ar-SA"/>
                    </w:rPr>
                    <w:t>0</w:t>
                  </w:r>
                </w:p>
              </w:tc>
              <w:tc>
                <w:tcPr>
                  <w:tcW w:w="785" w:type="dxa"/>
                  <w:noWrap w:val="0"/>
                  <w:vAlign w:val="center"/>
                </w:tcPr>
                <w:p w14:paraId="67EEF814">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eastAsia" w:ascii="Times New Roman" w:hAnsi="Times New Roman" w:eastAsia="宋体" w:cs="Times New Roman"/>
                      <w:color w:val="auto"/>
                      <w:kern w:val="44"/>
                      <w:sz w:val="21"/>
                      <w:szCs w:val="21"/>
                      <w:highlight w:val="none"/>
                      <w:lang w:val="en-US" w:eastAsia="zh-CN" w:bidi="ar-SA"/>
                    </w:rPr>
                  </w:pPr>
                  <w:r>
                    <w:rPr>
                      <w:rFonts w:hint="default" w:ascii="Times New Roman" w:hAnsi="Times New Roman" w:eastAsia="宋体" w:cs="Times New Roman"/>
                      <w:color w:val="auto"/>
                      <w:kern w:val="44"/>
                      <w:sz w:val="21"/>
                      <w:szCs w:val="21"/>
                      <w:highlight w:val="none"/>
                      <w:lang w:val="en-US" w:eastAsia="zh-CN" w:bidi="ar-SA"/>
                    </w:rPr>
                    <w:t>达标</w:t>
                  </w:r>
                </w:p>
              </w:tc>
            </w:tr>
            <w:tr w14:paraId="3AD2A236">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3" w:type="dxa"/>
                  <w:vMerge w:val="continue"/>
                  <w:noWrap w:val="0"/>
                  <w:vAlign w:val="center"/>
                </w:tcPr>
                <w:p w14:paraId="71029783">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eastAsia" w:ascii="Times New Roman" w:hAnsi="Times New Roman" w:cs="Times New Roman"/>
                      <w:color w:val="auto"/>
                      <w:kern w:val="2"/>
                      <w:sz w:val="21"/>
                      <w:szCs w:val="21"/>
                      <w:highlight w:val="none"/>
                      <w:lang w:val="en-US" w:eastAsia="zh-CN" w:bidi="ar-SA"/>
                    </w:rPr>
                  </w:pPr>
                </w:p>
              </w:tc>
              <w:tc>
                <w:tcPr>
                  <w:tcW w:w="715" w:type="dxa"/>
                  <w:vMerge w:val="continue"/>
                  <w:noWrap w:val="0"/>
                  <w:vAlign w:val="center"/>
                </w:tcPr>
                <w:p w14:paraId="3DE24F77">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eastAsia" w:ascii="Times New Roman" w:hAnsi="Times New Roman" w:cs="Times New Roman"/>
                      <w:color w:val="0000FF"/>
                      <w:kern w:val="2"/>
                      <w:sz w:val="21"/>
                      <w:szCs w:val="21"/>
                      <w:highlight w:val="none"/>
                      <w:lang w:val="en-US" w:eastAsia="zh-CN" w:bidi="ar-SA"/>
                    </w:rPr>
                  </w:pPr>
                </w:p>
              </w:tc>
              <w:tc>
                <w:tcPr>
                  <w:tcW w:w="716" w:type="dxa"/>
                  <w:vMerge w:val="continue"/>
                  <w:noWrap w:val="0"/>
                  <w:vAlign w:val="center"/>
                </w:tcPr>
                <w:p w14:paraId="2038718F">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eastAsia" w:ascii="Times New Roman" w:hAnsi="Times New Roman" w:cs="Times New Roman"/>
                      <w:color w:val="0000FF"/>
                      <w:kern w:val="2"/>
                      <w:sz w:val="21"/>
                      <w:szCs w:val="21"/>
                      <w:highlight w:val="none"/>
                      <w:lang w:val="en-US" w:eastAsia="zh-CN" w:bidi="ar-SA"/>
                    </w:rPr>
                  </w:pPr>
                </w:p>
              </w:tc>
              <w:tc>
                <w:tcPr>
                  <w:tcW w:w="715" w:type="dxa"/>
                  <w:noWrap w:val="0"/>
                  <w:vAlign w:val="center"/>
                </w:tcPr>
                <w:p w14:paraId="37D3F37F">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eastAsia"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非甲烷总烃</w:t>
                  </w:r>
                </w:p>
              </w:tc>
              <w:tc>
                <w:tcPr>
                  <w:tcW w:w="643" w:type="dxa"/>
                  <w:noWrap w:val="0"/>
                  <w:vAlign w:val="center"/>
                </w:tcPr>
                <w:p w14:paraId="4D4B0031">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1h</w:t>
                  </w:r>
                </w:p>
              </w:tc>
              <w:tc>
                <w:tcPr>
                  <w:tcW w:w="1213" w:type="dxa"/>
                  <w:noWrap w:val="0"/>
                  <w:vAlign w:val="center"/>
                </w:tcPr>
                <w:p w14:paraId="159665BE">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default" w:ascii="Times New Roman" w:hAnsi="Times New Roman" w:cs="Times New Roman"/>
                      <w:color w:val="auto"/>
                      <w:sz w:val="21"/>
                      <w:szCs w:val="21"/>
                      <w:highlight w:val="none"/>
                      <w:lang w:val="en-US" w:eastAsia="zh-CN"/>
                    </w:rPr>
                  </w:pPr>
                  <w:r>
                    <w:rPr>
                      <w:rFonts w:hint="eastAsia" w:ascii="Times New Roman" w:cs="Times New Roman"/>
                      <w:color w:val="auto"/>
                      <w:sz w:val="21"/>
                      <w:szCs w:val="21"/>
                      <w:highlight w:val="none"/>
                      <w:lang w:val="en-US" w:eastAsia="zh-CN"/>
                    </w:rPr>
                    <w:t>2000</w:t>
                  </w:r>
                </w:p>
              </w:tc>
              <w:tc>
                <w:tcPr>
                  <w:tcW w:w="1213" w:type="dxa"/>
                  <w:noWrap w:val="0"/>
                  <w:vAlign w:val="center"/>
                </w:tcPr>
                <w:p w14:paraId="3AA49C43">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default" w:ascii="Times New Roman" w:cs="Times New Roman"/>
                      <w:color w:val="auto"/>
                      <w:sz w:val="21"/>
                      <w:szCs w:val="21"/>
                      <w:highlight w:val="none"/>
                      <w:lang w:val="en-US" w:eastAsia="zh-CN"/>
                    </w:rPr>
                  </w:pPr>
                  <w:r>
                    <w:rPr>
                      <w:rFonts w:hint="eastAsia" w:ascii="Times New Roman" w:cs="Times New Roman"/>
                      <w:color w:val="auto"/>
                      <w:sz w:val="21"/>
                      <w:szCs w:val="21"/>
                      <w:highlight w:val="none"/>
                      <w:lang w:val="en-US" w:eastAsia="zh-CN"/>
                    </w:rPr>
                    <w:t>460-730</w:t>
                  </w:r>
                </w:p>
              </w:tc>
              <w:tc>
                <w:tcPr>
                  <w:tcW w:w="786" w:type="dxa"/>
                  <w:noWrap w:val="0"/>
                  <w:vAlign w:val="center"/>
                </w:tcPr>
                <w:p w14:paraId="3D35BEAD">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textAlignment w:val="auto"/>
                    <w:rPr>
                      <w:rFonts w:hint="default" w:ascii="Times New Roman" w:cs="Times New Roman"/>
                      <w:color w:val="auto"/>
                      <w:sz w:val="21"/>
                      <w:szCs w:val="21"/>
                      <w:highlight w:val="none"/>
                      <w:lang w:val="en-US" w:eastAsia="zh-CN"/>
                    </w:rPr>
                  </w:pPr>
                  <w:r>
                    <w:rPr>
                      <w:rFonts w:hint="eastAsia" w:ascii="Times New Roman" w:cs="Times New Roman"/>
                      <w:color w:val="auto"/>
                      <w:sz w:val="21"/>
                      <w:szCs w:val="21"/>
                      <w:highlight w:val="none"/>
                      <w:lang w:val="en-US" w:eastAsia="zh-CN"/>
                    </w:rPr>
                    <w:t>36.50</w:t>
                  </w:r>
                </w:p>
              </w:tc>
              <w:tc>
                <w:tcPr>
                  <w:tcW w:w="587" w:type="dxa"/>
                  <w:noWrap w:val="0"/>
                  <w:vAlign w:val="center"/>
                </w:tcPr>
                <w:p w14:paraId="48B0E293">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firstLineChars="0"/>
                    <w:textAlignment w:val="auto"/>
                    <w:rPr>
                      <w:rFonts w:hint="eastAsia" w:ascii="Times New Roman"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0</w:t>
                  </w:r>
                </w:p>
              </w:tc>
              <w:tc>
                <w:tcPr>
                  <w:tcW w:w="785" w:type="dxa"/>
                  <w:noWrap w:val="0"/>
                  <w:vAlign w:val="center"/>
                </w:tcPr>
                <w:p w14:paraId="366E4197">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firstLineChars="0"/>
                    <w:textAlignment w:val="auto"/>
                    <w:rPr>
                      <w:rFonts w:hint="eastAsia" w:ascii="Times New Roman"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达标</w:t>
                  </w:r>
                </w:p>
              </w:tc>
            </w:tr>
            <w:tr w14:paraId="667FBF31">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3" w:type="dxa"/>
                  <w:noWrap w:val="0"/>
                  <w:vAlign w:val="center"/>
                </w:tcPr>
                <w:p w14:paraId="01BEE2F4">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eastAsia" w:ascii="Times New Roman" w:hAnsi="Times New Roman" w:eastAsia="宋体" w:cs="Times New Roman"/>
                      <w:color w:val="auto"/>
                      <w:sz w:val="21"/>
                      <w:szCs w:val="21"/>
                      <w:highlight w:val="none"/>
                      <w:lang w:val="en-US" w:eastAsia="zh-CN"/>
                    </w:rPr>
                  </w:pPr>
                  <w:r>
                    <w:rPr>
                      <w:rFonts w:hint="eastAsia"/>
                      <w:b w:val="0"/>
                      <w:bCs w:val="0"/>
                      <w:color w:val="auto"/>
                      <w:szCs w:val="24"/>
                      <w:highlight w:val="none"/>
                      <w:u w:val="none"/>
                      <w:lang w:val="en-US" w:eastAsia="zh-CN"/>
                    </w:rPr>
                    <w:t>******</w:t>
                  </w:r>
                </w:p>
              </w:tc>
              <w:tc>
                <w:tcPr>
                  <w:tcW w:w="715" w:type="dxa"/>
                  <w:noWrap w:val="0"/>
                  <w:vAlign w:val="center"/>
                </w:tcPr>
                <w:p w14:paraId="348622C0">
                  <w:pPr>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eastAsia" w:ascii="Times New Roman" w:hAnsi="Times New Roman" w:eastAsia="宋体" w:cs="Times New Roman"/>
                      <w:color w:val="0000FF"/>
                      <w:sz w:val="21"/>
                      <w:szCs w:val="21"/>
                      <w:highlight w:val="none"/>
                      <w:lang w:val="en-US" w:eastAsia="zh-CN"/>
                    </w:rPr>
                  </w:pPr>
                  <w:r>
                    <w:rPr>
                      <w:rFonts w:hint="eastAsia"/>
                      <w:b w:val="0"/>
                      <w:bCs w:val="0"/>
                      <w:color w:val="auto"/>
                      <w:szCs w:val="24"/>
                      <w:highlight w:val="none"/>
                      <w:u w:val="none"/>
                      <w:lang w:val="en-US" w:eastAsia="zh-CN"/>
                    </w:rPr>
                    <w:t>***</w:t>
                  </w:r>
                </w:p>
              </w:tc>
              <w:tc>
                <w:tcPr>
                  <w:tcW w:w="716" w:type="dxa"/>
                  <w:noWrap w:val="0"/>
                  <w:vAlign w:val="center"/>
                </w:tcPr>
                <w:p w14:paraId="723CEE12">
                  <w:pPr>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eastAsia" w:ascii="Times New Roman" w:hAnsi="Times New Roman" w:eastAsia="宋体" w:cs="Times New Roman"/>
                      <w:color w:val="auto"/>
                      <w:sz w:val="21"/>
                      <w:szCs w:val="21"/>
                      <w:highlight w:val="none"/>
                      <w:lang w:val="en-US" w:eastAsia="zh-CN"/>
                    </w:rPr>
                  </w:pPr>
                  <w:r>
                    <w:rPr>
                      <w:rFonts w:hint="eastAsia"/>
                      <w:b w:val="0"/>
                      <w:bCs w:val="0"/>
                      <w:color w:val="auto"/>
                      <w:szCs w:val="24"/>
                      <w:highlight w:val="none"/>
                      <w:u w:val="none"/>
                      <w:lang w:val="en-US" w:eastAsia="zh-CN"/>
                    </w:rPr>
                    <w:t>***</w:t>
                  </w:r>
                </w:p>
              </w:tc>
              <w:tc>
                <w:tcPr>
                  <w:tcW w:w="715" w:type="dxa"/>
                  <w:noWrap w:val="0"/>
                  <w:vAlign w:val="center"/>
                </w:tcPr>
                <w:p w14:paraId="1963F6B3">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firstLineChars="0"/>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cs="Times New Roman"/>
                      <w:color w:val="auto"/>
                      <w:sz w:val="21"/>
                      <w:szCs w:val="21"/>
                      <w:highlight w:val="none"/>
                      <w:lang w:val="en-US" w:eastAsia="zh-CN"/>
                    </w:rPr>
                    <w:t>氨</w:t>
                  </w:r>
                </w:p>
              </w:tc>
              <w:tc>
                <w:tcPr>
                  <w:tcW w:w="643" w:type="dxa"/>
                  <w:noWrap w:val="0"/>
                  <w:vAlign w:val="center"/>
                </w:tcPr>
                <w:p w14:paraId="69E18946">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firstLineChars="0"/>
                    <w:textAlignment w:val="auto"/>
                    <w:rPr>
                      <w:rFonts w:hint="eastAsia" w:ascii="Times New Roman" w:hAnsi="Times New Roman" w:cs="Times New Roman"/>
                      <w:color w:val="0000FF"/>
                      <w:sz w:val="21"/>
                      <w:szCs w:val="21"/>
                      <w:highlight w:val="none"/>
                      <w:lang w:val="en-US" w:eastAsia="zh-CN"/>
                    </w:rPr>
                  </w:pPr>
                  <w:r>
                    <w:rPr>
                      <w:rFonts w:hint="eastAsia" w:ascii="Times New Roman" w:hAnsi="Times New Roman" w:cs="Times New Roman"/>
                      <w:color w:val="auto"/>
                      <w:sz w:val="21"/>
                      <w:szCs w:val="21"/>
                      <w:highlight w:val="none"/>
                      <w:lang w:val="en-US" w:eastAsia="zh-CN"/>
                    </w:rPr>
                    <w:t>1h</w:t>
                  </w:r>
                </w:p>
              </w:tc>
              <w:tc>
                <w:tcPr>
                  <w:tcW w:w="1213" w:type="dxa"/>
                  <w:noWrap w:val="0"/>
                  <w:vAlign w:val="center"/>
                </w:tcPr>
                <w:p w14:paraId="407603C3">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firstLineChars="0"/>
                    <w:textAlignment w:val="auto"/>
                    <w:rPr>
                      <w:rFonts w:hint="default" w:ascii="Times New Roman" w:cs="Times New Roman"/>
                      <w:color w:val="auto"/>
                      <w:sz w:val="21"/>
                      <w:szCs w:val="21"/>
                      <w:highlight w:val="none"/>
                      <w:lang w:val="en-US" w:eastAsia="zh-CN"/>
                    </w:rPr>
                  </w:pPr>
                  <w:r>
                    <w:rPr>
                      <w:rFonts w:hint="eastAsia" w:ascii="Times New Roman" w:hAnsi="Times New Roman" w:eastAsia="宋体"/>
                      <w:color w:val="auto"/>
                      <w:sz w:val="21"/>
                      <w:szCs w:val="21"/>
                      <w:highlight w:val="none"/>
                    </w:rPr>
                    <w:t>200</w:t>
                  </w:r>
                </w:p>
              </w:tc>
              <w:tc>
                <w:tcPr>
                  <w:tcW w:w="1213" w:type="dxa"/>
                  <w:noWrap w:val="0"/>
                  <w:vAlign w:val="center"/>
                </w:tcPr>
                <w:p w14:paraId="684A0F17">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firstLineChars="0"/>
                    <w:textAlignment w:val="auto"/>
                    <w:rPr>
                      <w:rFonts w:hint="default" w:ascii="Times New Roman"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20-60</w:t>
                  </w:r>
                </w:p>
              </w:tc>
              <w:tc>
                <w:tcPr>
                  <w:tcW w:w="786" w:type="dxa"/>
                  <w:noWrap w:val="0"/>
                  <w:vAlign w:val="center"/>
                </w:tcPr>
                <w:p w14:paraId="0ED0CAAC">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firstLineChars="0"/>
                    <w:textAlignment w:val="auto"/>
                    <w:rPr>
                      <w:rFonts w:hint="default" w:ascii="Times New Roman"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30.0</w:t>
                  </w:r>
                </w:p>
              </w:tc>
              <w:tc>
                <w:tcPr>
                  <w:tcW w:w="587" w:type="dxa"/>
                  <w:noWrap w:val="0"/>
                  <w:vAlign w:val="center"/>
                </w:tcPr>
                <w:p w14:paraId="6F93148C">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firstLineChars="0"/>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0</w:t>
                  </w:r>
                </w:p>
              </w:tc>
              <w:tc>
                <w:tcPr>
                  <w:tcW w:w="785" w:type="dxa"/>
                  <w:noWrap w:val="0"/>
                  <w:vAlign w:val="center"/>
                </w:tcPr>
                <w:p w14:paraId="7F739A5D">
                  <w:pPr>
                    <w:pStyle w:val="196"/>
                    <w:keepNext w:val="0"/>
                    <w:keepLines w:val="0"/>
                    <w:pageBreakBefore w:val="0"/>
                    <w:widowControl w:val="0"/>
                    <w:kinsoku/>
                    <w:wordWrap/>
                    <w:overflowPunct/>
                    <w:topLinePunct w:val="0"/>
                    <w:autoSpaceDE/>
                    <w:autoSpaceDN/>
                    <w:bidi w:val="0"/>
                    <w:adjustRightInd w:val="0"/>
                    <w:snapToGrid w:val="0"/>
                    <w:spacing w:before="31" w:after="31" w:line="240" w:lineRule="auto"/>
                    <w:ind w:firstLine="0" w:firstLineChars="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达标</w:t>
                  </w:r>
                </w:p>
              </w:tc>
            </w:tr>
          </w:tbl>
          <w:p w14:paraId="31EFD96E">
            <w:pPr>
              <w:pStyle w:val="44"/>
              <w:spacing w:after="0"/>
              <w:ind w:left="0" w:leftChars="0"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b/>
                <w:bCs/>
                <w:color w:val="auto"/>
                <w:sz w:val="21"/>
                <w:szCs w:val="21"/>
                <w:highlight w:val="none"/>
              </w:rPr>
              <w:t>注：坐标原点以</w:t>
            </w:r>
            <w:r>
              <w:rPr>
                <w:rFonts w:hint="eastAsia" w:cs="Times New Roman"/>
                <w:b/>
                <w:bCs/>
                <w:color w:val="auto"/>
                <w:sz w:val="21"/>
                <w:szCs w:val="21"/>
                <w:highlight w:val="none"/>
                <w:lang w:val="en-US" w:eastAsia="zh-CN"/>
              </w:rPr>
              <w:t>本项目</w:t>
            </w:r>
            <w:r>
              <w:rPr>
                <w:rFonts w:hint="default" w:ascii="Times New Roman" w:hAnsi="Times New Roman" w:cs="Times New Roman"/>
                <w:b/>
                <w:bCs/>
                <w:color w:val="auto"/>
                <w:sz w:val="21"/>
                <w:szCs w:val="21"/>
                <w:highlight w:val="none"/>
              </w:rPr>
              <w:t>厂址为中心</w:t>
            </w:r>
          </w:p>
          <w:p w14:paraId="129F5D11">
            <w:pPr>
              <w:ind w:firstLine="420" w:firstLineChars="200"/>
              <w:jc w:val="both"/>
              <w:rPr>
                <w:rFonts w:hint="default" w:ascii="Times New Roman" w:hAnsi="Times New Roman" w:eastAsia="宋体" w:cs="Times New Roman"/>
                <w:color w:val="0000FF"/>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由上表数据可知，</w:t>
            </w:r>
            <w:r>
              <w:rPr>
                <w:rFonts w:hint="eastAsia" w:ascii="Times New Roman" w:hAnsi="Times New Roman" w:eastAsia="宋体" w:cs="Times New Roman"/>
                <w:color w:val="auto"/>
                <w:kern w:val="0"/>
                <w:sz w:val="21"/>
                <w:szCs w:val="21"/>
                <w:highlight w:val="none"/>
                <w:lang w:val="zh-CN" w:eastAsia="zh-CN"/>
              </w:rPr>
              <w:t>氨</w:t>
            </w:r>
            <w:r>
              <w:rPr>
                <w:rFonts w:hint="eastAsia" w:cs="Times New Roman"/>
                <w:color w:val="auto"/>
                <w:kern w:val="0"/>
                <w:sz w:val="21"/>
                <w:szCs w:val="21"/>
                <w:highlight w:val="none"/>
                <w:lang w:val="zh-CN" w:eastAsia="zh-CN"/>
              </w:rPr>
              <w:t>、</w:t>
            </w:r>
            <w:r>
              <w:rPr>
                <w:rFonts w:hint="default" w:ascii="Times New Roman" w:hAnsi="Times New Roman" w:eastAsia="宋体" w:cs="Times New Roman"/>
                <w:color w:val="auto"/>
                <w:sz w:val="21"/>
                <w:szCs w:val="21"/>
                <w:highlight w:val="none"/>
                <w:lang w:val="en-US" w:eastAsia="zh-CN"/>
              </w:rPr>
              <w:t>氯化氢、硫酸雾</w:t>
            </w:r>
            <w:r>
              <w:rPr>
                <w:rFonts w:hint="eastAsia" w:ascii="Times New Roman" w:hAnsi="Times New Roman" w:eastAsia="宋体" w:cs="Times New Roman"/>
                <w:color w:val="auto"/>
                <w:sz w:val="21"/>
                <w:szCs w:val="21"/>
                <w:highlight w:val="none"/>
                <w:lang w:val="en-US" w:eastAsia="zh-CN"/>
              </w:rPr>
              <w:t>监测结果满足</w:t>
            </w:r>
            <w:r>
              <w:rPr>
                <w:rFonts w:hint="default" w:ascii="Times New Roman" w:hAnsi="Times New Roman" w:eastAsia="宋体" w:cs="Times New Roman"/>
                <w:color w:val="auto"/>
                <w:sz w:val="21"/>
                <w:szCs w:val="21"/>
                <w:highlight w:val="none"/>
                <w:lang w:val="en-US" w:eastAsia="zh-CN"/>
              </w:rPr>
              <w:t>《环境影响评价技术导则 大气环境》（HJ2.2-2018）附录D</w:t>
            </w:r>
            <w:r>
              <w:rPr>
                <w:rFonts w:hint="eastAsia"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lang w:val="en-US" w:eastAsia="zh-CN"/>
              </w:rPr>
              <w:t>中相关标准，非甲烷总烃</w:t>
            </w:r>
            <w:r>
              <w:rPr>
                <w:rFonts w:hint="eastAsia" w:ascii="Times New Roman" w:hAnsi="Times New Roman" w:eastAsia="宋体" w:cs="Times New Roman"/>
                <w:color w:val="auto"/>
                <w:sz w:val="21"/>
                <w:szCs w:val="21"/>
                <w:highlight w:val="none"/>
                <w:lang w:val="en-US" w:eastAsia="zh-CN"/>
              </w:rPr>
              <w:t>监测结果满足</w:t>
            </w:r>
            <w:r>
              <w:rPr>
                <w:rFonts w:hint="default" w:ascii="Times New Roman" w:hAnsi="Times New Roman" w:eastAsia="宋体" w:cs="Times New Roman"/>
                <w:color w:val="auto"/>
                <w:sz w:val="21"/>
                <w:szCs w:val="21"/>
                <w:highlight w:val="none"/>
                <w:lang w:val="en-US" w:eastAsia="zh-CN"/>
              </w:rPr>
              <w:t>《大气污染物综合排放标准详解》相关标准限值</w:t>
            </w:r>
            <w:r>
              <w:rPr>
                <w:rFonts w:hint="eastAsia" w:cs="Times New Roman"/>
                <w:color w:val="auto"/>
                <w:sz w:val="21"/>
                <w:szCs w:val="21"/>
                <w:highlight w:val="none"/>
                <w:lang w:val="en-US" w:eastAsia="zh-CN"/>
              </w:rPr>
              <w:t>。</w:t>
            </w:r>
          </w:p>
          <w:p w14:paraId="2AA6AA7B">
            <w:pPr>
              <w:pStyle w:val="181"/>
              <w:spacing w:beforeLines="0" w:line="360" w:lineRule="auto"/>
              <w:ind w:firstLine="482"/>
              <w:contextualSpacing/>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二</w:t>
            </w:r>
            <w:r>
              <w:rPr>
                <w:rFonts w:hint="default" w:ascii="Times New Roman" w:hAnsi="Times New Roman" w:eastAsia="宋体" w:cs="Times New Roman"/>
                <w:color w:val="auto"/>
                <w:highlight w:val="none"/>
                <w:lang w:val="en-US" w:eastAsia="zh-CN"/>
              </w:rPr>
              <w:t>、</w:t>
            </w:r>
            <w:r>
              <w:rPr>
                <w:rFonts w:hint="default" w:ascii="Times New Roman" w:hAnsi="Times New Roman" w:eastAsia="宋体" w:cs="Times New Roman"/>
                <w:color w:val="auto"/>
                <w:highlight w:val="none"/>
              </w:rPr>
              <w:t>声环境质量</w:t>
            </w:r>
          </w:p>
          <w:p w14:paraId="28448EDB">
            <w:pPr>
              <w:ind w:firstLine="420" w:firstLineChars="200"/>
              <w:rPr>
                <w:rFonts w:hint="default" w:eastAsia="宋体"/>
                <w:color w:val="auto"/>
                <w:highlight w:val="none"/>
                <w:lang w:val="en-US" w:eastAsia="zh-CN"/>
              </w:rPr>
            </w:pPr>
            <w:r>
              <w:rPr>
                <w:rFonts w:hint="eastAsia"/>
                <w:color w:val="auto"/>
                <w:sz w:val="21"/>
                <w:szCs w:val="21"/>
                <w:highlight w:val="none"/>
                <w:lang w:val="en-US" w:eastAsia="zh-CN"/>
              </w:rPr>
              <w:t>本次拟建项目周边50m范围内无声环境保护目标，但考虑到本项目最终以西安黄河机电有限公司为厂界对外环境造成影响。</w:t>
            </w:r>
            <w:r>
              <w:rPr>
                <w:rFonts w:hint="eastAsia" w:cs="Times New Roman"/>
                <w:color w:val="auto"/>
                <w:kern w:val="0"/>
                <w:sz w:val="21"/>
                <w:szCs w:val="21"/>
                <w:highlight w:val="none"/>
                <w:lang w:val="en-US" w:eastAsia="zh-CN"/>
              </w:rPr>
              <w:t>本次委托</w:t>
            </w:r>
            <w:r>
              <w:rPr>
                <w:rFonts w:hint="eastAsia" w:ascii="Times New Roman" w:hAnsi="Times New Roman" w:eastAsia="宋体" w:cs="Times New Roman"/>
                <w:color w:val="auto"/>
                <w:kern w:val="0"/>
                <w:sz w:val="21"/>
                <w:szCs w:val="21"/>
                <w:highlight w:val="none"/>
                <w:lang w:val="en-US" w:eastAsia="zh-CN"/>
              </w:rPr>
              <w:t>陕西昌泽环保科技有限公司</w:t>
            </w:r>
            <w:r>
              <w:rPr>
                <w:rFonts w:hint="eastAsia"/>
                <w:color w:val="auto"/>
                <w:sz w:val="21"/>
                <w:szCs w:val="21"/>
                <w:highlight w:val="none"/>
              </w:rPr>
              <w:t>于</w:t>
            </w:r>
            <w:r>
              <w:rPr>
                <w:color w:val="auto"/>
                <w:sz w:val="21"/>
                <w:szCs w:val="21"/>
                <w:highlight w:val="none"/>
              </w:rPr>
              <w:t>202</w:t>
            </w:r>
            <w:r>
              <w:rPr>
                <w:rFonts w:hint="eastAsia"/>
                <w:color w:val="auto"/>
                <w:sz w:val="21"/>
                <w:szCs w:val="21"/>
                <w:highlight w:val="none"/>
                <w:lang w:val="en-US" w:eastAsia="zh-CN"/>
              </w:rPr>
              <w:t>4</w:t>
            </w:r>
            <w:r>
              <w:rPr>
                <w:rFonts w:hint="eastAsia"/>
                <w:color w:val="auto"/>
                <w:sz w:val="21"/>
                <w:szCs w:val="21"/>
                <w:highlight w:val="none"/>
              </w:rPr>
              <w:t>年</w:t>
            </w:r>
            <w:r>
              <w:rPr>
                <w:rFonts w:hint="eastAsia"/>
                <w:color w:val="auto"/>
                <w:sz w:val="21"/>
                <w:szCs w:val="21"/>
                <w:highlight w:val="none"/>
                <w:lang w:val="en-US" w:eastAsia="zh-CN"/>
              </w:rPr>
              <w:t>4</w:t>
            </w:r>
            <w:r>
              <w:rPr>
                <w:rFonts w:hint="eastAsia"/>
                <w:color w:val="auto"/>
                <w:sz w:val="21"/>
                <w:szCs w:val="21"/>
                <w:highlight w:val="none"/>
              </w:rPr>
              <w:t>月</w:t>
            </w:r>
            <w:r>
              <w:rPr>
                <w:rFonts w:hint="eastAsia"/>
                <w:color w:val="auto"/>
                <w:sz w:val="21"/>
                <w:szCs w:val="21"/>
                <w:highlight w:val="none"/>
                <w:lang w:val="en-US" w:eastAsia="zh-CN"/>
              </w:rPr>
              <w:t>19</w:t>
            </w:r>
            <w:r>
              <w:rPr>
                <w:rFonts w:hint="eastAsia"/>
                <w:color w:val="auto"/>
                <w:sz w:val="21"/>
                <w:szCs w:val="21"/>
                <w:highlight w:val="none"/>
              </w:rPr>
              <w:t>日</w:t>
            </w:r>
            <w:r>
              <w:rPr>
                <w:rFonts w:hint="eastAsia" w:ascii="Times New Roman" w:hAnsi="Times New Roman" w:eastAsia="宋体" w:cs="Times New Roman"/>
                <w:color w:val="auto"/>
                <w:kern w:val="0"/>
                <w:sz w:val="21"/>
                <w:szCs w:val="21"/>
                <w:highlight w:val="none"/>
              </w:rPr>
              <w:t>对本项目</w:t>
            </w:r>
            <w:r>
              <w:rPr>
                <w:rFonts w:hint="eastAsia" w:ascii="Times New Roman" w:hAnsi="Times New Roman" w:eastAsia="宋体" w:cs="Times New Roman"/>
                <w:color w:val="auto"/>
                <w:kern w:val="0"/>
                <w:sz w:val="21"/>
                <w:szCs w:val="21"/>
                <w:highlight w:val="none"/>
                <w:lang w:val="en-US" w:eastAsia="zh-CN"/>
              </w:rPr>
              <w:t>周边敏感点进行了监测，共设置5个噪声监测点位，监测结果如下：</w:t>
            </w:r>
          </w:p>
          <w:p w14:paraId="13A08F06">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表</w:t>
            </w:r>
            <w:r>
              <w:rPr>
                <w:rFonts w:hint="eastAsia" w:ascii="Times New Roman" w:hAnsi="Times New Roman" w:eastAsia="黑体" w:cs="Times New Roman"/>
                <w:color w:val="auto"/>
                <w:sz w:val="21"/>
                <w:szCs w:val="21"/>
                <w:highlight w:val="none"/>
                <w:lang w:val="en-US" w:eastAsia="zh-CN"/>
              </w:rPr>
              <w:t>2</w:t>
            </w:r>
            <w:r>
              <w:rPr>
                <w:rFonts w:hint="eastAsia" w:eastAsia="黑体" w:cs="Times New Roman"/>
                <w:color w:val="auto"/>
                <w:sz w:val="21"/>
                <w:szCs w:val="21"/>
                <w:highlight w:val="none"/>
                <w:lang w:val="en-US" w:eastAsia="zh-CN"/>
              </w:rPr>
              <w:t>0</w:t>
            </w:r>
            <w:r>
              <w:rPr>
                <w:rFonts w:hint="default" w:ascii="Times New Roman" w:hAnsi="Times New Roman" w:eastAsia="黑体" w:cs="Times New Roman"/>
                <w:color w:val="auto"/>
                <w:sz w:val="21"/>
                <w:szCs w:val="21"/>
                <w:highlight w:val="none"/>
              </w:rPr>
              <w:t xml:space="preserve">  声环境质量监测结果    单位：LeqdB(A)</w:t>
            </w:r>
          </w:p>
          <w:tbl>
            <w:tblPr>
              <w:tblStyle w:val="45"/>
              <w:tblW w:w="4999"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5332"/>
              <w:gridCol w:w="2990"/>
            </w:tblGrid>
            <w:tr w14:paraId="6B108DF0">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203" w:type="pct"/>
                  <w:vMerge w:val="restart"/>
                  <w:noWrap w:val="0"/>
                  <w:vAlign w:val="center"/>
                </w:tcPr>
                <w:p w14:paraId="34990075">
                  <w:pPr>
                    <w:snapToGrid w:val="0"/>
                    <w:spacing w:line="320" w:lineRule="exact"/>
                    <w:jc w:val="center"/>
                    <w:rPr>
                      <w:rFonts w:hint="default" w:ascii="Times New Roman" w:hAnsi="Times New Roman" w:cs="Times New Roman"/>
                      <w:b/>
                      <w:bCs w:val="0"/>
                      <w:color w:val="auto"/>
                      <w:sz w:val="21"/>
                      <w:szCs w:val="21"/>
                      <w:highlight w:val="none"/>
                    </w:rPr>
                  </w:pPr>
                  <w:r>
                    <w:rPr>
                      <w:rFonts w:hint="default" w:ascii="Times New Roman" w:hAnsi="Times New Roman" w:cs="Times New Roman"/>
                      <w:b/>
                      <w:bCs w:val="0"/>
                      <w:color w:val="auto"/>
                      <w:sz w:val="21"/>
                      <w:szCs w:val="21"/>
                      <w:highlight w:val="none"/>
                    </w:rPr>
                    <w:t>监测点位</w:t>
                  </w:r>
                </w:p>
              </w:tc>
              <w:tc>
                <w:tcPr>
                  <w:tcW w:w="1796" w:type="pct"/>
                  <w:noWrap w:val="0"/>
                  <w:vAlign w:val="center"/>
                </w:tcPr>
                <w:p w14:paraId="6CB07151">
                  <w:pPr>
                    <w:snapToGrid w:val="0"/>
                    <w:spacing w:line="320" w:lineRule="exact"/>
                    <w:jc w:val="center"/>
                    <w:rPr>
                      <w:rFonts w:hint="default" w:ascii="Times New Roman" w:hAnsi="Times New Roman" w:eastAsia="宋体" w:cs="Times New Roman"/>
                      <w:b/>
                      <w:bCs w:val="0"/>
                      <w:color w:val="auto"/>
                      <w:sz w:val="21"/>
                      <w:szCs w:val="21"/>
                      <w:highlight w:val="none"/>
                      <w:lang w:val="en-US" w:eastAsia="zh-CN"/>
                    </w:rPr>
                  </w:pPr>
                  <w:r>
                    <w:rPr>
                      <w:rFonts w:hint="eastAsia" w:ascii="Times New Roman" w:hAnsi="Times New Roman" w:eastAsia="宋体" w:cs="Times New Roman"/>
                      <w:b/>
                      <w:bCs w:val="0"/>
                      <w:color w:val="auto"/>
                      <w:sz w:val="21"/>
                      <w:szCs w:val="21"/>
                      <w:highlight w:val="none"/>
                      <w:lang w:val="en-US" w:eastAsia="zh-CN"/>
                    </w:rPr>
                    <w:t>202</w:t>
                  </w:r>
                  <w:r>
                    <w:rPr>
                      <w:rFonts w:hint="eastAsia" w:cs="Times New Roman"/>
                      <w:b/>
                      <w:bCs w:val="0"/>
                      <w:color w:val="auto"/>
                      <w:sz w:val="21"/>
                      <w:szCs w:val="21"/>
                      <w:highlight w:val="none"/>
                      <w:lang w:val="en-US" w:eastAsia="zh-CN"/>
                    </w:rPr>
                    <w:t>4.4.19</w:t>
                  </w:r>
                </w:p>
              </w:tc>
            </w:tr>
            <w:tr w14:paraId="4AD85A9C">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203" w:type="pct"/>
                  <w:vMerge w:val="continue"/>
                  <w:noWrap w:val="0"/>
                  <w:vAlign w:val="center"/>
                </w:tcPr>
                <w:p w14:paraId="04EFFA60">
                  <w:pPr>
                    <w:snapToGrid w:val="0"/>
                    <w:spacing w:line="320" w:lineRule="exact"/>
                    <w:jc w:val="center"/>
                    <w:rPr>
                      <w:rFonts w:hint="default" w:ascii="Times New Roman" w:hAnsi="Times New Roman" w:cs="Times New Roman"/>
                      <w:b/>
                      <w:bCs w:val="0"/>
                      <w:color w:val="auto"/>
                      <w:sz w:val="21"/>
                      <w:szCs w:val="21"/>
                      <w:highlight w:val="none"/>
                    </w:rPr>
                  </w:pPr>
                </w:p>
              </w:tc>
              <w:tc>
                <w:tcPr>
                  <w:tcW w:w="1796" w:type="pct"/>
                  <w:noWrap w:val="0"/>
                  <w:vAlign w:val="center"/>
                </w:tcPr>
                <w:p w14:paraId="34072640">
                  <w:pPr>
                    <w:snapToGrid w:val="0"/>
                    <w:spacing w:line="320" w:lineRule="exact"/>
                    <w:jc w:val="center"/>
                    <w:rPr>
                      <w:rFonts w:hint="default" w:ascii="Times New Roman" w:hAnsi="Times New Roman" w:cs="Times New Roman"/>
                      <w:b/>
                      <w:bCs w:val="0"/>
                      <w:color w:val="auto"/>
                      <w:sz w:val="21"/>
                      <w:szCs w:val="21"/>
                      <w:highlight w:val="none"/>
                    </w:rPr>
                  </w:pPr>
                  <w:r>
                    <w:rPr>
                      <w:rFonts w:hint="default" w:ascii="Times New Roman" w:hAnsi="Times New Roman" w:cs="Times New Roman"/>
                      <w:b/>
                      <w:bCs w:val="0"/>
                      <w:color w:val="auto"/>
                      <w:sz w:val="21"/>
                      <w:szCs w:val="21"/>
                      <w:highlight w:val="none"/>
                    </w:rPr>
                    <w:t>昼间（Leq）</w:t>
                  </w:r>
                </w:p>
              </w:tc>
            </w:tr>
            <w:tr w14:paraId="05460C9B">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203" w:type="pct"/>
                  <w:noWrap w:val="0"/>
                  <w:vAlign w:val="center"/>
                </w:tcPr>
                <w:p w14:paraId="134567BC">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黄河200间小区</w:t>
                  </w:r>
                </w:p>
              </w:tc>
              <w:tc>
                <w:tcPr>
                  <w:tcW w:w="1796" w:type="pct"/>
                  <w:noWrap w:val="0"/>
                  <w:vAlign w:val="center"/>
                </w:tcPr>
                <w:p w14:paraId="56C22060">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cs="Times New Roman"/>
                      <w:color w:val="auto"/>
                      <w:sz w:val="21"/>
                      <w:szCs w:val="21"/>
                      <w:highlight w:val="none"/>
                      <w:lang w:val="en-US" w:eastAsia="zh-CN"/>
                    </w:rPr>
                    <w:t>47</w:t>
                  </w:r>
                </w:p>
              </w:tc>
            </w:tr>
            <w:tr w14:paraId="1B8EC8EF">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203" w:type="pct"/>
                  <w:noWrap w:val="0"/>
                  <w:vAlign w:val="center"/>
                </w:tcPr>
                <w:p w14:paraId="470618FE">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紫铭小区北区</w:t>
                  </w:r>
                </w:p>
              </w:tc>
              <w:tc>
                <w:tcPr>
                  <w:tcW w:w="1796" w:type="pct"/>
                  <w:noWrap w:val="0"/>
                  <w:vAlign w:val="center"/>
                </w:tcPr>
                <w:p w14:paraId="362C3C41">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cs="Times New Roman"/>
                      <w:color w:val="auto"/>
                      <w:sz w:val="21"/>
                      <w:szCs w:val="21"/>
                      <w:highlight w:val="none"/>
                      <w:lang w:val="en-US" w:eastAsia="zh-CN"/>
                    </w:rPr>
                    <w:t>50</w:t>
                  </w:r>
                </w:p>
              </w:tc>
            </w:tr>
            <w:tr w14:paraId="67CF8F3F">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3203" w:type="pct"/>
                  <w:noWrap w:val="0"/>
                  <w:vAlign w:val="center"/>
                </w:tcPr>
                <w:p w14:paraId="5120CC0C">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黄河文化补习学校</w:t>
                  </w:r>
                </w:p>
              </w:tc>
              <w:tc>
                <w:tcPr>
                  <w:tcW w:w="1796" w:type="pct"/>
                  <w:noWrap w:val="0"/>
                  <w:vAlign w:val="center"/>
                </w:tcPr>
                <w:p w14:paraId="55809DFD">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54</w:t>
                  </w:r>
                </w:p>
              </w:tc>
            </w:tr>
            <w:tr w14:paraId="4B033089">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203" w:type="pct"/>
                  <w:noWrap w:val="0"/>
                  <w:vAlign w:val="center"/>
                </w:tcPr>
                <w:p w14:paraId="760AC993">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东小寨村</w:t>
                  </w:r>
                </w:p>
              </w:tc>
              <w:tc>
                <w:tcPr>
                  <w:tcW w:w="1796" w:type="pct"/>
                  <w:noWrap w:val="0"/>
                  <w:vAlign w:val="center"/>
                </w:tcPr>
                <w:p w14:paraId="7F76B36C">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cs="Times New Roman"/>
                      <w:color w:val="auto"/>
                      <w:sz w:val="21"/>
                      <w:szCs w:val="21"/>
                      <w:highlight w:val="none"/>
                      <w:lang w:val="en-US" w:eastAsia="zh-CN"/>
                    </w:rPr>
                    <w:t>45</w:t>
                  </w:r>
                </w:p>
              </w:tc>
            </w:tr>
            <w:tr w14:paraId="3BAFCDD8">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203" w:type="pct"/>
                  <w:noWrap w:val="0"/>
                  <w:vAlign w:val="center"/>
                </w:tcPr>
                <w:p w14:paraId="3A2B4B7B">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黄河住宅小区东区</w:t>
                  </w:r>
                </w:p>
              </w:tc>
              <w:tc>
                <w:tcPr>
                  <w:tcW w:w="1796" w:type="pct"/>
                  <w:noWrap w:val="0"/>
                  <w:vAlign w:val="center"/>
                </w:tcPr>
                <w:p w14:paraId="47107F22">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cs="Times New Roman"/>
                      <w:color w:val="auto"/>
                      <w:sz w:val="21"/>
                      <w:szCs w:val="21"/>
                      <w:highlight w:val="none"/>
                      <w:lang w:val="en-US" w:eastAsia="zh-CN"/>
                    </w:rPr>
                    <w:t>48</w:t>
                  </w:r>
                </w:p>
              </w:tc>
            </w:tr>
            <w:tr w14:paraId="457566B5">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20" w:hRule="atLeast"/>
                <w:jc w:val="center"/>
              </w:trPr>
              <w:tc>
                <w:tcPr>
                  <w:tcW w:w="3203" w:type="pct"/>
                  <w:tcBorders>
                    <w:top w:val="single" w:color="auto" w:sz="6" w:space="0"/>
                    <w:bottom w:val="single" w:color="auto" w:sz="12" w:space="0"/>
                  </w:tcBorders>
                  <w:noWrap w:val="0"/>
                  <w:vAlign w:val="center"/>
                </w:tcPr>
                <w:p w14:paraId="157368B4">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《声环境质量标准》（GB3096-2008）</w:t>
                  </w:r>
                </w:p>
              </w:tc>
              <w:tc>
                <w:tcPr>
                  <w:tcW w:w="1796" w:type="pct"/>
                  <w:noWrap w:val="0"/>
                  <w:vAlign w:val="center"/>
                </w:tcPr>
                <w:p w14:paraId="78DB6242">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2类标准：昼间60dB（A）</w:t>
                  </w:r>
                </w:p>
              </w:tc>
            </w:tr>
          </w:tbl>
          <w:p w14:paraId="3215BD82">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color w:val="auto"/>
                <w:sz w:val="21"/>
                <w:szCs w:val="21"/>
                <w:highlight w:val="none"/>
                <w:lang w:val="en-US" w:eastAsia="zh-CN"/>
              </w:rPr>
            </w:pPr>
            <w:r>
              <w:rPr>
                <w:rFonts w:hint="default" w:ascii="Times New Roman" w:hAnsi="Times New Roman" w:cs="Times New Roman"/>
                <w:color w:val="auto"/>
                <w:sz w:val="21"/>
                <w:szCs w:val="21"/>
                <w:highlight w:val="none"/>
              </w:rPr>
              <w:t>监测结果表明，</w:t>
            </w:r>
            <w:r>
              <w:rPr>
                <w:rFonts w:hint="eastAsia" w:ascii="Times New Roman" w:hAnsi="Times New Roman" w:cs="Times New Roman"/>
                <w:color w:val="auto"/>
                <w:sz w:val="21"/>
                <w:szCs w:val="21"/>
                <w:highlight w:val="none"/>
                <w:lang w:val="en-US" w:eastAsia="zh-CN"/>
              </w:rPr>
              <w:t>项目地敏感点声环境质量现状值</w:t>
            </w:r>
            <w:r>
              <w:rPr>
                <w:rFonts w:hint="default" w:ascii="Times New Roman" w:hAnsi="Times New Roman" w:cs="Times New Roman"/>
                <w:color w:val="auto"/>
                <w:sz w:val="21"/>
                <w:szCs w:val="21"/>
                <w:highlight w:val="none"/>
                <w:lang w:val="en-US" w:eastAsia="zh-CN"/>
              </w:rPr>
              <w:t>均</w:t>
            </w:r>
            <w:r>
              <w:rPr>
                <w:rFonts w:hint="default" w:ascii="Times New Roman" w:hAnsi="Times New Roman" w:cs="Times New Roman"/>
                <w:color w:val="auto"/>
                <w:sz w:val="21"/>
                <w:szCs w:val="21"/>
                <w:highlight w:val="none"/>
              </w:rPr>
              <w:t>满足《声环境质量标准》（GB3096-2008）中</w:t>
            </w:r>
            <w:r>
              <w:rPr>
                <w:rFonts w:hint="eastAsia" w:ascii="Times New Roman" w:hAnsi="Times New Roman" w:cs="Times New Roman"/>
                <w:color w:val="auto"/>
                <w:sz w:val="21"/>
                <w:szCs w:val="21"/>
                <w:highlight w:val="none"/>
                <w:lang w:val="en-US" w:eastAsia="zh-CN"/>
              </w:rPr>
              <w:t>2</w:t>
            </w:r>
            <w:r>
              <w:rPr>
                <w:rFonts w:hint="default" w:ascii="Times New Roman" w:hAnsi="Times New Roman" w:cs="Times New Roman"/>
                <w:color w:val="auto"/>
                <w:sz w:val="21"/>
                <w:szCs w:val="21"/>
                <w:highlight w:val="none"/>
              </w:rPr>
              <w:t>类标准。</w:t>
            </w:r>
          </w:p>
          <w:p w14:paraId="431C8BDA">
            <w:pPr>
              <w:pStyle w:val="360"/>
              <w:keepNext w:val="0"/>
              <w:keepLines w:val="0"/>
              <w:pageBreakBefore w:val="0"/>
              <w:widowControl w:val="0"/>
              <w:kinsoku/>
              <w:wordWrap/>
              <w:overflowPunct/>
              <w:topLinePunct w:val="0"/>
              <w:autoSpaceDE/>
              <w:autoSpaceDN/>
              <w:bidi w:val="0"/>
              <w:adjustRightInd w:val="0"/>
              <w:snapToGrid w:val="0"/>
              <w:spacing w:line="360" w:lineRule="auto"/>
              <w:ind w:left="0" w:firstLine="482" w:firstLineChars="200"/>
              <w:jc w:val="both"/>
              <w:textAlignment w:val="auto"/>
              <w:rPr>
                <w:rFonts w:hint="default" w:cs="Times New Roman"/>
                <w:b/>
                <w:bCs/>
                <w:color w:val="auto"/>
                <w:szCs w:val="21"/>
                <w:highlight w:val="none"/>
                <w:lang w:val="en-US" w:eastAsia="zh-CN"/>
              </w:rPr>
            </w:pPr>
            <w:r>
              <w:rPr>
                <w:rFonts w:hint="eastAsia" w:cs="Times New Roman"/>
                <w:b/>
                <w:bCs/>
                <w:color w:val="auto"/>
                <w:szCs w:val="21"/>
                <w:highlight w:val="none"/>
                <w:lang w:val="en-US" w:eastAsia="zh-CN"/>
              </w:rPr>
              <w:t>三、地表水环境</w:t>
            </w:r>
            <w:r>
              <w:rPr>
                <w:rFonts w:hint="default" w:cs="Times New Roman"/>
                <w:b/>
                <w:bCs/>
                <w:color w:val="auto"/>
                <w:szCs w:val="21"/>
                <w:highlight w:val="none"/>
                <w:lang w:val="en-US" w:eastAsia="zh-CN"/>
              </w:rPr>
              <w:t>质量现状</w:t>
            </w:r>
          </w:p>
          <w:p w14:paraId="6C63918E">
            <w:pPr>
              <w:ind w:firstLine="420" w:firstLineChars="200"/>
              <w:rPr>
                <w:rFonts w:hint="eastAsia"/>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纯水制备废水</w:t>
            </w:r>
            <w:r>
              <w:rPr>
                <w:rFonts w:hint="eastAsia" w:cs="Times New Roman"/>
                <w:color w:val="auto"/>
                <w:sz w:val="21"/>
                <w:szCs w:val="21"/>
                <w:highlight w:val="none"/>
                <w:lang w:val="en-US" w:eastAsia="zh-CN"/>
              </w:rPr>
              <w:t>用于厂区洒水抑尘，不外排，</w:t>
            </w:r>
            <w:r>
              <w:rPr>
                <w:rFonts w:hint="eastAsia"/>
                <w:color w:val="auto"/>
                <w:sz w:val="21"/>
                <w:szCs w:val="21"/>
                <w:highlight w:val="none"/>
                <w:lang w:val="en-US" w:eastAsia="zh-CN"/>
              </w:rPr>
              <w:t>根据《建设项目环境影响报告表编制技术指南（污染影响类）》，本项目不进</w:t>
            </w:r>
            <w:r>
              <w:rPr>
                <w:rFonts w:hint="eastAsia" w:ascii="Times New Roman" w:hAnsi="Times New Roman" w:eastAsia="宋体" w:cs="Times New Roman"/>
                <w:color w:val="auto"/>
                <w:sz w:val="21"/>
                <w:szCs w:val="21"/>
                <w:highlight w:val="none"/>
                <w:lang w:val="en-US" w:eastAsia="zh-CN"/>
              </w:rPr>
              <w:t>行地表水环境现状调查。</w:t>
            </w:r>
          </w:p>
          <w:p w14:paraId="1B6B860C">
            <w:pPr>
              <w:pStyle w:val="360"/>
              <w:keepNext w:val="0"/>
              <w:keepLines w:val="0"/>
              <w:pageBreakBefore w:val="0"/>
              <w:widowControl w:val="0"/>
              <w:kinsoku/>
              <w:wordWrap/>
              <w:overflowPunct/>
              <w:topLinePunct w:val="0"/>
              <w:autoSpaceDE/>
              <w:autoSpaceDN/>
              <w:bidi w:val="0"/>
              <w:adjustRightInd w:val="0"/>
              <w:snapToGrid w:val="0"/>
              <w:spacing w:line="360" w:lineRule="auto"/>
              <w:ind w:left="0" w:firstLine="482" w:firstLineChars="200"/>
              <w:jc w:val="both"/>
              <w:textAlignment w:val="auto"/>
              <w:rPr>
                <w:rFonts w:hint="eastAsia" w:cs="Times New Roman"/>
                <w:b/>
                <w:bCs/>
                <w:color w:val="auto"/>
                <w:szCs w:val="21"/>
                <w:highlight w:val="none"/>
                <w:lang w:val="en-US" w:eastAsia="zh-CN"/>
              </w:rPr>
            </w:pPr>
            <w:r>
              <w:rPr>
                <w:rFonts w:hint="eastAsia" w:cs="Times New Roman"/>
                <w:b/>
                <w:bCs/>
                <w:color w:val="auto"/>
                <w:szCs w:val="21"/>
                <w:highlight w:val="none"/>
                <w:lang w:val="en-US" w:eastAsia="zh-CN"/>
              </w:rPr>
              <w:t>四、生态环境质量现状</w:t>
            </w:r>
          </w:p>
          <w:p w14:paraId="0A0226A8">
            <w:pPr>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本项目位于*****（西安黄河机电有限公司厂内），无生态环境保护目标，根据《建设项目环境影响报告表编制技术指南（污染影响类）》，本项目不进行生态环境现状调查。</w:t>
            </w:r>
          </w:p>
          <w:p w14:paraId="442EC200">
            <w:pPr>
              <w:pStyle w:val="360"/>
              <w:keepNext w:val="0"/>
              <w:keepLines w:val="0"/>
              <w:pageBreakBefore w:val="0"/>
              <w:widowControl w:val="0"/>
              <w:kinsoku/>
              <w:wordWrap/>
              <w:overflowPunct/>
              <w:topLinePunct w:val="0"/>
              <w:autoSpaceDE/>
              <w:autoSpaceDN/>
              <w:bidi w:val="0"/>
              <w:adjustRightInd w:val="0"/>
              <w:snapToGrid w:val="0"/>
              <w:spacing w:line="360" w:lineRule="auto"/>
              <w:ind w:left="0" w:firstLine="482" w:firstLineChars="200"/>
              <w:jc w:val="both"/>
              <w:textAlignment w:val="auto"/>
              <w:rPr>
                <w:rFonts w:hint="eastAsia" w:cs="Times New Roman"/>
                <w:b/>
                <w:bCs/>
                <w:color w:val="auto"/>
                <w:szCs w:val="21"/>
                <w:highlight w:val="none"/>
                <w:lang w:val="en-US" w:eastAsia="zh-CN"/>
              </w:rPr>
            </w:pPr>
            <w:r>
              <w:rPr>
                <w:rFonts w:hint="eastAsia" w:cs="Times New Roman"/>
                <w:b/>
                <w:bCs/>
                <w:color w:val="auto"/>
                <w:szCs w:val="21"/>
                <w:highlight w:val="none"/>
                <w:lang w:val="en-US" w:eastAsia="zh-CN"/>
              </w:rPr>
              <w:t>五、地下水、土壤环境质量现状</w:t>
            </w:r>
          </w:p>
          <w:p w14:paraId="6171A29F">
            <w:pPr>
              <w:wordWrap w:val="0"/>
              <w:ind w:firstLine="420" w:firstLineChars="200"/>
              <w:jc w:val="both"/>
              <w:rPr>
                <w:rFonts w:hint="default" w:ascii="Times New Roman" w:hAnsi="Times New Roman" w:eastAsia="宋体" w:cs="Times New Roman"/>
                <w:color w:val="0000FF"/>
                <w:sz w:val="21"/>
                <w:szCs w:val="21"/>
                <w:highlight w:val="none"/>
                <w:lang w:val="en-US" w:eastAsia="zh-CN"/>
              </w:rPr>
            </w:pPr>
            <w:r>
              <w:rPr>
                <w:rFonts w:hint="default"/>
                <w:color w:val="auto"/>
                <w:sz w:val="21"/>
                <w:szCs w:val="21"/>
                <w:highlight w:val="none"/>
                <w:lang w:val="en-US" w:eastAsia="zh-CN"/>
              </w:rPr>
              <w:t>本项目</w:t>
            </w:r>
            <w:r>
              <w:rPr>
                <w:rFonts w:hint="eastAsia"/>
                <w:color w:val="auto"/>
                <w:sz w:val="21"/>
                <w:szCs w:val="21"/>
                <w:highlight w:val="none"/>
                <w:lang w:val="en-US" w:eastAsia="zh-CN"/>
              </w:rPr>
              <w:t>运营</w:t>
            </w:r>
            <w:r>
              <w:rPr>
                <w:rFonts w:hint="default"/>
                <w:color w:val="auto"/>
                <w:sz w:val="21"/>
                <w:szCs w:val="21"/>
                <w:highlight w:val="none"/>
                <w:lang w:val="en-US" w:eastAsia="zh-CN"/>
              </w:rPr>
              <w:t>过程</w:t>
            </w:r>
            <w:r>
              <w:rPr>
                <w:rFonts w:hint="eastAsia"/>
                <w:color w:val="auto"/>
                <w:sz w:val="21"/>
                <w:szCs w:val="21"/>
                <w:highlight w:val="none"/>
                <w:lang w:val="en-US" w:eastAsia="zh-CN"/>
              </w:rPr>
              <w:t>中采取分区防渗措施，正常情况下不会对地下水环境、土壤环境造成影响</w:t>
            </w:r>
            <w:r>
              <w:rPr>
                <w:rFonts w:hint="default"/>
                <w:color w:val="auto"/>
                <w:sz w:val="21"/>
                <w:szCs w:val="21"/>
                <w:highlight w:val="none"/>
                <w:lang w:val="en-US" w:eastAsia="zh-CN"/>
              </w:rPr>
              <w:t>，根据《建设项目环境影响报告表编制技术指南（污染影响类）》，本项目不进行</w:t>
            </w:r>
            <w:r>
              <w:rPr>
                <w:rFonts w:hint="eastAsia"/>
                <w:color w:val="auto"/>
                <w:sz w:val="21"/>
                <w:szCs w:val="21"/>
                <w:highlight w:val="none"/>
                <w:lang w:val="en-US" w:eastAsia="zh-CN"/>
              </w:rPr>
              <w:t>地下水环境及土壤</w:t>
            </w:r>
            <w:r>
              <w:rPr>
                <w:rFonts w:hint="default"/>
                <w:color w:val="auto"/>
                <w:sz w:val="21"/>
                <w:szCs w:val="21"/>
                <w:highlight w:val="none"/>
                <w:lang w:val="en-US" w:eastAsia="zh-CN"/>
              </w:rPr>
              <w:t>环境质量现状调查。</w:t>
            </w:r>
          </w:p>
        </w:tc>
      </w:tr>
      <w:tr w14:paraId="074E083D">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0" w:type="pct"/>
            <w:tcBorders>
              <w:top w:val="single" w:color="auto" w:sz="4" w:space="0"/>
              <w:left w:val="single" w:color="auto" w:sz="8" w:space="0"/>
              <w:bottom w:val="single" w:color="auto" w:sz="4" w:space="0"/>
              <w:right w:val="single" w:color="auto" w:sz="4" w:space="0"/>
            </w:tcBorders>
            <w:vAlign w:val="center"/>
          </w:tcPr>
          <w:p w14:paraId="03EFDFB6">
            <w:pPr>
              <w:adjustRightInd w:val="0"/>
              <w:snapToGrid w:val="0"/>
              <w:spacing w:line="240" w:lineRule="auto"/>
              <w:jc w:val="center"/>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环境</w:t>
            </w:r>
          </w:p>
          <w:p w14:paraId="07F54AB0">
            <w:pPr>
              <w:adjustRightInd w:val="0"/>
              <w:snapToGrid w:val="0"/>
              <w:spacing w:line="240" w:lineRule="auto"/>
              <w:jc w:val="center"/>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保护</w:t>
            </w:r>
          </w:p>
          <w:p w14:paraId="23E298FF">
            <w:pPr>
              <w:adjustRightInd w:val="0"/>
              <w:snapToGrid w:val="0"/>
              <w:spacing w:line="240" w:lineRule="auto"/>
              <w:jc w:val="center"/>
              <w:rPr>
                <w:rFonts w:hint="default" w:ascii="Times New Roman" w:hAnsi="Times New Roman" w:cs="Times New Roman"/>
                <w:b/>
                <w:bCs/>
                <w:color w:val="0000FF"/>
                <w:kern w:val="0"/>
                <w:sz w:val="21"/>
                <w:szCs w:val="21"/>
                <w:highlight w:val="none"/>
              </w:rPr>
            </w:pPr>
            <w:r>
              <w:rPr>
                <w:rFonts w:hint="default" w:ascii="Times New Roman" w:hAnsi="Times New Roman" w:cs="Times New Roman"/>
                <w:b/>
                <w:bCs/>
                <w:color w:val="auto"/>
                <w:kern w:val="0"/>
                <w:szCs w:val="21"/>
                <w:highlight w:val="none"/>
              </w:rPr>
              <w:t>目标</w:t>
            </w:r>
          </w:p>
        </w:tc>
        <w:tc>
          <w:tcPr>
            <w:tcW w:w="4599" w:type="pct"/>
            <w:tcBorders>
              <w:top w:val="single" w:color="auto" w:sz="4" w:space="0"/>
              <w:left w:val="single" w:color="auto" w:sz="4" w:space="0"/>
              <w:bottom w:val="single" w:color="auto" w:sz="4" w:space="0"/>
              <w:right w:val="single" w:color="auto" w:sz="8" w:space="0"/>
            </w:tcBorders>
            <w:vAlign w:val="center"/>
          </w:tcPr>
          <w:p w14:paraId="286C8EDD">
            <w:pPr>
              <w:keepNext w:val="0"/>
              <w:keepLines w:val="0"/>
              <w:pageBreakBefore w:val="0"/>
              <w:widowControl w:val="0"/>
              <w:kinsoku/>
              <w:wordWrap/>
              <w:overflowPunct/>
              <w:topLinePunct w:val="0"/>
              <w:autoSpaceDE/>
              <w:autoSpaceDN/>
              <w:bidi w:val="0"/>
              <w:adjustRightInd w:val="0"/>
              <w:snapToGrid w:val="0"/>
              <w:spacing w:line="360" w:lineRule="auto"/>
              <w:ind w:left="-72" w:leftChars="-30" w:right="-72" w:rightChars="-30" w:firstLine="482" w:firstLineChars="200"/>
              <w:jc w:val="both"/>
              <w:textAlignment w:val="auto"/>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lang w:val="en-US" w:eastAsia="zh-CN"/>
              </w:rPr>
              <w:t>一、大气环境</w:t>
            </w:r>
          </w:p>
          <w:p w14:paraId="300E4D75">
            <w:pPr>
              <w:autoSpaceDE w:val="0"/>
              <w:autoSpaceDN w:val="0"/>
              <w:adjustRightInd w:val="0"/>
              <w:snapToGrid w:val="0"/>
              <w:ind w:firstLine="420" w:firstLineChars="200"/>
              <w:jc w:val="both"/>
              <w:rPr>
                <w:rFonts w:hint="default" w:ascii="Times New Roman" w:hAnsi="Times New Roman" w:eastAsia="宋体" w:cs="Times New Roman"/>
                <w:b w:val="0"/>
                <w:bCs/>
                <w:color w:val="auto"/>
                <w:kern w:val="0"/>
                <w:sz w:val="21"/>
                <w:szCs w:val="21"/>
                <w:highlight w:val="none"/>
                <w:vertAlign w:val="baseline"/>
                <w:lang w:val="en-US" w:eastAsia="zh-CN"/>
              </w:rPr>
            </w:pPr>
            <w:r>
              <w:rPr>
                <w:rFonts w:hint="default" w:ascii="Times New Roman" w:hAnsi="Times New Roman" w:eastAsia="宋体" w:cs="Times New Roman"/>
                <w:b w:val="0"/>
                <w:bCs/>
                <w:color w:val="auto"/>
                <w:kern w:val="0"/>
                <w:sz w:val="21"/>
                <w:szCs w:val="21"/>
                <w:highlight w:val="none"/>
                <w:vertAlign w:val="baseline"/>
                <w:lang w:val="en-US" w:eastAsia="zh-CN"/>
              </w:rPr>
              <w:t>根据对项目所在地的实地踏勘，本项目厂界外500米范围内存在环境保护目标。大气环境保护目标图见附图。</w:t>
            </w:r>
          </w:p>
          <w:p w14:paraId="1FABE76D">
            <w:pPr>
              <w:keepNext w:val="0"/>
              <w:keepLines w:val="0"/>
              <w:pageBreakBefore w:val="0"/>
              <w:widowControl w:val="0"/>
              <w:kinsoku/>
              <w:wordWrap/>
              <w:overflowPunct/>
              <w:topLinePunct w:val="0"/>
              <w:autoSpaceDE/>
              <w:autoSpaceDN/>
              <w:bidi w:val="0"/>
              <w:adjustRightInd w:val="0"/>
              <w:snapToGrid w:val="0"/>
              <w:spacing w:line="360" w:lineRule="auto"/>
              <w:ind w:left="-72" w:leftChars="-30" w:right="-72" w:rightChars="-30" w:firstLine="482" w:firstLineChars="200"/>
              <w:jc w:val="both"/>
              <w:textAlignment w:val="auto"/>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lang w:val="en-US" w:eastAsia="zh-CN"/>
              </w:rPr>
              <w:t>二、声环境</w:t>
            </w:r>
          </w:p>
          <w:p w14:paraId="3C752DB9">
            <w:pPr>
              <w:keepNext w:val="0"/>
              <w:keepLines w:val="0"/>
              <w:pageBreakBefore w:val="0"/>
              <w:widowControl w:val="0"/>
              <w:kinsoku/>
              <w:wordWrap/>
              <w:overflowPunct/>
              <w:topLinePunct w:val="0"/>
              <w:autoSpaceDE/>
              <w:autoSpaceDN/>
              <w:bidi w:val="0"/>
              <w:adjustRightInd w:val="0"/>
              <w:snapToGrid w:val="0"/>
              <w:spacing w:line="360" w:lineRule="auto"/>
              <w:ind w:left="-72" w:leftChars="-30" w:right="-72" w:rightChars="-30" w:firstLine="420" w:firstLineChars="200"/>
              <w:jc w:val="both"/>
              <w:textAlignment w:val="auto"/>
              <w:rPr>
                <w:rFonts w:hint="default" w:ascii="宋体" w:hAnsi="宋体" w:eastAsia="宋体" w:cs="宋体"/>
                <w:color w:val="auto"/>
                <w:kern w:val="28"/>
                <w:sz w:val="21"/>
                <w:szCs w:val="21"/>
                <w:highlight w:val="none"/>
                <w:lang w:val="en-US" w:eastAsia="zh-CN"/>
              </w:rPr>
            </w:pPr>
            <w:r>
              <w:rPr>
                <w:rFonts w:hint="default" w:ascii="宋体" w:hAnsi="宋体" w:eastAsia="宋体" w:cs="宋体"/>
                <w:color w:val="auto"/>
                <w:kern w:val="28"/>
                <w:sz w:val="21"/>
                <w:szCs w:val="21"/>
                <w:highlight w:val="none"/>
                <w:lang w:val="en-US" w:eastAsia="zh-CN"/>
              </w:rPr>
              <w:t>根据对项目所在地的实地踏勘，项目厂</w:t>
            </w:r>
            <w:r>
              <w:rPr>
                <w:rFonts w:hint="default" w:ascii="Times New Roman" w:hAnsi="Times New Roman" w:eastAsia="宋体" w:cs="Times New Roman"/>
                <w:color w:val="auto"/>
                <w:kern w:val="28"/>
                <w:sz w:val="21"/>
                <w:szCs w:val="21"/>
                <w:highlight w:val="none"/>
                <w:lang w:val="en-US" w:eastAsia="zh-CN"/>
              </w:rPr>
              <w:t>界外50米范围</w:t>
            </w:r>
            <w:r>
              <w:rPr>
                <w:rFonts w:hint="default" w:ascii="宋体" w:hAnsi="宋体" w:eastAsia="宋体" w:cs="宋体"/>
                <w:color w:val="auto"/>
                <w:kern w:val="28"/>
                <w:sz w:val="21"/>
                <w:szCs w:val="21"/>
                <w:highlight w:val="none"/>
                <w:lang w:val="en-US" w:eastAsia="zh-CN"/>
              </w:rPr>
              <w:t>内</w:t>
            </w:r>
            <w:r>
              <w:rPr>
                <w:rFonts w:hint="eastAsia" w:ascii="宋体" w:hAnsi="宋体" w:cs="宋体"/>
                <w:color w:val="auto"/>
                <w:kern w:val="28"/>
                <w:sz w:val="21"/>
                <w:szCs w:val="21"/>
                <w:highlight w:val="none"/>
                <w:lang w:val="en-US" w:eastAsia="zh-CN"/>
              </w:rPr>
              <w:t>无</w:t>
            </w:r>
            <w:r>
              <w:rPr>
                <w:rFonts w:hint="default" w:ascii="宋体" w:hAnsi="宋体" w:eastAsia="宋体" w:cs="宋体"/>
                <w:color w:val="auto"/>
                <w:kern w:val="28"/>
                <w:sz w:val="21"/>
                <w:szCs w:val="21"/>
                <w:highlight w:val="none"/>
                <w:lang w:val="en-US" w:eastAsia="zh-CN"/>
              </w:rPr>
              <w:t>声环境保护目标。</w:t>
            </w:r>
          </w:p>
          <w:p w14:paraId="0516C262">
            <w:pPr>
              <w:keepNext w:val="0"/>
              <w:keepLines w:val="0"/>
              <w:pageBreakBefore w:val="0"/>
              <w:widowControl w:val="0"/>
              <w:kinsoku/>
              <w:wordWrap/>
              <w:overflowPunct/>
              <w:topLinePunct w:val="0"/>
              <w:autoSpaceDE/>
              <w:autoSpaceDN/>
              <w:bidi w:val="0"/>
              <w:adjustRightInd w:val="0"/>
              <w:snapToGrid w:val="0"/>
              <w:spacing w:line="360" w:lineRule="auto"/>
              <w:ind w:left="-72" w:leftChars="-30" w:right="-72" w:rightChars="-30" w:firstLine="482" w:firstLineChars="200"/>
              <w:jc w:val="both"/>
              <w:textAlignment w:val="auto"/>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lang w:val="en-US" w:eastAsia="zh-CN"/>
              </w:rPr>
              <w:t>三、地下水环境</w:t>
            </w:r>
          </w:p>
          <w:p w14:paraId="7247286A">
            <w:pPr>
              <w:autoSpaceDE w:val="0"/>
              <w:autoSpaceDN w:val="0"/>
              <w:adjustRightInd w:val="0"/>
              <w:snapToGrid w:val="0"/>
              <w:ind w:firstLine="420" w:firstLineChars="200"/>
              <w:jc w:val="both"/>
              <w:rPr>
                <w:rFonts w:hint="default" w:ascii="Times New Roman" w:hAnsi="Times New Roman" w:eastAsia="宋体" w:cs="Times New Roman"/>
                <w:b w:val="0"/>
                <w:bCs/>
                <w:color w:val="auto"/>
                <w:kern w:val="0"/>
                <w:sz w:val="21"/>
                <w:szCs w:val="21"/>
                <w:highlight w:val="none"/>
                <w:vertAlign w:val="baseline"/>
                <w:lang w:val="en-US" w:eastAsia="zh-CN"/>
              </w:rPr>
            </w:pPr>
            <w:r>
              <w:rPr>
                <w:rFonts w:hint="default" w:ascii="Times New Roman" w:hAnsi="Times New Roman" w:eastAsia="宋体" w:cs="Times New Roman"/>
                <w:b w:val="0"/>
                <w:bCs/>
                <w:color w:val="auto"/>
                <w:kern w:val="0"/>
                <w:sz w:val="21"/>
                <w:szCs w:val="21"/>
                <w:highlight w:val="none"/>
                <w:vertAlign w:val="baseline"/>
                <w:lang w:val="en-US" w:eastAsia="zh-CN"/>
              </w:rPr>
              <w:t>项目厂界外500米范围内不存在地下水集中式饮用水水源和热水、矿泉水、温泉等特殊地下水资源。</w:t>
            </w:r>
          </w:p>
          <w:p w14:paraId="5320D81D">
            <w:pPr>
              <w:keepNext w:val="0"/>
              <w:keepLines w:val="0"/>
              <w:pageBreakBefore w:val="0"/>
              <w:widowControl w:val="0"/>
              <w:kinsoku/>
              <w:wordWrap/>
              <w:overflowPunct/>
              <w:topLinePunct w:val="0"/>
              <w:autoSpaceDE/>
              <w:autoSpaceDN/>
              <w:bidi w:val="0"/>
              <w:adjustRightInd w:val="0"/>
              <w:snapToGrid w:val="0"/>
              <w:spacing w:line="360" w:lineRule="auto"/>
              <w:ind w:left="-72" w:leftChars="-30" w:right="-72" w:rightChars="-30" w:firstLine="482" w:firstLineChars="200"/>
              <w:jc w:val="both"/>
              <w:textAlignment w:val="auto"/>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lang w:val="en-US" w:eastAsia="zh-CN"/>
              </w:rPr>
              <w:t>四、生态环境</w:t>
            </w:r>
          </w:p>
          <w:p w14:paraId="772DCC89">
            <w:pPr>
              <w:autoSpaceDE w:val="0"/>
              <w:autoSpaceDN w:val="0"/>
              <w:adjustRightInd w:val="0"/>
              <w:snapToGrid w:val="0"/>
              <w:ind w:firstLine="420" w:firstLineChars="200"/>
              <w:jc w:val="both"/>
              <w:rPr>
                <w:rFonts w:hint="default" w:ascii="Times New Roman" w:hAnsi="Times New Roman" w:eastAsia="宋体" w:cs="Times New Roman"/>
                <w:b w:val="0"/>
                <w:bCs/>
                <w:color w:val="auto"/>
                <w:kern w:val="0"/>
                <w:sz w:val="21"/>
                <w:szCs w:val="21"/>
                <w:highlight w:val="none"/>
                <w:vertAlign w:val="baseline"/>
                <w:lang w:val="en-US" w:eastAsia="zh-CN"/>
              </w:rPr>
            </w:pPr>
            <w:r>
              <w:rPr>
                <w:rFonts w:hint="default" w:ascii="Times New Roman" w:hAnsi="Times New Roman" w:eastAsia="宋体" w:cs="Times New Roman"/>
                <w:b w:val="0"/>
                <w:bCs/>
                <w:color w:val="auto"/>
                <w:kern w:val="0"/>
                <w:sz w:val="21"/>
                <w:szCs w:val="21"/>
                <w:highlight w:val="none"/>
                <w:vertAlign w:val="baseline"/>
                <w:lang w:val="en-US" w:eastAsia="zh-CN"/>
              </w:rPr>
              <w:t>项目位于</w:t>
            </w:r>
            <w:r>
              <w:rPr>
                <w:rFonts w:hint="eastAsia" w:cs="Times New Roman"/>
                <w:b w:val="0"/>
                <w:bCs/>
                <w:color w:val="auto"/>
                <w:kern w:val="0"/>
                <w:sz w:val="21"/>
                <w:szCs w:val="21"/>
                <w:highlight w:val="none"/>
                <w:vertAlign w:val="baseline"/>
                <w:lang w:val="en-US" w:eastAsia="zh-CN"/>
              </w:rPr>
              <w:t>*****</w:t>
            </w:r>
            <w:r>
              <w:rPr>
                <w:rFonts w:hint="default" w:ascii="Times New Roman" w:hAnsi="Times New Roman" w:eastAsia="宋体" w:cs="Times New Roman"/>
                <w:b w:val="0"/>
                <w:bCs/>
                <w:color w:val="auto"/>
                <w:kern w:val="0"/>
                <w:sz w:val="21"/>
                <w:szCs w:val="21"/>
                <w:highlight w:val="none"/>
                <w:vertAlign w:val="baseline"/>
                <w:lang w:val="en-US" w:eastAsia="zh-CN"/>
              </w:rPr>
              <w:t>，根据对项目所在地的实地踏勘，项目用地范围内无生态环境保护目标。</w:t>
            </w:r>
          </w:p>
          <w:p w14:paraId="3FEFCE10">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表</w:t>
            </w:r>
            <w:r>
              <w:rPr>
                <w:rFonts w:hint="eastAsia" w:cs="Times New Roman"/>
                <w:b/>
                <w:color w:val="auto"/>
                <w:sz w:val="21"/>
                <w:szCs w:val="21"/>
                <w:highlight w:val="none"/>
                <w:lang w:val="en-US" w:eastAsia="zh-CN"/>
              </w:rPr>
              <w:t>21</w:t>
            </w:r>
            <w:r>
              <w:rPr>
                <w:rFonts w:hint="default" w:ascii="Times New Roman" w:hAnsi="Times New Roman" w:eastAsia="宋体" w:cs="Times New Roman"/>
                <w:b/>
                <w:color w:val="auto"/>
                <w:sz w:val="21"/>
                <w:szCs w:val="21"/>
                <w:highlight w:val="none"/>
              </w:rPr>
              <w:t xml:space="preserve"> 项目环境保护目标</w:t>
            </w:r>
          </w:p>
          <w:p w14:paraId="70D8921E">
            <w:pPr>
              <w:autoSpaceDE w:val="0"/>
              <w:autoSpaceDN w:val="0"/>
              <w:adjustRightInd w:val="0"/>
              <w:snapToGrid w:val="0"/>
              <w:ind w:firstLine="420" w:firstLineChars="200"/>
              <w:jc w:val="both"/>
              <w:rPr>
                <w:rFonts w:hint="default" w:ascii="Times New Roman" w:hAnsi="Times New Roman" w:eastAsia="宋体" w:cs="Times New Roman"/>
                <w:b w:val="0"/>
                <w:bCs/>
                <w:color w:val="auto"/>
                <w:kern w:val="0"/>
                <w:sz w:val="21"/>
                <w:szCs w:val="21"/>
                <w:highlight w:val="none"/>
                <w:vertAlign w:val="baseline"/>
                <w:lang w:val="en-US" w:eastAsia="zh-CN"/>
              </w:rPr>
            </w:pPr>
            <w:r>
              <w:rPr>
                <w:rFonts w:hint="eastAsia" w:cs="Times New Roman"/>
                <w:b w:val="0"/>
                <w:bCs/>
                <w:color w:val="auto"/>
                <w:kern w:val="0"/>
                <w:sz w:val="21"/>
                <w:szCs w:val="21"/>
                <w:highlight w:val="none"/>
                <w:vertAlign w:val="baseline"/>
                <w:lang w:val="en-US" w:eastAsia="zh-CN"/>
              </w:rPr>
              <w:t>*******</w:t>
            </w:r>
          </w:p>
          <w:p w14:paraId="7C3FF02C">
            <w:pPr>
              <w:pStyle w:val="10"/>
              <w:ind w:firstLine="420" w:firstLineChars="200"/>
              <w:jc w:val="both"/>
              <w:rPr>
                <w:rFonts w:hint="default" w:ascii="Times New Roman" w:hAnsi="Times New Roman" w:eastAsia="宋体" w:cs="Times New Roman"/>
                <w:color w:val="0000FF"/>
                <w:kern w:val="0"/>
                <w:sz w:val="21"/>
                <w:szCs w:val="21"/>
                <w:highlight w:val="none"/>
                <w:lang w:val="en-US" w:eastAsia="zh-CN"/>
              </w:rPr>
            </w:pPr>
          </w:p>
        </w:tc>
      </w:tr>
      <w:tr w14:paraId="5224F777">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0" w:type="pct"/>
            <w:tcBorders>
              <w:top w:val="single" w:color="auto" w:sz="4" w:space="0"/>
              <w:left w:val="single" w:color="auto" w:sz="8" w:space="0"/>
              <w:bottom w:val="single" w:color="auto" w:sz="4" w:space="0"/>
              <w:right w:val="single" w:color="auto" w:sz="4" w:space="0"/>
            </w:tcBorders>
            <w:tcMar>
              <w:top w:w="0" w:type="dxa"/>
              <w:left w:w="28" w:type="dxa"/>
              <w:bottom w:w="0" w:type="dxa"/>
              <w:right w:w="28" w:type="dxa"/>
            </w:tcMar>
            <w:vAlign w:val="center"/>
          </w:tcPr>
          <w:p w14:paraId="0A31F2C6">
            <w:pPr>
              <w:adjustRightInd w:val="0"/>
              <w:snapToGrid w:val="0"/>
              <w:spacing w:line="240" w:lineRule="auto"/>
              <w:jc w:val="center"/>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污染</w:t>
            </w:r>
          </w:p>
          <w:p w14:paraId="0A970BA9">
            <w:pPr>
              <w:adjustRightInd w:val="0"/>
              <w:snapToGrid w:val="0"/>
              <w:spacing w:line="240" w:lineRule="auto"/>
              <w:jc w:val="center"/>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物排</w:t>
            </w:r>
          </w:p>
          <w:p w14:paraId="6F3199F1">
            <w:pPr>
              <w:adjustRightInd w:val="0"/>
              <w:snapToGrid w:val="0"/>
              <w:spacing w:line="240" w:lineRule="auto"/>
              <w:jc w:val="center"/>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放控</w:t>
            </w:r>
          </w:p>
          <w:p w14:paraId="1359BD67">
            <w:pPr>
              <w:adjustRightInd w:val="0"/>
              <w:snapToGrid w:val="0"/>
              <w:spacing w:line="240" w:lineRule="auto"/>
              <w:jc w:val="center"/>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制标</w:t>
            </w:r>
          </w:p>
          <w:p w14:paraId="67EF1D35">
            <w:pPr>
              <w:adjustRightInd w:val="0"/>
              <w:snapToGrid w:val="0"/>
              <w:spacing w:line="240" w:lineRule="auto"/>
              <w:jc w:val="center"/>
              <w:rPr>
                <w:rFonts w:hint="default" w:ascii="Times New Roman" w:hAnsi="Times New Roman" w:cs="Times New Roman"/>
                <w:b/>
                <w:bCs/>
                <w:color w:val="0000FF"/>
                <w:kern w:val="0"/>
                <w:sz w:val="21"/>
                <w:szCs w:val="21"/>
                <w:highlight w:val="none"/>
              </w:rPr>
            </w:pPr>
            <w:r>
              <w:rPr>
                <w:rFonts w:hint="default" w:ascii="Times New Roman" w:hAnsi="Times New Roman" w:cs="Times New Roman"/>
                <w:b/>
                <w:bCs/>
                <w:color w:val="auto"/>
                <w:kern w:val="0"/>
                <w:szCs w:val="21"/>
                <w:highlight w:val="none"/>
              </w:rPr>
              <w:t>准</w:t>
            </w:r>
          </w:p>
        </w:tc>
        <w:tc>
          <w:tcPr>
            <w:tcW w:w="4599" w:type="pct"/>
            <w:tcBorders>
              <w:top w:val="single" w:color="auto" w:sz="4" w:space="0"/>
              <w:left w:val="single" w:color="auto" w:sz="4" w:space="0"/>
              <w:bottom w:val="single" w:color="auto" w:sz="4" w:space="0"/>
              <w:right w:val="single" w:color="auto" w:sz="8" w:space="0"/>
            </w:tcBorders>
          </w:tcPr>
          <w:p w14:paraId="424F7287">
            <w:pPr>
              <w:keepNext w:val="0"/>
              <w:keepLines w:val="0"/>
              <w:pageBreakBefore w:val="0"/>
              <w:widowControl w:val="0"/>
              <w:kinsoku/>
              <w:wordWrap/>
              <w:overflowPunct/>
              <w:topLinePunct w:val="0"/>
              <w:autoSpaceDE/>
              <w:autoSpaceDN/>
              <w:bidi w:val="0"/>
              <w:adjustRightInd w:val="0"/>
              <w:snapToGrid w:val="0"/>
              <w:spacing w:line="360" w:lineRule="auto"/>
              <w:ind w:left="-72" w:leftChars="-30" w:right="-72" w:rightChars="-30" w:firstLine="420" w:firstLineChars="200"/>
              <w:jc w:val="both"/>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val="en-US" w:eastAsia="zh-CN"/>
              </w:rPr>
              <w:t>施工期废气执行《施工场界扬尘排放限值》（DB61/1078-2017）中相关标准；</w:t>
            </w:r>
            <w:r>
              <w:rPr>
                <w:rFonts w:hint="default" w:ascii="Times New Roman" w:hAnsi="Times New Roman" w:eastAsia="宋体" w:cs="Times New Roman"/>
                <w:color w:val="auto"/>
                <w:sz w:val="21"/>
                <w:szCs w:val="21"/>
                <w:highlight w:val="none"/>
                <w:lang w:val="en-US" w:eastAsia="zh-CN"/>
              </w:rPr>
              <w:t>运行期排放的</w:t>
            </w:r>
            <w:r>
              <w:rPr>
                <w:rFonts w:hint="eastAsia" w:cs="Times New Roman"/>
                <w:color w:val="auto"/>
                <w:sz w:val="21"/>
                <w:szCs w:val="21"/>
                <w:highlight w:val="none"/>
                <w:lang w:val="en-US" w:eastAsia="zh-CN"/>
              </w:rPr>
              <w:t>废气</w:t>
            </w:r>
            <w:r>
              <w:rPr>
                <w:rFonts w:hint="default" w:ascii="Times New Roman" w:hAnsi="Times New Roman" w:eastAsia="宋体" w:cs="Times New Roman"/>
                <w:color w:val="auto"/>
                <w:sz w:val="21"/>
                <w:szCs w:val="21"/>
                <w:highlight w:val="none"/>
                <w:lang w:val="en-US" w:eastAsia="zh-CN"/>
              </w:rPr>
              <w:t>执行《大气污染物综合排放标准》（GB16297-1996）表2</w:t>
            </w:r>
            <w:r>
              <w:rPr>
                <w:rFonts w:hint="eastAsia" w:ascii="Times New Roman" w:hAnsi="Times New Roman" w:eastAsia="宋体" w:cs="Times New Roman"/>
                <w:color w:val="auto"/>
                <w:sz w:val="21"/>
                <w:szCs w:val="21"/>
                <w:highlight w:val="none"/>
                <w:lang w:val="en-US" w:eastAsia="zh-CN"/>
              </w:rPr>
              <w:t>的</w:t>
            </w:r>
            <w:r>
              <w:rPr>
                <w:rFonts w:hint="default" w:ascii="Times New Roman" w:hAnsi="Times New Roman" w:eastAsia="宋体" w:cs="Times New Roman"/>
                <w:color w:val="auto"/>
                <w:sz w:val="21"/>
                <w:szCs w:val="21"/>
                <w:highlight w:val="none"/>
                <w:lang w:val="en-US" w:eastAsia="zh-CN"/>
              </w:rPr>
              <w:t>限值要求</w:t>
            </w:r>
            <w:r>
              <w:rPr>
                <w:rFonts w:hint="eastAsia" w:cs="Times New Roman"/>
                <w:color w:val="auto"/>
                <w:sz w:val="21"/>
                <w:szCs w:val="21"/>
                <w:highlight w:val="none"/>
                <w:lang w:val="en-US" w:eastAsia="zh-CN"/>
              </w:rPr>
              <w:t>，</w:t>
            </w:r>
            <w:r>
              <w:rPr>
                <w:rFonts w:hint="eastAsia"/>
                <w:color w:val="auto"/>
                <w:sz w:val="21"/>
                <w:szCs w:val="21"/>
                <w:highlight w:val="none"/>
                <w:lang w:val="en-US" w:eastAsia="zh-CN"/>
              </w:rPr>
              <w:t>氨执行</w:t>
            </w:r>
            <w:r>
              <w:rPr>
                <w:rFonts w:hint="eastAsia"/>
                <w:color w:val="auto"/>
                <w:sz w:val="21"/>
                <w:szCs w:val="21"/>
                <w:highlight w:val="none"/>
              </w:rPr>
              <w:t>《恶臭污染物排放标准》（GB14554-93）</w:t>
            </w:r>
            <w:r>
              <w:rPr>
                <w:rFonts w:hint="eastAsia"/>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非甲烷总烃</w:t>
            </w:r>
            <w:r>
              <w:rPr>
                <w:rFonts w:hint="eastAsia"/>
                <w:color w:val="auto"/>
                <w:sz w:val="21"/>
                <w:szCs w:val="21"/>
                <w:highlight w:val="none"/>
              </w:rPr>
              <w:t>厂房外</w:t>
            </w:r>
            <w:r>
              <w:rPr>
                <w:rFonts w:hint="eastAsia" w:ascii="Times New Roman" w:hAnsi="Times New Roman" w:cs="Times New Roman"/>
                <w:color w:val="auto"/>
                <w:sz w:val="21"/>
                <w:szCs w:val="21"/>
                <w:highlight w:val="none"/>
                <w:lang w:val="en-US" w:eastAsia="zh-CN"/>
              </w:rPr>
              <w:t>无组织排放执行</w:t>
            </w:r>
            <w:r>
              <w:rPr>
                <w:rFonts w:hint="eastAsia" w:cs="Times New Roman"/>
                <w:b w:val="0"/>
                <w:bCs/>
                <w:color w:val="auto"/>
                <w:kern w:val="0"/>
                <w:sz w:val="21"/>
                <w:szCs w:val="21"/>
                <w:highlight w:val="none"/>
                <w:vertAlign w:val="baseline"/>
                <w:lang w:val="en-US" w:eastAsia="zh-CN"/>
              </w:rPr>
              <w:t>《</w:t>
            </w:r>
            <w:r>
              <w:rPr>
                <w:rFonts w:hint="default" w:ascii="Times New Roman" w:hAnsi="Times New Roman" w:eastAsia="宋体" w:cs="Times New Roman"/>
                <w:b w:val="0"/>
                <w:bCs/>
                <w:color w:val="auto"/>
                <w:kern w:val="0"/>
                <w:sz w:val="21"/>
                <w:szCs w:val="21"/>
                <w:highlight w:val="none"/>
                <w:vertAlign w:val="baseline"/>
                <w:lang w:val="en-US" w:eastAsia="zh-CN"/>
              </w:rPr>
              <w:t>挥发性有机物无组织排放控制标准</w:t>
            </w:r>
            <w:r>
              <w:rPr>
                <w:rFonts w:hint="eastAsia" w:cs="Times New Roman"/>
                <w:b w:val="0"/>
                <w:bCs/>
                <w:color w:val="auto"/>
                <w:kern w:val="0"/>
                <w:sz w:val="21"/>
                <w:szCs w:val="21"/>
                <w:highlight w:val="none"/>
                <w:vertAlign w:val="baseline"/>
                <w:lang w:val="en-US" w:eastAsia="zh-CN"/>
              </w:rPr>
              <w:t>》（GB37822-2019）</w:t>
            </w:r>
            <w:r>
              <w:rPr>
                <w:rFonts w:hint="eastAsia" w:ascii="Times New Roman" w:hAnsi="Times New Roman" w:eastAsia="宋体" w:cs="Times New Roman"/>
                <w:color w:val="auto"/>
                <w:sz w:val="21"/>
                <w:szCs w:val="21"/>
                <w:highlight w:val="none"/>
                <w:lang w:val="en-US" w:eastAsia="zh-CN"/>
              </w:rPr>
              <w:t>。</w:t>
            </w:r>
          </w:p>
          <w:p w14:paraId="430F0C17">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ascii="Times New Roman" w:hAnsi="Times New Roman" w:eastAsia="宋体" w:cs="Times New Roman"/>
                <w:b/>
                <w:snapToGrid/>
                <w:color w:val="auto"/>
                <w:spacing w:val="0"/>
                <w:kern w:val="2"/>
                <w:sz w:val="21"/>
                <w:szCs w:val="21"/>
                <w:highlight w:val="none"/>
                <w:lang w:val="en-US" w:eastAsia="zh-CN" w:bidi="ar-SA"/>
              </w:rPr>
            </w:pPr>
            <w:r>
              <w:rPr>
                <w:rFonts w:hint="eastAsia" w:ascii="Times New Roman" w:hAnsi="Times New Roman" w:eastAsia="宋体" w:cs="Times New Roman"/>
                <w:b/>
                <w:snapToGrid/>
                <w:color w:val="auto"/>
                <w:spacing w:val="0"/>
                <w:kern w:val="2"/>
                <w:sz w:val="21"/>
                <w:szCs w:val="21"/>
                <w:highlight w:val="none"/>
                <w:lang w:val="en-US" w:eastAsia="zh-CN" w:bidi="ar-SA"/>
              </w:rPr>
              <w:t>表</w:t>
            </w:r>
            <w:r>
              <w:rPr>
                <w:rFonts w:hint="eastAsia" w:cs="Times New Roman"/>
                <w:b/>
                <w:snapToGrid/>
                <w:color w:val="auto"/>
                <w:spacing w:val="0"/>
                <w:kern w:val="2"/>
                <w:sz w:val="21"/>
                <w:szCs w:val="21"/>
                <w:highlight w:val="none"/>
                <w:lang w:val="en-US" w:eastAsia="zh-CN" w:bidi="ar-SA"/>
              </w:rPr>
              <w:t xml:space="preserve">22 </w:t>
            </w:r>
            <w:r>
              <w:rPr>
                <w:rFonts w:hint="eastAsia" w:ascii="Times New Roman" w:hAnsi="Times New Roman" w:eastAsia="宋体" w:cs="Times New Roman"/>
                <w:b/>
                <w:snapToGrid/>
                <w:color w:val="auto"/>
                <w:spacing w:val="0"/>
                <w:kern w:val="2"/>
                <w:sz w:val="21"/>
                <w:szCs w:val="21"/>
                <w:highlight w:val="none"/>
                <w:lang w:val="en-US" w:eastAsia="zh-CN" w:bidi="ar-SA"/>
              </w:rPr>
              <w:t>施工期施工期扬尘排放限值</w:t>
            </w:r>
          </w:p>
          <w:tbl>
            <w:tblPr>
              <w:tblStyle w:val="45"/>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142"/>
              <w:gridCol w:w="1142"/>
              <w:gridCol w:w="2817"/>
              <w:gridCol w:w="2474"/>
            </w:tblGrid>
            <w:tr w14:paraId="0511503B">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48" w:type="pct"/>
                  <w:tcBorders>
                    <w:tl2br w:val="nil"/>
                    <w:tr2bl w:val="nil"/>
                  </w:tcBorders>
                  <w:noWrap w:val="0"/>
                  <w:vAlign w:val="center"/>
                </w:tcPr>
                <w:p w14:paraId="247C02F4">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序号</w:t>
                  </w:r>
                </w:p>
              </w:tc>
              <w:tc>
                <w:tcPr>
                  <w:tcW w:w="686" w:type="pct"/>
                  <w:tcBorders>
                    <w:tl2br w:val="nil"/>
                    <w:tr2bl w:val="nil"/>
                  </w:tcBorders>
                  <w:noWrap w:val="0"/>
                  <w:vAlign w:val="center"/>
                </w:tcPr>
                <w:p w14:paraId="1D495E33">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污染物</w:t>
                  </w:r>
                </w:p>
              </w:tc>
              <w:tc>
                <w:tcPr>
                  <w:tcW w:w="686" w:type="pct"/>
                  <w:tcBorders>
                    <w:tl2br w:val="nil"/>
                    <w:tr2bl w:val="nil"/>
                  </w:tcBorders>
                  <w:noWrap w:val="0"/>
                  <w:vAlign w:val="center"/>
                </w:tcPr>
                <w:p w14:paraId="064B34C0">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监控点</w:t>
                  </w:r>
                </w:p>
              </w:tc>
              <w:tc>
                <w:tcPr>
                  <w:tcW w:w="1693" w:type="pct"/>
                  <w:tcBorders>
                    <w:tl2br w:val="nil"/>
                    <w:tr2bl w:val="nil"/>
                  </w:tcBorders>
                  <w:noWrap w:val="0"/>
                  <w:vAlign w:val="center"/>
                </w:tcPr>
                <w:p w14:paraId="7DBE3C3B">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施工阶段</w:t>
                  </w:r>
                </w:p>
              </w:tc>
              <w:tc>
                <w:tcPr>
                  <w:tcW w:w="1484" w:type="pct"/>
                  <w:tcBorders>
                    <w:tl2br w:val="nil"/>
                    <w:tr2bl w:val="nil"/>
                  </w:tcBorders>
                  <w:noWrap w:val="0"/>
                  <w:vAlign w:val="center"/>
                </w:tcPr>
                <w:p w14:paraId="67C30696">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小时平均浓度限值（mg/m³）</w:t>
                  </w:r>
                </w:p>
              </w:tc>
            </w:tr>
            <w:tr w14:paraId="590CA6A8">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48" w:type="pct"/>
                  <w:tcBorders>
                    <w:tl2br w:val="nil"/>
                    <w:tr2bl w:val="nil"/>
                  </w:tcBorders>
                  <w:noWrap w:val="0"/>
                  <w:vAlign w:val="center"/>
                </w:tcPr>
                <w:p w14:paraId="482D895D">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1</w:t>
                  </w:r>
                </w:p>
              </w:tc>
              <w:tc>
                <w:tcPr>
                  <w:tcW w:w="686" w:type="pct"/>
                  <w:vMerge w:val="restart"/>
                  <w:tcBorders>
                    <w:tl2br w:val="nil"/>
                    <w:tr2bl w:val="nil"/>
                  </w:tcBorders>
                  <w:noWrap w:val="0"/>
                  <w:vAlign w:val="center"/>
                </w:tcPr>
                <w:p w14:paraId="117CCCDA">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施工扬尘（TSP）</w:t>
                  </w:r>
                </w:p>
              </w:tc>
              <w:tc>
                <w:tcPr>
                  <w:tcW w:w="686" w:type="pct"/>
                  <w:vMerge w:val="restart"/>
                  <w:tcBorders>
                    <w:tl2br w:val="nil"/>
                    <w:tr2bl w:val="nil"/>
                  </w:tcBorders>
                  <w:noWrap w:val="0"/>
                  <w:vAlign w:val="center"/>
                </w:tcPr>
                <w:p w14:paraId="55ADEC4B">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周界外浓度最高点</w:t>
                  </w:r>
                </w:p>
              </w:tc>
              <w:tc>
                <w:tcPr>
                  <w:tcW w:w="1693" w:type="pct"/>
                  <w:tcBorders>
                    <w:tl2br w:val="nil"/>
                    <w:tr2bl w:val="nil"/>
                  </w:tcBorders>
                  <w:noWrap w:val="0"/>
                  <w:vAlign w:val="center"/>
                </w:tcPr>
                <w:p w14:paraId="0A839AEB">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拆除、土方及地基处理工程</w:t>
                  </w:r>
                </w:p>
              </w:tc>
              <w:tc>
                <w:tcPr>
                  <w:tcW w:w="1484" w:type="pct"/>
                  <w:tcBorders>
                    <w:tl2br w:val="nil"/>
                    <w:tr2bl w:val="nil"/>
                  </w:tcBorders>
                  <w:noWrap w:val="0"/>
                  <w:vAlign w:val="center"/>
                </w:tcPr>
                <w:p w14:paraId="188DFC05">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≤0.8</w:t>
                  </w:r>
                </w:p>
              </w:tc>
            </w:tr>
            <w:tr w14:paraId="7B3A31FD">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48" w:type="pct"/>
                  <w:tcBorders>
                    <w:tl2br w:val="nil"/>
                    <w:tr2bl w:val="nil"/>
                  </w:tcBorders>
                  <w:noWrap w:val="0"/>
                  <w:vAlign w:val="center"/>
                </w:tcPr>
                <w:p w14:paraId="53202021">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2</w:t>
                  </w:r>
                </w:p>
              </w:tc>
              <w:tc>
                <w:tcPr>
                  <w:tcW w:w="686" w:type="pct"/>
                  <w:vMerge w:val="continue"/>
                  <w:tcBorders>
                    <w:tl2br w:val="nil"/>
                    <w:tr2bl w:val="nil"/>
                  </w:tcBorders>
                  <w:noWrap w:val="0"/>
                  <w:vAlign w:val="center"/>
                </w:tcPr>
                <w:p w14:paraId="58DA812E">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ascii="Times New Roman" w:hAnsi="Times New Roman" w:eastAsia="宋体" w:cs="Times New Roman"/>
                      <w:color w:val="auto"/>
                      <w:kern w:val="0"/>
                      <w:sz w:val="21"/>
                      <w:szCs w:val="21"/>
                      <w:highlight w:val="none"/>
                    </w:rPr>
                  </w:pPr>
                </w:p>
              </w:tc>
              <w:tc>
                <w:tcPr>
                  <w:tcW w:w="686" w:type="pct"/>
                  <w:vMerge w:val="continue"/>
                  <w:tcBorders>
                    <w:tl2br w:val="nil"/>
                    <w:tr2bl w:val="nil"/>
                  </w:tcBorders>
                  <w:noWrap w:val="0"/>
                  <w:vAlign w:val="center"/>
                </w:tcPr>
                <w:p w14:paraId="6BDED3E9">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ascii="Times New Roman" w:hAnsi="Times New Roman" w:eastAsia="宋体" w:cs="Times New Roman"/>
                      <w:color w:val="auto"/>
                      <w:kern w:val="0"/>
                      <w:sz w:val="21"/>
                      <w:szCs w:val="21"/>
                      <w:highlight w:val="none"/>
                    </w:rPr>
                  </w:pPr>
                </w:p>
              </w:tc>
              <w:tc>
                <w:tcPr>
                  <w:tcW w:w="1693" w:type="pct"/>
                  <w:tcBorders>
                    <w:tl2br w:val="nil"/>
                    <w:tr2bl w:val="nil"/>
                  </w:tcBorders>
                  <w:noWrap w:val="0"/>
                  <w:vAlign w:val="center"/>
                </w:tcPr>
                <w:p w14:paraId="7A09F18C">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基础、主体结构及装饰工</w:t>
                  </w:r>
                </w:p>
              </w:tc>
              <w:tc>
                <w:tcPr>
                  <w:tcW w:w="1484" w:type="pct"/>
                  <w:tcBorders>
                    <w:tl2br w:val="nil"/>
                    <w:tr2bl w:val="nil"/>
                  </w:tcBorders>
                  <w:noWrap w:val="0"/>
                  <w:vAlign w:val="center"/>
                </w:tcPr>
                <w:p w14:paraId="574CF886">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≤0.7</w:t>
                  </w:r>
                </w:p>
              </w:tc>
            </w:tr>
            <w:tr w14:paraId="5501D98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0" w:type="pct"/>
                  <w:gridSpan w:val="5"/>
                  <w:tcBorders>
                    <w:tl2br w:val="nil"/>
                    <w:tr2bl w:val="nil"/>
                  </w:tcBorders>
                  <w:noWrap w:val="0"/>
                  <w:vAlign w:val="center"/>
                </w:tcPr>
                <w:p w14:paraId="590BAF9D">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周界外浓度最高点一般应设置于无组织排放源下风向的单位周界外10m范围内，若预计无组织排放的最大落地浓度点超出10m范围，可将监控点移至该预计浓度最高点附近。</w:t>
                  </w:r>
                </w:p>
              </w:tc>
            </w:tr>
          </w:tbl>
          <w:p w14:paraId="18911549">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default"/>
                <w:b/>
                <w:bCs/>
                <w:color w:val="auto"/>
                <w:highlight w:val="none"/>
                <w:lang w:val="en-US"/>
              </w:rPr>
            </w:pPr>
            <w:r>
              <w:rPr>
                <w:rFonts w:hint="eastAsia" w:ascii="Times New Roman" w:hAnsi="Times New Roman" w:eastAsia="宋体" w:cs="Times New Roman"/>
                <w:b/>
                <w:snapToGrid/>
                <w:color w:val="auto"/>
                <w:spacing w:val="0"/>
                <w:kern w:val="2"/>
                <w:sz w:val="21"/>
                <w:szCs w:val="21"/>
                <w:highlight w:val="none"/>
                <w:lang w:val="en-US" w:eastAsia="zh-CN" w:bidi="ar-SA"/>
              </w:rPr>
              <w:t>表</w:t>
            </w:r>
            <w:r>
              <w:rPr>
                <w:rFonts w:hint="eastAsia" w:cs="Times New Roman"/>
                <w:b/>
                <w:snapToGrid/>
                <w:color w:val="auto"/>
                <w:spacing w:val="0"/>
                <w:kern w:val="2"/>
                <w:sz w:val="21"/>
                <w:szCs w:val="21"/>
                <w:highlight w:val="none"/>
                <w:lang w:val="en-US" w:eastAsia="zh-CN" w:bidi="ar-SA"/>
              </w:rPr>
              <w:t>23</w:t>
            </w:r>
            <w:r>
              <w:rPr>
                <w:rFonts w:hint="eastAsia" w:ascii="Times New Roman" w:hAnsi="Times New Roman" w:eastAsia="宋体" w:cs="Times New Roman"/>
                <w:b/>
                <w:snapToGrid/>
                <w:color w:val="auto"/>
                <w:spacing w:val="0"/>
                <w:kern w:val="2"/>
                <w:sz w:val="21"/>
                <w:szCs w:val="21"/>
                <w:highlight w:val="none"/>
                <w:lang w:val="en-US" w:eastAsia="zh-CN" w:bidi="ar-SA"/>
              </w:rPr>
              <w:t xml:space="preserve"> 污染物排放标准</w:t>
            </w:r>
            <w:r>
              <w:rPr>
                <w:rFonts w:hint="eastAsia" w:cs="Times New Roman"/>
                <w:b/>
                <w:snapToGrid/>
                <w:color w:val="auto"/>
                <w:spacing w:val="0"/>
                <w:kern w:val="2"/>
                <w:sz w:val="21"/>
                <w:szCs w:val="21"/>
                <w:highlight w:val="none"/>
                <w:lang w:val="en-US" w:eastAsia="zh-CN" w:bidi="ar-SA"/>
              </w:rPr>
              <w:t>限值</w:t>
            </w:r>
          </w:p>
          <w:tbl>
            <w:tblPr>
              <w:tblStyle w:val="45"/>
              <w:tblW w:w="4995"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941"/>
              <w:gridCol w:w="1258"/>
              <w:gridCol w:w="1040"/>
              <w:gridCol w:w="1087"/>
              <w:gridCol w:w="723"/>
              <w:gridCol w:w="873"/>
              <w:gridCol w:w="751"/>
              <w:gridCol w:w="1644"/>
            </w:tblGrid>
            <w:tr w14:paraId="1E1BE7AD">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65" w:type="pct"/>
                  <w:vMerge w:val="restart"/>
                  <w:tcBorders>
                    <w:tl2br w:val="nil"/>
                    <w:tr2bl w:val="nil"/>
                  </w:tcBorders>
                  <w:noWrap w:val="0"/>
                  <w:vAlign w:val="center"/>
                </w:tcPr>
                <w:p w14:paraId="00C9EB85">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b/>
                      <w:color w:val="auto"/>
                      <w:kern w:val="0"/>
                      <w:sz w:val="21"/>
                      <w:szCs w:val="21"/>
                      <w:highlight w:val="none"/>
                    </w:rPr>
                  </w:pPr>
                  <w:r>
                    <w:rPr>
                      <w:rFonts w:hint="eastAsia"/>
                      <w:b/>
                      <w:color w:val="auto"/>
                      <w:kern w:val="0"/>
                      <w:sz w:val="21"/>
                      <w:szCs w:val="21"/>
                      <w:highlight w:val="none"/>
                    </w:rPr>
                    <w:t>污染物</w:t>
                  </w:r>
                </w:p>
              </w:tc>
              <w:tc>
                <w:tcPr>
                  <w:tcW w:w="756" w:type="pct"/>
                  <w:vMerge w:val="restart"/>
                  <w:tcBorders>
                    <w:tl2br w:val="nil"/>
                    <w:tr2bl w:val="nil"/>
                  </w:tcBorders>
                  <w:noWrap w:val="0"/>
                  <w:vAlign w:val="center"/>
                </w:tcPr>
                <w:p w14:paraId="4B729FC6">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b/>
                      <w:color w:val="auto"/>
                      <w:kern w:val="0"/>
                      <w:sz w:val="21"/>
                      <w:szCs w:val="21"/>
                      <w:highlight w:val="none"/>
                    </w:rPr>
                  </w:pPr>
                  <w:r>
                    <w:rPr>
                      <w:rFonts w:hint="eastAsia"/>
                      <w:b/>
                      <w:color w:val="auto"/>
                      <w:kern w:val="0"/>
                      <w:sz w:val="21"/>
                      <w:szCs w:val="21"/>
                      <w:highlight w:val="none"/>
                    </w:rPr>
                    <w:t>最高</w:t>
                  </w:r>
                  <w:r>
                    <w:rPr>
                      <w:b/>
                      <w:color w:val="auto"/>
                      <w:kern w:val="0"/>
                      <w:sz w:val="21"/>
                      <w:szCs w:val="21"/>
                      <w:highlight w:val="none"/>
                    </w:rPr>
                    <w:t>允许排放浓度（</w:t>
                  </w:r>
                  <w:r>
                    <w:rPr>
                      <w:rFonts w:hint="eastAsia"/>
                      <w:b/>
                      <w:color w:val="auto"/>
                      <w:kern w:val="0"/>
                      <w:sz w:val="21"/>
                      <w:szCs w:val="21"/>
                      <w:highlight w:val="none"/>
                    </w:rPr>
                    <w:t>mg/m</w:t>
                  </w:r>
                  <w:r>
                    <w:rPr>
                      <w:rFonts w:hint="eastAsia"/>
                      <w:b/>
                      <w:color w:val="auto"/>
                      <w:kern w:val="0"/>
                      <w:sz w:val="21"/>
                      <w:szCs w:val="21"/>
                      <w:highlight w:val="none"/>
                      <w:vertAlign w:val="superscript"/>
                    </w:rPr>
                    <w:t>3</w:t>
                  </w:r>
                  <w:r>
                    <w:rPr>
                      <w:b/>
                      <w:color w:val="auto"/>
                      <w:kern w:val="0"/>
                      <w:sz w:val="21"/>
                      <w:szCs w:val="21"/>
                      <w:highlight w:val="none"/>
                    </w:rPr>
                    <w:t>）</w:t>
                  </w:r>
                </w:p>
              </w:tc>
              <w:tc>
                <w:tcPr>
                  <w:tcW w:w="1278" w:type="pct"/>
                  <w:gridSpan w:val="2"/>
                  <w:tcBorders>
                    <w:tl2br w:val="nil"/>
                    <w:tr2bl w:val="nil"/>
                  </w:tcBorders>
                  <w:noWrap w:val="0"/>
                  <w:vAlign w:val="center"/>
                </w:tcPr>
                <w:p w14:paraId="5D9EC958">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b/>
                      <w:color w:val="auto"/>
                      <w:kern w:val="0"/>
                      <w:sz w:val="21"/>
                      <w:szCs w:val="21"/>
                      <w:highlight w:val="none"/>
                    </w:rPr>
                  </w:pPr>
                  <w:r>
                    <w:rPr>
                      <w:rFonts w:hint="eastAsia"/>
                      <w:b/>
                      <w:color w:val="auto"/>
                      <w:kern w:val="0"/>
                      <w:sz w:val="21"/>
                      <w:szCs w:val="21"/>
                      <w:highlight w:val="none"/>
                    </w:rPr>
                    <w:t>最高</w:t>
                  </w:r>
                  <w:r>
                    <w:rPr>
                      <w:b/>
                      <w:color w:val="auto"/>
                      <w:kern w:val="0"/>
                      <w:sz w:val="21"/>
                      <w:szCs w:val="21"/>
                      <w:highlight w:val="none"/>
                    </w:rPr>
                    <w:t>允许排放速</w:t>
                  </w:r>
                  <w:r>
                    <w:rPr>
                      <w:b/>
                      <w:color w:val="auto"/>
                      <w:kern w:val="0"/>
                      <w:sz w:val="21"/>
                      <w:szCs w:val="21"/>
                      <w:highlight w:val="none"/>
                    </w:rPr>
                    <w:cr/>
                  </w:r>
                </w:p>
              </w:tc>
              <w:tc>
                <w:tcPr>
                  <w:tcW w:w="1410" w:type="pct"/>
                  <w:gridSpan w:val="3"/>
                  <w:tcBorders>
                    <w:tl2br w:val="nil"/>
                    <w:tr2bl w:val="nil"/>
                  </w:tcBorders>
                  <w:noWrap w:val="0"/>
                  <w:vAlign w:val="center"/>
                </w:tcPr>
                <w:p w14:paraId="7A06A010">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b/>
                      <w:color w:val="auto"/>
                      <w:kern w:val="0"/>
                      <w:sz w:val="21"/>
                      <w:szCs w:val="21"/>
                      <w:highlight w:val="none"/>
                    </w:rPr>
                  </w:pPr>
                  <w:r>
                    <w:rPr>
                      <w:rFonts w:hint="eastAsia"/>
                      <w:b/>
                      <w:color w:val="auto"/>
                      <w:kern w:val="0"/>
                      <w:sz w:val="21"/>
                      <w:szCs w:val="21"/>
                      <w:highlight w:val="none"/>
                    </w:rPr>
                    <w:t>无组织排放</w:t>
                  </w:r>
                </w:p>
              </w:tc>
              <w:tc>
                <w:tcPr>
                  <w:tcW w:w="988" w:type="pct"/>
                  <w:vMerge w:val="restart"/>
                  <w:tcBorders>
                    <w:tl2br w:val="nil"/>
                    <w:tr2bl w:val="nil"/>
                  </w:tcBorders>
                  <w:noWrap w:val="0"/>
                  <w:vAlign w:val="center"/>
                </w:tcPr>
                <w:p w14:paraId="662B3601">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b/>
                      <w:color w:val="auto"/>
                      <w:kern w:val="0"/>
                      <w:sz w:val="21"/>
                      <w:szCs w:val="21"/>
                      <w:highlight w:val="none"/>
                    </w:rPr>
                  </w:pPr>
                  <w:r>
                    <w:rPr>
                      <w:rFonts w:hint="default" w:ascii="Times New Roman" w:hAnsi="Times New Roman" w:eastAsia="宋体" w:cs="Times New Roman"/>
                      <w:b/>
                      <w:bCs/>
                      <w:color w:val="auto"/>
                      <w:sz w:val="21"/>
                      <w:szCs w:val="21"/>
                      <w:highlight w:val="none"/>
                      <w:lang w:val="en-US" w:eastAsia="zh-CN"/>
                    </w:rPr>
                    <w:t>排放标准</w:t>
                  </w:r>
                </w:p>
              </w:tc>
            </w:tr>
            <w:tr w14:paraId="50BE8AB8">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65" w:type="pct"/>
                  <w:vMerge w:val="continue"/>
                  <w:tcBorders>
                    <w:tl2br w:val="nil"/>
                    <w:tr2bl w:val="nil"/>
                  </w:tcBorders>
                  <w:noWrap w:val="0"/>
                  <w:vAlign w:val="center"/>
                </w:tcPr>
                <w:p w14:paraId="1FB845E3">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b/>
                      <w:color w:val="auto"/>
                      <w:kern w:val="0"/>
                      <w:sz w:val="21"/>
                      <w:szCs w:val="21"/>
                      <w:highlight w:val="none"/>
                    </w:rPr>
                  </w:pPr>
                </w:p>
              </w:tc>
              <w:tc>
                <w:tcPr>
                  <w:tcW w:w="756" w:type="pct"/>
                  <w:vMerge w:val="continue"/>
                  <w:tcBorders>
                    <w:tl2br w:val="nil"/>
                    <w:tr2bl w:val="nil"/>
                  </w:tcBorders>
                  <w:noWrap w:val="0"/>
                  <w:vAlign w:val="top"/>
                </w:tcPr>
                <w:p w14:paraId="53F0C33A">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b/>
                      <w:color w:val="auto"/>
                      <w:kern w:val="0"/>
                      <w:sz w:val="21"/>
                      <w:szCs w:val="21"/>
                      <w:highlight w:val="none"/>
                    </w:rPr>
                  </w:pPr>
                </w:p>
              </w:tc>
              <w:tc>
                <w:tcPr>
                  <w:tcW w:w="625" w:type="pct"/>
                  <w:tcBorders>
                    <w:tl2br w:val="nil"/>
                    <w:tr2bl w:val="nil"/>
                  </w:tcBorders>
                  <w:noWrap w:val="0"/>
                  <w:vAlign w:val="center"/>
                </w:tcPr>
                <w:p w14:paraId="72640358">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b/>
                      <w:color w:val="auto"/>
                      <w:kern w:val="0"/>
                      <w:sz w:val="21"/>
                      <w:szCs w:val="21"/>
                      <w:highlight w:val="none"/>
                    </w:rPr>
                  </w:pPr>
                  <w:r>
                    <w:rPr>
                      <w:rFonts w:hint="eastAsia"/>
                      <w:b/>
                      <w:color w:val="auto"/>
                      <w:kern w:val="0"/>
                      <w:sz w:val="21"/>
                      <w:szCs w:val="21"/>
                      <w:highlight w:val="none"/>
                    </w:rPr>
                    <w:t>排气筒</w:t>
                  </w:r>
                  <w:r>
                    <w:rPr>
                      <w:b/>
                      <w:color w:val="auto"/>
                      <w:kern w:val="0"/>
                      <w:sz w:val="21"/>
                      <w:szCs w:val="21"/>
                      <w:highlight w:val="none"/>
                    </w:rPr>
                    <w:t>高度</w:t>
                  </w:r>
                  <w:r>
                    <w:rPr>
                      <w:rFonts w:hint="eastAsia"/>
                      <w:b/>
                      <w:color w:val="auto"/>
                      <w:kern w:val="0"/>
                      <w:sz w:val="21"/>
                      <w:szCs w:val="21"/>
                      <w:highlight w:val="none"/>
                    </w:rPr>
                    <w:t>(m)</w:t>
                  </w:r>
                </w:p>
              </w:tc>
              <w:tc>
                <w:tcPr>
                  <w:tcW w:w="653" w:type="pct"/>
                  <w:tcBorders>
                    <w:tl2br w:val="nil"/>
                    <w:tr2bl w:val="nil"/>
                  </w:tcBorders>
                  <w:noWrap w:val="0"/>
                  <w:vAlign w:val="top"/>
                </w:tcPr>
                <w:p w14:paraId="52ABE94B">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b/>
                      <w:color w:val="auto"/>
                      <w:kern w:val="0"/>
                      <w:sz w:val="21"/>
                      <w:szCs w:val="21"/>
                      <w:highlight w:val="none"/>
                    </w:rPr>
                  </w:pPr>
                  <w:r>
                    <w:rPr>
                      <w:rFonts w:hint="eastAsia"/>
                      <w:b/>
                      <w:color w:val="auto"/>
                      <w:kern w:val="0"/>
                      <w:sz w:val="21"/>
                      <w:szCs w:val="21"/>
                      <w:highlight w:val="none"/>
                    </w:rPr>
                    <w:t>排放</w:t>
                  </w:r>
                  <w:r>
                    <w:rPr>
                      <w:b/>
                      <w:color w:val="auto"/>
                      <w:kern w:val="0"/>
                      <w:sz w:val="21"/>
                      <w:szCs w:val="21"/>
                      <w:highlight w:val="none"/>
                    </w:rPr>
                    <w:t>速率（</w:t>
                  </w:r>
                  <w:r>
                    <w:rPr>
                      <w:rFonts w:hint="eastAsia"/>
                      <w:b/>
                      <w:color w:val="auto"/>
                      <w:kern w:val="0"/>
                      <w:sz w:val="21"/>
                      <w:szCs w:val="21"/>
                      <w:highlight w:val="none"/>
                    </w:rPr>
                    <w:t>kg/h</w:t>
                  </w:r>
                  <w:r>
                    <w:rPr>
                      <w:b/>
                      <w:color w:val="auto"/>
                      <w:kern w:val="0"/>
                      <w:sz w:val="21"/>
                      <w:szCs w:val="21"/>
                      <w:highlight w:val="none"/>
                    </w:rPr>
                    <w:t>）</w:t>
                  </w:r>
                </w:p>
              </w:tc>
              <w:tc>
                <w:tcPr>
                  <w:tcW w:w="959" w:type="pct"/>
                  <w:gridSpan w:val="2"/>
                  <w:tcBorders>
                    <w:tl2br w:val="nil"/>
                    <w:tr2bl w:val="nil"/>
                  </w:tcBorders>
                  <w:noWrap w:val="0"/>
                  <w:vAlign w:val="center"/>
                </w:tcPr>
                <w:p w14:paraId="2310D8A8">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b/>
                      <w:color w:val="auto"/>
                      <w:kern w:val="0"/>
                      <w:sz w:val="21"/>
                      <w:szCs w:val="21"/>
                      <w:highlight w:val="none"/>
                    </w:rPr>
                  </w:pPr>
                  <w:r>
                    <w:rPr>
                      <w:rFonts w:hint="eastAsia"/>
                      <w:b/>
                      <w:color w:val="auto"/>
                      <w:kern w:val="0"/>
                      <w:sz w:val="21"/>
                      <w:szCs w:val="21"/>
                      <w:highlight w:val="none"/>
                    </w:rPr>
                    <w:t>监控点</w:t>
                  </w:r>
                </w:p>
              </w:tc>
              <w:tc>
                <w:tcPr>
                  <w:tcW w:w="451" w:type="pct"/>
                  <w:tcBorders>
                    <w:tl2br w:val="nil"/>
                    <w:tr2bl w:val="nil"/>
                  </w:tcBorders>
                  <w:noWrap w:val="0"/>
                  <w:vAlign w:val="center"/>
                </w:tcPr>
                <w:p w14:paraId="5D23BE40">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b/>
                      <w:color w:val="auto"/>
                      <w:kern w:val="0"/>
                      <w:sz w:val="21"/>
                      <w:szCs w:val="21"/>
                      <w:highlight w:val="none"/>
                    </w:rPr>
                  </w:pPr>
                  <w:r>
                    <w:rPr>
                      <w:rFonts w:hint="eastAsia"/>
                      <w:b/>
                      <w:color w:val="auto"/>
                      <w:kern w:val="0"/>
                      <w:sz w:val="21"/>
                      <w:szCs w:val="21"/>
                      <w:highlight w:val="none"/>
                    </w:rPr>
                    <w:t>监控浓度</w:t>
                  </w:r>
                </w:p>
                <w:p w14:paraId="3BCD2125">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b/>
                      <w:color w:val="auto"/>
                      <w:kern w:val="0"/>
                      <w:sz w:val="21"/>
                      <w:szCs w:val="21"/>
                      <w:highlight w:val="none"/>
                    </w:rPr>
                  </w:pPr>
                  <w:r>
                    <w:rPr>
                      <w:b/>
                      <w:color w:val="auto"/>
                      <w:kern w:val="0"/>
                      <w:sz w:val="21"/>
                      <w:szCs w:val="21"/>
                      <w:highlight w:val="none"/>
                    </w:rPr>
                    <w:t>（</w:t>
                  </w:r>
                  <w:r>
                    <w:rPr>
                      <w:rFonts w:hint="eastAsia"/>
                      <w:b/>
                      <w:color w:val="auto"/>
                      <w:kern w:val="0"/>
                      <w:sz w:val="21"/>
                      <w:szCs w:val="21"/>
                      <w:highlight w:val="none"/>
                    </w:rPr>
                    <w:t>mg/m</w:t>
                  </w:r>
                  <w:r>
                    <w:rPr>
                      <w:rFonts w:hint="eastAsia"/>
                      <w:b/>
                      <w:color w:val="auto"/>
                      <w:kern w:val="0"/>
                      <w:sz w:val="21"/>
                      <w:szCs w:val="21"/>
                      <w:highlight w:val="none"/>
                      <w:vertAlign w:val="superscript"/>
                    </w:rPr>
                    <w:t>3</w:t>
                  </w:r>
                  <w:r>
                    <w:rPr>
                      <w:b/>
                      <w:color w:val="auto"/>
                      <w:kern w:val="0"/>
                      <w:sz w:val="21"/>
                      <w:szCs w:val="21"/>
                      <w:highlight w:val="none"/>
                    </w:rPr>
                    <w:t>）</w:t>
                  </w:r>
                </w:p>
              </w:tc>
              <w:tc>
                <w:tcPr>
                  <w:tcW w:w="988" w:type="pct"/>
                  <w:vMerge w:val="continue"/>
                  <w:tcBorders>
                    <w:tl2br w:val="nil"/>
                    <w:tr2bl w:val="nil"/>
                  </w:tcBorders>
                  <w:noWrap w:val="0"/>
                  <w:vAlign w:val="center"/>
                </w:tcPr>
                <w:p w14:paraId="7DEFEF6E">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b/>
                      <w:color w:val="auto"/>
                      <w:kern w:val="0"/>
                      <w:sz w:val="21"/>
                      <w:szCs w:val="21"/>
                      <w:highlight w:val="none"/>
                    </w:rPr>
                  </w:pPr>
                </w:p>
              </w:tc>
            </w:tr>
            <w:tr w14:paraId="022CCE5B">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565" w:type="pct"/>
                  <w:tcBorders>
                    <w:tl2br w:val="nil"/>
                    <w:tr2bl w:val="nil"/>
                  </w:tcBorders>
                  <w:noWrap w:val="0"/>
                  <w:vAlign w:val="center"/>
                </w:tcPr>
                <w:p w14:paraId="1AF63F97">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color w:val="auto"/>
                      <w:kern w:val="0"/>
                      <w:sz w:val="21"/>
                      <w:szCs w:val="21"/>
                      <w:highlight w:val="none"/>
                    </w:rPr>
                  </w:pPr>
                  <w:r>
                    <w:rPr>
                      <w:rFonts w:hint="eastAsia"/>
                      <w:color w:val="auto"/>
                      <w:kern w:val="0"/>
                      <w:sz w:val="21"/>
                      <w:szCs w:val="21"/>
                      <w:highlight w:val="none"/>
                    </w:rPr>
                    <w:t>硫酸雾</w:t>
                  </w:r>
                </w:p>
              </w:tc>
              <w:tc>
                <w:tcPr>
                  <w:tcW w:w="756" w:type="pct"/>
                  <w:tcBorders>
                    <w:tl2br w:val="nil"/>
                    <w:tr2bl w:val="nil"/>
                  </w:tcBorders>
                  <w:noWrap w:val="0"/>
                  <w:vAlign w:val="center"/>
                </w:tcPr>
                <w:p w14:paraId="61E6FA43">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color w:val="auto"/>
                      <w:kern w:val="0"/>
                      <w:sz w:val="21"/>
                      <w:szCs w:val="21"/>
                      <w:highlight w:val="none"/>
                    </w:rPr>
                  </w:pPr>
                  <w:r>
                    <w:rPr>
                      <w:rFonts w:hint="eastAsia"/>
                      <w:color w:val="auto"/>
                      <w:kern w:val="0"/>
                      <w:sz w:val="21"/>
                      <w:szCs w:val="21"/>
                      <w:highlight w:val="none"/>
                    </w:rPr>
                    <w:t>45</w:t>
                  </w:r>
                </w:p>
              </w:tc>
              <w:tc>
                <w:tcPr>
                  <w:tcW w:w="625" w:type="pct"/>
                  <w:vMerge w:val="restart"/>
                  <w:tcBorders>
                    <w:tl2br w:val="nil"/>
                    <w:tr2bl w:val="nil"/>
                  </w:tcBorders>
                  <w:noWrap w:val="0"/>
                  <w:vAlign w:val="center"/>
                </w:tcPr>
                <w:p w14:paraId="19191AC1">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default" w:eastAsia="宋体"/>
                      <w:color w:val="auto"/>
                      <w:kern w:val="0"/>
                      <w:sz w:val="21"/>
                      <w:szCs w:val="21"/>
                      <w:highlight w:val="none"/>
                      <w:lang w:val="en-US" w:eastAsia="zh-CN"/>
                    </w:rPr>
                  </w:pPr>
                  <w:r>
                    <w:rPr>
                      <w:rFonts w:hint="eastAsia"/>
                      <w:color w:val="auto"/>
                      <w:kern w:val="0"/>
                      <w:sz w:val="21"/>
                      <w:szCs w:val="21"/>
                      <w:highlight w:val="none"/>
                      <w:lang w:val="en-US" w:eastAsia="zh-CN"/>
                    </w:rPr>
                    <w:t>15</w:t>
                  </w:r>
                </w:p>
              </w:tc>
              <w:tc>
                <w:tcPr>
                  <w:tcW w:w="653" w:type="pct"/>
                  <w:tcBorders>
                    <w:tl2br w:val="nil"/>
                    <w:tr2bl w:val="nil"/>
                  </w:tcBorders>
                  <w:noWrap w:val="0"/>
                  <w:vAlign w:val="center"/>
                </w:tcPr>
                <w:p w14:paraId="6E7D7BF2">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color w:val="auto"/>
                      <w:kern w:val="0"/>
                      <w:sz w:val="21"/>
                      <w:szCs w:val="21"/>
                      <w:highlight w:val="none"/>
                    </w:rPr>
                  </w:pPr>
                  <w:r>
                    <w:rPr>
                      <w:rFonts w:hint="eastAsia"/>
                      <w:color w:val="auto"/>
                      <w:kern w:val="0"/>
                      <w:sz w:val="21"/>
                      <w:szCs w:val="21"/>
                      <w:highlight w:val="none"/>
                    </w:rPr>
                    <w:t>0.75*</w:t>
                  </w:r>
                </w:p>
              </w:tc>
              <w:tc>
                <w:tcPr>
                  <w:tcW w:w="959" w:type="pct"/>
                  <w:gridSpan w:val="2"/>
                  <w:vMerge w:val="restart"/>
                  <w:tcBorders>
                    <w:tl2br w:val="nil"/>
                    <w:tr2bl w:val="nil"/>
                  </w:tcBorders>
                  <w:noWrap w:val="0"/>
                  <w:vAlign w:val="center"/>
                </w:tcPr>
                <w:p w14:paraId="6AC841E6">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color w:val="auto"/>
                      <w:kern w:val="0"/>
                      <w:sz w:val="21"/>
                      <w:szCs w:val="21"/>
                      <w:highlight w:val="none"/>
                    </w:rPr>
                  </w:pPr>
                  <w:r>
                    <w:rPr>
                      <w:rFonts w:hint="eastAsia"/>
                      <w:color w:val="auto"/>
                      <w:kern w:val="0"/>
                      <w:sz w:val="21"/>
                      <w:szCs w:val="21"/>
                      <w:highlight w:val="none"/>
                    </w:rPr>
                    <w:t>周界外浓度最高点</w:t>
                  </w:r>
                </w:p>
              </w:tc>
              <w:tc>
                <w:tcPr>
                  <w:tcW w:w="451" w:type="pct"/>
                  <w:tcBorders>
                    <w:tl2br w:val="nil"/>
                    <w:tr2bl w:val="nil"/>
                  </w:tcBorders>
                  <w:noWrap w:val="0"/>
                  <w:vAlign w:val="center"/>
                </w:tcPr>
                <w:p w14:paraId="5303ABF8">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color w:val="auto"/>
                      <w:kern w:val="0"/>
                      <w:sz w:val="21"/>
                      <w:szCs w:val="21"/>
                      <w:highlight w:val="none"/>
                    </w:rPr>
                  </w:pPr>
                  <w:r>
                    <w:rPr>
                      <w:rFonts w:hint="eastAsia"/>
                      <w:color w:val="auto"/>
                      <w:kern w:val="0"/>
                      <w:sz w:val="21"/>
                      <w:szCs w:val="21"/>
                      <w:highlight w:val="none"/>
                    </w:rPr>
                    <w:t>1.2</w:t>
                  </w:r>
                </w:p>
              </w:tc>
              <w:tc>
                <w:tcPr>
                  <w:tcW w:w="988" w:type="pct"/>
                  <w:vMerge w:val="restart"/>
                  <w:tcBorders>
                    <w:tl2br w:val="nil"/>
                    <w:tr2bl w:val="nil"/>
                  </w:tcBorders>
                  <w:noWrap w:val="0"/>
                  <w:vAlign w:val="center"/>
                </w:tcPr>
                <w:p w14:paraId="5E5BB050">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color w:val="auto"/>
                      <w:kern w:val="0"/>
                      <w:sz w:val="21"/>
                      <w:szCs w:val="21"/>
                      <w:highlight w:val="none"/>
                    </w:rPr>
                  </w:pPr>
                  <w:r>
                    <w:rPr>
                      <w:rFonts w:hint="eastAsia"/>
                      <w:color w:val="auto"/>
                      <w:kern w:val="0"/>
                      <w:sz w:val="21"/>
                      <w:szCs w:val="21"/>
                      <w:highlight w:val="none"/>
                    </w:rPr>
                    <w:t>《大气污染物综合排放标准》（GB16297-1996）</w:t>
                  </w:r>
                </w:p>
              </w:tc>
            </w:tr>
            <w:tr w14:paraId="377D6C57">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65" w:type="pct"/>
                  <w:tcBorders>
                    <w:tl2br w:val="nil"/>
                    <w:tr2bl w:val="nil"/>
                  </w:tcBorders>
                  <w:noWrap w:val="0"/>
                  <w:vAlign w:val="center"/>
                </w:tcPr>
                <w:p w14:paraId="0DA6C238">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color w:val="auto"/>
                      <w:kern w:val="0"/>
                      <w:sz w:val="21"/>
                      <w:szCs w:val="21"/>
                      <w:highlight w:val="none"/>
                    </w:rPr>
                  </w:pPr>
                  <w:r>
                    <w:rPr>
                      <w:rFonts w:hint="eastAsia"/>
                      <w:color w:val="auto"/>
                      <w:kern w:val="0"/>
                      <w:sz w:val="21"/>
                      <w:szCs w:val="21"/>
                      <w:highlight w:val="none"/>
                    </w:rPr>
                    <w:t>氯化氢</w:t>
                  </w:r>
                </w:p>
              </w:tc>
              <w:tc>
                <w:tcPr>
                  <w:tcW w:w="756" w:type="pct"/>
                  <w:tcBorders>
                    <w:tl2br w:val="nil"/>
                    <w:tr2bl w:val="nil"/>
                  </w:tcBorders>
                  <w:noWrap w:val="0"/>
                  <w:vAlign w:val="center"/>
                </w:tcPr>
                <w:p w14:paraId="7657B12B">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color w:val="auto"/>
                      <w:kern w:val="0"/>
                      <w:sz w:val="21"/>
                      <w:szCs w:val="21"/>
                      <w:highlight w:val="none"/>
                    </w:rPr>
                  </w:pPr>
                  <w:r>
                    <w:rPr>
                      <w:rFonts w:hint="eastAsia"/>
                      <w:color w:val="auto"/>
                      <w:kern w:val="0"/>
                      <w:sz w:val="21"/>
                      <w:szCs w:val="21"/>
                      <w:highlight w:val="none"/>
                    </w:rPr>
                    <w:t>100</w:t>
                  </w:r>
                </w:p>
              </w:tc>
              <w:tc>
                <w:tcPr>
                  <w:tcW w:w="625" w:type="pct"/>
                  <w:vMerge w:val="continue"/>
                  <w:tcBorders>
                    <w:tl2br w:val="nil"/>
                    <w:tr2bl w:val="nil"/>
                  </w:tcBorders>
                  <w:noWrap w:val="0"/>
                  <w:vAlign w:val="center"/>
                </w:tcPr>
                <w:p w14:paraId="0E9836E9">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color w:val="auto"/>
                      <w:kern w:val="0"/>
                      <w:sz w:val="21"/>
                      <w:szCs w:val="21"/>
                      <w:highlight w:val="none"/>
                    </w:rPr>
                  </w:pPr>
                </w:p>
              </w:tc>
              <w:tc>
                <w:tcPr>
                  <w:tcW w:w="653" w:type="pct"/>
                  <w:tcBorders>
                    <w:tl2br w:val="nil"/>
                    <w:tr2bl w:val="nil"/>
                  </w:tcBorders>
                  <w:noWrap w:val="0"/>
                  <w:vAlign w:val="center"/>
                </w:tcPr>
                <w:p w14:paraId="3D512278">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color w:val="auto"/>
                      <w:kern w:val="0"/>
                      <w:sz w:val="21"/>
                      <w:szCs w:val="21"/>
                      <w:highlight w:val="none"/>
                    </w:rPr>
                  </w:pPr>
                  <w:r>
                    <w:rPr>
                      <w:rFonts w:hint="eastAsia"/>
                      <w:color w:val="auto"/>
                      <w:kern w:val="0"/>
                      <w:sz w:val="21"/>
                      <w:szCs w:val="21"/>
                      <w:highlight w:val="none"/>
                    </w:rPr>
                    <w:t>0.13*</w:t>
                  </w:r>
                </w:p>
              </w:tc>
              <w:tc>
                <w:tcPr>
                  <w:tcW w:w="959" w:type="pct"/>
                  <w:gridSpan w:val="2"/>
                  <w:vMerge w:val="continue"/>
                  <w:tcBorders>
                    <w:tl2br w:val="nil"/>
                    <w:tr2bl w:val="nil"/>
                  </w:tcBorders>
                  <w:noWrap w:val="0"/>
                  <w:vAlign w:val="center"/>
                </w:tcPr>
                <w:p w14:paraId="711002BB">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color w:val="auto"/>
                      <w:kern w:val="0"/>
                      <w:sz w:val="21"/>
                      <w:szCs w:val="21"/>
                      <w:highlight w:val="none"/>
                    </w:rPr>
                  </w:pPr>
                </w:p>
              </w:tc>
              <w:tc>
                <w:tcPr>
                  <w:tcW w:w="451" w:type="pct"/>
                  <w:tcBorders>
                    <w:tl2br w:val="nil"/>
                    <w:tr2bl w:val="nil"/>
                  </w:tcBorders>
                  <w:noWrap w:val="0"/>
                  <w:vAlign w:val="center"/>
                </w:tcPr>
                <w:p w14:paraId="1A6ADBFE">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color w:val="auto"/>
                      <w:kern w:val="0"/>
                      <w:sz w:val="21"/>
                      <w:szCs w:val="21"/>
                      <w:highlight w:val="none"/>
                    </w:rPr>
                  </w:pPr>
                  <w:r>
                    <w:rPr>
                      <w:rFonts w:hint="eastAsia"/>
                      <w:color w:val="auto"/>
                      <w:kern w:val="0"/>
                      <w:sz w:val="21"/>
                      <w:szCs w:val="21"/>
                      <w:highlight w:val="none"/>
                    </w:rPr>
                    <w:t>0.20</w:t>
                  </w:r>
                </w:p>
              </w:tc>
              <w:tc>
                <w:tcPr>
                  <w:tcW w:w="988" w:type="pct"/>
                  <w:vMerge w:val="continue"/>
                  <w:tcBorders>
                    <w:tl2br w:val="nil"/>
                    <w:tr2bl w:val="nil"/>
                  </w:tcBorders>
                  <w:noWrap w:val="0"/>
                  <w:vAlign w:val="center"/>
                </w:tcPr>
                <w:p w14:paraId="2C1121D2">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color w:val="auto"/>
                      <w:kern w:val="0"/>
                      <w:sz w:val="21"/>
                      <w:szCs w:val="21"/>
                      <w:highlight w:val="none"/>
                    </w:rPr>
                  </w:pPr>
                </w:p>
              </w:tc>
            </w:tr>
            <w:tr w14:paraId="2A907E52">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65" w:type="pct"/>
                  <w:tcBorders>
                    <w:tl2br w:val="nil"/>
                    <w:tr2bl w:val="nil"/>
                  </w:tcBorders>
                  <w:noWrap w:val="0"/>
                  <w:vAlign w:val="center"/>
                </w:tcPr>
                <w:p w14:paraId="33302E3F">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eastAsia="宋体"/>
                      <w:color w:val="auto"/>
                      <w:kern w:val="0"/>
                      <w:sz w:val="21"/>
                      <w:szCs w:val="21"/>
                      <w:highlight w:val="none"/>
                      <w:lang w:val="en-US" w:eastAsia="zh-CN"/>
                    </w:rPr>
                  </w:pPr>
                  <w:r>
                    <w:rPr>
                      <w:rFonts w:hint="eastAsia"/>
                      <w:color w:val="auto"/>
                      <w:kern w:val="0"/>
                      <w:sz w:val="21"/>
                      <w:szCs w:val="21"/>
                      <w:highlight w:val="none"/>
                      <w:lang w:val="en-US" w:eastAsia="zh-CN"/>
                    </w:rPr>
                    <w:t>硝酸雾（以NOx计）</w:t>
                  </w:r>
                </w:p>
              </w:tc>
              <w:tc>
                <w:tcPr>
                  <w:tcW w:w="756" w:type="pct"/>
                  <w:tcBorders>
                    <w:tl2br w:val="nil"/>
                    <w:tr2bl w:val="nil"/>
                  </w:tcBorders>
                  <w:noWrap w:val="0"/>
                  <w:vAlign w:val="center"/>
                </w:tcPr>
                <w:p w14:paraId="12CABE03">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default" w:eastAsia="宋体"/>
                      <w:color w:val="auto"/>
                      <w:kern w:val="0"/>
                      <w:sz w:val="21"/>
                      <w:szCs w:val="21"/>
                      <w:highlight w:val="none"/>
                      <w:lang w:val="en-US" w:eastAsia="zh-CN"/>
                    </w:rPr>
                  </w:pPr>
                  <w:r>
                    <w:rPr>
                      <w:rFonts w:hint="eastAsia"/>
                      <w:color w:val="auto"/>
                      <w:kern w:val="0"/>
                      <w:sz w:val="21"/>
                      <w:szCs w:val="21"/>
                      <w:highlight w:val="none"/>
                      <w:lang w:val="en-US" w:eastAsia="zh-CN"/>
                    </w:rPr>
                    <w:t>120</w:t>
                  </w:r>
                </w:p>
              </w:tc>
              <w:tc>
                <w:tcPr>
                  <w:tcW w:w="625" w:type="pct"/>
                  <w:vMerge w:val="continue"/>
                  <w:tcBorders>
                    <w:tl2br w:val="nil"/>
                    <w:tr2bl w:val="nil"/>
                  </w:tcBorders>
                  <w:noWrap w:val="0"/>
                  <w:vAlign w:val="center"/>
                </w:tcPr>
                <w:p w14:paraId="48DD519E">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color w:val="auto"/>
                      <w:kern w:val="0"/>
                      <w:sz w:val="21"/>
                      <w:szCs w:val="21"/>
                      <w:highlight w:val="none"/>
                    </w:rPr>
                  </w:pPr>
                </w:p>
              </w:tc>
              <w:tc>
                <w:tcPr>
                  <w:tcW w:w="653" w:type="pct"/>
                  <w:tcBorders>
                    <w:tl2br w:val="nil"/>
                    <w:tr2bl w:val="nil"/>
                  </w:tcBorders>
                  <w:noWrap w:val="0"/>
                  <w:vAlign w:val="center"/>
                </w:tcPr>
                <w:p w14:paraId="786F866B">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default" w:eastAsia="宋体"/>
                      <w:color w:val="auto"/>
                      <w:kern w:val="0"/>
                      <w:sz w:val="21"/>
                      <w:szCs w:val="21"/>
                      <w:highlight w:val="none"/>
                      <w:lang w:val="en-US" w:eastAsia="zh-CN"/>
                    </w:rPr>
                  </w:pPr>
                  <w:r>
                    <w:rPr>
                      <w:rFonts w:hint="eastAsia"/>
                      <w:color w:val="auto"/>
                      <w:kern w:val="0"/>
                      <w:sz w:val="21"/>
                      <w:szCs w:val="21"/>
                      <w:highlight w:val="none"/>
                      <w:lang w:val="en-US" w:eastAsia="zh-CN"/>
                    </w:rPr>
                    <w:t>0.65</w:t>
                  </w:r>
                  <w:r>
                    <w:rPr>
                      <w:rFonts w:hint="eastAsia"/>
                      <w:color w:val="auto"/>
                      <w:kern w:val="0"/>
                      <w:sz w:val="21"/>
                      <w:szCs w:val="21"/>
                      <w:highlight w:val="none"/>
                    </w:rPr>
                    <w:t>*</w:t>
                  </w:r>
                </w:p>
              </w:tc>
              <w:tc>
                <w:tcPr>
                  <w:tcW w:w="959" w:type="pct"/>
                  <w:gridSpan w:val="2"/>
                  <w:vMerge w:val="continue"/>
                  <w:tcBorders>
                    <w:tl2br w:val="nil"/>
                    <w:tr2bl w:val="nil"/>
                  </w:tcBorders>
                  <w:noWrap w:val="0"/>
                  <w:vAlign w:val="center"/>
                </w:tcPr>
                <w:p w14:paraId="25F797DA">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color w:val="auto"/>
                      <w:kern w:val="0"/>
                      <w:sz w:val="21"/>
                      <w:szCs w:val="21"/>
                      <w:highlight w:val="none"/>
                    </w:rPr>
                  </w:pPr>
                </w:p>
              </w:tc>
              <w:tc>
                <w:tcPr>
                  <w:tcW w:w="451" w:type="pct"/>
                  <w:tcBorders>
                    <w:tl2br w:val="nil"/>
                    <w:tr2bl w:val="nil"/>
                  </w:tcBorders>
                  <w:noWrap w:val="0"/>
                  <w:vAlign w:val="center"/>
                </w:tcPr>
                <w:p w14:paraId="1FEAE745">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default" w:eastAsia="宋体"/>
                      <w:color w:val="auto"/>
                      <w:kern w:val="0"/>
                      <w:sz w:val="21"/>
                      <w:szCs w:val="21"/>
                      <w:highlight w:val="none"/>
                      <w:lang w:val="en-US" w:eastAsia="zh-CN"/>
                    </w:rPr>
                  </w:pPr>
                  <w:r>
                    <w:rPr>
                      <w:rFonts w:hint="eastAsia"/>
                      <w:color w:val="auto"/>
                      <w:kern w:val="0"/>
                      <w:sz w:val="21"/>
                      <w:szCs w:val="21"/>
                      <w:highlight w:val="none"/>
                      <w:lang w:val="en-US" w:eastAsia="zh-CN"/>
                    </w:rPr>
                    <w:t>0.12</w:t>
                  </w:r>
                </w:p>
              </w:tc>
              <w:tc>
                <w:tcPr>
                  <w:tcW w:w="988" w:type="pct"/>
                  <w:vMerge w:val="continue"/>
                  <w:tcBorders>
                    <w:tl2br w:val="nil"/>
                    <w:tr2bl w:val="nil"/>
                  </w:tcBorders>
                  <w:noWrap w:val="0"/>
                  <w:vAlign w:val="center"/>
                </w:tcPr>
                <w:p w14:paraId="01CE0B46">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color w:val="auto"/>
                      <w:kern w:val="0"/>
                      <w:sz w:val="21"/>
                      <w:szCs w:val="21"/>
                      <w:highlight w:val="none"/>
                      <w:lang w:val="en-US" w:eastAsia="zh-CN"/>
                    </w:rPr>
                  </w:pPr>
                </w:p>
              </w:tc>
            </w:tr>
            <w:tr w14:paraId="0B5BB0ED">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65" w:type="pct"/>
                  <w:tcBorders>
                    <w:tl2br w:val="nil"/>
                    <w:tr2bl w:val="nil"/>
                  </w:tcBorders>
                  <w:noWrap w:val="0"/>
                  <w:vAlign w:val="center"/>
                </w:tcPr>
                <w:p w14:paraId="4D0F8A6A">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color w:val="auto"/>
                      <w:kern w:val="0"/>
                      <w:sz w:val="21"/>
                      <w:szCs w:val="21"/>
                      <w:highlight w:val="none"/>
                      <w:lang w:val="en-US" w:eastAsia="zh-CN"/>
                    </w:rPr>
                  </w:pPr>
                  <w:r>
                    <w:rPr>
                      <w:rFonts w:hint="eastAsia" w:cs="Times New Roman"/>
                      <w:i w:val="0"/>
                      <w:iCs w:val="0"/>
                      <w:color w:val="auto"/>
                      <w:kern w:val="0"/>
                      <w:sz w:val="22"/>
                      <w:szCs w:val="22"/>
                      <w:highlight w:val="none"/>
                      <w:u w:val="none"/>
                      <w:lang w:val="en-US" w:eastAsia="zh-CN" w:bidi="ar"/>
                    </w:rPr>
                    <w:t>氟化物</w:t>
                  </w:r>
                </w:p>
              </w:tc>
              <w:tc>
                <w:tcPr>
                  <w:tcW w:w="756" w:type="pct"/>
                  <w:tcBorders>
                    <w:tl2br w:val="nil"/>
                    <w:tr2bl w:val="nil"/>
                  </w:tcBorders>
                  <w:noWrap w:val="0"/>
                  <w:vAlign w:val="center"/>
                </w:tcPr>
                <w:p w14:paraId="7E1251A2">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default"/>
                      <w:color w:val="auto"/>
                      <w:kern w:val="0"/>
                      <w:sz w:val="21"/>
                      <w:szCs w:val="21"/>
                      <w:highlight w:val="none"/>
                      <w:lang w:val="en-US" w:eastAsia="zh-CN"/>
                    </w:rPr>
                  </w:pPr>
                  <w:r>
                    <w:rPr>
                      <w:rFonts w:hint="eastAsia"/>
                      <w:color w:val="auto"/>
                      <w:kern w:val="0"/>
                      <w:sz w:val="21"/>
                      <w:szCs w:val="21"/>
                      <w:highlight w:val="none"/>
                      <w:lang w:val="en-US" w:eastAsia="zh-CN"/>
                    </w:rPr>
                    <w:t>9.0</w:t>
                  </w:r>
                </w:p>
              </w:tc>
              <w:tc>
                <w:tcPr>
                  <w:tcW w:w="625" w:type="pct"/>
                  <w:vMerge w:val="continue"/>
                  <w:tcBorders>
                    <w:tl2br w:val="nil"/>
                    <w:tr2bl w:val="nil"/>
                  </w:tcBorders>
                  <w:noWrap w:val="0"/>
                  <w:vAlign w:val="center"/>
                </w:tcPr>
                <w:p w14:paraId="5B49D475">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color w:val="auto"/>
                      <w:kern w:val="0"/>
                      <w:sz w:val="21"/>
                      <w:szCs w:val="21"/>
                      <w:highlight w:val="none"/>
                    </w:rPr>
                  </w:pPr>
                </w:p>
              </w:tc>
              <w:tc>
                <w:tcPr>
                  <w:tcW w:w="653" w:type="pct"/>
                  <w:tcBorders>
                    <w:tl2br w:val="nil"/>
                    <w:tr2bl w:val="nil"/>
                  </w:tcBorders>
                  <w:noWrap w:val="0"/>
                  <w:vAlign w:val="center"/>
                </w:tcPr>
                <w:p w14:paraId="51D17B44">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default"/>
                      <w:color w:val="auto"/>
                      <w:kern w:val="0"/>
                      <w:sz w:val="21"/>
                      <w:szCs w:val="21"/>
                      <w:highlight w:val="none"/>
                      <w:lang w:val="en-US" w:eastAsia="zh-CN"/>
                    </w:rPr>
                  </w:pPr>
                  <w:r>
                    <w:rPr>
                      <w:rFonts w:hint="eastAsia"/>
                      <w:color w:val="auto"/>
                      <w:kern w:val="0"/>
                      <w:sz w:val="21"/>
                      <w:szCs w:val="21"/>
                      <w:highlight w:val="none"/>
                      <w:lang w:val="en-US" w:eastAsia="zh-CN"/>
                    </w:rPr>
                    <w:t>0.085</w:t>
                  </w:r>
                  <w:r>
                    <w:rPr>
                      <w:rFonts w:hint="eastAsia"/>
                      <w:color w:val="auto"/>
                      <w:kern w:val="0"/>
                      <w:sz w:val="21"/>
                      <w:szCs w:val="21"/>
                      <w:highlight w:val="none"/>
                    </w:rPr>
                    <w:t>*</w:t>
                  </w:r>
                </w:p>
              </w:tc>
              <w:tc>
                <w:tcPr>
                  <w:tcW w:w="959" w:type="pct"/>
                  <w:gridSpan w:val="2"/>
                  <w:vMerge w:val="continue"/>
                  <w:tcBorders>
                    <w:tl2br w:val="nil"/>
                    <w:tr2bl w:val="nil"/>
                  </w:tcBorders>
                  <w:noWrap w:val="0"/>
                  <w:vAlign w:val="center"/>
                </w:tcPr>
                <w:p w14:paraId="51A1D36B">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color w:val="auto"/>
                      <w:kern w:val="0"/>
                      <w:sz w:val="21"/>
                      <w:szCs w:val="21"/>
                      <w:highlight w:val="none"/>
                    </w:rPr>
                  </w:pPr>
                </w:p>
              </w:tc>
              <w:tc>
                <w:tcPr>
                  <w:tcW w:w="451" w:type="pct"/>
                  <w:tcBorders>
                    <w:tl2br w:val="nil"/>
                    <w:tr2bl w:val="nil"/>
                  </w:tcBorders>
                  <w:noWrap w:val="0"/>
                  <w:vAlign w:val="center"/>
                </w:tcPr>
                <w:p w14:paraId="45E74608">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default"/>
                      <w:color w:val="auto"/>
                      <w:kern w:val="0"/>
                      <w:sz w:val="21"/>
                      <w:szCs w:val="21"/>
                      <w:highlight w:val="none"/>
                      <w:lang w:val="en-US" w:eastAsia="zh-CN"/>
                    </w:rPr>
                  </w:pPr>
                  <w:r>
                    <w:rPr>
                      <w:rFonts w:hint="eastAsia"/>
                      <w:color w:val="auto"/>
                      <w:kern w:val="0"/>
                      <w:sz w:val="21"/>
                      <w:szCs w:val="21"/>
                      <w:highlight w:val="none"/>
                      <w:lang w:val="en-US" w:eastAsia="zh-CN"/>
                    </w:rPr>
                    <w:t>0.02</w:t>
                  </w:r>
                </w:p>
              </w:tc>
              <w:tc>
                <w:tcPr>
                  <w:tcW w:w="988" w:type="pct"/>
                  <w:vMerge w:val="continue"/>
                  <w:tcBorders>
                    <w:tl2br w:val="nil"/>
                    <w:tr2bl w:val="nil"/>
                  </w:tcBorders>
                  <w:noWrap w:val="0"/>
                  <w:vAlign w:val="center"/>
                </w:tcPr>
                <w:p w14:paraId="1961A3DC">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color w:val="auto"/>
                      <w:kern w:val="0"/>
                      <w:sz w:val="21"/>
                      <w:szCs w:val="21"/>
                      <w:highlight w:val="none"/>
                      <w:lang w:val="en-US" w:eastAsia="zh-CN"/>
                    </w:rPr>
                  </w:pPr>
                </w:p>
              </w:tc>
            </w:tr>
            <w:tr w14:paraId="536F0B20">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65" w:type="pct"/>
                  <w:vMerge w:val="restart"/>
                  <w:tcBorders>
                    <w:tl2br w:val="nil"/>
                    <w:tr2bl w:val="nil"/>
                  </w:tcBorders>
                  <w:noWrap w:val="0"/>
                  <w:vAlign w:val="center"/>
                </w:tcPr>
                <w:p w14:paraId="3269D287">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color w:val="auto"/>
                      <w:kern w:val="0"/>
                      <w:sz w:val="21"/>
                      <w:szCs w:val="21"/>
                      <w:highlight w:val="none"/>
                    </w:rPr>
                  </w:pPr>
                  <w:r>
                    <w:rPr>
                      <w:rFonts w:hint="eastAsia"/>
                      <w:color w:val="auto"/>
                      <w:kern w:val="0"/>
                      <w:sz w:val="21"/>
                      <w:szCs w:val="21"/>
                      <w:highlight w:val="none"/>
                    </w:rPr>
                    <w:t>非甲烷总烃</w:t>
                  </w:r>
                </w:p>
              </w:tc>
              <w:tc>
                <w:tcPr>
                  <w:tcW w:w="756" w:type="pct"/>
                  <w:tcBorders>
                    <w:tl2br w:val="nil"/>
                    <w:tr2bl w:val="nil"/>
                  </w:tcBorders>
                  <w:noWrap w:val="0"/>
                  <w:vAlign w:val="center"/>
                </w:tcPr>
                <w:p w14:paraId="66CDE277">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color w:val="auto"/>
                      <w:kern w:val="0"/>
                      <w:sz w:val="21"/>
                      <w:szCs w:val="21"/>
                      <w:highlight w:val="none"/>
                    </w:rPr>
                  </w:pPr>
                  <w:r>
                    <w:rPr>
                      <w:rFonts w:hint="eastAsia"/>
                      <w:color w:val="auto"/>
                      <w:kern w:val="0"/>
                      <w:sz w:val="21"/>
                      <w:szCs w:val="21"/>
                      <w:highlight w:val="none"/>
                    </w:rPr>
                    <w:t>120</w:t>
                  </w:r>
                </w:p>
              </w:tc>
              <w:tc>
                <w:tcPr>
                  <w:tcW w:w="625" w:type="pct"/>
                  <w:vMerge w:val="continue"/>
                  <w:tcBorders>
                    <w:tl2br w:val="nil"/>
                    <w:tr2bl w:val="nil"/>
                  </w:tcBorders>
                  <w:noWrap w:val="0"/>
                  <w:vAlign w:val="center"/>
                </w:tcPr>
                <w:p w14:paraId="191D124A">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color w:val="auto"/>
                      <w:kern w:val="0"/>
                      <w:sz w:val="21"/>
                      <w:szCs w:val="21"/>
                      <w:highlight w:val="none"/>
                    </w:rPr>
                  </w:pPr>
                </w:p>
              </w:tc>
              <w:tc>
                <w:tcPr>
                  <w:tcW w:w="653" w:type="pct"/>
                  <w:tcBorders>
                    <w:tl2br w:val="nil"/>
                    <w:tr2bl w:val="nil"/>
                  </w:tcBorders>
                  <w:noWrap w:val="0"/>
                  <w:vAlign w:val="center"/>
                </w:tcPr>
                <w:p w14:paraId="1DFA3904">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color w:val="auto"/>
                      <w:sz w:val="21"/>
                      <w:szCs w:val="21"/>
                      <w:highlight w:val="none"/>
                    </w:rPr>
                  </w:pPr>
                  <w:r>
                    <w:rPr>
                      <w:rFonts w:hint="eastAsia"/>
                      <w:color w:val="auto"/>
                      <w:sz w:val="21"/>
                      <w:szCs w:val="21"/>
                      <w:highlight w:val="none"/>
                    </w:rPr>
                    <w:t>5</w:t>
                  </w:r>
                  <w:r>
                    <w:rPr>
                      <w:rFonts w:hint="eastAsia"/>
                      <w:color w:val="auto"/>
                      <w:kern w:val="0"/>
                      <w:sz w:val="21"/>
                      <w:szCs w:val="21"/>
                      <w:highlight w:val="none"/>
                    </w:rPr>
                    <w:t>*</w:t>
                  </w:r>
                </w:p>
              </w:tc>
              <w:tc>
                <w:tcPr>
                  <w:tcW w:w="959" w:type="pct"/>
                  <w:gridSpan w:val="2"/>
                  <w:tcBorders>
                    <w:tl2br w:val="nil"/>
                    <w:tr2bl w:val="nil"/>
                  </w:tcBorders>
                  <w:noWrap w:val="0"/>
                  <w:vAlign w:val="center"/>
                </w:tcPr>
                <w:p w14:paraId="2680945E">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color w:val="auto"/>
                      <w:sz w:val="21"/>
                      <w:szCs w:val="21"/>
                      <w:highlight w:val="none"/>
                    </w:rPr>
                  </w:pPr>
                  <w:r>
                    <w:rPr>
                      <w:rFonts w:hint="eastAsia"/>
                      <w:color w:val="auto"/>
                      <w:kern w:val="0"/>
                      <w:sz w:val="21"/>
                      <w:szCs w:val="21"/>
                      <w:highlight w:val="none"/>
                    </w:rPr>
                    <w:t>周界外浓度最高点</w:t>
                  </w:r>
                </w:p>
              </w:tc>
              <w:tc>
                <w:tcPr>
                  <w:tcW w:w="451" w:type="pct"/>
                  <w:tcBorders>
                    <w:tl2br w:val="nil"/>
                    <w:tr2bl w:val="nil"/>
                  </w:tcBorders>
                  <w:noWrap w:val="0"/>
                  <w:vAlign w:val="center"/>
                </w:tcPr>
                <w:p w14:paraId="459CB507">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default" w:eastAsia="宋体"/>
                      <w:color w:val="auto"/>
                      <w:sz w:val="21"/>
                      <w:szCs w:val="21"/>
                      <w:highlight w:val="none"/>
                      <w:lang w:val="en-US" w:eastAsia="zh-CN"/>
                    </w:rPr>
                  </w:pPr>
                  <w:r>
                    <w:rPr>
                      <w:rFonts w:hint="eastAsia"/>
                      <w:color w:val="auto"/>
                      <w:sz w:val="21"/>
                      <w:szCs w:val="21"/>
                      <w:highlight w:val="none"/>
                      <w:lang w:val="en-US" w:eastAsia="zh-CN"/>
                    </w:rPr>
                    <w:t>4.0</w:t>
                  </w:r>
                </w:p>
              </w:tc>
              <w:tc>
                <w:tcPr>
                  <w:tcW w:w="988" w:type="pct"/>
                  <w:vMerge w:val="continue"/>
                  <w:tcBorders>
                    <w:tl2br w:val="nil"/>
                    <w:tr2bl w:val="nil"/>
                  </w:tcBorders>
                  <w:noWrap w:val="0"/>
                  <w:vAlign w:val="center"/>
                </w:tcPr>
                <w:p w14:paraId="4C595C1C">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color w:val="auto"/>
                      <w:sz w:val="21"/>
                      <w:szCs w:val="21"/>
                      <w:highlight w:val="none"/>
                      <w:lang w:val="en-US" w:eastAsia="zh-CN"/>
                    </w:rPr>
                  </w:pPr>
                </w:p>
              </w:tc>
            </w:tr>
            <w:tr w14:paraId="64134E49">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565" w:type="pct"/>
                  <w:vMerge w:val="continue"/>
                  <w:tcBorders>
                    <w:tl2br w:val="nil"/>
                    <w:tr2bl w:val="nil"/>
                  </w:tcBorders>
                  <w:noWrap w:val="0"/>
                  <w:vAlign w:val="center"/>
                </w:tcPr>
                <w:p w14:paraId="1CA59EA3">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color w:val="auto"/>
                      <w:highlight w:val="none"/>
                    </w:rPr>
                  </w:pPr>
                </w:p>
              </w:tc>
              <w:tc>
                <w:tcPr>
                  <w:tcW w:w="756" w:type="pct"/>
                  <w:tcBorders>
                    <w:tl2br w:val="nil"/>
                    <w:tr2bl w:val="nil"/>
                  </w:tcBorders>
                  <w:noWrap w:val="0"/>
                  <w:vAlign w:val="center"/>
                </w:tcPr>
                <w:p w14:paraId="225B6993">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color w:val="auto"/>
                      <w:highlight w:val="none"/>
                    </w:rPr>
                  </w:pPr>
                  <w:r>
                    <w:rPr>
                      <w:rFonts w:hint="eastAsia"/>
                      <w:color w:val="auto"/>
                      <w:sz w:val="21"/>
                      <w:szCs w:val="21"/>
                      <w:highlight w:val="none"/>
                      <w:lang w:val="en-US" w:eastAsia="zh-CN"/>
                    </w:rPr>
                    <w:t>/</w:t>
                  </w:r>
                </w:p>
              </w:tc>
              <w:tc>
                <w:tcPr>
                  <w:tcW w:w="625" w:type="pct"/>
                  <w:vMerge w:val="continue"/>
                  <w:tcBorders>
                    <w:tl2br w:val="nil"/>
                    <w:tr2bl w:val="nil"/>
                  </w:tcBorders>
                  <w:noWrap w:val="0"/>
                  <w:vAlign w:val="center"/>
                </w:tcPr>
                <w:p w14:paraId="2F164226">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color w:val="auto"/>
                      <w:highlight w:val="none"/>
                    </w:rPr>
                  </w:pPr>
                </w:p>
              </w:tc>
              <w:tc>
                <w:tcPr>
                  <w:tcW w:w="653" w:type="pct"/>
                  <w:tcBorders>
                    <w:tl2br w:val="nil"/>
                    <w:tr2bl w:val="nil"/>
                  </w:tcBorders>
                  <w:noWrap w:val="0"/>
                  <w:vAlign w:val="center"/>
                </w:tcPr>
                <w:p w14:paraId="111A81DC">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color w:val="auto"/>
                      <w:highlight w:val="none"/>
                    </w:rPr>
                  </w:pPr>
                  <w:r>
                    <w:rPr>
                      <w:rFonts w:hint="eastAsia"/>
                      <w:color w:val="auto"/>
                      <w:sz w:val="21"/>
                      <w:szCs w:val="21"/>
                      <w:highlight w:val="none"/>
                      <w:lang w:val="en-US" w:eastAsia="zh-CN"/>
                    </w:rPr>
                    <w:t>/</w:t>
                  </w:r>
                </w:p>
              </w:tc>
              <w:tc>
                <w:tcPr>
                  <w:tcW w:w="434" w:type="pct"/>
                  <w:vMerge w:val="restart"/>
                  <w:tcBorders>
                    <w:tl2br w:val="nil"/>
                    <w:tr2bl w:val="nil"/>
                  </w:tcBorders>
                  <w:noWrap w:val="0"/>
                  <w:vAlign w:val="center"/>
                </w:tcPr>
                <w:p w14:paraId="7A359AA3">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color w:val="auto"/>
                      <w:sz w:val="21"/>
                      <w:szCs w:val="21"/>
                      <w:highlight w:val="none"/>
                    </w:rPr>
                  </w:pPr>
                  <w:r>
                    <w:rPr>
                      <w:rFonts w:hint="eastAsia"/>
                      <w:color w:val="auto"/>
                      <w:sz w:val="21"/>
                      <w:szCs w:val="21"/>
                      <w:highlight w:val="none"/>
                    </w:rPr>
                    <w:t>厂房外设置监控点</w:t>
                  </w:r>
                </w:p>
              </w:tc>
              <w:tc>
                <w:tcPr>
                  <w:tcW w:w="524" w:type="pct"/>
                  <w:tcBorders>
                    <w:tl2br w:val="nil"/>
                    <w:tr2bl w:val="nil"/>
                  </w:tcBorders>
                  <w:noWrap w:val="0"/>
                  <w:vAlign w:val="center"/>
                </w:tcPr>
                <w:p w14:paraId="68EE8843">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color w:val="auto"/>
                      <w:sz w:val="21"/>
                      <w:szCs w:val="21"/>
                      <w:highlight w:val="none"/>
                    </w:rPr>
                  </w:pPr>
                  <w:r>
                    <w:rPr>
                      <w:rFonts w:hint="eastAsia" w:cs="Times New Roman"/>
                      <w:color w:val="auto"/>
                      <w:sz w:val="21"/>
                      <w:szCs w:val="21"/>
                      <w:highlight w:val="none"/>
                      <w:lang w:val="en-US" w:eastAsia="zh-CN"/>
                    </w:rPr>
                    <w:t>监控点处1h平均</w:t>
                  </w:r>
                </w:p>
              </w:tc>
              <w:tc>
                <w:tcPr>
                  <w:tcW w:w="451" w:type="pct"/>
                  <w:tcBorders>
                    <w:tl2br w:val="nil"/>
                    <w:tr2bl w:val="nil"/>
                  </w:tcBorders>
                  <w:noWrap w:val="0"/>
                  <w:vAlign w:val="center"/>
                </w:tcPr>
                <w:p w14:paraId="5528B5D9">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default" w:eastAsia="宋体"/>
                      <w:color w:val="auto"/>
                      <w:sz w:val="21"/>
                      <w:szCs w:val="21"/>
                      <w:highlight w:val="none"/>
                      <w:lang w:val="en-US" w:eastAsia="zh-CN"/>
                    </w:rPr>
                  </w:pPr>
                  <w:r>
                    <w:rPr>
                      <w:rFonts w:hint="eastAsia"/>
                      <w:color w:val="auto"/>
                      <w:sz w:val="21"/>
                      <w:szCs w:val="21"/>
                      <w:highlight w:val="none"/>
                      <w:lang w:val="en-US" w:eastAsia="zh-CN"/>
                    </w:rPr>
                    <w:t>10</w:t>
                  </w:r>
                </w:p>
              </w:tc>
              <w:tc>
                <w:tcPr>
                  <w:tcW w:w="988" w:type="pct"/>
                  <w:vMerge w:val="restart"/>
                  <w:tcBorders>
                    <w:tl2br w:val="nil"/>
                    <w:tr2bl w:val="nil"/>
                  </w:tcBorders>
                  <w:noWrap w:val="0"/>
                  <w:vAlign w:val="center"/>
                </w:tcPr>
                <w:p w14:paraId="647CA02A">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color w:val="auto"/>
                      <w:sz w:val="21"/>
                      <w:szCs w:val="21"/>
                      <w:highlight w:val="none"/>
                    </w:rPr>
                  </w:pPr>
                  <w:r>
                    <w:rPr>
                      <w:rFonts w:hint="eastAsia" w:cs="Times New Roman"/>
                      <w:b w:val="0"/>
                      <w:bCs/>
                      <w:color w:val="auto"/>
                      <w:kern w:val="0"/>
                      <w:sz w:val="21"/>
                      <w:szCs w:val="21"/>
                      <w:highlight w:val="none"/>
                      <w:vertAlign w:val="baseline"/>
                      <w:lang w:val="en-US" w:eastAsia="zh-CN"/>
                    </w:rPr>
                    <w:t>《</w:t>
                  </w:r>
                  <w:r>
                    <w:rPr>
                      <w:rFonts w:hint="default" w:ascii="Times New Roman" w:hAnsi="Times New Roman" w:eastAsia="宋体" w:cs="Times New Roman"/>
                      <w:b w:val="0"/>
                      <w:bCs/>
                      <w:color w:val="auto"/>
                      <w:kern w:val="0"/>
                      <w:sz w:val="21"/>
                      <w:szCs w:val="21"/>
                      <w:highlight w:val="none"/>
                      <w:vertAlign w:val="baseline"/>
                      <w:lang w:val="en-US" w:eastAsia="zh-CN"/>
                    </w:rPr>
                    <w:t>挥发性有机物无组织排放控制标准</w:t>
                  </w:r>
                  <w:r>
                    <w:rPr>
                      <w:rFonts w:hint="eastAsia" w:cs="Times New Roman"/>
                      <w:b w:val="0"/>
                      <w:bCs/>
                      <w:color w:val="auto"/>
                      <w:kern w:val="0"/>
                      <w:sz w:val="21"/>
                      <w:szCs w:val="21"/>
                      <w:highlight w:val="none"/>
                      <w:vertAlign w:val="baseline"/>
                      <w:lang w:val="en-US" w:eastAsia="zh-CN"/>
                    </w:rPr>
                    <w:t>》（GB37822-2019）</w:t>
                  </w:r>
                </w:p>
              </w:tc>
            </w:tr>
            <w:tr w14:paraId="5ACA094D">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565" w:type="pct"/>
                  <w:vMerge w:val="continue"/>
                  <w:tcBorders>
                    <w:tl2br w:val="nil"/>
                    <w:tr2bl w:val="nil"/>
                  </w:tcBorders>
                  <w:noWrap w:val="0"/>
                  <w:vAlign w:val="center"/>
                </w:tcPr>
                <w:p w14:paraId="5447892C">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pPr>
                </w:p>
              </w:tc>
              <w:tc>
                <w:tcPr>
                  <w:tcW w:w="756" w:type="pct"/>
                  <w:tcBorders>
                    <w:tl2br w:val="nil"/>
                    <w:tr2bl w:val="nil"/>
                  </w:tcBorders>
                  <w:noWrap w:val="0"/>
                  <w:vAlign w:val="center"/>
                </w:tcPr>
                <w:p w14:paraId="5EF78B72">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pPr>
                  <w:r>
                    <w:rPr>
                      <w:rFonts w:hint="eastAsia"/>
                      <w:color w:val="auto"/>
                      <w:sz w:val="21"/>
                      <w:szCs w:val="21"/>
                      <w:highlight w:val="none"/>
                      <w:lang w:val="en-US" w:eastAsia="zh-CN"/>
                    </w:rPr>
                    <w:t>/</w:t>
                  </w:r>
                </w:p>
              </w:tc>
              <w:tc>
                <w:tcPr>
                  <w:tcW w:w="625" w:type="pct"/>
                  <w:vMerge w:val="continue"/>
                  <w:tcBorders>
                    <w:tl2br w:val="nil"/>
                    <w:tr2bl w:val="nil"/>
                  </w:tcBorders>
                  <w:noWrap w:val="0"/>
                  <w:vAlign w:val="center"/>
                </w:tcPr>
                <w:p w14:paraId="1714396B">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pPr>
                </w:p>
              </w:tc>
              <w:tc>
                <w:tcPr>
                  <w:tcW w:w="653" w:type="pct"/>
                  <w:tcBorders>
                    <w:tl2br w:val="nil"/>
                    <w:tr2bl w:val="nil"/>
                  </w:tcBorders>
                  <w:noWrap w:val="0"/>
                  <w:vAlign w:val="center"/>
                </w:tcPr>
                <w:p w14:paraId="6DB79BF9">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pPr>
                  <w:r>
                    <w:rPr>
                      <w:rFonts w:hint="eastAsia"/>
                      <w:color w:val="auto"/>
                      <w:sz w:val="21"/>
                      <w:szCs w:val="21"/>
                      <w:highlight w:val="none"/>
                      <w:lang w:val="en-US" w:eastAsia="zh-CN"/>
                    </w:rPr>
                    <w:t>/</w:t>
                  </w:r>
                </w:p>
              </w:tc>
              <w:tc>
                <w:tcPr>
                  <w:tcW w:w="434" w:type="pct"/>
                  <w:vMerge w:val="continue"/>
                  <w:tcBorders>
                    <w:tl2br w:val="nil"/>
                    <w:tr2bl w:val="nil"/>
                  </w:tcBorders>
                  <w:noWrap w:val="0"/>
                  <w:vAlign w:val="center"/>
                </w:tcPr>
                <w:p w14:paraId="40B06A22">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color w:val="auto"/>
                      <w:sz w:val="21"/>
                      <w:szCs w:val="21"/>
                      <w:highlight w:val="none"/>
                    </w:rPr>
                  </w:pPr>
                </w:p>
              </w:tc>
              <w:tc>
                <w:tcPr>
                  <w:tcW w:w="524" w:type="pct"/>
                  <w:tcBorders>
                    <w:tl2br w:val="nil"/>
                    <w:tr2bl w:val="nil"/>
                  </w:tcBorders>
                  <w:noWrap w:val="0"/>
                  <w:vAlign w:val="center"/>
                </w:tcPr>
                <w:p w14:paraId="07AFCFC9">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color w:val="auto"/>
                      <w:sz w:val="21"/>
                      <w:szCs w:val="21"/>
                      <w:highlight w:val="none"/>
                    </w:rPr>
                  </w:pPr>
                  <w:r>
                    <w:rPr>
                      <w:rFonts w:hint="eastAsia" w:cs="Times New Roman"/>
                      <w:color w:val="auto"/>
                      <w:sz w:val="21"/>
                      <w:szCs w:val="21"/>
                      <w:highlight w:val="none"/>
                      <w:lang w:val="en-US" w:eastAsia="zh-CN"/>
                    </w:rPr>
                    <w:t>监控点处任意一次</w:t>
                  </w:r>
                </w:p>
              </w:tc>
              <w:tc>
                <w:tcPr>
                  <w:tcW w:w="451" w:type="pct"/>
                  <w:tcBorders>
                    <w:tl2br w:val="nil"/>
                    <w:tr2bl w:val="nil"/>
                  </w:tcBorders>
                  <w:noWrap w:val="0"/>
                  <w:vAlign w:val="center"/>
                </w:tcPr>
                <w:p w14:paraId="1F84140E">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default" w:eastAsia="宋体"/>
                      <w:color w:val="auto"/>
                      <w:sz w:val="21"/>
                      <w:szCs w:val="21"/>
                      <w:highlight w:val="none"/>
                      <w:lang w:val="en-US" w:eastAsia="zh-CN"/>
                    </w:rPr>
                  </w:pPr>
                  <w:r>
                    <w:rPr>
                      <w:rFonts w:hint="eastAsia"/>
                      <w:color w:val="auto"/>
                      <w:sz w:val="21"/>
                      <w:szCs w:val="21"/>
                      <w:highlight w:val="none"/>
                      <w:lang w:val="en-US" w:eastAsia="zh-CN"/>
                    </w:rPr>
                    <w:t>30</w:t>
                  </w:r>
                </w:p>
              </w:tc>
              <w:tc>
                <w:tcPr>
                  <w:tcW w:w="988" w:type="pct"/>
                  <w:vMerge w:val="continue"/>
                  <w:tcBorders>
                    <w:tl2br w:val="nil"/>
                    <w:tr2bl w:val="nil"/>
                  </w:tcBorders>
                  <w:noWrap w:val="0"/>
                  <w:vAlign w:val="center"/>
                </w:tcPr>
                <w:p w14:paraId="0D1A9B72">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color w:val="auto"/>
                      <w:sz w:val="21"/>
                      <w:szCs w:val="21"/>
                      <w:highlight w:val="none"/>
                    </w:rPr>
                  </w:pPr>
                </w:p>
              </w:tc>
            </w:tr>
            <w:tr w14:paraId="057F73B4">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65" w:type="pct"/>
                  <w:tcBorders>
                    <w:tl2br w:val="nil"/>
                    <w:tr2bl w:val="nil"/>
                  </w:tcBorders>
                  <w:noWrap w:val="0"/>
                  <w:vAlign w:val="center"/>
                </w:tcPr>
                <w:p w14:paraId="1260A93F">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color w:val="auto"/>
                      <w:sz w:val="21"/>
                      <w:szCs w:val="21"/>
                      <w:highlight w:val="none"/>
                      <w:lang w:val="en-US" w:eastAsia="zh-CN"/>
                    </w:rPr>
                  </w:pPr>
                  <w:r>
                    <w:rPr>
                      <w:rFonts w:hint="eastAsia"/>
                      <w:color w:val="auto"/>
                      <w:sz w:val="21"/>
                      <w:szCs w:val="21"/>
                      <w:highlight w:val="none"/>
                      <w:lang w:val="en-US" w:eastAsia="zh-CN"/>
                    </w:rPr>
                    <w:t>氨</w:t>
                  </w:r>
                </w:p>
              </w:tc>
              <w:tc>
                <w:tcPr>
                  <w:tcW w:w="756" w:type="pct"/>
                  <w:tcBorders>
                    <w:tl2br w:val="nil"/>
                    <w:tr2bl w:val="nil"/>
                  </w:tcBorders>
                  <w:noWrap w:val="0"/>
                  <w:vAlign w:val="center"/>
                </w:tcPr>
                <w:p w14:paraId="6D19439E">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color w:val="auto"/>
                      <w:sz w:val="21"/>
                      <w:szCs w:val="21"/>
                      <w:highlight w:val="none"/>
                      <w:lang w:val="en-US" w:eastAsia="zh-CN"/>
                    </w:rPr>
                  </w:pPr>
                  <w:r>
                    <w:rPr>
                      <w:rFonts w:hint="eastAsia"/>
                      <w:color w:val="auto"/>
                      <w:sz w:val="21"/>
                      <w:szCs w:val="21"/>
                      <w:highlight w:val="none"/>
                      <w:lang w:val="en-US" w:eastAsia="zh-CN"/>
                    </w:rPr>
                    <w:t>/</w:t>
                  </w:r>
                </w:p>
              </w:tc>
              <w:tc>
                <w:tcPr>
                  <w:tcW w:w="625" w:type="pct"/>
                  <w:tcBorders>
                    <w:tl2br w:val="nil"/>
                    <w:tr2bl w:val="nil"/>
                  </w:tcBorders>
                  <w:noWrap w:val="0"/>
                  <w:vAlign w:val="center"/>
                </w:tcPr>
                <w:p w14:paraId="2BE56584">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default"/>
                      <w:color w:val="auto"/>
                      <w:sz w:val="21"/>
                      <w:szCs w:val="21"/>
                      <w:highlight w:val="none"/>
                      <w:lang w:val="en-US" w:eastAsia="zh-CN"/>
                    </w:rPr>
                  </w:pPr>
                  <w:r>
                    <w:rPr>
                      <w:rFonts w:hint="eastAsia"/>
                      <w:color w:val="auto"/>
                      <w:sz w:val="21"/>
                      <w:szCs w:val="21"/>
                      <w:highlight w:val="none"/>
                      <w:lang w:val="en-US" w:eastAsia="zh-CN"/>
                    </w:rPr>
                    <w:t>15</w:t>
                  </w:r>
                </w:p>
              </w:tc>
              <w:tc>
                <w:tcPr>
                  <w:tcW w:w="653" w:type="pct"/>
                  <w:tcBorders>
                    <w:tl2br w:val="nil"/>
                    <w:tr2bl w:val="nil"/>
                  </w:tcBorders>
                  <w:noWrap w:val="0"/>
                  <w:vAlign w:val="center"/>
                </w:tcPr>
                <w:p w14:paraId="23C4B929">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color w:val="auto"/>
                      <w:sz w:val="21"/>
                      <w:szCs w:val="21"/>
                      <w:highlight w:val="none"/>
                    </w:rPr>
                  </w:pPr>
                  <w:r>
                    <w:rPr>
                      <w:rFonts w:hint="eastAsia"/>
                      <w:color w:val="auto"/>
                      <w:sz w:val="21"/>
                      <w:szCs w:val="21"/>
                      <w:highlight w:val="none"/>
                    </w:rPr>
                    <w:t>4.9kg/h</w:t>
                  </w:r>
                </w:p>
              </w:tc>
              <w:tc>
                <w:tcPr>
                  <w:tcW w:w="959" w:type="pct"/>
                  <w:gridSpan w:val="2"/>
                  <w:tcBorders>
                    <w:tl2br w:val="nil"/>
                    <w:tr2bl w:val="nil"/>
                  </w:tcBorders>
                  <w:noWrap w:val="0"/>
                  <w:vAlign w:val="center"/>
                </w:tcPr>
                <w:p w14:paraId="3CA89EE2">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default" w:eastAsia="宋体"/>
                      <w:color w:val="auto"/>
                      <w:sz w:val="21"/>
                      <w:szCs w:val="21"/>
                      <w:highlight w:val="none"/>
                      <w:lang w:val="en-US" w:eastAsia="zh-CN"/>
                    </w:rPr>
                  </w:pPr>
                  <w:r>
                    <w:rPr>
                      <w:rFonts w:hint="eastAsia"/>
                      <w:color w:val="auto"/>
                      <w:sz w:val="21"/>
                      <w:szCs w:val="21"/>
                      <w:highlight w:val="none"/>
                      <w:lang w:val="en-US" w:eastAsia="zh-CN"/>
                    </w:rPr>
                    <w:t>厂界无组织排放源</w:t>
                  </w:r>
                </w:p>
              </w:tc>
              <w:tc>
                <w:tcPr>
                  <w:tcW w:w="451" w:type="pct"/>
                  <w:tcBorders>
                    <w:tl2br w:val="nil"/>
                    <w:tr2bl w:val="nil"/>
                  </w:tcBorders>
                  <w:noWrap w:val="0"/>
                  <w:vAlign w:val="center"/>
                </w:tcPr>
                <w:p w14:paraId="7CD04323">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default" w:eastAsia="宋体"/>
                      <w:color w:val="auto"/>
                      <w:sz w:val="21"/>
                      <w:szCs w:val="21"/>
                      <w:highlight w:val="none"/>
                      <w:lang w:val="en-US" w:eastAsia="zh-CN"/>
                    </w:rPr>
                  </w:pPr>
                  <w:r>
                    <w:rPr>
                      <w:rFonts w:hint="eastAsia"/>
                      <w:color w:val="auto"/>
                      <w:sz w:val="21"/>
                      <w:szCs w:val="21"/>
                      <w:highlight w:val="none"/>
                      <w:lang w:val="en-US" w:eastAsia="zh-CN"/>
                    </w:rPr>
                    <w:t>1.5</w:t>
                  </w:r>
                </w:p>
              </w:tc>
              <w:tc>
                <w:tcPr>
                  <w:tcW w:w="988" w:type="pct"/>
                  <w:tcBorders>
                    <w:tl2br w:val="nil"/>
                    <w:tr2bl w:val="nil"/>
                  </w:tcBorders>
                  <w:noWrap w:val="0"/>
                  <w:vAlign w:val="center"/>
                </w:tcPr>
                <w:p w14:paraId="6EB09C6E">
                  <w:pPr>
                    <w:keepNext w:val="0"/>
                    <w:keepLines w:val="0"/>
                    <w:pageBreakBefore w:val="0"/>
                    <w:widowControl w:val="0"/>
                    <w:kinsoku w:val="0"/>
                    <w:wordWrap/>
                    <w:overflowPunct w:val="0"/>
                    <w:topLinePunct w:val="0"/>
                    <w:autoSpaceDE w:val="0"/>
                    <w:autoSpaceDN w:val="0"/>
                    <w:bidi w:val="0"/>
                    <w:adjustRightInd/>
                    <w:snapToGrid/>
                    <w:spacing w:line="240" w:lineRule="auto"/>
                    <w:jc w:val="center"/>
                    <w:textAlignment w:val="auto"/>
                    <w:rPr>
                      <w:rFonts w:hint="eastAsia"/>
                      <w:color w:val="auto"/>
                      <w:sz w:val="21"/>
                      <w:szCs w:val="21"/>
                      <w:highlight w:val="none"/>
                    </w:rPr>
                  </w:pPr>
                  <w:r>
                    <w:rPr>
                      <w:rFonts w:hint="eastAsia"/>
                      <w:color w:val="auto"/>
                      <w:sz w:val="21"/>
                      <w:szCs w:val="21"/>
                      <w:highlight w:val="none"/>
                    </w:rPr>
                    <w:t>《恶臭污染物排放标准》（GB14554-93）</w:t>
                  </w:r>
                </w:p>
              </w:tc>
            </w:tr>
            <w:tr w14:paraId="1B4AC4A8">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000" w:type="pct"/>
                  <w:gridSpan w:val="8"/>
                  <w:tcBorders>
                    <w:tl2br w:val="nil"/>
                    <w:tr2bl w:val="nil"/>
                  </w:tcBorders>
                  <w:noWrap w:val="0"/>
                  <w:vAlign w:val="center"/>
                </w:tcPr>
                <w:p w14:paraId="6F78CE6E">
                  <w:pPr>
                    <w:keepNext w:val="0"/>
                    <w:keepLines w:val="0"/>
                    <w:pageBreakBefore w:val="0"/>
                    <w:widowControl w:val="0"/>
                    <w:kinsoku w:val="0"/>
                    <w:wordWrap/>
                    <w:overflowPunct w:val="0"/>
                    <w:topLinePunct w:val="0"/>
                    <w:autoSpaceDE w:val="0"/>
                    <w:autoSpaceDN w:val="0"/>
                    <w:bidi w:val="0"/>
                    <w:adjustRightInd/>
                    <w:snapToGrid/>
                    <w:spacing w:line="240" w:lineRule="auto"/>
                    <w:jc w:val="left"/>
                    <w:textAlignment w:val="auto"/>
                    <w:rPr>
                      <w:rFonts w:hint="eastAsia"/>
                      <w:color w:val="auto"/>
                      <w:sz w:val="21"/>
                      <w:szCs w:val="21"/>
                      <w:highlight w:val="none"/>
                    </w:rPr>
                  </w:pPr>
                  <w:r>
                    <w:rPr>
                      <w:rFonts w:hint="eastAsia"/>
                      <w:color w:val="auto"/>
                      <w:sz w:val="21"/>
                      <w:szCs w:val="21"/>
                      <w:highlight w:val="none"/>
                    </w:rPr>
                    <w:t>注*：本项目排气筒DA001高度不能满足高出周围200m半径范围内最高建筑5m以上的要求，以上标准为折合后标准。</w:t>
                  </w:r>
                </w:p>
              </w:tc>
            </w:tr>
          </w:tbl>
          <w:p w14:paraId="0958A6BF">
            <w:pPr>
              <w:ind w:firstLine="420" w:firstLineChars="200"/>
              <w:jc w:val="both"/>
              <w:rPr>
                <w:rFonts w:hint="default"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w:t>
            </w:r>
            <w:r>
              <w:rPr>
                <w:rFonts w:hint="eastAsia" w:cs="Times New Roman"/>
                <w:color w:val="auto"/>
                <w:sz w:val="21"/>
                <w:szCs w:val="21"/>
                <w:highlight w:val="none"/>
                <w:lang w:val="en-US" w:eastAsia="zh-CN"/>
              </w:rPr>
              <w:t>废水不外排</w:t>
            </w:r>
          </w:p>
          <w:p w14:paraId="74565420">
            <w:pPr>
              <w:ind w:firstLine="420" w:firstLineChars="200"/>
              <w:jc w:val="both"/>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val="en-US" w:eastAsia="zh-CN"/>
              </w:rPr>
              <w:t>施工期执行《建筑施工场界环境噪声排放标准》（GB12523-2011）中规定限值；</w:t>
            </w:r>
            <w:r>
              <w:rPr>
                <w:rFonts w:hint="default" w:ascii="Times New Roman" w:hAnsi="Times New Roman" w:eastAsia="宋体" w:cs="Times New Roman"/>
                <w:color w:val="auto"/>
                <w:sz w:val="21"/>
                <w:szCs w:val="21"/>
                <w:highlight w:val="none"/>
                <w:lang w:val="en-US" w:eastAsia="zh-CN"/>
              </w:rPr>
              <w:t>运营期厂界噪声排放执行《工业企业厂界环境噪声排放标准》(GB12348-2008)中</w:t>
            </w:r>
            <w:r>
              <w:rPr>
                <w:rFonts w:hint="eastAsia"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lang w:val="en-US" w:eastAsia="zh-CN"/>
              </w:rPr>
              <w:t>类标准</w:t>
            </w:r>
            <w:r>
              <w:rPr>
                <w:rFonts w:hint="eastAsia" w:ascii="Times New Roman" w:hAnsi="Times New Roman" w:eastAsia="宋体" w:cs="Times New Roman"/>
                <w:color w:val="auto"/>
                <w:sz w:val="21"/>
                <w:szCs w:val="21"/>
                <w:highlight w:val="none"/>
                <w:lang w:val="en-US" w:eastAsia="zh-CN"/>
              </w:rPr>
              <w:t>。</w:t>
            </w:r>
          </w:p>
          <w:p w14:paraId="7A0D2F34">
            <w:pPr>
              <w:pStyle w:val="2"/>
              <w:keepNext/>
              <w:keepLines/>
              <w:pageBreakBefore w:val="0"/>
              <w:widowControl w:val="0"/>
              <w:numPr>
                <w:ilvl w:val="1"/>
                <w:numId w:val="0"/>
              </w:numPr>
              <w:kinsoku/>
              <w:wordWrap/>
              <w:overflowPunct/>
              <w:topLinePunct w:val="0"/>
              <w:autoSpaceDE/>
              <w:autoSpaceDN/>
              <w:bidi w:val="0"/>
              <w:adjustRightInd w:val="0"/>
              <w:snapToGrid w:val="0"/>
              <w:spacing w:beforeLines="0" w:after="0" w:line="240" w:lineRule="auto"/>
              <w:ind w:leftChars="0"/>
              <w:jc w:val="center"/>
              <w:textAlignment w:val="baseline"/>
              <w:rPr>
                <w:rFonts w:hint="eastAsia" w:ascii="Times New Roman" w:hAnsi="Times New Roman" w:eastAsia="宋体" w:cs="Times New Roman"/>
                <w:b/>
                <w:snapToGrid/>
                <w:color w:val="auto"/>
                <w:spacing w:val="0"/>
                <w:kern w:val="2"/>
                <w:sz w:val="21"/>
                <w:szCs w:val="21"/>
                <w:highlight w:val="none"/>
                <w:lang w:val="en-US" w:eastAsia="zh-CN" w:bidi="ar-SA"/>
              </w:rPr>
            </w:pPr>
            <w:r>
              <w:rPr>
                <w:rFonts w:hint="eastAsia" w:ascii="Times New Roman" w:hAnsi="Times New Roman" w:eastAsia="宋体" w:cs="Times New Roman"/>
                <w:b/>
                <w:snapToGrid/>
                <w:color w:val="auto"/>
                <w:spacing w:val="0"/>
                <w:kern w:val="2"/>
                <w:sz w:val="21"/>
                <w:szCs w:val="21"/>
                <w:highlight w:val="none"/>
                <w:lang w:val="en-US" w:eastAsia="zh-CN" w:bidi="ar-SA"/>
              </w:rPr>
              <w:t>表24  噪声排放标准一览表</w:t>
            </w:r>
          </w:p>
          <w:tbl>
            <w:tblPr>
              <w:tblStyle w:val="45"/>
              <w:tblW w:w="4998" w:type="pct"/>
              <w:tblInd w:w="16"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720"/>
              <w:gridCol w:w="1640"/>
              <w:gridCol w:w="912"/>
              <w:gridCol w:w="1049"/>
            </w:tblGrid>
            <w:tr w14:paraId="52444E1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3821" w:type="pct"/>
                  <w:gridSpan w:val="2"/>
                  <w:vMerge w:val="restart"/>
                  <w:tcBorders>
                    <w:tl2br w:val="nil"/>
                    <w:tr2bl w:val="nil"/>
                  </w:tcBorders>
                  <w:vAlign w:val="center"/>
                </w:tcPr>
                <w:p w14:paraId="06F318FF">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eastAsia="宋体" w:cs="Times New Roman"/>
                      <w:color w:val="auto"/>
                      <w:kern w:val="0"/>
                      <w:sz w:val="21"/>
                      <w:szCs w:val="21"/>
                      <w:highlight w:val="none"/>
                    </w:rPr>
                  </w:pPr>
                  <w:r>
                    <w:rPr>
                      <w:rFonts w:ascii="Times New Roman" w:hAnsi="Times New Roman" w:eastAsia="宋体" w:cs="Times New Roman"/>
                      <w:color w:val="auto"/>
                      <w:kern w:val="0"/>
                      <w:sz w:val="21"/>
                      <w:szCs w:val="21"/>
                      <w:highlight w:val="none"/>
                    </w:rPr>
                    <w:t>执行标准</w:t>
                  </w:r>
                </w:p>
              </w:tc>
              <w:tc>
                <w:tcPr>
                  <w:tcW w:w="1178" w:type="pct"/>
                  <w:gridSpan w:val="2"/>
                  <w:tcBorders>
                    <w:tl2br w:val="nil"/>
                    <w:tr2bl w:val="nil"/>
                  </w:tcBorders>
                  <w:vAlign w:val="center"/>
                </w:tcPr>
                <w:p w14:paraId="7000DE97">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eastAsia="宋体" w:cs="Times New Roman"/>
                      <w:color w:val="auto"/>
                      <w:kern w:val="0"/>
                      <w:sz w:val="21"/>
                      <w:szCs w:val="21"/>
                      <w:highlight w:val="none"/>
                    </w:rPr>
                  </w:pPr>
                  <w:r>
                    <w:rPr>
                      <w:rFonts w:ascii="Times New Roman" w:hAnsi="Times New Roman" w:eastAsia="宋体" w:cs="Times New Roman"/>
                      <w:color w:val="auto"/>
                      <w:kern w:val="0"/>
                      <w:sz w:val="21"/>
                      <w:szCs w:val="21"/>
                      <w:highlight w:val="none"/>
                    </w:rPr>
                    <w:t>标准值[dB(A)]</w:t>
                  </w:r>
                </w:p>
              </w:tc>
            </w:tr>
            <w:tr w14:paraId="7651D3BF">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3821" w:type="pct"/>
                  <w:gridSpan w:val="2"/>
                  <w:vMerge w:val="continue"/>
                  <w:tcBorders>
                    <w:tl2br w:val="nil"/>
                    <w:tr2bl w:val="nil"/>
                  </w:tcBorders>
                  <w:vAlign w:val="center"/>
                </w:tcPr>
                <w:p w14:paraId="37D43CDF">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eastAsia="宋体" w:cs="Times New Roman"/>
                      <w:color w:val="auto"/>
                      <w:kern w:val="0"/>
                      <w:sz w:val="21"/>
                      <w:szCs w:val="21"/>
                      <w:highlight w:val="none"/>
                    </w:rPr>
                  </w:pPr>
                </w:p>
              </w:tc>
              <w:tc>
                <w:tcPr>
                  <w:tcW w:w="548" w:type="pct"/>
                  <w:tcBorders>
                    <w:tl2br w:val="nil"/>
                    <w:tr2bl w:val="nil"/>
                  </w:tcBorders>
                  <w:vAlign w:val="center"/>
                </w:tcPr>
                <w:p w14:paraId="7DF770BC">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eastAsia="宋体" w:cs="Times New Roman"/>
                      <w:color w:val="auto"/>
                      <w:kern w:val="0"/>
                      <w:sz w:val="21"/>
                      <w:szCs w:val="21"/>
                      <w:highlight w:val="none"/>
                    </w:rPr>
                  </w:pPr>
                  <w:r>
                    <w:rPr>
                      <w:rFonts w:ascii="Times New Roman" w:hAnsi="Times New Roman" w:eastAsia="宋体" w:cs="Times New Roman"/>
                      <w:color w:val="auto"/>
                      <w:kern w:val="0"/>
                      <w:sz w:val="21"/>
                      <w:szCs w:val="21"/>
                      <w:highlight w:val="none"/>
                    </w:rPr>
                    <w:t>昼间</w:t>
                  </w:r>
                </w:p>
              </w:tc>
              <w:tc>
                <w:tcPr>
                  <w:tcW w:w="630" w:type="pct"/>
                  <w:tcBorders>
                    <w:tl2br w:val="nil"/>
                    <w:tr2bl w:val="nil"/>
                  </w:tcBorders>
                  <w:vAlign w:val="center"/>
                </w:tcPr>
                <w:p w14:paraId="0909D2F7">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eastAsia="宋体" w:cs="Times New Roman"/>
                      <w:color w:val="auto"/>
                      <w:kern w:val="0"/>
                      <w:sz w:val="21"/>
                      <w:szCs w:val="21"/>
                      <w:highlight w:val="none"/>
                    </w:rPr>
                  </w:pPr>
                  <w:r>
                    <w:rPr>
                      <w:rFonts w:ascii="Times New Roman" w:hAnsi="Times New Roman" w:eastAsia="宋体" w:cs="Times New Roman"/>
                      <w:color w:val="auto"/>
                      <w:kern w:val="0"/>
                      <w:sz w:val="21"/>
                      <w:szCs w:val="21"/>
                      <w:highlight w:val="none"/>
                    </w:rPr>
                    <w:t>夜间</w:t>
                  </w:r>
                </w:p>
              </w:tc>
            </w:tr>
            <w:tr w14:paraId="5248E6E8">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21" w:type="pct"/>
                  <w:gridSpan w:val="2"/>
                  <w:tcBorders>
                    <w:tl2br w:val="nil"/>
                    <w:tr2bl w:val="nil"/>
                  </w:tcBorders>
                  <w:vAlign w:val="center"/>
                </w:tcPr>
                <w:p w14:paraId="035B4FFB">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《建筑施工场界环境噪声排放标准》（GB12523-2011）中规定限值</w:t>
                  </w:r>
                </w:p>
              </w:tc>
              <w:tc>
                <w:tcPr>
                  <w:tcW w:w="548" w:type="pct"/>
                  <w:tcBorders>
                    <w:tl2br w:val="nil"/>
                    <w:tr2bl w:val="nil"/>
                  </w:tcBorders>
                  <w:vAlign w:val="center"/>
                </w:tcPr>
                <w:p w14:paraId="48CBBD33">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70</w:t>
                  </w:r>
                </w:p>
              </w:tc>
              <w:tc>
                <w:tcPr>
                  <w:tcW w:w="630" w:type="pct"/>
                  <w:tcBorders>
                    <w:tl2br w:val="nil"/>
                    <w:tr2bl w:val="nil"/>
                  </w:tcBorders>
                  <w:vAlign w:val="center"/>
                </w:tcPr>
                <w:p w14:paraId="7FFB67E9">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50</w:t>
                  </w:r>
                </w:p>
              </w:tc>
            </w:tr>
            <w:tr w14:paraId="19D503A4">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36" w:type="pct"/>
                  <w:tcBorders>
                    <w:tl2br w:val="nil"/>
                    <w:tr2bl w:val="nil"/>
                  </w:tcBorders>
                  <w:vAlign w:val="center"/>
                </w:tcPr>
                <w:p w14:paraId="788EE01A">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eastAsia="宋体" w:cs="Times New Roman"/>
                      <w:color w:val="auto"/>
                      <w:kern w:val="0"/>
                      <w:sz w:val="21"/>
                      <w:szCs w:val="21"/>
                      <w:highlight w:val="none"/>
                    </w:rPr>
                  </w:pPr>
                  <w:r>
                    <w:rPr>
                      <w:rFonts w:ascii="Times New Roman" w:hAnsi="Times New Roman" w:eastAsia="宋体" w:cs="Times New Roman"/>
                      <w:color w:val="auto"/>
                      <w:kern w:val="0"/>
                      <w:sz w:val="21"/>
                      <w:szCs w:val="21"/>
                      <w:highlight w:val="none"/>
                    </w:rPr>
                    <w:t>《工业企业厂界环境噪声排放标准》（GB12348-2008）</w:t>
                  </w:r>
                </w:p>
              </w:tc>
              <w:tc>
                <w:tcPr>
                  <w:tcW w:w="984" w:type="pct"/>
                  <w:tcBorders>
                    <w:tl2br w:val="nil"/>
                    <w:tr2bl w:val="nil"/>
                  </w:tcBorders>
                  <w:vAlign w:val="center"/>
                </w:tcPr>
                <w:p w14:paraId="0BCF0F71">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2</w:t>
                  </w:r>
                  <w:r>
                    <w:rPr>
                      <w:rFonts w:ascii="Times New Roman" w:hAnsi="Times New Roman" w:eastAsia="宋体" w:cs="Times New Roman"/>
                      <w:color w:val="auto"/>
                      <w:kern w:val="0"/>
                      <w:sz w:val="21"/>
                      <w:szCs w:val="21"/>
                      <w:highlight w:val="none"/>
                    </w:rPr>
                    <w:t>类</w:t>
                  </w:r>
                  <w:r>
                    <w:rPr>
                      <w:rFonts w:hint="eastAsia" w:ascii="Times New Roman" w:hAnsi="Times New Roman" w:eastAsia="宋体" w:cs="Times New Roman"/>
                      <w:color w:val="auto"/>
                      <w:kern w:val="0"/>
                      <w:sz w:val="21"/>
                      <w:szCs w:val="21"/>
                      <w:highlight w:val="none"/>
                    </w:rPr>
                    <w:t>标准</w:t>
                  </w:r>
                </w:p>
              </w:tc>
              <w:tc>
                <w:tcPr>
                  <w:tcW w:w="548" w:type="pct"/>
                  <w:tcBorders>
                    <w:tl2br w:val="nil"/>
                    <w:tr2bl w:val="nil"/>
                  </w:tcBorders>
                  <w:vAlign w:val="center"/>
                </w:tcPr>
                <w:p w14:paraId="423FFDE2">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60</w:t>
                  </w:r>
                </w:p>
              </w:tc>
              <w:tc>
                <w:tcPr>
                  <w:tcW w:w="630" w:type="pct"/>
                  <w:tcBorders>
                    <w:tl2br w:val="nil"/>
                    <w:tr2bl w:val="nil"/>
                  </w:tcBorders>
                  <w:vAlign w:val="center"/>
                </w:tcPr>
                <w:p w14:paraId="39F8731A">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50</w:t>
                  </w:r>
                </w:p>
              </w:tc>
            </w:tr>
          </w:tbl>
          <w:p w14:paraId="30C4279E">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4、一般固体废物排放执行《一般工业固体废物贮存和填埋污染控制标准》(GB 18599-2020)中有关规定；危险废物贮存、处置执行《危险废物贮存污染控制标准》(GB18597-20</w:t>
            </w:r>
            <w:r>
              <w:rPr>
                <w:rFonts w:hint="eastAsia" w:cs="Times New Roman"/>
                <w:color w:val="auto"/>
                <w:sz w:val="21"/>
                <w:szCs w:val="21"/>
                <w:highlight w:val="none"/>
                <w:lang w:val="en-US" w:eastAsia="zh-CN"/>
              </w:rPr>
              <w:t>23</w:t>
            </w:r>
            <w:r>
              <w:rPr>
                <w:rFonts w:hint="default" w:ascii="Times New Roman" w:hAnsi="Times New Roman" w:eastAsia="宋体" w:cs="Times New Roman"/>
                <w:color w:val="auto"/>
                <w:sz w:val="21"/>
                <w:szCs w:val="21"/>
                <w:highlight w:val="none"/>
                <w:lang w:val="en-US" w:eastAsia="zh-CN"/>
              </w:rPr>
              <w:t>)。</w:t>
            </w:r>
          </w:p>
          <w:p w14:paraId="1B0602AA">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ascii="Times New Roman" w:hAnsi="Times New Roman" w:cs="Times New Roman"/>
                <w:color w:val="0000FF"/>
                <w:highlight w:val="none"/>
              </w:rPr>
            </w:pPr>
            <w:r>
              <w:rPr>
                <w:rFonts w:hint="default" w:ascii="Times New Roman" w:hAnsi="Times New Roman" w:eastAsia="宋体" w:cs="Times New Roman"/>
                <w:color w:val="auto"/>
                <w:sz w:val="21"/>
                <w:szCs w:val="21"/>
                <w:highlight w:val="none"/>
                <w:lang w:val="en-US" w:eastAsia="zh-CN"/>
              </w:rPr>
              <w:t>5、其他标准按国家及陕西省相关规定执行。</w:t>
            </w:r>
          </w:p>
        </w:tc>
      </w:tr>
      <w:tr w14:paraId="25F8DC63">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0" w:type="pct"/>
            <w:tcBorders>
              <w:top w:val="single" w:color="auto" w:sz="4" w:space="0"/>
              <w:left w:val="single" w:color="auto" w:sz="8" w:space="0"/>
              <w:bottom w:val="single" w:color="auto" w:sz="4" w:space="0"/>
              <w:right w:val="single" w:color="auto" w:sz="4" w:space="0"/>
            </w:tcBorders>
            <w:tcMar>
              <w:top w:w="0" w:type="dxa"/>
              <w:left w:w="28" w:type="dxa"/>
              <w:bottom w:w="0" w:type="dxa"/>
              <w:right w:w="28" w:type="dxa"/>
            </w:tcMar>
            <w:vAlign w:val="center"/>
          </w:tcPr>
          <w:p w14:paraId="380FFF2E">
            <w:pPr>
              <w:adjustRightInd w:val="0"/>
              <w:snapToGrid w:val="0"/>
              <w:spacing w:line="240" w:lineRule="auto"/>
              <w:jc w:val="center"/>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总量</w:t>
            </w:r>
          </w:p>
          <w:p w14:paraId="68024A86">
            <w:pPr>
              <w:adjustRightInd w:val="0"/>
              <w:snapToGrid w:val="0"/>
              <w:spacing w:line="240" w:lineRule="auto"/>
              <w:jc w:val="center"/>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控制</w:t>
            </w:r>
          </w:p>
          <w:p w14:paraId="45384B49">
            <w:pPr>
              <w:adjustRightInd w:val="0"/>
              <w:snapToGrid w:val="0"/>
              <w:spacing w:line="240" w:lineRule="auto"/>
              <w:jc w:val="center"/>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指标</w:t>
            </w:r>
          </w:p>
        </w:tc>
        <w:tc>
          <w:tcPr>
            <w:tcW w:w="4599" w:type="pct"/>
            <w:tcBorders>
              <w:top w:val="single" w:color="auto" w:sz="4" w:space="0"/>
              <w:left w:val="single" w:color="auto" w:sz="4" w:space="0"/>
              <w:bottom w:val="single" w:color="auto" w:sz="4" w:space="0"/>
              <w:right w:val="single" w:color="auto" w:sz="8" w:space="0"/>
            </w:tcBorders>
            <w:vAlign w:val="center"/>
          </w:tcPr>
          <w:p w14:paraId="3C9D5DD0">
            <w:pPr>
              <w:adjustRightInd w:val="0"/>
              <w:snapToGrid w:val="0"/>
              <w:spacing w:line="360" w:lineRule="auto"/>
              <w:ind w:firstLine="420" w:firstLineChars="200"/>
              <w:jc w:val="both"/>
              <w:rPr>
                <w:rFonts w:hint="eastAsia"/>
                <w:color w:val="auto"/>
                <w:sz w:val="21"/>
                <w:szCs w:val="21"/>
                <w:highlight w:val="none"/>
                <w:lang w:val="en-US" w:eastAsia="zh-CN"/>
              </w:rPr>
            </w:pPr>
          </w:p>
          <w:p w14:paraId="38007CCB">
            <w:pPr>
              <w:adjustRightInd w:val="0"/>
              <w:snapToGrid w:val="0"/>
              <w:spacing w:line="360" w:lineRule="auto"/>
              <w:ind w:firstLine="420" w:firstLineChars="200"/>
              <w:jc w:val="both"/>
              <w:rPr>
                <w:rFonts w:hint="eastAsia"/>
                <w:color w:val="auto"/>
                <w:sz w:val="21"/>
                <w:szCs w:val="21"/>
                <w:highlight w:val="none"/>
                <w:lang w:val="en-US" w:eastAsia="zh-CN"/>
              </w:rPr>
            </w:pPr>
          </w:p>
          <w:p w14:paraId="2DEDE163">
            <w:pPr>
              <w:adjustRightInd w:val="0"/>
              <w:snapToGrid w:val="0"/>
              <w:spacing w:line="360" w:lineRule="auto"/>
              <w:ind w:firstLine="420" w:firstLineChars="200"/>
              <w:jc w:val="both"/>
              <w:rPr>
                <w:rFonts w:hint="eastAsia"/>
                <w:color w:val="auto"/>
                <w:sz w:val="21"/>
                <w:szCs w:val="21"/>
                <w:highlight w:val="none"/>
                <w:lang w:val="en-US" w:eastAsia="zh-CN"/>
              </w:rPr>
            </w:pPr>
          </w:p>
          <w:p w14:paraId="56403FDF">
            <w:pPr>
              <w:adjustRightInd w:val="0"/>
              <w:snapToGrid w:val="0"/>
              <w:spacing w:line="360" w:lineRule="auto"/>
              <w:ind w:firstLine="420" w:firstLineChars="200"/>
              <w:jc w:val="both"/>
              <w:rPr>
                <w:rFonts w:hint="eastAsia"/>
                <w:color w:val="auto"/>
                <w:sz w:val="21"/>
                <w:szCs w:val="21"/>
                <w:highlight w:val="none"/>
                <w:lang w:val="en-US" w:eastAsia="zh-CN"/>
              </w:rPr>
            </w:pPr>
          </w:p>
          <w:p w14:paraId="0A4D31B1">
            <w:pPr>
              <w:adjustRightInd w:val="0"/>
              <w:snapToGrid w:val="0"/>
              <w:spacing w:line="360" w:lineRule="auto"/>
              <w:ind w:firstLine="420" w:firstLineChars="200"/>
              <w:jc w:val="both"/>
              <w:rPr>
                <w:rFonts w:hint="eastAsia"/>
                <w:color w:val="auto"/>
                <w:sz w:val="21"/>
                <w:szCs w:val="21"/>
                <w:highlight w:val="none"/>
                <w:lang w:val="en-US" w:eastAsia="zh-CN"/>
              </w:rPr>
            </w:pPr>
          </w:p>
          <w:p w14:paraId="3F951D52">
            <w:pPr>
              <w:adjustRightInd w:val="0"/>
              <w:snapToGrid w:val="0"/>
              <w:spacing w:line="360" w:lineRule="auto"/>
              <w:ind w:firstLine="420" w:firstLineChars="200"/>
              <w:jc w:val="both"/>
              <w:rPr>
                <w:rFonts w:hint="eastAsia"/>
                <w:color w:val="auto"/>
                <w:sz w:val="21"/>
                <w:szCs w:val="21"/>
                <w:highlight w:val="none"/>
                <w:lang w:val="en-US" w:eastAsia="zh-CN"/>
              </w:rPr>
            </w:pPr>
            <w:r>
              <w:rPr>
                <w:rFonts w:hint="eastAsia"/>
                <w:color w:val="auto"/>
                <w:sz w:val="21"/>
                <w:szCs w:val="21"/>
                <w:highlight w:val="none"/>
                <w:lang w:val="en-US" w:eastAsia="zh-CN"/>
              </w:rPr>
              <w:t>根据《关于印发陕西省“十四五”生态环境保护规划的通知》陕政发[2021]25号），按照陕西省十四五生态环境保护规划要求污染物控制指标为：NOx、VOCs、COD、NH</w:t>
            </w:r>
            <w:r>
              <w:rPr>
                <w:rFonts w:hint="eastAsia"/>
                <w:color w:val="auto"/>
                <w:sz w:val="21"/>
                <w:szCs w:val="21"/>
                <w:highlight w:val="none"/>
                <w:vertAlign w:val="subscript"/>
                <w:lang w:val="en-US" w:eastAsia="zh-CN"/>
              </w:rPr>
              <w:t>3</w:t>
            </w:r>
            <w:r>
              <w:rPr>
                <w:rFonts w:hint="eastAsia"/>
                <w:color w:val="auto"/>
                <w:sz w:val="21"/>
                <w:szCs w:val="21"/>
                <w:highlight w:val="none"/>
                <w:lang w:val="en-US" w:eastAsia="zh-CN"/>
              </w:rPr>
              <w:t>-N。</w:t>
            </w:r>
          </w:p>
          <w:p w14:paraId="4E2A7F40">
            <w:pPr>
              <w:adjustRightInd w:val="0"/>
              <w:snapToGrid w:val="0"/>
              <w:spacing w:line="360" w:lineRule="auto"/>
              <w:ind w:firstLine="420" w:firstLineChars="200"/>
              <w:jc w:val="both"/>
              <w:rPr>
                <w:rFonts w:hint="eastAsia"/>
                <w:color w:val="auto"/>
                <w:sz w:val="21"/>
                <w:szCs w:val="21"/>
                <w:highlight w:val="none"/>
                <w:lang w:val="en-US" w:eastAsia="zh-CN"/>
              </w:rPr>
            </w:pPr>
            <w:r>
              <w:rPr>
                <w:rFonts w:hint="eastAsia"/>
                <w:color w:val="auto"/>
                <w:sz w:val="21"/>
                <w:szCs w:val="21"/>
                <w:highlight w:val="none"/>
                <w:lang w:val="en-US" w:eastAsia="zh-CN"/>
              </w:rPr>
              <w:t>经分析，本项目建议的总量控制指标为：VOCs：</w:t>
            </w:r>
            <w:r>
              <w:rPr>
                <w:rFonts w:hint="eastAsia" w:cs="Times New Roman"/>
                <w:color w:val="auto"/>
                <w:sz w:val="21"/>
                <w:szCs w:val="21"/>
                <w:highlight w:val="none"/>
                <w:lang w:val="en-US" w:eastAsia="zh-CN"/>
              </w:rPr>
              <w:t>0.0544k</w:t>
            </w:r>
            <w:r>
              <w:rPr>
                <w:rFonts w:hint="default" w:ascii="Times New Roman" w:hAnsi="Times New Roman" w:eastAsia="宋体" w:cs="Times New Roman"/>
                <w:color w:val="auto"/>
                <w:sz w:val="21"/>
                <w:szCs w:val="21"/>
                <w:highlight w:val="none"/>
              </w:rPr>
              <w:t>g/a</w:t>
            </w:r>
            <w:r>
              <w:rPr>
                <w:rFonts w:hint="eastAsia"/>
                <w:color w:val="auto"/>
                <w:sz w:val="21"/>
                <w:szCs w:val="21"/>
                <w:highlight w:val="none"/>
                <w:lang w:val="en-US" w:eastAsia="zh-CN"/>
              </w:rPr>
              <w:t>。</w:t>
            </w:r>
          </w:p>
          <w:p w14:paraId="385AD225">
            <w:pPr>
              <w:adjustRightInd w:val="0"/>
              <w:snapToGrid w:val="0"/>
              <w:spacing w:line="360" w:lineRule="auto"/>
              <w:jc w:val="both"/>
              <w:rPr>
                <w:rFonts w:hint="eastAsia"/>
                <w:color w:val="auto"/>
                <w:sz w:val="21"/>
                <w:szCs w:val="21"/>
                <w:highlight w:val="none"/>
                <w:lang w:val="en-US" w:eastAsia="zh-CN"/>
              </w:rPr>
            </w:pPr>
          </w:p>
          <w:p w14:paraId="5CDCF771">
            <w:pPr>
              <w:ind w:firstLine="480" w:firstLineChars="200"/>
              <w:jc w:val="both"/>
              <w:rPr>
                <w:rFonts w:hint="default"/>
                <w:lang w:val="en-US" w:eastAsia="zh-CN"/>
              </w:rPr>
            </w:pPr>
          </w:p>
        </w:tc>
      </w:tr>
      <w:bookmarkEnd w:id="3"/>
    </w:tbl>
    <w:p w14:paraId="35A6F287">
      <w:pPr>
        <w:pStyle w:val="44"/>
        <w:rPr>
          <w:rFonts w:hint="eastAsia"/>
          <w:color w:val="0000FF"/>
          <w:highlight w:val="none"/>
        </w:rPr>
        <w:sectPr>
          <w:pgSz w:w="11907" w:h="16840"/>
          <w:pgMar w:top="1417" w:right="1417" w:bottom="1417" w:left="1417" w:header="992" w:footer="992" w:gutter="0"/>
          <w:pgBorders>
            <w:top w:val="none" w:sz="0" w:space="0"/>
            <w:left w:val="none" w:sz="0" w:space="0"/>
            <w:bottom w:val="none" w:sz="0" w:space="0"/>
            <w:right w:val="none" w:sz="0" w:space="0"/>
          </w:pgBorders>
          <w:pgNumType w:fmt="numberInDash"/>
          <w:cols w:space="720" w:num="1"/>
          <w:docGrid w:linePitch="286" w:charSpace="0"/>
        </w:sectPr>
      </w:pPr>
    </w:p>
    <w:p w14:paraId="58F9AE69">
      <w:pPr>
        <w:pStyle w:val="41"/>
        <w:spacing w:before="100" w:after="100" w:line="240" w:lineRule="auto"/>
        <w:jc w:val="center"/>
        <w:outlineLvl w:val="0"/>
        <w:rPr>
          <w:rFonts w:hint="eastAsia" w:ascii="黑体" w:hAnsi="黑体" w:eastAsia="黑体"/>
          <w:snapToGrid w:val="0"/>
          <w:color w:val="auto"/>
          <w:sz w:val="30"/>
          <w:szCs w:val="30"/>
          <w:highlight w:val="none"/>
        </w:rPr>
      </w:pPr>
      <w:r>
        <w:rPr>
          <w:rFonts w:hint="eastAsia" w:ascii="黑体" w:hAnsi="黑体" w:eastAsia="黑体"/>
          <w:snapToGrid w:val="0"/>
          <w:color w:val="auto"/>
          <w:sz w:val="30"/>
          <w:szCs w:val="30"/>
          <w:highlight w:val="none"/>
        </w:rPr>
        <w:t>四、主要环境影响和保护措施</w:t>
      </w:r>
    </w:p>
    <w:tbl>
      <w:tblPr>
        <w:tblStyle w:val="45"/>
        <w:tblW w:w="503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8410"/>
      </w:tblGrid>
      <w:tr w14:paraId="3BBF4ADA">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361" w:hRule="atLeast"/>
          <w:jc w:val="center"/>
        </w:trPr>
        <w:tc>
          <w:tcPr>
            <w:tcW w:w="467" w:type="pct"/>
            <w:tcBorders>
              <w:top w:val="single" w:color="auto" w:sz="8" w:space="0"/>
              <w:left w:val="single" w:color="auto" w:sz="8" w:space="0"/>
              <w:bottom w:val="single" w:color="auto" w:sz="4" w:space="0"/>
              <w:right w:val="single" w:color="auto" w:sz="4" w:space="0"/>
            </w:tcBorders>
            <w:tcMar>
              <w:top w:w="0" w:type="dxa"/>
              <w:left w:w="28" w:type="dxa"/>
              <w:bottom w:w="0" w:type="dxa"/>
              <w:right w:w="28" w:type="dxa"/>
            </w:tcMar>
            <w:vAlign w:val="center"/>
          </w:tcPr>
          <w:p w14:paraId="79A373C4">
            <w:pPr>
              <w:pStyle w:val="41"/>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72" w:leftChars="-30" w:right="-72" w:rightChars="-30"/>
              <w:jc w:val="center"/>
              <w:textAlignment w:val="auto"/>
              <w:rPr>
                <w:rFonts w:hint="default" w:ascii="Times New Roman" w:hAnsi="Times New Roman" w:eastAsia="宋体" w:cs="Times New Roman"/>
                <w:b/>
                <w:bCs/>
                <w:color w:val="auto"/>
                <w:kern w:val="2"/>
                <w:highlight w:val="none"/>
              </w:rPr>
            </w:pPr>
            <w:r>
              <w:rPr>
                <w:rFonts w:hint="default" w:ascii="Times New Roman" w:hAnsi="Times New Roman" w:eastAsia="宋体" w:cs="Times New Roman"/>
                <w:b/>
                <w:bCs/>
                <w:color w:val="auto"/>
                <w:kern w:val="2"/>
                <w:highlight w:val="none"/>
              </w:rPr>
              <w:t>施工期环境保</w:t>
            </w:r>
          </w:p>
          <w:p w14:paraId="31AABC84">
            <w:pPr>
              <w:pStyle w:val="41"/>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72" w:leftChars="-30" w:right="-72" w:rightChars="-30"/>
              <w:jc w:val="center"/>
              <w:textAlignment w:val="auto"/>
              <w:rPr>
                <w:rFonts w:hint="default" w:ascii="Times New Roman" w:hAnsi="Times New Roman" w:eastAsia="宋体" w:cs="Times New Roman"/>
                <w:bCs/>
                <w:color w:val="auto"/>
                <w:kern w:val="2"/>
                <w:sz w:val="21"/>
                <w:szCs w:val="21"/>
                <w:highlight w:val="none"/>
              </w:rPr>
            </w:pPr>
            <w:r>
              <w:rPr>
                <w:rFonts w:hint="default" w:ascii="Times New Roman" w:hAnsi="Times New Roman" w:eastAsia="宋体" w:cs="Times New Roman"/>
                <w:b/>
                <w:bCs/>
                <w:color w:val="auto"/>
                <w:kern w:val="2"/>
                <w:highlight w:val="none"/>
              </w:rPr>
              <w:t>护措施</w:t>
            </w:r>
          </w:p>
        </w:tc>
        <w:tc>
          <w:tcPr>
            <w:tcW w:w="4532" w:type="pct"/>
            <w:tcBorders>
              <w:top w:val="single" w:color="auto" w:sz="8" w:space="0"/>
              <w:left w:val="single" w:color="auto" w:sz="4" w:space="0"/>
              <w:bottom w:val="single" w:color="auto" w:sz="4" w:space="0"/>
              <w:right w:val="single" w:color="auto" w:sz="8" w:space="0"/>
            </w:tcBorders>
            <w:vAlign w:val="center"/>
          </w:tcPr>
          <w:p w14:paraId="3CE51821">
            <w:pPr>
              <w:ind w:firstLine="420" w:firstLineChars="200"/>
              <w:jc w:val="both"/>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项目</w:t>
            </w:r>
            <w:r>
              <w:rPr>
                <w:rFonts w:hint="eastAsia" w:cs="Times New Roman"/>
                <w:color w:val="auto"/>
                <w:sz w:val="21"/>
                <w:szCs w:val="21"/>
                <w:highlight w:val="none"/>
                <w:lang w:val="en-US" w:eastAsia="zh-CN"/>
              </w:rPr>
              <w:t>使用</w:t>
            </w:r>
            <w:r>
              <w:rPr>
                <w:rFonts w:hint="eastAsia" w:ascii="Times New Roman" w:hAnsi="Times New Roman" w:eastAsia="宋体" w:cs="Times New Roman"/>
                <w:color w:val="auto"/>
                <w:sz w:val="21"/>
                <w:szCs w:val="21"/>
                <w:highlight w:val="none"/>
                <w:lang w:val="en-US" w:eastAsia="zh-CN"/>
              </w:rPr>
              <w:t>已建成的</w:t>
            </w:r>
            <w:r>
              <w:rPr>
                <w:rFonts w:hint="eastAsia" w:cs="Times New Roman"/>
                <w:color w:val="auto"/>
                <w:sz w:val="21"/>
                <w:szCs w:val="21"/>
                <w:highlight w:val="none"/>
                <w:lang w:val="en-US" w:eastAsia="zh-CN"/>
              </w:rPr>
              <w:t>厂房</w:t>
            </w:r>
            <w:r>
              <w:rPr>
                <w:rFonts w:hint="eastAsia" w:ascii="Times New Roman" w:hAnsi="Times New Roman" w:eastAsia="宋体" w:cs="Times New Roman"/>
                <w:color w:val="auto"/>
                <w:sz w:val="21"/>
                <w:szCs w:val="21"/>
                <w:highlight w:val="none"/>
                <w:lang w:val="en-US" w:eastAsia="zh-CN"/>
              </w:rPr>
              <w:t>，施工期不涉及土建工程，施工期仅对房屋内部格局进行调整和对室内进行装修，不进行主体工程建设。</w:t>
            </w:r>
          </w:p>
          <w:p w14:paraId="049FE3D5">
            <w:pPr>
              <w:ind w:firstLine="420" w:firstLineChars="200"/>
              <w:jc w:val="both"/>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施工期</w:t>
            </w:r>
            <w:r>
              <w:rPr>
                <w:rFonts w:hint="eastAsia" w:cs="Times New Roman"/>
                <w:color w:val="auto"/>
                <w:sz w:val="21"/>
                <w:szCs w:val="21"/>
                <w:highlight w:val="none"/>
                <w:lang w:val="en-US" w:eastAsia="zh-CN"/>
              </w:rPr>
              <w:t>实验检测</w:t>
            </w:r>
            <w:r>
              <w:rPr>
                <w:rFonts w:hint="eastAsia" w:ascii="Times New Roman" w:hAnsi="Times New Roman" w:eastAsia="宋体" w:cs="Times New Roman"/>
                <w:color w:val="auto"/>
                <w:sz w:val="21"/>
                <w:szCs w:val="21"/>
                <w:highlight w:val="none"/>
                <w:lang w:val="en-US" w:eastAsia="zh-CN"/>
              </w:rPr>
              <w:t>设备</w:t>
            </w:r>
            <w:r>
              <w:rPr>
                <w:rFonts w:hint="eastAsia" w:cs="Times New Roman"/>
                <w:color w:val="auto"/>
                <w:sz w:val="21"/>
                <w:szCs w:val="21"/>
                <w:highlight w:val="none"/>
                <w:lang w:val="en-US" w:eastAsia="zh-CN"/>
              </w:rPr>
              <w:t>的</w:t>
            </w:r>
            <w:r>
              <w:rPr>
                <w:rFonts w:hint="eastAsia" w:ascii="Times New Roman" w:hAnsi="Times New Roman" w:eastAsia="宋体" w:cs="Times New Roman"/>
                <w:color w:val="auto"/>
                <w:sz w:val="21"/>
                <w:szCs w:val="21"/>
                <w:highlight w:val="none"/>
                <w:lang w:val="en-US" w:eastAsia="zh-CN"/>
              </w:rPr>
              <w:t>安装过程将产生施工噪声。室内装修过程将产生装修废气</w:t>
            </w:r>
            <w:r>
              <w:rPr>
                <w:rFonts w:hint="eastAsia" w:cs="Times New Roman"/>
                <w:color w:val="auto"/>
                <w:sz w:val="21"/>
                <w:szCs w:val="21"/>
                <w:highlight w:val="none"/>
                <w:lang w:val="en-US" w:eastAsia="zh-CN"/>
              </w:rPr>
              <w:t>，经稀释扩散后对外环境影响较小</w:t>
            </w:r>
            <w:r>
              <w:rPr>
                <w:rFonts w:hint="eastAsia" w:ascii="Times New Roman" w:hAnsi="Times New Roman" w:eastAsia="宋体" w:cs="Times New Roman"/>
                <w:color w:val="auto"/>
                <w:sz w:val="21"/>
                <w:szCs w:val="21"/>
                <w:highlight w:val="none"/>
                <w:lang w:val="en-US" w:eastAsia="zh-CN"/>
              </w:rPr>
              <w:t>。施工期产生的固体废弃物主要为设备安装后的废包装材料和施工人员生活垃圾，分类收集后，定期交由环卫部门统一处置。施工期产生废水环节主要为设备清洗</w:t>
            </w:r>
            <w:r>
              <w:rPr>
                <w:rFonts w:hint="eastAsia" w:cs="Times New Roman"/>
                <w:color w:val="auto"/>
                <w:sz w:val="21"/>
                <w:szCs w:val="21"/>
                <w:highlight w:val="none"/>
                <w:lang w:val="en-US" w:eastAsia="zh-CN"/>
              </w:rPr>
              <w:t>过程及管道测试</w:t>
            </w:r>
            <w:r>
              <w:rPr>
                <w:rFonts w:hint="eastAsia" w:ascii="Times New Roman" w:hAnsi="Times New Roman" w:eastAsia="宋体" w:cs="Times New Roman"/>
                <w:color w:val="auto"/>
                <w:sz w:val="21"/>
                <w:szCs w:val="21"/>
                <w:highlight w:val="none"/>
                <w:lang w:val="en-US" w:eastAsia="zh-CN"/>
              </w:rPr>
              <w:t>产生的废水和施工人员生活污水</w:t>
            </w:r>
            <w:r>
              <w:rPr>
                <w:rFonts w:hint="eastAsia" w:cs="Times New Roman"/>
                <w:color w:val="auto"/>
                <w:sz w:val="21"/>
                <w:szCs w:val="21"/>
                <w:highlight w:val="none"/>
                <w:lang w:val="en-US" w:eastAsia="zh-CN"/>
              </w:rPr>
              <w:t>，依托园区化粪池</w:t>
            </w:r>
            <w:r>
              <w:rPr>
                <w:rFonts w:hint="eastAsia" w:ascii="Times New Roman" w:hAnsi="Times New Roman" w:eastAsia="宋体" w:cs="Times New Roman"/>
                <w:color w:val="auto"/>
                <w:sz w:val="21"/>
                <w:szCs w:val="21"/>
                <w:highlight w:val="none"/>
                <w:lang w:val="en-US" w:eastAsia="zh-CN"/>
              </w:rPr>
              <w:t>处理后，进入市政污水管网。</w:t>
            </w:r>
          </w:p>
          <w:p w14:paraId="3D4B8C5F">
            <w:pPr>
              <w:ind w:firstLine="420" w:firstLineChars="200"/>
              <w:jc w:val="both"/>
              <w:rPr>
                <w:rFonts w:hint="default" w:ascii="Times New Roman" w:hAnsi="Times New Roman" w:eastAsia="宋体" w:cs="Times New Roman"/>
                <w:color w:val="auto"/>
                <w:highlight w:val="none"/>
              </w:rPr>
            </w:pPr>
            <w:r>
              <w:rPr>
                <w:rFonts w:hint="eastAsia" w:ascii="Times New Roman" w:hAnsi="Times New Roman" w:eastAsia="宋体" w:cs="Times New Roman"/>
                <w:color w:val="auto"/>
                <w:sz w:val="21"/>
                <w:szCs w:val="21"/>
                <w:highlight w:val="none"/>
                <w:lang w:val="en-US" w:eastAsia="zh-CN"/>
              </w:rPr>
              <w:t>由于施工期（</w:t>
            </w:r>
            <w:r>
              <w:rPr>
                <w:rFonts w:hint="eastAsia"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val="en-US" w:eastAsia="zh-CN"/>
              </w:rPr>
              <w:t>个月）短暂，污染物产生量较少，持续时间短暂，且在厂区内部进行，与周边环境敏感点距离较远，施工过程产生的影响较小。随着施工期的结束，影响也随之结束。</w:t>
            </w:r>
          </w:p>
        </w:tc>
      </w:tr>
      <w:tr w14:paraId="7AF4DD7A">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467" w:type="pct"/>
            <w:tcBorders>
              <w:top w:val="single" w:color="auto" w:sz="8" w:space="0"/>
              <w:left w:val="single" w:color="auto" w:sz="8" w:space="0"/>
              <w:bottom w:val="single" w:color="auto" w:sz="4" w:space="0"/>
              <w:right w:val="single" w:color="auto" w:sz="4" w:space="0"/>
            </w:tcBorders>
            <w:tcMar>
              <w:top w:w="0" w:type="dxa"/>
              <w:left w:w="28" w:type="dxa"/>
              <w:bottom w:w="0" w:type="dxa"/>
              <w:right w:w="28" w:type="dxa"/>
            </w:tcMar>
            <w:vAlign w:val="center"/>
          </w:tcPr>
          <w:p w14:paraId="4BBD1D0A">
            <w:pPr>
              <w:adjustRightInd w:val="0"/>
              <w:snapToGrid w:val="0"/>
              <w:spacing w:line="240" w:lineRule="auto"/>
              <w:jc w:val="center"/>
              <w:rPr>
                <w:rFonts w:hint="default" w:ascii="Times New Roman" w:hAnsi="Times New Roman" w:eastAsia="宋体" w:cs="Times New Roman"/>
                <w:b/>
                <w:bCs w:val="0"/>
                <w:color w:val="auto"/>
                <w:szCs w:val="21"/>
                <w:highlight w:val="none"/>
              </w:rPr>
            </w:pPr>
            <w:r>
              <w:rPr>
                <w:rFonts w:hint="default" w:ascii="Times New Roman" w:hAnsi="Times New Roman" w:eastAsia="宋体" w:cs="Times New Roman"/>
                <w:b/>
                <w:bCs w:val="0"/>
                <w:color w:val="auto"/>
                <w:szCs w:val="21"/>
                <w:highlight w:val="none"/>
              </w:rPr>
              <w:t>运营</w:t>
            </w:r>
          </w:p>
          <w:p w14:paraId="1892DE8A">
            <w:pPr>
              <w:adjustRightInd w:val="0"/>
              <w:snapToGrid w:val="0"/>
              <w:spacing w:line="240" w:lineRule="auto"/>
              <w:jc w:val="center"/>
              <w:rPr>
                <w:rFonts w:hint="default" w:ascii="Times New Roman" w:hAnsi="Times New Roman" w:eastAsia="宋体" w:cs="Times New Roman"/>
                <w:b/>
                <w:bCs w:val="0"/>
                <w:color w:val="auto"/>
                <w:szCs w:val="21"/>
                <w:highlight w:val="none"/>
              </w:rPr>
            </w:pPr>
            <w:r>
              <w:rPr>
                <w:rFonts w:hint="default" w:ascii="Times New Roman" w:hAnsi="Times New Roman" w:eastAsia="宋体" w:cs="Times New Roman"/>
                <w:b/>
                <w:bCs w:val="0"/>
                <w:color w:val="auto"/>
                <w:szCs w:val="21"/>
                <w:highlight w:val="none"/>
              </w:rPr>
              <w:t>期环</w:t>
            </w:r>
          </w:p>
          <w:p w14:paraId="0CD34432">
            <w:pPr>
              <w:adjustRightInd w:val="0"/>
              <w:snapToGrid w:val="0"/>
              <w:spacing w:line="240" w:lineRule="auto"/>
              <w:jc w:val="center"/>
              <w:rPr>
                <w:rFonts w:hint="default" w:ascii="Times New Roman" w:hAnsi="Times New Roman" w:eastAsia="宋体" w:cs="Times New Roman"/>
                <w:b/>
                <w:bCs w:val="0"/>
                <w:color w:val="auto"/>
                <w:szCs w:val="21"/>
                <w:highlight w:val="none"/>
              </w:rPr>
            </w:pPr>
            <w:r>
              <w:rPr>
                <w:rFonts w:hint="default" w:ascii="Times New Roman" w:hAnsi="Times New Roman" w:eastAsia="宋体" w:cs="Times New Roman"/>
                <w:b/>
                <w:bCs w:val="0"/>
                <w:color w:val="auto"/>
                <w:szCs w:val="21"/>
                <w:highlight w:val="none"/>
              </w:rPr>
              <w:t>境影</w:t>
            </w:r>
          </w:p>
          <w:p w14:paraId="3C75407D">
            <w:pPr>
              <w:adjustRightInd w:val="0"/>
              <w:snapToGrid w:val="0"/>
              <w:spacing w:line="240" w:lineRule="auto"/>
              <w:jc w:val="center"/>
              <w:rPr>
                <w:rFonts w:hint="default" w:ascii="Times New Roman" w:hAnsi="Times New Roman" w:eastAsia="宋体" w:cs="Times New Roman"/>
                <w:b/>
                <w:bCs w:val="0"/>
                <w:color w:val="auto"/>
                <w:szCs w:val="21"/>
                <w:highlight w:val="none"/>
              </w:rPr>
            </w:pPr>
            <w:r>
              <w:rPr>
                <w:rFonts w:hint="default" w:ascii="Times New Roman" w:hAnsi="Times New Roman" w:eastAsia="宋体" w:cs="Times New Roman"/>
                <w:b/>
                <w:bCs w:val="0"/>
                <w:color w:val="auto"/>
                <w:szCs w:val="21"/>
                <w:highlight w:val="none"/>
              </w:rPr>
              <w:t>响和</w:t>
            </w:r>
          </w:p>
          <w:p w14:paraId="6058A2A7">
            <w:pPr>
              <w:adjustRightInd w:val="0"/>
              <w:snapToGrid w:val="0"/>
              <w:spacing w:line="240" w:lineRule="auto"/>
              <w:jc w:val="center"/>
              <w:rPr>
                <w:rFonts w:hint="default" w:ascii="Times New Roman" w:hAnsi="Times New Roman" w:eastAsia="宋体" w:cs="Times New Roman"/>
                <w:b/>
                <w:bCs w:val="0"/>
                <w:color w:val="auto"/>
                <w:szCs w:val="21"/>
                <w:highlight w:val="none"/>
              </w:rPr>
            </w:pPr>
            <w:r>
              <w:rPr>
                <w:rFonts w:hint="default" w:ascii="Times New Roman" w:hAnsi="Times New Roman" w:eastAsia="宋体" w:cs="Times New Roman"/>
                <w:b/>
                <w:bCs w:val="0"/>
                <w:color w:val="auto"/>
                <w:szCs w:val="21"/>
                <w:highlight w:val="none"/>
              </w:rPr>
              <w:t>保护</w:t>
            </w:r>
          </w:p>
          <w:p w14:paraId="0931E44E">
            <w:pPr>
              <w:pStyle w:val="41"/>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72" w:leftChars="-30" w:right="-72" w:rightChars="-30"/>
              <w:jc w:val="center"/>
              <w:textAlignment w:val="auto"/>
              <w:rPr>
                <w:rFonts w:hint="default" w:ascii="Times New Roman" w:hAnsi="Times New Roman" w:eastAsia="宋体" w:cs="Times New Roman"/>
                <w:b/>
                <w:bCs/>
                <w:color w:val="0000FF"/>
                <w:kern w:val="2"/>
                <w:highlight w:val="none"/>
              </w:rPr>
            </w:pPr>
            <w:r>
              <w:rPr>
                <w:rFonts w:hint="default" w:ascii="Times New Roman" w:hAnsi="Times New Roman" w:eastAsia="宋体" w:cs="Times New Roman"/>
                <w:b/>
                <w:bCs w:val="0"/>
                <w:color w:val="auto"/>
                <w:szCs w:val="21"/>
                <w:highlight w:val="none"/>
              </w:rPr>
              <w:t>措施</w:t>
            </w:r>
          </w:p>
        </w:tc>
        <w:tc>
          <w:tcPr>
            <w:tcW w:w="4532" w:type="pct"/>
            <w:tcBorders>
              <w:top w:val="single" w:color="auto" w:sz="8" w:space="0"/>
              <w:left w:val="single" w:color="auto" w:sz="4" w:space="0"/>
              <w:bottom w:val="single" w:color="auto" w:sz="4" w:space="0"/>
              <w:right w:val="single" w:color="auto" w:sz="8" w:space="0"/>
            </w:tcBorders>
            <w:vAlign w:val="top"/>
          </w:tcPr>
          <w:p w14:paraId="313F88F0">
            <w:pPr>
              <w:jc w:val="both"/>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1、废气环境影响及治理措施</w:t>
            </w:r>
          </w:p>
          <w:p w14:paraId="7E6A7F4E">
            <w:pPr>
              <w:keepNext w:val="0"/>
              <w:keepLines w:val="0"/>
              <w:pageBreakBefore w:val="0"/>
              <w:widowControl w:val="0"/>
              <w:kinsoku/>
              <w:wordWrap/>
              <w:overflowPunct/>
              <w:topLinePunct w:val="0"/>
              <w:autoSpaceDE/>
              <w:autoSpaceDN/>
              <w:bidi w:val="0"/>
              <w:adjustRightInd/>
              <w:snapToGrid/>
              <w:spacing w:line="336" w:lineRule="auto"/>
              <w:ind w:firstLine="422" w:firstLineChars="200"/>
              <w:jc w:val="both"/>
              <w:textAlignment w:val="auto"/>
              <w:rPr>
                <w:rFonts w:hint="eastAsia"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（1）源强核算</w:t>
            </w:r>
          </w:p>
          <w:p w14:paraId="49AE72D4">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both"/>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查阅可知国家尚未颁布专业实验室、研发（试验）基地有关行业污染源源强核算技术指南和排污许可证申请与核发技术规范。根据《排污许可证申请与核发技术规范 总则》（HJ942-2018）、《污染源源强核算技术指南 准则》（HJ884-2018），本次评价采用</w:t>
            </w:r>
            <w:r>
              <w:rPr>
                <w:rFonts w:hint="eastAsia" w:cs="Times New Roman"/>
                <w:color w:val="auto"/>
                <w:sz w:val="21"/>
                <w:szCs w:val="21"/>
                <w:highlight w:val="none"/>
                <w:lang w:val="en-US" w:eastAsia="zh-CN"/>
              </w:rPr>
              <w:t>产污</w:t>
            </w:r>
            <w:r>
              <w:rPr>
                <w:rFonts w:hint="eastAsia" w:ascii="Times New Roman" w:hAnsi="Times New Roman" w:eastAsia="宋体" w:cs="Times New Roman"/>
                <w:color w:val="auto"/>
                <w:sz w:val="21"/>
                <w:szCs w:val="21"/>
                <w:highlight w:val="none"/>
                <w:lang w:val="en-US" w:eastAsia="zh-CN"/>
              </w:rPr>
              <w:t>系数法</w:t>
            </w:r>
            <w:r>
              <w:rPr>
                <w:rFonts w:hint="eastAsia" w:cs="Times New Roman"/>
                <w:color w:val="auto"/>
                <w:sz w:val="21"/>
                <w:szCs w:val="21"/>
                <w:highlight w:val="none"/>
                <w:lang w:val="en-US" w:eastAsia="zh-CN"/>
              </w:rPr>
              <w:t>、公式法</w:t>
            </w:r>
            <w:r>
              <w:rPr>
                <w:rFonts w:hint="eastAsia" w:ascii="Times New Roman" w:hAnsi="Times New Roman" w:eastAsia="宋体" w:cs="Times New Roman"/>
                <w:color w:val="auto"/>
                <w:sz w:val="21"/>
                <w:szCs w:val="21"/>
                <w:highlight w:val="none"/>
                <w:lang w:val="en-US" w:eastAsia="zh-CN"/>
              </w:rPr>
              <w:t>和类比法进行核算</w:t>
            </w:r>
            <w:r>
              <w:rPr>
                <w:rFonts w:hint="eastAsia" w:cs="Times New Roman"/>
                <w:color w:val="auto"/>
                <w:sz w:val="21"/>
                <w:szCs w:val="21"/>
                <w:highlight w:val="none"/>
                <w:lang w:val="en-US" w:eastAsia="zh-CN"/>
              </w:rPr>
              <w:t>。</w:t>
            </w:r>
          </w:p>
          <w:p w14:paraId="120DA9E3">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both"/>
              <w:textAlignment w:val="auto"/>
              <w:rPr>
                <w:rFonts w:hint="eastAsia"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本项目实验室使用的</w:t>
            </w:r>
            <w:r>
              <w:rPr>
                <w:rFonts w:hint="eastAsia" w:cs="Times New Roman"/>
                <w:color w:val="auto"/>
                <w:sz w:val="21"/>
                <w:szCs w:val="21"/>
                <w:highlight w:val="none"/>
                <w:lang w:val="en-US" w:eastAsia="zh-CN"/>
              </w:rPr>
              <w:t>可产生酸性废气的</w:t>
            </w:r>
            <w:r>
              <w:rPr>
                <w:rFonts w:hint="eastAsia" w:ascii="Times New Roman" w:hAnsi="Times New Roman" w:eastAsia="宋体" w:cs="Times New Roman"/>
                <w:color w:val="auto"/>
                <w:sz w:val="21"/>
                <w:szCs w:val="21"/>
                <w:highlight w:val="none"/>
                <w:lang w:val="en-US" w:eastAsia="zh-CN"/>
              </w:rPr>
              <w:t>无机酸主要包括盐酸、硝酸、硫酸等，项目实验室中无机酸均为密封、避光保存，储存过程中基本无酸雾挥发，仅在</w:t>
            </w:r>
            <w:r>
              <w:rPr>
                <w:rFonts w:hint="eastAsia" w:cs="Times New Roman"/>
                <w:color w:val="auto"/>
                <w:sz w:val="21"/>
                <w:szCs w:val="21"/>
                <w:highlight w:val="none"/>
                <w:lang w:val="en-US" w:eastAsia="zh-CN"/>
              </w:rPr>
              <w:t>实验分析过程</w:t>
            </w:r>
            <w:r>
              <w:rPr>
                <w:rFonts w:hint="eastAsia" w:ascii="Times New Roman" w:hAnsi="Times New Roman" w:eastAsia="宋体" w:cs="Times New Roman"/>
                <w:color w:val="auto"/>
                <w:sz w:val="21"/>
                <w:szCs w:val="21"/>
                <w:highlight w:val="none"/>
                <w:lang w:val="en-US" w:eastAsia="zh-CN"/>
              </w:rPr>
              <w:t>会挥发少量</w:t>
            </w:r>
            <w:r>
              <w:rPr>
                <w:rFonts w:hint="eastAsia" w:cs="Times New Roman"/>
                <w:color w:val="auto"/>
                <w:sz w:val="21"/>
                <w:szCs w:val="21"/>
                <w:highlight w:val="none"/>
                <w:lang w:val="en-US" w:eastAsia="zh-CN"/>
              </w:rPr>
              <w:t>酸性废气。</w:t>
            </w:r>
            <w:r>
              <w:rPr>
                <w:rFonts w:hint="eastAsia" w:ascii="Times New Roman" w:hAnsi="Times New Roman" w:eastAsia="宋体" w:cs="Times New Roman"/>
                <w:color w:val="auto"/>
                <w:sz w:val="21"/>
                <w:szCs w:val="21"/>
                <w:highlight w:val="none"/>
                <w:lang w:val="en-US" w:eastAsia="zh-CN"/>
              </w:rPr>
              <w:t>项目年使用盐酸</w:t>
            </w:r>
            <w:r>
              <w:rPr>
                <w:rFonts w:hint="eastAsia" w:cs="Times New Roman"/>
                <w:color w:val="auto"/>
                <w:kern w:val="28"/>
                <w:sz w:val="21"/>
                <w:szCs w:val="21"/>
                <w:highlight w:val="none"/>
                <w:lang w:val="en-US" w:eastAsia="zh-CN"/>
              </w:rPr>
              <w:t>2500</w:t>
            </w:r>
            <w:r>
              <w:rPr>
                <w:rFonts w:hint="default" w:eastAsia="宋体" w:cs="Times New Roman"/>
                <w:color w:val="auto"/>
                <w:kern w:val="28"/>
                <w:sz w:val="21"/>
                <w:szCs w:val="21"/>
                <w:highlight w:val="none"/>
                <w:lang w:val="en-US" w:eastAsia="zh-CN"/>
              </w:rPr>
              <w:t>mL</w:t>
            </w:r>
            <w:r>
              <w:rPr>
                <w:rFonts w:hint="eastAsia" w:ascii="Times New Roman" w:hAnsi="Times New Roman" w:eastAsia="宋体" w:cs="Times New Roman"/>
                <w:color w:val="auto"/>
                <w:sz w:val="21"/>
                <w:szCs w:val="21"/>
                <w:highlight w:val="none"/>
                <w:lang w:val="en-US" w:eastAsia="zh-CN"/>
              </w:rPr>
              <w:t>，</w:t>
            </w:r>
            <w:r>
              <w:rPr>
                <w:rFonts w:hint="eastAsia" w:cs="Times New Roman"/>
                <w:color w:val="auto"/>
                <w:sz w:val="21"/>
                <w:szCs w:val="21"/>
                <w:highlight w:val="none"/>
                <w:lang w:val="en-US" w:eastAsia="zh-CN"/>
              </w:rPr>
              <w:t>盐酸密度按1.17g/mL计算，年用量为2.925kg/a，</w:t>
            </w:r>
            <w:r>
              <w:rPr>
                <w:rFonts w:hint="eastAsia" w:ascii="Times New Roman" w:hAnsi="Times New Roman" w:eastAsia="宋体" w:cs="Times New Roman"/>
                <w:color w:val="auto"/>
                <w:sz w:val="21"/>
                <w:szCs w:val="21"/>
                <w:highlight w:val="none"/>
                <w:lang w:val="en-US" w:eastAsia="zh-CN"/>
              </w:rPr>
              <w:t>硫酸</w:t>
            </w:r>
            <w:r>
              <w:rPr>
                <w:rFonts w:hint="eastAsia" w:cs="Times New Roman"/>
                <w:color w:val="auto"/>
                <w:kern w:val="28"/>
                <w:sz w:val="21"/>
                <w:szCs w:val="21"/>
                <w:highlight w:val="none"/>
                <w:lang w:val="en-US" w:eastAsia="zh-CN"/>
              </w:rPr>
              <w:t>2500</w:t>
            </w:r>
            <w:r>
              <w:rPr>
                <w:rFonts w:hint="default" w:eastAsia="宋体" w:cs="Times New Roman"/>
                <w:color w:val="auto"/>
                <w:kern w:val="28"/>
                <w:sz w:val="21"/>
                <w:szCs w:val="21"/>
                <w:highlight w:val="none"/>
                <w:lang w:val="en-US" w:eastAsia="zh-CN"/>
              </w:rPr>
              <w:t>mL</w:t>
            </w:r>
            <w:r>
              <w:rPr>
                <w:rFonts w:hint="eastAsia" w:ascii="Times New Roman" w:hAnsi="Times New Roman" w:eastAsia="宋体" w:cs="Times New Roman"/>
                <w:color w:val="auto"/>
                <w:sz w:val="21"/>
                <w:szCs w:val="21"/>
                <w:highlight w:val="none"/>
                <w:lang w:val="en-US" w:eastAsia="zh-CN"/>
              </w:rPr>
              <w:t>，</w:t>
            </w:r>
            <w:r>
              <w:rPr>
                <w:rFonts w:hint="eastAsia" w:cs="Times New Roman"/>
                <w:color w:val="auto"/>
                <w:sz w:val="21"/>
                <w:szCs w:val="21"/>
                <w:highlight w:val="none"/>
                <w:lang w:val="en-US" w:eastAsia="zh-CN"/>
              </w:rPr>
              <w:t>硫酸按1.84g/mL计算，年用量为4.6kg/a。</w:t>
            </w:r>
            <w:r>
              <w:rPr>
                <w:rFonts w:hint="eastAsia" w:ascii="Times New Roman" w:hAnsi="Times New Roman" w:eastAsia="宋体" w:cs="Times New Roman"/>
                <w:color w:val="auto"/>
                <w:sz w:val="21"/>
                <w:szCs w:val="21"/>
                <w:highlight w:val="none"/>
                <w:lang w:val="en-US" w:eastAsia="zh-CN"/>
              </w:rPr>
              <w:t>硝酸</w:t>
            </w:r>
            <w:r>
              <w:rPr>
                <w:rFonts w:hint="eastAsia" w:cs="Times New Roman"/>
                <w:color w:val="auto"/>
                <w:kern w:val="28"/>
                <w:sz w:val="21"/>
                <w:szCs w:val="21"/>
                <w:highlight w:val="none"/>
                <w:lang w:val="en-US" w:eastAsia="zh-CN"/>
              </w:rPr>
              <w:t>1000</w:t>
            </w:r>
            <w:r>
              <w:rPr>
                <w:rFonts w:hint="default" w:eastAsia="宋体" w:cs="Times New Roman"/>
                <w:color w:val="auto"/>
                <w:kern w:val="28"/>
                <w:sz w:val="21"/>
                <w:szCs w:val="21"/>
                <w:highlight w:val="none"/>
                <w:lang w:val="en-US" w:eastAsia="zh-CN"/>
              </w:rPr>
              <w:t>mL</w:t>
            </w:r>
            <w:r>
              <w:rPr>
                <w:rFonts w:hint="eastAsia" w:cs="Times New Roman"/>
                <w:color w:val="auto"/>
                <w:sz w:val="21"/>
                <w:szCs w:val="21"/>
                <w:highlight w:val="none"/>
                <w:lang w:val="en-US" w:eastAsia="zh-CN"/>
              </w:rPr>
              <w:t>，硝酸按1.51g/mL计算，年用量为1.51kg/a，由于硝酸挥发产生的酸雾不稳定，遇光会发生下面的光化学反应：</w:t>
            </w:r>
          </w:p>
          <w:p w14:paraId="198BBA5A">
            <w:pPr>
              <w:keepNext w:val="0"/>
              <w:keepLines w:val="0"/>
              <w:pageBreakBefore w:val="0"/>
              <w:widowControl w:val="0"/>
              <w:kinsoku/>
              <w:wordWrap/>
              <w:overflowPunct/>
              <w:topLinePunct w:val="0"/>
              <w:autoSpaceDE/>
              <w:autoSpaceDN/>
              <w:bidi w:val="0"/>
              <w:adjustRightInd/>
              <w:snapToGrid/>
              <w:spacing w:line="336" w:lineRule="auto"/>
              <w:ind w:firstLine="480" w:firstLineChars="200"/>
              <w:jc w:val="center"/>
              <w:textAlignment w:val="auto"/>
              <w:rPr>
                <w:rFonts w:hint="eastAsia" w:cs="Times New Roman"/>
                <w:color w:val="auto"/>
                <w:sz w:val="21"/>
                <w:szCs w:val="21"/>
                <w:highlight w:val="none"/>
                <w:lang w:val="en-US" w:eastAsia="zh-CN"/>
              </w:rPr>
            </w:pPr>
            <w:r>
              <w:rPr>
                <w:rFonts w:hint="eastAsia" w:ascii="Times New Roman" w:hAnsi="Times New Roman" w:cs="Times New Roman"/>
                <w:b w:val="0"/>
                <w:bCs w:val="0"/>
                <w:color w:val="auto"/>
                <w:position w:val="-12"/>
                <w:sz w:val="24"/>
                <w:szCs w:val="24"/>
                <w:highlight w:val="none"/>
                <w:lang w:val="en-US" w:eastAsia="zh-CN"/>
              </w:rPr>
              <w:object>
                <v:shape id="_x0000_i1028" o:spt="75" type="#_x0000_t75" style="height:24.95pt;width:168.95pt;" o:ole="t" filled="f" o:preferrelative="t" stroked="f" coordsize="21600,21600">
                  <v:path/>
                  <v:fill on="f" focussize="0,0"/>
                  <v:stroke on="f"/>
                  <v:imagedata r:id="rId20" o:title=""/>
                  <o:lock v:ext="edit" aspectratio="t"/>
                  <w10:wrap type="none"/>
                  <w10:anchorlock/>
                </v:shape>
                <o:OLEObject Type="Embed" ProgID="Equation.KSEE3" ShapeID="_x0000_i1028" DrawAspect="Content" ObjectID="_1468075728" r:id="rId19">
                  <o:LockedField>false</o:LockedField>
                </o:OLEObject>
              </w:object>
            </w:r>
          </w:p>
          <w:p w14:paraId="05B5973B">
            <w:pPr>
              <w:keepNext w:val="0"/>
              <w:keepLines w:val="0"/>
              <w:pageBreakBefore w:val="0"/>
              <w:widowControl w:val="0"/>
              <w:kinsoku/>
              <w:wordWrap/>
              <w:overflowPunct/>
              <w:topLinePunct w:val="0"/>
              <w:autoSpaceDE/>
              <w:autoSpaceDN/>
              <w:bidi w:val="0"/>
              <w:adjustRightInd/>
              <w:snapToGrid/>
              <w:spacing w:line="336" w:lineRule="auto"/>
              <w:ind w:firstLine="420" w:firstLineChars="200"/>
              <w:jc w:val="both"/>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因此，硝酸挥发产生的酸雾实际为氮氧化物，产生氮氧化物的反应质量比为1.37:1，即1.37质量的硝酸会产生1质量的氮氧化物。</w:t>
            </w:r>
          </w:p>
          <w:p w14:paraId="7649AC6E">
            <w:pPr>
              <w:ind w:firstLine="422" w:firstLineChars="200"/>
              <w:jc w:val="both"/>
              <w:rPr>
                <w:rFonts w:hint="default" w:ascii="Times New Roman" w:hAnsi="Times New Roman" w:eastAsia="宋体" w:cs="Times New Roman"/>
                <w:b/>
                <w:bCs/>
                <w:color w:val="auto"/>
                <w:sz w:val="21"/>
                <w:szCs w:val="21"/>
                <w:highlight w:val="none"/>
                <w:lang w:val="en-US" w:eastAsia="zh-CN"/>
              </w:rPr>
            </w:pPr>
            <w:r>
              <w:rPr>
                <w:rFonts w:hint="eastAsia" w:cs="Times New Roman"/>
                <w:b/>
                <w:bCs/>
                <w:color w:val="auto"/>
                <w:sz w:val="21"/>
                <w:szCs w:val="21"/>
                <w:highlight w:val="none"/>
                <w:lang w:val="en-US" w:eastAsia="zh-CN"/>
              </w:rPr>
              <w:t>①酸性废气</w:t>
            </w:r>
          </w:p>
          <w:p w14:paraId="237B85E6">
            <w:pPr>
              <w:ind w:firstLine="422" w:firstLineChars="200"/>
              <w:jc w:val="both"/>
              <w:rPr>
                <w:rFonts w:hint="default" w:ascii="Times New Roman" w:hAnsi="Times New Roman" w:eastAsia="宋体" w:cs="Times New Roman"/>
                <w:b/>
                <w:bCs/>
                <w:color w:val="auto"/>
                <w:sz w:val="21"/>
                <w:szCs w:val="21"/>
                <w:highlight w:val="none"/>
                <w:lang w:val="en-US" w:eastAsia="zh-CN"/>
              </w:rPr>
            </w:pPr>
            <w:r>
              <w:rPr>
                <w:rFonts w:hint="eastAsia" w:cs="Times New Roman"/>
                <w:b/>
                <w:bCs/>
                <w:color w:val="auto"/>
                <w:sz w:val="21"/>
                <w:szCs w:val="21"/>
                <w:highlight w:val="none"/>
                <w:lang w:val="en-US" w:eastAsia="zh-CN"/>
              </w:rPr>
              <w:t>A</w:t>
            </w:r>
            <w:r>
              <w:rPr>
                <w:rFonts w:hint="eastAsia" w:ascii="Times New Roman" w:hAnsi="Times New Roman" w:eastAsia="宋体" w:cs="Times New Roman"/>
                <w:b/>
                <w:bCs/>
                <w:color w:val="auto"/>
                <w:sz w:val="21"/>
                <w:szCs w:val="21"/>
                <w:highlight w:val="none"/>
                <w:lang w:val="en-US" w:eastAsia="zh-CN"/>
              </w:rPr>
              <w:t>硫酸雾</w:t>
            </w:r>
          </w:p>
          <w:p w14:paraId="335AC19C">
            <w:pPr>
              <w:pStyle w:val="326"/>
              <w:ind w:firstLine="480"/>
              <w:jc w:val="left"/>
              <w:rPr>
                <w:color w:val="auto"/>
                <w:sz w:val="21"/>
                <w:szCs w:val="21"/>
                <w:highlight w:val="none"/>
              </w:rPr>
            </w:pPr>
            <w:r>
              <w:rPr>
                <w:rStyle w:val="287"/>
                <w:rFonts w:hint="default" w:ascii="Times New Roman" w:hAnsi="Times New Roman" w:cs="Times New Roman"/>
                <w:bCs w:val="0"/>
                <w:color w:val="auto"/>
                <w:sz w:val="21"/>
                <w:szCs w:val="21"/>
                <w:highlight w:val="none"/>
              </w:rPr>
              <w:t>本项目实验所使用的硫酸为98%浓硫酸，通常情况下保存在密封容器中，除取样产生的少量挥发外，主要产生环节为实验过程挥发的硫酸雾，项目硫酸使用平均浓度为</w:t>
            </w:r>
            <w:r>
              <w:rPr>
                <w:rStyle w:val="287"/>
                <w:rFonts w:hint="eastAsia" w:ascii="Times New Roman" w:hAnsi="Times New Roman" w:cs="Times New Roman"/>
                <w:bCs w:val="0"/>
                <w:color w:val="auto"/>
                <w:sz w:val="21"/>
                <w:szCs w:val="21"/>
                <w:highlight w:val="none"/>
                <w:lang w:val="en-US" w:eastAsia="zh-CN"/>
              </w:rPr>
              <w:t>50</w:t>
            </w:r>
            <w:r>
              <w:rPr>
                <w:rStyle w:val="287"/>
                <w:rFonts w:hint="default" w:ascii="Times New Roman" w:hAnsi="Times New Roman" w:cs="Times New Roman"/>
                <w:bCs w:val="0"/>
                <w:color w:val="auto"/>
                <w:sz w:val="21"/>
                <w:szCs w:val="21"/>
                <w:highlight w:val="none"/>
              </w:rPr>
              <w:t>%，</w:t>
            </w:r>
            <w:r>
              <w:rPr>
                <w:rStyle w:val="287"/>
                <w:rFonts w:hint="eastAsia" w:ascii="Times New Roman" w:hAnsi="Times New Roman" w:cs="Times New Roman"/>
                <w:bCs w:val="0"/>
                <w:color w:val="auto"/>
                <w:sz w:val="21"/>
                <w:szCs w:val="21"/>
                <w:highlight w:val="none"/>
                <w:lang w:val="en-US" w:eastAsia="zh-CN"/>
              </w:rPr>
              <w:t>30℃</w:t>
            </w:r>
            <w:r>
              <w:rPr>
                <w:rStyle w:val="287"/>
                <w:rFonts w:hint="eastAsia" w:ascii="Times New Roman" w:hAnsi="Times New Roman" w:eastAsia="宋体" w:cs="Times New Roman"/>
                <w:bCs w:val="0"/>
                <w:color w:val="auto"/>
                <w:sz w:val="21"/>
                <w:szCs w:val="21"/>
                <w:highlight w:val="none"/>
                <w:lang w:val="en-US" w:eastAsia="zh-CN"/>
              </w:rPr>
              <w:t>下使用</w:t>
            </w:r>
            <w:r>
              <w:rPr>
                <w:rStyle w:val="287"/>
                <w:rFonts w:hint="default" w:ascii="Times New Roman" w:hAnsi="Times New Roman" w:cs="Times New Roman"/>
                <w:bCs w:val="0"/>
                <w:color w:val="auto"/>
                <w:sz w:val="21"/>
                <w:szCs w:val="21"/>
                <w:highlight w:val="none"/>
              </w:rPr>
              <w:t>。</w:t>
            </w:r>
            <w:r>
              <w:rPr>
                <w:rStyle w:val="287"/>
                <w:rFonts w:hint="eastAsia" w:ascii="Times New Roman" w:hAnsi="Times New Roman" w:cs="Times New Roman"/>
                <w:bCs w:val="0"/>
                <w:color w:val="auto"/>
                <w:sz w:val="21"/>
                <w:szCs w:val="21"/>
                <w:highlight w:val="none"/>
                <w:lang w:val="en-US" w:eastAsia="zh-CN"/>
              </w:rPr>
              <w:t>在通风橱中进行，</w:t>
            </w:r>
            <w:r>
              <w:rPr>
                <w:rStyle w:val="287"/>
                <w:rFonts w:hint="default" w:ascii="Times New Roman" w:hAnsi="Times New Roman" w:cs="Times New Roman"/>
                <w:bCs w:val="0"/>
                <w:color w:val="auto"/>
                <w:sz w:val="21"/>
                <w:szCs w:val="21"/>
                <w:highlight w:val="none"/>
              </w:rPr>
              <w:t>本项目参考《环境统计手册》中公式计算硫酸雾产生情况：</w:t>
            </w:r>
          </w:p>
          <w:p w14:paraId="35192152">
            <w:pPr>
              <w:pStyle w:val="326"/>
              <w:ind w:firstLine="0" w:firstLineChars="0"/>
              <w:jc w:val="center"/>
              <w:rPr>
                <w:color w:val="auto"/>
                <w:sz w:val="21"/>
                <w:szCs w:val="21"/>
                <w:highlight w:val="none"/>
              </w:rPr>
            </w:pPr>
            <w:r>
              <w:rPr>
                <w:rStyle w:val="287"/>
                <w:rFonts w:hint="default" w:ascii="Times New Roman" w:hAnsi="Times New Roman" w:cs="Times New Roman"/>
                <w:bCs w:val="0"/>
                <w:color w:val="auto"/>
                <w:sz w:val="21"/>
                <w:szCs w:val="21"/>
                <w:highlight w:val="none"/>
              </w:rPr>
              <w:t>Gz=M(0.000352+0.000786V）P·F</w:t>
            </w:r>
          </w:p>
          <w:p w14:paraId="3CAF5A71">
            <w:pPr>
              <w:spacing w:line="356" w:lineRule="auto"/>
              <w:ind w:firstLine="420" w:firstLineChars="200"/>
              <w:rPr>
                <w:rStyle w:val="287"/>
                <w:rFonts w:hint="default" w:ascii="Times New Roman" w:hAnsi="Times New Roman" w:cs="Times New Roman"/>
                <w:color w:val="auto"/>
                <w:sz w:val="21"/>
                <w:szCs w:val="21"/>
                <w:highlight w:val="none"/>
              </w:rPr>
            </w:pPr>
            <w:r>
              <w:rPr>
                <w:rStyle w:val="287"/>
                <w:rFonts w:hint="default" w:ascii="Times New Roman" w:hAnsi="Times New Roman" w:cs="Times New Roman"/>
                <w:color w:val="auto"/>
                <w:sz w:val="21"/>
                <w:szCs w:val="21"/>
                <w:highlight w:val="none"/>
              </w:rPr>
              <w:t>式中：Gz—液体的蒸发量，</w:t>
            </w:r>
            <w:r>
              <w:rPr>
                <w:rStyle w:val="287"/>
                <w:rFonts w:hint="eastAsia" w:ascii="Times New Roman" w:hAnsi="Times New Roman" w:cs="Times New Roman"/>
                <w:color w:val="auto"/>
                <w:sz w:val="21"/>
                <w:szCs w:val="21"/>
                <w:highlight w:val="none"/>
                <w:lang w:val="en-US" w:eastAsia="zh-CN"/>
              </w:rPr>
              <w:t>k</w:t>
            </w:r>
            <w:r>
              <w:rPr>
                <w:rStyle w:val="287"/>
                <w:rFonts w:hint="default" w:ascii="Times New Roman" w:hAnsi="Times New Roman" w:cs="Times New Roman"/>
                <w:color w:val="auto"/>
                <w:sz w:val="21"/>
                <w:szCs w:val="21"/>
                <w:highlight w:val="none"/>
              </w:rPr>
              <w:t>g/h；</w:t>
            </w:r>
          </w:p>
          <w:p w14:paraId="038A6295">
            <w:pPr>
              <w:spacing w:line="356" w:lineRule="auto"/>
              <w:ind w:firstLine="420" w:firstLineChars="200"/>
              <w:rPr>
                <w:rStyle w:val="287"/>
                <w:rFonts w:hint="default" w:ascii="Times New Roman" w:hAnsi="Times New Roman" w:cs="Times New Roman"/>
                <w:color w:val="auto"/>
                <w:sz w:val="21"/>
                <w:szCs w:val="21"/>
                <w:highlight w:val="none"/>
              </w:rPr>
            </w:pPr>
            <w:r>
              <w:rPr>
                <w:rStyle w:val="287"/>
                <w:rFonts w:hint="default" w:ascii="Times New Roman" w:hAnsi="Times New Roman" w:cs="Times New Roman"/>
                <w:color w:val="auto"/>
                <w:sz w:val="21"/>
                <w:szCs w:val="21"/>
                <w:highlight w:val="none"/>
              </w:rPr>
              <w:t>M一液体的分子量，98</w:t>
            </w:r>
            <w:r>
              <w:rPr>
                <w:rStyle w:val="287"/>
                <w:rFonts w:hint="eastAsia" w:ascii="Times New Roman" w:hAnsi="Times New Roman" w:cs="Times New Roman"/>
                <w:color w:val="auto"/>
                <w:sz w:val="21"/>
                <w:szCs w:val="21"/>
                <w:highlight w:val="none"/>
                <w:lang w:val="en-US" w:eastAsia="zh-CN"/>
              </w:rPr>
              <w:t>.078</w:t>
            </w:r>
            <w:r>
              <w:rPr>
                <w:rStyle w:val="287"/>
                <w:rFonts w:hint="default" w:ascii="Times New Roman" w:hAnsi="Times New Roman" w:cs="Times New Roman"/>
                <w:color w:val="auto"/>
                <w:sz w:val="21"/>
                <w:szCs w:val="21"/>
                <w:highlight w:val="none"/>
              </w:rPr>
              <w:t>；</w:t>
            </w:r>
          </w:p>
          <w:p w14:paraId="2E7D7D78">
            <w:pPr>
              <w:spacing w:line="356" w:lineRule="auto"/>
              <w:ind w:firstLine="420" w:firstLineChars="200"/>
              <w:rPr>
                <w:rStyle w:val="287"/>
                <w:rFonts w:hint="default" w:ascii="Times New Roman" w:hAnsi="Times New Roman" w:cs="Times New Roman"/>
                <w:color w:val="auto"/>
                <w:sz w:val="21"/>
                <w:szCs w:val="21"/>
                <w:highlight w:val="none"/>
              </w:rPr>
            </w:pPr>
            <w:r>
              <w:rPr>
                <w:rStyle w:val="287"/>
                <w:rFonts w:hint="default" w:ascii="Times New Roman" w:hAnsi="Times New Roman" w:cs="Times New Roman"/>
                <w:color w:val="auto"/>
                <w:sz w:val="21"/>
                <w:szCs w:val="21"/>
                <w:highlight w:val="none"/>
              </w:rPr>
              <w:t>V一蒸发液体表面上的空气流速，m/s，</w:t>
            </w:r>
            <w:r>
              <w:rPr>
                <w:rStyle w:val="287"/>
                <w:rFonts w:hint="default" w:ascii="Times New Roman" w:hAnsi="Times New Roman" w:cs="Times New Roman"/>
                <w:color w:val="auto"/>
                <w:sz w:val="21"/>
                <w:szCs w:val="21"/>
                <w:highlight w:val="none"/>
                <w:lang w:val="en-US" w:eastAsia="zh-CN"/>
              </w:rPr>
              <w:t>一般可取0.2-0.5，</w:t>
            </w:r>
            <w:r>
              <w:rPr>
                <w:rStyle w:val="287"/>
                <w:rFonts w:hint="default" w:ascii="Times New Roman" w:hAnsi="Times New Roman" w:cs="Times New Roman"/>
                <w:color w:val="auto"/>
                <w:sz w:val="21"/>
                <w:szCs w:val="21"/>
                <w:highlight w:val="none"/>
              </w:rPr>
              <w:t>本项目取最大值0.</w:t>
            </w:r>
            <w:r>
              <w:rPr>
                <w:rStyle w:val="287"/>
                <w:rFonts w:hint="eastAsia" w:cs="Times New Roman"/>
                <w:color w:val="auto"/>
                <w:sz w:val="21"/>
                <w:szCs w:val="21"/>
                <w:highlight w:val="none"/>
                <w:lang w:val="en-US" w:eastAsia="zh-CN"/>
              </w:rPr>
              <w:t>5</w:t>
            </w:r>
            <w:r>
              <w:rPr>
                <w:rStyle w:val="287"/>
                <w:rFonts w:hint="default" w:ascii="Times New Roman" w:hAnsi="Times New Roman" w:cs="Times New Roman"/>
                <w:color w:val="auto"/>
                <w:sz w:val="21"/>
                <w:szCs w:val="21"/>
                <w:highlight w:val="none"/>
              </w:rPr>
              <w:t>；</w:t>
            </w:r>
          </w:p>
          <w:p w14:paraId="3CC812F3">
            <w:pPr>
              <w:spacing w:line="356" w:lineRule="auto"/>
              <w:ind w:firstLine="420" w:firstLineChars="200"/>
              <w:rPr>
                <w:rStyle w:val="287"/>
                <w:rFonts w:hint="default" w:ascii="Times New Roman" w:hAnsi="Times New Roman" w:cs="Times New Roman"/>
                <w:color w:val="0000FF"/>
                <w:sz w:val="21"/>
                <w:szCs w:val="21"/>
                <w:highlight w:val="none"/>
              </w:rPr>
            </w:pPr>
            <w:r>
              <w:rPr>
                <w:rStyle w:val="287"/>
                <w:rFonts w:hint="default" w:ascii="Times New Roman" w:hAnsi="Times New Roman" w:cs="Times New Roman"/>
                <w:color w:val="auto"/>
                <w:sz w:val="21"/>
                <w:szCs w:val="21"/>
                <w:highlight w:val="none"/>
              </w:rPr>
              <w:t>P—相应于液体温度下的空气中的蒸汽分压力，mmHg。经查表当液体重量浓度30%时，</w:t>
            </w:r>
            <w:r>
              <w:rPr>
                <w:rStyle w:val="287"/>
                <w:rFonts w:hint="eastAsia" w:cs="Times New Roman"/>
                <w:color w:val="auto"/>
                <w:sz w:val="21"/>
                <w:szCs w:val="21"/>
                <w:highlight w:val="none"/>
                <w:lang w:val="en-US" w:eastAsia="zh-CN"/>
              </w:rPr>
              <w:t>3</w:t>
            </w:r>
            <w:r>
              <w:rPr>
                <w:rStyle w:val="287"/>
                <w:rFonts w:hint="default" w:ascii="Times New Roman" w:hAnsi="Times New Roman" w:cs="Times New Roman"/>
                <w:color w:val="auto"/>
                <w:sz w:val="21"/>
                <w:szCs w:val="21"/>
                <w:highlight w:val="none"/>
              </w:rPr>
              <w:t>0℃下</w:t>
            </w:r>
            <w:r>
              <w:rPr>
                <w:rStyle w:val="287"/>
                <w:rFonts w:hint="eastAsia" w:cs="Times New Roman"/>
                <w:color w:val="auto"/>
                <w:sz w:val="21"/>
                <w:szCs w:val="21"/>
                <w:highlight w:val="none"/>
                <w:lang w:val="en-US" w:eastAsia="zh-CN"/>
              </w:rPr>
              <w:t>硫酸</w:t>
            </w:r>
            <w:r>
              <w:rPr>
                <w:rStyle w:val="287"/>
                <w:rFonts w:hint="default" w:ascii="Times New Roman" w:hAnsi="Times New Roman" w:cs="Times New Roman"/>
                <w:color w:val="auto"/>
                <w:sz w:val="21"/>
                <w:szCs w:val="21"/>
                <w:highlight w:val="none"/>
              </w:rPr>
              <w:t>的蒸汽分压力为</w:t>
            </w:r>
            <w:r>
              <w:rPr>
                <w:rStyle w:val="287"/>
                <w:rFonts w:hint="eastAsia" w:ascii="Times New Roman" w:hAnsi="Times New Roman" w:cs="Times New Roman"/>
                <w:color w:val="auto"/>
                <w:sz w:val="21"/>
                <w:szCs w:val="21"/>
                <w:highlight w:val="none"/>
                <w:lang w:val="en-US" w:eastAsia="zh-CN"/>
              </w:rPr>
              <w:t>11.52</w:t>
            </w:r>
            <w:r>
              <w:rPr>
                <w:rStyle w:val="287"/>
                <w:rFonts w:hint="default" w:ascii="Times New Roman" w:hAnsi="Times New Roman" w:cs="Times New Roman"/>
                <w:color w:val="auto"/>
                <w:sz w:val="21"/>
                <w:szCs w:val="21"/>
                <w:highlight w:val="none"/>
                <w:lang w:val="en-US" w:eastAsia="zh-CN"/>
              </w:rPr>
              <w:t>m</w:t>
            </w:r>
            <w:r>
              <w:rPr>
                <w:rStyle w:val="287"/>
                <w:rFonts w:hint="default" w:ascii="Times New Roman" w:hAnsi="Times New Roman" w:cs="Times New Roman"/>
                <w:color w:val="auto"/>
                <w:sz w:val="21"/>
                <w:szCs w:val="21"/>
                <w:highlight w:val="none"/>
              </w:rPr>
              <w:t>mHg；</w:t>
            </w:r>
          </w:p>
          <w:p w14:paraId="584670B7">
            <w:pPr>
              <w:spacing w:line="356" w:lineRule="auto"/>
              <w:ind w:firstLine="420" w:firstLineChars="200"/>
              <w:rPr>
                <w:rStyle w:val="287"/>
                <w:rFonts w:hint="default" w:ascii="Times New Roman" w:hAnsi="Times New Roman" w:cs="Times New Roman"/>
                <w:color w:val="auto"/>
                <w:sz w:val="21"/>
                <w:szCs w:val="21"/>
                <w:highlight w:val="none"/>
              </w:rPr>
            </w:pPr>
            <w:r>
              <w:rPr>
                <w:rStyle w:val="287"/>
                <w:rFonts w:hint="default" w:ascii="Times New Roman" w:hAnsi="Times New Roman" w:cs="Times New Roman"/>
                <w:color w:val="auto"/>
                <w:sz w:val="21"/>
                <w:szCs w:val="21"/>
                <w:highlight w:val="none"/>
              </w:rPr>
              <w:t>F—液体蒸发面的表面积，最大约</w:t>
            </w:r>
            <w:r>
              <w:rPr>
                <w:rStyle w:val="287"/>
                <w:rFonts w:hint="eastAsia" w:ascii="Times New Roman" w:hAnsi="Times New Roman" w:cs="Times New Roman"/>
                <w:color w:val="auto"/>
                <w:sz w:val="21"/>
                <w:szCs w:val="21"/>
                <w:highlight w:val="none"/>
                <w:lang w:val="en-US" w:eastAsia="zh-CN"/>
              </w:rPr>
              <w:t>0.00785</w:t>
            </w:r>
            <w:r>
              <w:rPr>
                <w:rStyle w:val="287"/>
                <w:rFonts w:hint="default" w:ascii="Times New Roman" w:hAnsi="Times New Roman" w:cs="Times New Roman"/>
                <w:color w:val="auto"/>
                <w:sz w:val="21"/>
                <w:szCs w:val="21"/>
                <w:highlight w:val="none"/>
              </w:rPr>
              <w:t>m</w:t>
            </w:r>
            <w:r>
              <w:rPr>
                <w:rStyle w:val="287"/>
                <w:rFonts w:hint="default" w:ascii="Times New Roman" w:hAnsi="Times New Roman" w:cs="Times New Roman"/>
                <w:color w:val="auto"/>
                <w:sz w:val="21"/>
                <w:szCs w:val="21"/>
                <w:highlight w:val="none"/>
                <w:vertAlign w:val="superscript"/>
              </w:rPr>
              <w:t>2</w:t>
            </w:r>
            <w:r>
              <w:rPr>
                <w:rStyle w:val="287"/>
                <w:rFonts w:hint="default" w:ascii="Times New Roman" w:hAnsi="Times New Roman" w:cs="Times New Roman"/>
                <w:color w:val="auto"/>
                <w:sz w:val="21"/>
                <w:szCs w:val="21"/>
                <w:highlight w:val="none"/>
              </w:rPr>
              <w:t>；</w:t>
            </w:r>
          </w:p>
          <w:p w14:paraId="1F67344E">
            <w:pPr>
              <w:autoSpaceDE w:val="0"/>
              <w:autoSpaceDN w:val="0"/>
              <w:adjustRightInd w:val="0"/>
              <w:snapToGrid w:val="0"/>
              <w:spacing w:line="240" w:lineRule="auto"/>
              <w:jc w:val="center"/>
              <w:rPr>
                <w:rFonts w:hint="default" w:ascii="Times New Roman" w:hAnsi="Times New Roman" w:eastAsia="宋体" w:cs="Times New Roman"/>
                <w:b/>
                <w:bCs/>
                <w:color w:val="auto"/>
                <w:sz w:val="21"/>
                <w:szCs w:val="18"/>
                <w:highlight w:val="none"/>
                <w:lang w:val="en-US" w:eastAsia="zh-CN"/>
              </w:rPr>
            </w:pPr>
            <w:r>
              <w:rPr>
                <w:rFonts w:hint="eastAsia" w:ascii="Times New Roman" w:hAnsi="Times New Roman" w:eastAsia="宋体" w:cs="Times New Roman"/>
                <w:b/>
                <w:bCs/>
                <w:color w:val="auto"/>
                <w:sz w:val="21"/>
                <w:szCs w:val="18"/>
                <w:highlight w:val="none"/>
                <w:lang w:val="en-US" w:eastAsia="zh-CN"/>
              </w:rPr>
              <w:t>表</w:t>
            </w:r>
            <w:r>
              <w:rPr>
                <w:rFonts w:hint="eastAsia" w:cs="Times New Roman"/>
                <w:b/>
                <w:bCs/>
                <w:color w:val="auto"/>
                <w:sz w:val="21"/>
                <w:szCs w:val="18"/>
                <w:highlight w:val="none"/>
                <w:lang w:val="en-US" w:eastAsia="zh-CN"/>
              </w:rPr>
              <w:t xml:space="preserve">25 </w:t>
            </w:r>
            <w:r>
              <w:rPr>
                <w:rFonts w:hint="eastAsia" w:ascii="Times New Roman" w:hAnsi="Times New Roman" w:eastAsia="宋体" w:cs="Times New Roman"/>
                <w:b/>
                <w:bCs/>
                <w:color w:val="auto"/>
                <w:sz w:val="21"/>
                <w:szCs w:val="18"/>
                <w:highlight w:val="none"/>
                <w:lang w:val="en-US" w:eastAsia="zh-CN"/>
              </w:rPr>
              <w:t xml:space="preserve"> </w:t>
            </w:r>
            <w:r>
              <w:rPr>
                <w:rFonts w:hint="eastAsia" w:cs="Times New Roman"/>
                <w:b/>
                <w:bCs/>
                <w:color w:val="auto"/>
                <w:sz w:val="21"/>
                <w:szCs w:val="18"/>
                <w:highlight w:val="none"/>
                <w:lang w:val="en-US" w:eastAsia="zh-CN"/>
              </w:rPr>
              <w:t>硫酸</w:t>
            </w:r>
            <w:r>
              <w:rPr>
                <w:rFonts w:hint="eastAsia" w:ascii="Times New Roman" w:hAnsi="Times New Roman" w:eastAsia="宋体" w:cs="Times New Roman"/>
                <w:b/>
                <w:bCs/>
                <w:color w:val="auto"/>
                <w:sz w:val="21"/>
                <w:szCs w:val="18"/>
                <w:highlight w:val="none"/>
                <w:lang w:val="en-US" w:eastAsia="zh-CN"/>
              </w:rPr>
              <w:t>雾产生量计算表</w:t>
            </w:r>
          </w:p>
          <w:tbl>
            <w:tblPr>
              <w:tblStyle w:val="46"/>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69"/>
              <w:gridCol w:w="966"/>
              <w:gridCol w:w="882"/>
              <w:gridCol w:w="1661"/>
              <w:gridCol w:w="1312"/>
              <w:gridCol w:w="1036"/>
              <w:gridCol w:w="1063"/>
            </w:tblGrid>
            <w:tr w14:paraId="75F43F79">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79" w:type="pct"/>
                  <w:tcBorders>
                    <w:tl2br w:val="nil"/>
                    <w:tr2bl w:val="nil"/>
                  </w:tcBorders>
                  <w:vAlign w:val="center"/>
                </w:tcPr>
                <w:p w14:paraId="1B4D7D29">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种类</w:t>
                  </w:r>
                </w:p>
              </w:tc>
              <w:tc>
                <w:tcPr>
                  <w:tcW w:w="594" w:type="pct"/>
                  <w:tcBorders>
                    <w:tl2br w:val="nil"/>
                    <w:tr2bl w:val="nil"/>
                  </w:tcBorders>
                  <w:vAlign w:val="center"/>
                </w:tcPr>
                <w:p w14:paraId="7A80DB40">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M</w:t>
                  </w:r>
                </w:p>
              </w:tc>
              <w:tc>
                <w:tcPr>
                  <w:tcW w:w="543" w:type="pct"/>
                  <w:tcBorders>
                    <w:tl2br w:val="nil"/>
                    <w:tr2bl w:val="nil"/>
                  </w:tcBorders>
                  <w:vAlign w:val="center"/>
                </w:tcPr>
                <w:p w14:paraId="5FF4BF71">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V</w:t>
                  </w:r>
                </w:p>
              </w:tc>
              <w:tc>
                <w:tcPr>
                  <w:tcW w:w="1018" w:type="pct"/>
                  <w:tcBorders>
                    <w:tl2br w:val="nil"/>
                    <w:tr2bl w:val="nil"/>
                  </w:tcBorders>
                  <w:vAlign w:val="center"/>
                </w:tcPr>
                <w:p w14:paraId="3FF2172F">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溶液温度</w:t>
                  </w:r>
                </w:p>
              </w:tc>
              <w:tc>
                <w:tcPr>
                  <w:tcW w:w="805" w:type="pct"/>
                  <w:tcBorders>
                    <w:tl2br w:val="nil"/>
                    <w:tr2bl w:val="nil"/>
                  </w:tcBorders>
                  <w:vAlign w:val="center"/>
                </w:tcPr>
                <w:p w14:paraId="20222385">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P</w:t>
                  </w:r>
                </w:p>
              </w:tc>
              <w:tc>
                <w:tcPr>
                  <w:tcW w:w="637" w:type="pct"/>
                  <w:tcBorders>
                    <w:tl2br w:val="nil"/>
                    <w:tr2bl w:val="nil"/>
                  </w:tcBorders>
                  <w:vAlign w:val="center"/>
                </w:tcPr>
                <w:p w14:paraId="03CF67FD">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F</w:t>
                  </w:r>
                </w:p>
              </w:tc>
              <w:tc>
                <w:tcPr>
                  <w:tcW w:w="619" w:type="pct"/>
                  <w:tcBorders>
                    <w:tl2br w:val="nil"/>
                    <w:tr2bl w:val="nil"/>
                  </w:tcBorders>
                  <w:vAlign w:val="center"/>
                </w:tcPr>
                <w:p w14:paraId="2A215BE3">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Gz</w:t>
                  </w:r>
                </w:p>
              </w:tc>
            </w:tr>
            <w:tr w14:paraId="31CFA25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79" w:type="pct"/>
                  <w:tcBorders>
                    <w:tl2br w:val="nil"/>
                    <w:tr2bl w:val="nil"/>
                  </w:tcBorders>
                  <w:vAlign w:val="center"/>
                </w:tcPr>
                <w:p w14:paraId="46E39DD0">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硫酸</w:t>
                  </w:r>
                </w:p>
              </w:tc>
              <w:tc>
                <w:tcPr>
                  <w:tcW w:w="594" w:type="pct"/>
                  <w:tcBorders>
                    <w:tl2br w:val="nil"/>
                    <w:tr2bl w:val="nil"/>
                  </w:tcBorders>
                  <w:vAlign w:val="center"/>
                </w:tcPr>
                <w:p w14:paraId="625A4718">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98.078</w:t>
                  </w:r>
                </w:p>
              </w:tc>
              <w:tc>
                <w:tcPr>
                  <w:tcW w:w="543" w:type="pct"/>
                  <w:tcBorders>
                    <w:tl2br w:val="nil"/>
                    <w:tr2bl w:val="nil"/>
                  </w:tcBorders>
                  <w:vAlign w:val="center"/>
                </w:tcPr>
                <w:p w14:paraId="67D53E62">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0.</w:t>
                  </w:r>
                  <w:r>
                    <w:rPr>
                      <w:rFonts w:hint="eastAsia" w:cs="Times New Roman"/>
                      <w:bCs/>
                      <w:color w:val="auto"/>
                      <w:kern w:val="2"/>
                      <w:sz w:val="21"/>
                      <w:szCs w:val="21"/>
                      <w:highlight w:val="none"/>
                      <w:lang w:val="en-US" w:eastAsia="zh-CN" w:bidi="ar-SA"/>
                    </w:rPr>
                    <w:t>5</w:t>
                  </w:r>
                </w:p>
              </w:tc>
              <w:tc>
                <w:tcPr>
                  <w:tcW w:w="1018" w:type="pct"/>
                  <w:tcBorders>
                    <w:tl2br w:val="nil"/>
                    <w:tr2bl w:val="nil"/>
                  </w:tcBorders>
                  <w:vAlign w:val="center"/>
                </w:tcPr>
                <w:p w14:paraId="7AEBB97B">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kern w:val="2"/>
                      <w:sz w:val="21"/>
                      <w:szCs w:val="21"/>
                      <w:highlight w:val="none"/>
                      <w:lang w:val="en-US" w:eastAsia="zh-CN" w:bidi="ar-SA"/>
                    </w:rPr>
                    <w:t>3</w:t>
                  </w:r>
                  <w:r>
                    <w:rPr>
                      <w:rFonts w:hint="eastAsia" w:ascii="Times New Roman" w:hAnsi="Times New Roman" w:eastAsia="宋体" w:cs="Times New Roman"/>
                      <w:bCs/>
                      <w:color w:val="auto"/>
                      <w:kern w:val="2"/>
                      <w:sz w:val="21"/>
                      <w:szCs w:val="21"/>
                      <w:highlight w:val="none"/>
                      <w:lang w:val="en-US" w:eastAsia="zh-CN" w:bidi="ar-SA"/>
                    </w:rPr>
                    <w:t>0℃</w:t>
                  </w:r>
                </w:p>
              </w:tc>
              <w:tc>
                <w:tcPr>
                  <w:tcW w:w="805" w:type="pct"/>
                  <w:tcBorders>
                    <w:tl2br w:val="nil"/>
                    <w:tr2bl w:val="nil"/>
                  </w:tcBorders>
                  <w:vAlign w:val="center"/>
                </w:tcPr>
                <w:p w14:paraId="04B24DB3">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kern w:val="2"/>
                      <w:sz w:val="21"/>
                      <w:szCs w:val="21"/>
                      <w:highlight w:val="none"/>
                      <w:lang w:val="en-US" w:eastAsia="zh-CN" w:bidi="ar-SA"/>
                    </w:rPr>
                    <w:t>11.52</w:t>
                  </w:r>
                </w:p>
              </w:tc>
              <w:tc>
                <w:tcPr>
                  <w:tcW w:w="637" w:type="pct"/>
                  <w:tcBorders>
                    <w:tl2br w:val="nil"/>
                    <w:tr2bl w:val="nil"/>
                  </w:tcBorders>
                  <w:vAlign w:val="center"/>
                </w:tcPr>
                <w:p w14:paraId="754469C4">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Cs/>
                      <w:color w:val="auto"/>
                      <w:kern w:val="2"/>
                      <w:sz w:val="21"/>
                      <w:szCs w:val="21"/>
                      <w:highlight w:val="none"/>
                      <w:lang w:val="en-US" w:eastAsia="zh-CN" w:bidi="ar-SA"/>
                    </w:rPr>
                  </w:pPr>
                  <w:r>
                    <w:rPr>
                      <w:rStyle w:val="287"/>
                      <w:rFonts w:hint="eastAsia" w:ascii="Times New Roman" w:hAnsi="Times New Roman" w:cs="Times New Roman"/>
                      <w:color w:val="auto"/>
                      <w:sz w:val="21"/>
                      <w:szCs w:val="21"/>
                      <w:highlight w:val="none"/>
                      <w:lang w:val="en-US" w:eastAsia="zh-CN"/>
                    </w:rPr>
                    <w:t>0.00785</w:t>
                  </w:r>
                </w:p>
              </w:tc>
              <w:tc>
                <w:tcPr>
                  <w:tcW w:w="619" w:type="pct"/>
                  <w:tcBorders>
                    <w:tl2br w:val="nil"/>
                    <w:tr2bl w:val="nil"/>
                  </w:tcBorders>
                  <w:vAlign w:val="center"/>
                </w:tcPr>
                <w:p w14:paraId="01D138EB">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kern w:val="2"/>
                      <w:sz w:val="21"/>
                      <w:szCs w:val="21"/>
                      <w:highlight w:val="none"/>
                      <w:lang w:val="en-US" w:eastAsia="zh-CN" w:bidi="ar-SA"/>
                    </w:rPr>
                    <w:t>0.007k</w:t>
                  </w:r>
                  <w:r>
                    <w:rPr>
                      <w:rFonts w:hint="eastAsia" w:ascii="Times New Roman" w:hAnsi="Times New Roman" w:eastAsia="宋体" w:cs="Times New Roman"/>
                      <w:bCs/>
                      <w:color w:val="auto"/>
                      <w:kern w:val="2"/>
                      <w:sz w:val="21"/>
                      <w:szCs w:val="21"/>
                      <w:highlight w:val="none"/>
                      <w:lang w:val="en-US" w:eastAsia="zh-CN" w:bidi="ar-SA"/>
                    </w:rPr>
                    <w:t>g/h</w:t>
                  </w:r>
                </w:p>
              </w:tc>
            </w:tr>
          </w:tbl>
          <w:p w14:paraId="6D6FA009">
            <w:pPr>
              <w:keepNext w:val="0"/>
              <w:keepLines w:val="0"/>
              <w:pageBreakBefore w:val="0"/>
              <w:widowControl w:val="0"/>
              <w:kinsoku/>
              <w:wordWrap/>
              <w:overflowPunct/>
              <w:topLinePunct w:val="0"/>
              <w:autoSpaceDE/>
              <w:autoSpaceDN/>
              <w:bidi w:val="0"/>
              <w:adjustRightInd/>
              <w:snapToGrid/>
              <w:spacing w:line="348" w:lineRule="auto"/>
              <w:ind w:firstLine="420" w:firstLineChars="200"/>
              <w:jc w:val="both"/>
              <w:textAlignment w:val="auto"/>
              <w:rPr>
                <w:rStyle w:val="287"/>
                <w:rFonts w:hint="default" w:ascii="Times New Roman" w:hAnsi="Times New Roman" w:eastAsia="宋体" w:cs="Times New Roman"/>
                <w:color w:val="0000FF"/>
                <w:sz w:val="21"/>
                <w:szCs w:val="21"/>
                <w:highlight w:val="none"/>
                <w:lang w:val="en-US" w:eastAsia="zh-CN"/>
              </w:rPr>
            </w:pPr>
            <w:r>
              <w:rPr>
                <w:rStyle w:val="287"/>
                <w:rFonts w:hint="default" w:ascii="Times New Roman" w:hAnsi="Times New Roman" w:eastAsia="宋体" w:cs="Times New Roman"/>
                <w:color w:val="auto"/>
                <w:sz w:val="21"/>
                <w:szCs w:val="21"/>
                <w:highlight w:val="none"/>
              </w:rPr>
              <w:t>根据建设单位提供，涉硫酸实验时</w:t>
            </w:r>
            <w:r>
              <w:rPr>
                <w:rStyle w:val="287"/>
                <w:rFonts w:hint="default" w:cs="Times New Roman"/>
                <w:color w:val="auto"/>
                <w:sz w:val="21"/>
                <w:szCs w:val="21"/>
                <w:highlight w:val="none"/>
                <w:lang w:val="en-US" w:eastAsia="zh-CN"/>
              </w:rPr>
              <w:t>长</w:t>
            </w:r>
            <w:r>
              <w:rPr>
                <w:rStyle w:val="287"/>
                <w:rFonts w:hint="default" w:ascii="Times New Roman" w:hAnsi="Times New Roman" w:cs="Times New Roman"/>
                <w:color w:val="auto"/>
                <w:sz w:val="21"/>
                <w:szCs w:val="21"/>
                <w:highlight w:val="none"/>
                <w:lang w:val="en-US" w:eastAsia="zh-CN"/>
              </w:rPr>
              <w:t>约为</w:t>
            </w:r>
            <w:r>
              <w:rPr>
                <w:rStyle w:val="287"/>
                <w:rFonts w:hint="eastAsia" w:ascii="Times New Roman" w:hAnsi="Times New Roman" w:cs="Times New Roman"/>
                <w:color w:val="auto"/>
                <w:sz w:val="21"/>
                <w:szCs w:val="21"/>
                <w:highlight w:val="none"/>
                <w:lang w:val="en-US" w:eastAsia="zh-CN"/>
              </w:rPr>
              <w:t>1</w:t>
            </w:r>
            <w:r>
              <w:rPr>
                <w:rStyle w:val="287"/>
                <w:rFonts w:hint="default" w:ascii="Times New Roman" w:hAnsi="Times New Roman" w:cs="Times New Roman"/>
                <w:color w:val="auto"/>
                <w:sz w:val="21"/>
                <w:szCs w:val="21"/>
                <w:highlight w:val="none"/>
                <w:lang w:val="en-US" w:eastAsia="zh-CN"/>
              </w:rPr>
              <w:t>h/d，年工作250d，则涉硫酸实验时长为</w:t>
            </w:r>
            <w:r>
              <w:rPr>
                <w:rStyle w:val="287"/>
                <w:rFonts w:hint="eastAsia" w:ascii="Times New Roman" w:hAnsi="Times New Roman" w:cs="Times New Roman"/>
                <w:color w:val="auto"/>
                <w:sz w:val="21"/>
                <w:szCs w:val="21"/>
                <w:highlight w:val="none"/>
                <w:lang w:val="en-US" w:eastAsia="zh-CN"/>
              </w:rPr>
              <w:t>250</w:t>
            </w:r>
            <w:r>
              <w:rPr>
                <w:rStyle w:val="287"/>
                <w:rFonts w:hint="default" w:ascii="Times New Roman" w:hAnsi="Times New Roman" w:cs="Times New Roman"/>
                <w:color w:val="auto"/>
                <w:sz w:val="21"/>
                <w:szCs w:val="21"/>
                <w:highlight w:val="none"/>
                <w:lang w:val="en-US" w:eastAsia="zh-CN"/>
              </w:rPr>
              <w:t>h/a，则硫酸雾产生量约为</w:t>
            </w:r>
            <w:r>
              <w:rPr>
                <w:rStyle w:val="287"/>
                <w:rFonts w:hint="eastAsia" w:ascii="Times New Roman" w:hAnsi="Times New Roman" w:cs="Times New Roman"/>
                <w:color w:val="auto"/>
                <w:sz w:val="21"/>
                <w:szCs w:val="21"/>
                <w:highlight w:val="none"/>
                <w:lang w:val="en-US" w:eastAsia="zh-CN"/>
              </w:rPr>
              <w:t>1.75</w:t>
            </w:r>
            <w:r>
              <w:rPr>
                <w:rStyle w:val="287"/>
                <w:rFonts w:hint="default" w:ascii="Times New Roman" w:hAnsi="Times New Roman" w:cs="Times New Roman"/>
                <w:color w:val="auto"/>
                <w:sz w:val="21"/>
                <w:szCs w:val="21"/>
                <w:highlight w:val="none"/>
                <w:lang w:val="en-US" w:eastAsia="zh-CN"/>
              </w:rPr>
              <w:t>kg/a。</w:t>
            </w:r>
          </w:p>
          <w:p w14:paraId="54404D63">
            <w:pPr>
              <w:spacing w:line="356" w:lineRule="auto"/>
              <w:ind w:firstLine="422" w:firstLineChars="200"/>
              <w:rPr>
                <w:rStyle w:val="287"/>
                <w:rFonts w:hint="default" w:ascii="Times New Roman" w:hAnsi="Times New Roman" w:eastAsia="宋体" w:cs="Times New Roman"/>
                <w:b/>
                <w:bCs/>
                <w:color w:val="auto"/>
                <w:sz w:val="21"/>
                <w:szCs w:val="21"/>
                <w:highlight w:val="none"/>
                <w:lang w:val="en-US" w:eastAsia="zh-CN"/>
              </w:rPr>
            </w:pPr>
            <w:r>
              <w:rPr>
                <w:rStyle w:val="287"/>
                <w:rFonts w:hint="eastAsia" w:cs="Times New Roman"/>
                <w:b/>
                <w:bCs/>
                <w:color w:val="auto"/>
                <w:sz w:val="21"/>
                <w:szCs w:val="21"/>
                <w:highlight w:val="none"/>
                <w:lang w:val="en-US" w:eastAsia="zh-CN"/>
              </w:rPr>
              <w:t>B硝酸雾</w:t>
            </w:r>
          </w:p>
          <w:p w14:paraId="3DC3F60B">
            <w:pPr>
              <w:pStyle w:val="326"/>
              <w:ind w:firstLine="480"/>
              <w:jc w:val="left"/>
              <w:rPr>
                <w:rFonts w:hint="default" w:eastAsia="宋体"/>
                <w:color w:val="auto"/>
                <w:sz w:val="21"/>
                <w:szCs w:val="21"/>
                <w:highlight w:val="none"/>
                <w:lang w:val="en-US" w:eastAsia="zh-CN"/>
              </w:rPr>
            </w:pPr>
            <w:r>
              <w:rPr>
                <w:rStyle w:val="287"/>
                <w:rFonts w:hint="default" w:ascii="Times New Roman" w:hAnsi="Times New Roman" w:cs="Times New Roman"/>
                <w:bCs w:val="0"/>
                <w:color w:val="auto"/>
                <w:sz w:val="21"/>
                <w:szCs w:val="21"/>
                <w:highlight w:val="none"/>
              </w:rPr>
              <w:t>本项目实验所使用的</w:t>
            </w:r>
            <w:r>
              <w:rPr>
                <w:rStyle w:val="287"/>
                <w:rFonts w:hint="eastAsia" w:ascii="Times New Roman" w:hAnsi="Times New Roman" w:cs="Times New Roman"/>
                <w:bCs w:val="0"/>
                <w:color w:val="auto"/>
                <w:sz w:val="21"/>
                <w:szCs w:val="21"/>
                <w:highlight w:val="none"/>
                <w:lang w:val="en-US" w:eastAsia="zh-CN"/>
              </w:rPr>
              <w:t>硝酸</w:t>
            </w:r>
            <w:r>
              <w:rPr>
                <w:rStyle w:val="287"/>
                <w:rFonts w:hint="default" w:ascii="Times New Roman" w:hAnsi="Times New Roman" w:cs="Times New Roman"/>
                <w:bCs w:val="0"/>
                <w:color w:val="auto"/>
                <w:sz w:val="21"/>
                <w:szCs w:val="21"/>
                <w:highlight w:val="none"/>
              </w:rPr>
              <w:t>为</w:t>
            </w:r>
            <w:r>
              <w:rPr>
                <w:rStyle w:val="287"/>
                <w:rFonts w:hint="eastAsia" w:ascii="Times New Roman" w:hAnsi="Times New Roman" w:cs="Times New Roman"/>
                <w:bCs w:val="0"/>
                <w:color w:val="auto"/>
                <w:sz w:val="21"/>
                <w:szCs w:val="21"/>
                <w:highlight w:val="none"/>
                <w:lang w:val="en-US" w:eastAsia="zh-CN"/>
              </w:rPr>
              <w:t>68</w:t>
            </w:r>
            <w:r>
              <w:rPr>
                <w:rStyle w:val="287"/>
                <w:rFonts w:hint="default" w:ascii="Times New Roman" w:hAnsi="Times New Roman" w:cs="Times New Roman"/>
                <w:bCs w:val="0"/>
                <w:color w:val="auto"/>
                <w:sz w:val="21"/>
                <w:szCs w:val="21"/>
                <w:highlight w:val="none"/>
              </w:rPr>
              <w:t>%</w:t>
            </w:r>
            <w:r>
              <w:rPr>
                <w:rStyle w:val="287"/>
                <w:rFonts w:hint="eastAsia" w:ascii="Times New Roman" w:hAnsi="Times New Roman" w:cs="Times New Roman"/>
                <w:bCs w:val="0"/>
                <w:color w:val="auto"/>
                <w:sz w:val="21"/>
                <w:szCs w:val="21"/>
                <w:highlight w:val="none"/>
                <w:lang w:val="en-US" w:eastAsia="zh-CN"/>
              </w:rPr>
              <w:t>硝酸</w:t>
            </w:r>
            <w:r>
              <w:rPr>
                <w:rStyle w:val="287"/>
                <w:rFonts w:hint="default" w:ascii="Times New Roman" w:hAnsi="Times New Roman" w:cs="Times New Roman"/>
                <w:bCs w:val="0"/>
                <w:color w:val="auto"/>
                <w:sz w:val="21"/>
                <w:szCs w:val="21"/>
                <w:highlight w:val="none"/>
              </w:rPr>
              <w:t>，通常情况下保存在密封容器中，除取样产生的少量挥发外，主要产生环节为实验过程挥发的</w:t>
            </w:r>
            <w:r>
              <w:rPr>
                <w:rStyle w:val="287"/>
                <w:rFonts w:hint="eastAsia" w:ascii="Times New Roman" w:hAnsi="Times New Roman" w:cs="Times New Roman"/>
                <w:bCs w:val="0"/>
                <w:color w:val="auto"/>
                <w:sz w:val="21"/>
                <w:szCs w:val="21"/>
                <w:highlight w:val="none"/>
                <w:lang w:val="en-US" w:eastAsia="zh-CN"/>
              </w:rPr>
              <w:t>硝酸</w:t>
            </w:r>
            <w:r>
              <w:rPr>
                <w:rStyle w:val="287"/>
                <w:rFonts w:hint="default" w:ascii="Times New Roman" w:hAnsi="Times New Roman" w:cs="Times New Roman"/>
                <w:bCs w:val="0"/>
                <w:color w:val="auto"/>
                <w:sz w:val="21"/>
                <w:szCs w:val="21"/>
                <w:highlight w:val="none"/>
              </w:rPr>
              <w:t>雾，项目</w:t>
            </w:r>
            <w:r>
              <w:rPr>
                <w:rStyle w:val="287"/>
                <w:rFonts w:hint="eastAsia" w:ascii="Times New Roman" w:hAnsi="Times New Roman" w:cs="Times New Roman"/>
                <w:bCs w:val="0"/>
                <w:color w:val="auto"/>
                <w:sz w:val="21"/>
                <w:szCs w:val="21"/>
                <w:highlight w:val="none"/>
                <w:lang w:val="en-US" w:eastAsia="zh-CN"/>
              </w:rPr>
              <w:t>硝酸</w:t>
            </w:r>
            <w:r>
              <w:rPr>
                <w:rStyle w:val="287"/>
                <w:rFonts w:hint="default" w:ascii="Times New Roman" w:hAnsi="Times New Roman" w:cs="Times New Roman"/>
                <w:bCs w:val="0"/>
                <w:color w:val="auto"/>
                <w:sz w:val="21"/>
                <w:szCs w:val="21"/>
                <w:highlight w:val="none"/>
              </w:rPr>
              <w:t>使用平均浓度为</w:t>
            </w:r>
            <w:r>
              <w:rPr>
                <w:rStyle w:val="287"/>
                <w:rFonts w:hint="eastAsia" w:ascii="Times New Roman" w:hAnsi="Times New Roman" w:cs="Times New Roman"/>
                <w:bCs w:val="0"/>
                <w:color w:val="auto"/>
                <w:sz w:val="21"/>
                <w:szCs w:val="21"/>
                <w:highlight w:val="none"/>
                <w:lang w:val="en-US" w:eastAsia="zh-CN"/>
              </w:rPr>
              <w:t>40</w:t>
            </w:r>
            <w:r>
              <w:rPr>
                <w:rStyle w:val="287"/>
                <w:rFonts w:hint="default" w:ascii="Times New Roman" w:hAnsi="Times New Roman" w:cs="Times New Roman"/>
                <w:bCs w:val="0"/>
                <w:color w:val="auto"/>
                <w:sz w:val="21"/>
                <w:szCs w:val="21"/>
                <w:highlight w:val="none"/>
              </w:rPr>
              <w:t>%，</w:t>
            </w:r>
            <w:r>
              <w:rPr>
                <w:rStyle w:val="287"/>
                <w:rFonts w:hint="eastAsia" w:ascii="Times New Roman" w:hAnsi="Times New Roman" w:eastAsia="宋体" w:cs="Times New Roman"/>
                <w:bCs w:val="0"/>
                <w:color w:val="auto"/>
                <w:sz w:val="21"/>
                <w:szCs w:val="21"/>
                <w:highlight w:val="none"/>
                <w:lang w:val="en-US" w:eastAsia="zh-CN"/>
              </w:rPr>
              <w:t>使用温度约</w:t>
            </w:r>
            <w:r>
              <w:rPr>
                <w:rStyle w:val="287"/>
                <w:rFonts w:hint="eastAsia" w:ascii="Times New Roman" w:hAnsi="Times New Roman" w:cs="Times New Roman"/>
                <w:bCs w:val="0"/>
                <w:color w:val="auto"/>
                <w:sz w:val="21"/>
                <w:szCs w:val="21"/>
                <w:highlight w:val="none"/>
                <w:lang w:val="en-US" w:eastAsia="zh-CN"/>
              </w:rPr>
              <w:t>30</w:t>
            </w:r>
            <w:r>
              <w:rPr>
                <w:rStyle w:val="287"/>
                <w:rFonts w:hint="eastAsia" w:ascii="Times New Roman" w:hAnsi="Times New Roman" w:eastAsia="宋体" w:cs="Times New Roman"/>
                <w:bCs w:val="0"/>
                <w:color w:val="auto"/>
                <w:sz w:val="21"/>
                <w:szCs w:val="21"/>
                <w:highlight w:val="none"/>
                <w:lang w:val="en-US" w:eastAsia="zh-CN"/>
              </w:rPr>
              <w:t>℃，</w:t>
            </w:r>
            <w:r>
              <w:rPr>
                <w:rStyle w:val="287"/>
                <w:rFonts w:hint="eastAsia" w:ascii="Times New Roman" w:hAnsi="Times New Roman" w:cs="Times New Roman"/>
                <w:bCs w:val="0"/>
                <w:color w:val="auto"/>
                <w:sz w:val="21"/>
                <w:szCs w:val="21"/>
                <w:highlight w:val="none"/>
                <w:lang w:val="en-US" w:eastAsia="zh-CN"/>
              </w:rPr>
              <w:t>在通风橱中进行，</w:t>
            </w:r>
            <w:r>
              <w:rPr>
                <w:rStyle w:val="287"/>
                <w:rFonts w:hint="default" w:ascii="Times New Roman" w:hAnsi="Times New Roman" w:cs="Times New Roman"/>
                <w:bCs w:val="0"/>
                <w:color w:val="auto"/>
                <w:sz w:val="21"/>
                <w:szCs w:val="21"/>
                <w:highlight w:val="none"/>
              </w:rPr>
              <w:t>本项目参考《环境统计手册》中公式计算</w:t>
            </w:r>
            <w:r>
              <w:rPr>
                <w:rStyle w:val="287"/>
                <w:rFonts w:hint="eastAsia" w:ascii="Times New Roman" w:hAnsi="Times New Roman" w:cs="Times New Roman"/>
                <w:bCs w:val="0"/>
                <w:color w:val="auto"/>
                <w:sz w:val="21"/>
                <w:szCs w:val="21"/>
                <w:highlight w:val="none"/>
                <w:lang w:val="en-US" w:eastAsia="zh-CN"/>
              </w:rPr>
              <w:t>硝酸</w:t>
            </w:r>
            <w:r>
              <w:rPr>
                <w:rStyle w:val="287"/>
                <w:rFonts w:hint="default" w:ascii="Times New Roman" w:hAnsi="Times New Roman" w:cs="Times New Roman"/>
                <w:bCs w:val="0"/>
                <w:color w:val="auto"/>
                <w:sz w:val="21"/>
                <w:szCs w:val="21"/>
                <w:highlight w:val="none"/>
              </w:rPr>
              <w:t>雾产生情况</w:t>
            </w:r>
            <w:r>
              <w:rPr>
                <w:rStyle w:val="287"/>
                <w:rFonts w:hint="eastAsia" w:ascii="Times New Roman" w:hAnsi="Times New Roman" w:cs="Times New Roman"/>
                <w:bCs w:val="0"/>
                <w:color w:val="auto"/>
                <w:sz w:val="21"/>
                <w:szCs w:val="21"/>
                <w:highlight w:val="none"/>
                <w:lang w:eastAsia="zh-CN"/>
              </w:rPr>
              <w:t>，</w:t>
            </w:r>
            <w:r>
              <w:rPr>
                <w:rStyle w:val="287"/>
                <w:rFonts w:hint="eastAsia" w:ascii="Times New Roman" w:hAnsi="Times New Roman" w:cs="Times New Roman"/>
                <w:bCs w:val="0"/>
                <w:color w:val="auto"/>
                <w:sz w:val="21"/>
                <w:szCs w:val="21"/>
                <w:highlight w:val="none"/>
                <w:lang w:val="en-US" w:eastAsia="zh-CN"/>
              </w:rPr>
              <w:t>参数选择见下表：</w:t>
            </w:r>
          </w:p>
          <w:p w14:paraId="4EBB24DF">
            <w:pPr>
              <w:autoSpaceDE w:val="0"/>
              <w:autoSpaceDN w:val="0"/>
              <w:adjustRightInd w:val="0"/>
              <w:snapToGrid w:val="0"/>
              <w:spacing w:line="240" w:lineRule="auto"/>
              <w:jc w:val="center"/>
              <w:rPr>
                <w:rFonts w:hint="default" w:ascii="Times New Roman" w:hAnsi="Times New Roman" w:eastAsia="宋体" w:cs="Times New Roman"/>
                <w:b/>
                <w:bCs/>
                <w:color w:val="auto"/>
                <w:sz w:val="21"/>
                <w:szCs w:val="18"/>
                <w:highlight w:val="none"/>
                <w:lang w:val="en-US" w:eastAsia="zh-CN"/>
              </w:rPr>
            </w:pPr>
            <w:r>
              <w:rPr>
                <w:rFonts w:hint="eastAsia" w:ascii="Times New Roman" w:hAnsi="Times New Roman" w:eastAsia="宋体" w:cs="Times New Roman"/>
                <w:b/>
                <w:bCs/>
                <w:color w:val="auto"/>
                <w:sz w:val="21"/>
                <w:szCs w:val="18"/>
                <w:highlight w:val="none"/>
                <w:lang w:val="en-US" w:eastAsia="zh-CN"/>
              </w:rPr>
              <w:t>表</w:t>
            </w:r>
            <w:r>
              <w:rPr>
                <w:rFonts w:hint="eastAsia" w:cs="Times New Roman"/>
                <w:b/>
                <w:bCs/>
                <w:color w:val="auto"/>
                <w:sz w:val="21"/>
                <w:szCs w:val="18"/>
                <w:highlight w:val="none"/>
                <w:lang w:val="en-US" w:eastAsia="zh-CN"/>
              </w:rPr>
              <w:t xml:space="preserve">26 </w:t>
            </w:r>
            <w:r>
              <w:rPr>
                <w:rFonts w:hint="eastAsia" w:ascii="Times New Roman" w:hAnsi="Times New Roman" w:eastAsia="宋体" w:cs="Times New Roman"/>
                <w:b/>
                <w:bCs/>
                <w:color w:val="auto"/>
                <w:sz w:val="21"/>
                <w:szCs w:val="18"/>
                <w:highlight w:val="none"/>
                <w:lang w:val="en-US" w:eastAsia="zh-CN"/>
              </w:rPr>
              <w:t xml:space="preserve"> </w:t>
            </w:r>
            <w:r>
              <w:rPr>
                <w:rFonts w:hint="eastAsia" w:cs="Times New Roman"/>
                <w:b/>
                <w:bCs/>
                <w:color w:val="auto"/>
                <w:sz w:val="21"/>
                <w:szCs w:val="18"/>
                <w:highlight w:val="none"/>
                <w:lang w:val="en-US" w:eastAsia="zh-CN"/>
              </w:rPr>
              <w:t>硝酸</w:t>
            </w:r>
            <w:r>
              <w:rPr>
                <w:rFonts w:hint="eastAsia" w:ascii="Times New Roman" w:hAnsi="Times New Roman" w:eastAsia="宋体" w:cs="Times New Roman"/>
                <w:b/>
                <w:bCs/>
                <w:color w:val="auto"/>
                <w:sz w:val="21"/>
                <w:szCs w:val="18"/>
                <w:highlight w:val="none"/>
                <w:lang w:val="en-US" w:eastAsia="zh-CN"/>
              </w:rPr>
              <w:t>雾产生量计算表</w:t>
            </w:r>
          </w:p>
          <w:tbl>
            <w:tblPr>
              <w:tblStyle w:val="46"/>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811"/>
              <w:gridCol w:w="1206"/>
              <w:gridCol w:w="1362"/>
              <w:gridCol w:w="1246"/>
              <w:gridCol w:w="1106"/>
              <w:gridCol w:w="1273"/>
            </w:tblGrid>
            <w:tr w14:paraId="5F35EBF6">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61" w:type="pct"/>
                  <w:tcBorders>
                    <w:tl2br w:val="nil"/>
                    <w:tr2bl w:val="nil"/>
                  </w:tcBorders>
                  <w:vAlign w:val="center"/>
                </w:tcPr>
                <w:p w14:paraId="34BECD00">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种类</w:t>
                  </w:r>
                </w:p>
              </w:tc>
              <w:tc>
                <w:tcPr>
                  <w:tcW w:w="533" w:type="pct"/>
                  <w:tcBorders>
                    <w:tl2br w:val="nil"/>
                    <w:tr2bl w:val="nil"/>
                  </w:tcBorders>
                  <w:vAlign w:val="center"/>
                </w:tcPr>
                <w:p w14:paraId="4C8FC05F">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M</w:t>
                  </w:r>
                </w:p>
              </w:tc>
              <w:tc>
                <w:tcPr>
                  <w:tcW w:w="774" w:type="pct"/>
                  <w:tcBorders>
                    <w:tl2br w:val="nil"/>
                    <w:tr2bl w:val="nil"/>
                  </w:tcBorders>
                  <w:vAlign w:val="center"/>
                </w:tcPr>
                <w:p w14:paraId="5BCFE611">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V</w:t>
                  </w:r>
                </w:p>
              </w:tc>
              <w:tc>
                <w:tcPr>
                  <w:tcW w:w="869" w:type="pct"/>
                  <w:tcBorders>
                    <w:tl2br w:val="nil"/>
                    <w:tr2bl w:val="nil"/>
                  </w:tcBorders>
                  <w:vAlign w:val="center"/>
                </w:tcPr>
                <w:p w14:paraId="44CCB8C2">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溶液温度</w:t>
                  </w:r>
                </w:p>
              </w:tc>
              <w:tc>
                <w:tcPr>
                  <w:tcW w:w="798" w:type="pct"/>
                  <w:tcBorders>
                    <w:tl2br w:val="nil"/>
                    <w:tr2bl w:val="nil"/>
                  </w:tcBorders>
                  <w:vAlign w:val="center"/>
                </w:tcPr>
                <w:p w14:paraId="70378E22">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P</w:t>
                  </w:r>
                </w:p>
              </w:tc>
              <w:tc>
                <w:tcPr>
                  <w:tcW w:w="713" w:type="pct"/>
                  <w:tcBorders>
                    <w:tl2br w:val="nil"/>
                    <w:tr2bl w:val="nil"/>
                  </w:tcBorders>
                  <w:vAlign w:val="center"/>
                </w:tcPr>
                <w:p w14:paraId="6BD94645">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F</w:t>
                  </w:r>
                </w:p>
              </w:tc>
              <w:tc>
                <w:tcPr>
                  <w:tcW w:w="549" w:type="pct"/>
                  <w:tcBorders>
                    <w:tl2br w:val="nil"/>
                    <w:tr2bl w:val="nil"/>
                  </w:tcBorders>
                  <w:vAlign w:val="center"/>
                </w:tcPr>
                <w:p w14:paraId="62D2DEDD">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Gz</w:t>
                  </w:r>
                </w:p>
              </w:tc>
            </w:tr>
            <w:tr w14:paraId="1B2E2809">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61" w:type="pct"/>
                  <w:tcBorders>
                    <w:tl2br w:val="nil"/>
                    <w:tr2bl w:val="nil"/>
                  </w:tcBorders>
                  <w:vAlign w:val="center"/>
                </w:tcPr>
                <w:p w14:paraId="40844859">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硝酸</w:t>
                  </w:r>
                </w:p>
              </w:tc>
              <w:tc>
                <w:tcPr>
                  <w:tcW w:w="533" w:type="pct"/>
                  <w:tcBorders>
                    <w:tl2br w:val="nil"/>
                    <w:tr2bl w:val="nil"/>
                  </w:tcBorders>
                  <w:vAlign w:val="center"/>
                </w:tcPr>
                <w:p w14:paraId="2FCE3D3D">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63</w:t>
                  </w:r>
                </w:p>
              </w:tc>
              <w:tc>
                <w:tcPr>
                  <w:tcW w:w="774" w:type="pct"/>
                  <w:tcBorders>
                    <w:tl2br w:val="nil"/>
                    <w:tr2bl w:val="nil"/>
                  </w:tcBorders>
                  <w:vAlign w:val="center"/>
                </w:tcPr>
                <w:p w14:paraId="2333A2D4">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0.</w:t>
                  </w:r>
                  <w:r>
                    <w:rPr>
                      <w:rFonts w:hint="eastAsia" w:cs="Times New Roman"/>
                      <w:bCs/>
                      <w:color w:val="auto"/>
                      <w:kern w:val="2"/>
                      <w:sz w:val="21"/>
                      <w:szCs w:val="21"/>
                      <w:highlight w:val="none"/>
                      <w:lang w:val="en-US" w:eastAsia="zh-CN" w:bidi="ar-SA"/>
                    </w:rPr>
                    <w:t>5</w:t>
                  </w:r>
                </w:p>
              </w:tc>
              <w:tc>
                <w:tcPr>
                  <w:tcW w:w="869" w:type="pct"/>
                  <w:tcBorders>
                    <w:tl2br w:val="nil"/>
                    <w:tr2bl w:val="nil"/>
                  </w:tcBorders>
                  <w:vAlign w:val="center"/>
                </w:tcPr>
                <w:p w14:paraId="04E7FFCB">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kern w:val="2"/>
                      <w:sz w:val="21"/>
                      <w:szCs w:val="21"/>
                      <w:highlight w:val="none"/>
                      <w:lang w:val="en-US" w:eastAsia="zh-CN" w:bidi="ar-SA"/>
                    </w:rPr>
                    <w:t>3</w:t>
                  </w:r>
                  <w:r>
                    <w:rPr>
                      <w:rFonts w:hint="eastAsia" w:ascii="Times New Roman" w:hAnsi="Times New Roman" w:eastAsia="宋体" w:cs="Times New Roman"/>
                      <w:bCs/>
                      <w:color w:val="auto"/>
                      <w:kern w:val="2"/>
                      <w:sz w:val="21"/>
                      <w:szCs w:val="21"/>
                      <w:highlight w:val="none"/>
                      <w:lang w:val="en-US" w:eastAsia="zh-CN" w:bidi="ar-SA"/>
                    </w:rPr>
                    <w:t>0℃</w:t>
                  </w:r>
                </w:p>
              </w:tc>
              <w:tc>
                <w:tcPr>
                  <w:tcW w:w="798" w:type="pct"/>
                  <w:tcBorders>
                    <w:tl2br w:val="nil"/>
                    <w:tr2bl w:val="nil"/>
                  </w:tcBorders>
                  <w:vAlign w:val="center"/>
                </w:tcPr>
                <w:p w14:paraId="3C8B3683">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kern w:val="2"/>
                      <w:sz w:val="21"/>
                      <w:szCs w:val="21"/>
                      <w:highlight w:val="none"/>
                      <w:lang w:val="en-US" w:eastAsia="zh-CN" w:bidi="ar-SA"/>
                    </w:rPr>
                    <w:t>0.17</w:t>
                  </w:r>
                </w:p>
              </w:tc>
              <w:tc>
                <w:tcPr>
                  <w:tcW w:w="713" w:type="pct"/>
                  <w:tcBorders>
                    <w:tl2br w:val="nil"/>
                    <w:tr2bl w:val="nil"/>
                  </w:tcBorders>
                  <w:vAlign w:val="center"/>
                </w:tcPr>
                <w:p w14:paraId="14AA8092">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Cs/>
                      <w:color w:val="auto"/>
                      <w:kern w:val="2"/>
                      <w:sz w:val="21"/>
                      <w:szCs w:val="21"/>
                      <w:highlight w:val="none"/>
                      <w:lang w:val="en-US" w:eastAsia="zh-CN" w:bidi="ar-SA"/>
                    </w:rPr>
                  </w:pPr>
                  <w:r>
                    <w:rPr>
                      <w:rStyle w:val="287"/>
                      <w:rFonts w:hint="eastAsia" w:ascii="Times New Roman" w:hAnsi="Times New Roman" w:cs="Times New Roman"/>
                      <w:color w:val="auto"/>
                      <w:sz w:val="21"/>
                      <w:szCs w:val="21"/>
                      <w:highlight w:val="none"/>
                      <w:lang w:val="en-US" w:eastAsia="zh-CN"/>
                    </w:rPr>
                    <w:t>0.00785</w:t>
                  </w:r>
                </w:p>
              </w:tc>
              <w:tc>
                <w:tcPr>
                  <w:tcW w:w="549" w:type="pct"/>
                  <w:tcBorders>
                    <w:tl2br w:val="nil"/>
                    <w:tr2bl w:val="nil"/>
                  </w:tcBorders>
                  <w:vAlign w:val="center"/>
                </w:tcPr>
                <w:p w14:paraId="6B3CE858">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kern w:val="2"/>
                      <w:sz w:val="21"/>
                      <w:szCs w:val="21"/>
                      <w:highlight w:val="none"/>
                      <w:lang w:val="en-US" w:eastAsia="zh-CN" w:bidi="ar-SA"/>
                    </w:rPr>
                    <w:t>0.00006k</w:t>
                  </w:r>
                  <w:r>
                    <w:rPr>
                      <w:rFonts w:hint="eastAsia" w:ascii="Times New Roman" w:hAnsi="Times New Roman" w:eastAsia="宋体" w:cs="Times New Roman"/>
                      <w:bCs/>
                      <w:color w:val="auto"/>
                      <w:kern w:val="2"/>
                      <w:sz w:val="21"/>
                      <w:szCs w:val="21"/>
                      <w:highlight w:val="none"/>
                      <w:lang w:val="en-US" w:eastAsia="zh-CN" w:bidi="ar-SA"/>
                    </w:rPr>
                    <w:t>g/h</w:t>
                  </w:r>
                </w:p>
              </w:tc>
            </w:tr>
          </w:tbl>
          <w:p w14:paraId="51EA7D1F">
            <w:pPr>
              <w:keepNext w:val="0"/>
              <w:keepLines w:val="0"/>
              <w:pageBreakBefore w:val="0"/>
              <w:widowControl w:val="0"/>
              <w:kinsoku/>
              <w:wordWrap/>
              <w:overflowPunct/>
              <w:topLinePunct w:val="0"/>
              <w:autoSpaceDE/>
              <w:autoSpaceDN/>
              <w:bidi w:val="0"/>
              <w:adjustRightInd/>
              <w:snapToGrid/>
              <w:spacing w:line="348" w:lineRule="auto"/>
              <w:ind w:firstLine="420" w:firstLineChars="200"/>
              <w:jc w:val="both"/>
              <w:textAlignment w:val="auto"/>
              <w:rPr>
                <w:rStyle w:val="287"/>
                <w:rFonts w:hint="default" w:ascii="Times New Roman" w:hAnsi="Times New Roman" w:cs="Times New Roman"/>
                <w:color w:val="auto"/>
                <w:sz w:val="21"/>
                <w:szCs w:val="21"/>
                <w:highlight w:val="none"/>
                <w:lang w:val="en-US" w:eastAsia="zh-CN"/>
              </w:rPr>
            </w:pPr>
            <w:r>
              <w:rPr>
                <w:rStyle w:val="287"/>
                <w:rFonts w:hint="default" w:ascii="Times New Roman" w:hAnsi="Times New Roman" w:cs="Times New Roman"/>
                <w:color w:val="auto"/>
                <w:sz w:val="21"/>
                <w:szCs w:val="21"/>
                <w:highlight w:val="none"/>
                <w:lang w:val="en-US" w:eastAsia="zh-CN"/>
              </w:rPr>
              <w:t>根据建设单位提供，涉硝酸实验时长约为1h/d，年工作250d，则涉硝酸实验时长为250h/a，则硝酸雾产生量约为0.0</w:t>
            </w:r>
            <w:r>
              <w:rPr>
                <w:rStyle w:val="287"/>
                <w:rFonts w:hint="eastAsia" w:ascii="Times New Roman" w:hAnsi="Times New Roman" w:cs="Times New Roman"/>
                <w:color w:val="auto"/>
                <w:sz w:val="21"/>
                <w:szCs w:val="21"/>
                <w:highlight w:val="none"/>
                <w:lang w:val="en-US" w:eastAsia="zh-CN"/>
              </w:rPr>
              <w:t>15</w:t>
            </w:r>
            <w:r>
              <w:rPr>
                <w:rStyle w:val="287"/>
                <w:rFonts w:hint="default" w:ascii="Times New Roman" w:hAnsi="Times New Roman" w:cs="Times New Roman"/>
                <w:color w:val="auto"/>
                <w:sz w:val="21"/>
                <w:szCs w:val="21"/>
                <w:highlight w:val="none"/>
                <w:lang w:val="en-US" w:eastAsia="zh-CN"/>
              </w:rPr>
              <w:t>kg/a</w:t>
            </w:r>
            <w:r>
              <w:rPr>
                <w:rStyle w:val="287"/>
                <w:rFonts w:hint="eastAsia" w:ascii="Times New Roman" w:hAnsi="Times New Roman" w:cs="Times New Roman"/>
                <w:color w:val="auto"/>
                <w:sz w:val="21"/>
                <w:szCs w:val="21"/>
                <w:highlight w:val="none"/>
                <w:lang w:val="en-US" w:eastAsia="zh-CN"/>
              </w:rPr>
              <w:t>，硝酸雾分解为氮氧化物的量为0.011kg/a。</w:t>
            </w:r>
          </w:p>
          <w:p w14:paraId="4DAA04ED">
            <w:pPr>
              <w:spacing w:line="356" w:lineRule="auto"/>
              <w:ind w:firstLine="422" w:firstLineChars="200"/>
              <w:rPr>
                <w:rStyle w:val="287"/>
                <w:rFonts w:hint="eastAsia" w:ascii="Times New Roman" w:hAnsi="Times New Roman" w:eastAsia="宋体" w:cs="Times New Roman"/>
                <w:b/>
                <w:bCs/>
                <w:color w:val="auto"/>
                <w:sz w:val="21"/>
                <w:szCs w:val="21"/>
                <w:highlight w:val="none"/>
                <w:lang w:val="en-US" w:eastAsia="zh-CN"/>
              </w:rPr>
            </w:pPr>
            <w:r>
              <w:rPr>
                <w:rStyle w:val="287"/>
                <w:rFonts w:hint="eastAsia" w:cs="Times New Roman"/>
                <w:b/>
                <w:bCs/>
                <w:color w:val="auto"/>
                <w:sz w:val="21"/>
                <w:szCs w:val="21"/>
                <w:highlight w:val="none"/>
                <w:lang w:val="en-US" w:eastAsia="zh-CN"/>
              </w:rPr>
              <w:t>C</w:t>
            </w:r>
            <w:r>
              <w:rPr>
                <w:rStyle w:val="287"/>
                <w:rFonts w:hint="default" w:ascii="Times New Roman" w:hAnsi="Times New Roman" w:eastAsia="宋体" w:cs="Times New Roman"/>
                <w:b/>
                <w:bCs/>
                <w:color w:val="auto"/>
                <w:sz w:val="21"/>
                <w:szCs w:val="21"/>
                <w:highlight w:val="none"/>
              </w:rPr>
              <w:t>氯化氢</w:t>
            </w:r>
            <w:r>
              <w:rPr>
                <w:rStyle w:val="287"/>
                <w:rFonts w:hint="eastAsia" w:cs="Times New Roman"/>
                <w:b/>
                <w:bCs/>
                <w:color w:val="auto"/>
                <w:sz w:val="21"/>
                <w:szCs w:val="21"/>
                <w:highlight w:val="none"/>
                <w:lang w:val="en-US" w:eastAsia="zh-CN"/>
              </w:rPr>
              <w:t>废气</w:t>
            </w:r>
          </w:p>
          <w:p w14:paraId="1D974660">
            <w:pPr>
              <w:spacing w:line="356" w:lineRule="auto"/>
              <w:ind w:firstLine="420" w:firstLineChars="200"/>
              <w:rPr>
                <w:rStyle w:val="287"/>
                <w:rFonts w:hint="default" w:ascii="Times New Roman" w:hAnsi="Times New Roman" w:eastAsia="宋体" w:cs="Times New Roman"/>
                <w:color w:val="auto"/>
                <w:sz w:val="21"/>
                <w:szCs w:val="21"/>
                <w:highlight w:val="none"/>
              </w:rPr>
            </w:pPr>
            <w:r>
              <w:rPr>
                <w:rStyle w:val="287"/>
                <w:rFonts w:hint="default" w:ascii="Times New Roman" w:hAnsi="Times New Roman" w:eastAsia="宋体" w:cs="Times New Roman"/>
                <w:color w:val="auto"/>
                <w:sz w:val="21"/>
                <w:szCs w:val="21"/>
                <w:highlight w:val="none"/>
                <w:lang w:val="en-US" w:eastAsia="zh-CN"/>
              </w:rPr>
              <w:t>盐酸</w:t>
            </w:r>
            <w:r>
              <w:rPr>
                <w:rStyle w:val="287"/>
                <w:rFonts w:hint="default" w:ascii="Times New Roman" w:hAnsi="Times New Roman" w:cs="Times New Roman"/>
                <w:bCs w:val="0"/>
                <w:color w:val="auto"/>
                <w:sz w:val="21"/>
                <w:szCs w:val="21"/>
                <w:highlight w:val="none"/>
              </w:rPr>
              <w:t>使用平均浓度为</w:t>
            </w:r>
            <w:r>
              <w:rPr>
                <w:rStyle w:val="287"/>
                <w:rFonts w:hint="eastAsia" w:cs="Times New Roman"/>
                <w:bCs w:val="0"/>
                <w:color w:val="auto"/>
                <w:sz w:val="21"/>
                <w:szCs w:val="21"/>
                <w:highlight w:val="none"/>
                <w:lang w:val="en-US" w:eastAsia="zh-CN"/>
              </w:rPr>
              <w:t>18</w:t>
            </w:r>
            <w:r>
              <w:rPr>
                <w:rStyle w:val="287"/>
                <w:rFonts w:hint="default" w:ascii="Times New Roman" w:hAnsi="Times New Roman" w:cs="Times New Roman"/>
                <w:bCs w:val="0"/>
                <w:color w:val="auto"/>
                <w:sz w:val="21"/>
                <w:szCs w:val="21"/>
                <w:highlight w:val="none"/>
              </w:rPr>
              <w:t>%</w:t>
            </w:r>
            <w:r>
              <w:rPr>
                <w:rStyle w:val="287"/>
                <w:rFonts w:hint="default" w:ascii="Times New Roman" w:hAnsi="Times New Roman" w:cs="Times New Roman"/>
                <w:bCs w:val="0"/>
                <w:color w:val="auto"/>
                <w:sz w:val="21"/>
                <w:szCs w:val="21"/>
                <w:highlight w:val="none"/>
                <w:lang w:val="en-US" w:eastAsia="zh-CN"/>
              </w:rPr>
              <w:t>，使用</w:t>
            </w:r>
            <w:r>
              <w:rPr>
                <w:rStyle w:val="287"/>
                <w:rFonts w:hint="default" w:ascii="Times New Roman" w:hAnsi="Times New Roman" w:eastAsia="宋体" w:cs="Times New Roman"/>
                <w:color w:val="auto"/>
                <w:sz w:val="21"/>
                <w:szCs w:val="21"/>
                <w:highlight w:val="none"/>
                <w:lang w:val="en-US" w:eastAsia="zh-CN"/>
              </w:rPr>
              <w:t>温度</w:t>
            </w:r>
            <w:r>
              <w:rPr>
                <w:rStyle w:val="287"/>
                <w:rFonts w:hint="default" w:ascii="Times New Roman" w:hAnsi="Times New Roman" w:eastAsia="宋体" w:cs="Times New Roman"/>
                <w:color w:val="auto"/>
                <w:sz w:val="21"/>
                <w:szCs w:val="21"/>
                <w:highlight w:val="none"/>
              </w:rPr>
              <w:t>最高在</w:t>
            </w:r>
            <w:r>
              <w:rPr>
                <w:rStyle w:val="287"/>
                <w:rFonts w:hint="default" w:ascii="Times New Roman" w:hAnsi="Times New Roman" w:eastAsia="宋体" w:cs="Times New Roman"/>
                <w:color w:val="auto"/>
                <w:sz w:val="21"/>
                <w:szCs w:val="21"/>
                <w:highlight w:val="none"/>
                <w:lang w:val="en-US" w:eastAsia="zh-CN"/>
              </w:rPr>
              <w:t>3</w:t>
            </w:r>
            <w:r>
              <w:rPr>
                <w:rStyle w:val="287"/>
                <w:rFonts w:hint="default" w:ascii="Times New Roman" w:hAnsi="Times New Roman" w:eastAsia="宋体" w:cs="Times New Roman"/>
                <w:color w:val="auto"/>
                <w:sz w:val="21"/>
                <w:szCs w:val="21"/>
                <w:highlight w:val="none"/>
              </w:rPr>
              <w:t>0℃</w:t>
            </w:r>
            <w:r>
              <w:rPr>
                <w:rStyle w:val="287"/>
                <w:rFonts w:hint="default" w:ascii="Times New Roman" w:hAnsi="Times New Roman" w:eastAsia="宋体" w:cs="Times New Roman"/>
                <w:color w:val="auto"/>
                <w:sz w:val="21"/>
                <w:szCs w:val="21"/>
                <w:highlight w:val="none"/>
                <w:lang w:val="en-US" w:eastAsia="zh-CN"/>
              </w:rPr>
              <w:t>左右</w:t>
            </w:r>
            <w:r>
              <w:rPr>
                <w:rStyle w:val="287"/>
                <w:rFonts w:hint="default" w:ascii="Times New Roman" w:hAnsi="Times New Roman" w:eastAsia="宋体" w:cs="Times New Roman"/>
                <w:color w:val="auto"/>
                <w:sz w:val="21"/>
                <w:szCs w:val="21"/>
                <w:highlight w:val="none"/>
              </w:rPr>
              <w:t>。参考《环境统计手册》中公式计算氯化氢产生情况</w:t>
            </w:r>
            <w:r>
              <w:rPr>
                <w:rStyle w:val="287"/>
                <w:rFonts w:hint="eastAsia" w:ascii="Times New Roman" w:hAnsi="Times New Roman" w:cs="Times New Roman"/>
                <w:bCs w:val="0"/>
                <w:color w:val="auto"/>
                <w:sz w:val="21"/>
                <w:szCs w:val="21"/>
                <w:highlight w:val="none"/>
                <w:lang w:eastAsia="zh-CN"/>
              </w:rPr>
              <w:t>，</w:t>
            </w:r>
            <w:r>
              <w:rPr>
                <w:rStyle w:val="287"/>
                <w:rFonts w:hint="eastAsia" w:cs="Times New Roman"/>
                <w:bCs w:val="0"/>
                <w:color w:val="auto"/>
                <w:sz w:val="21"/>
                <w:szCs w:val="21"/>
                <w:highlight w:val="none"/>
                <w:lang w:val="en-US" w:eastAsia="zh-CN"/>
              </w:rPr>
              <w:t>在通风橱中进行，</w:t>
            </w:r>
            <w:r>
              <w:rPr>
                <w:rStyle w:val="287"/>
                <w:rFonts w:hint="eastAsia" w:ascii="Times New Roman" w:hAnsi="Times New Roman" w:cs="Times New Roman"/>
                <w:bCs w:val="0"/>
                <w:color w:val="auto"/>
                <w:sz w:val="21"/>
                <w:szCs w:val="21"/>
                <w:highlight w:val="none"/>
                <w:lang w:val="en-US" w:eastAsia="zh-CN"/>
              </w:rPr>
              <w:t>参数选择见下表：</w:t>
            </w:r>
          </w:p>
          <w:p w14:paraId="08FC19BC">
            <w:pPr>
              <w:autoSpaceDE w:val="0"/>
              <w:autoSpaceDN w:val="0"/>
              <w:adjustRightInd w:val="0"/>
              <w:snapToGrid w:val="0"/>
              <w:spacing w:line="240" w:lineRule="auto"/>
              <w:jc w:val="center"/>
              <w:rPr>
                <w:rFonts w:hint="default" w:ascii="Times New Roman" w:hAnsi="Times New Roman" w:eastAsia="宋体" w:cs="Times New Roman"/>
                <w:b/>
                <w:bCs/>
                <w:color w:val="auto"/>
                <w:sz w:val="21"/>
                <w:szCs w:val="18"/>
                <w:highlight w:val="none"/>
                <w:lang w:val="en-US" w:eastAsia="zh-CN"/>
              </w:rPr>
            </w:pPr>
            <w:r>
              <w:rPr>
                <w:rFonts w:hint="eastAsia" w:ascii="Times New Roman" w:hAnsi="Times New Roman" w:eastAsia="宋体" w:cs="Times New Roman"/>
                <w:b/>
                <w:bCs/>
                <w:color w:val="auto"/>
                <w:sz w:val="21"/>
                <w:szCs w:val="18"/>
                <w:highlight w:val="none"/>
                <w:lang w:val="en-US" w:eastAsia="zh-CN"/>
              </w:rPr>
              <w:t>表</w:t>
            </w:r>
            <w:r>
              <w:rPr>
                <w:rFonts w:hint="eastAsia" w:cs="Times New Roman"/>
                <w:b/>
                <w:bCs/>
                <w:color w:val="auto"/>
                <w:sz w:val="21"/>
                <w:szCs w:val="18"/>
                <w:highlight w:val="none"/>
                <w:lang w:val="en-US" w:eastAsia="zh-CN"/>
              </w:rPr>
              <w:t xml:space="preserve">27 </w:t>
            </w:r>
            <w:r>
              <w:rPr>
                <w:rFonts w:hint="eastAsia" w:ascii="Times New Roman" w:hAnsi="Times New Roman" w:eastAsia="宋体" w:cs="Times New Roman"/>
                <w:b/>
                <w:bCs/>
                <w:color w:val="auto"/>
                <w:sz w:val="21"/>
                <w:szCs w:val="18"/>
                <w:highlight w:val="none"/>
                <w:lang w:val="en-US" w:eastAsia="zh-CN"/>
              </w:rPr>
              <w:t xml:space="preserve"> </w:t>
            </w:r>
            <w:r>
              <w:rPr>
                <w:rFonts w:hint="eastAsia" w:cs="Times New Roman"/>
                <w:b/>
                <w:bCs/>
                <w:color w:val="auto"/>
                <w:sz w:val="21"/>
                <w:szCs w:val="18"/>
                <w:highlight w:val="none"/>
                <w:lang w:val="en-US" w:eastAsia="zh-CN"/>
              </w:rPr>
              <w:t>氯化氢</w:t>
            </w:r>
            <w:r>
              <w:rPr>
                <w:rFonts w:hint="eastAsia" w:ascii="Times New Roman" w:hAnsi="Times New Roman" w:eastAsia="宋体" w:cs="Times New Roman"/>
                <w:b/>
                <w:bCs/>
                <w:color w:val="auto"/>
                <w:sz w:val="21"/>
                <w:szCs w:val="18"/>
                <w:highlight w:val="none"/>
                <w:lang w:val="en-US" w:eastAsia="zh-CN"/>
              </w:rPr>
              <w:t>产生量计算表</w:t>
            </w:r>
          </w:p>
          <w:tbl>
            <w:tblPr>
              <w:tblStyle w:val="46"/>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63"/>
              <w:gridCol w:w="894"/>
              <w:gridCol w:w="1273"/>
              <w:gridCol w:w="1381"/>
              <w:gridCol w:w="1305"/>
              <w:gridCol w:w="900"/>
              <w:gridCol w:w="1273"/>
            </w:tblGrid>
            <w:tr w14:paraId="2F2FDF8B">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69" w:type="pct"/>
                  <w:tcBorders>
                    <w:tl2br w:val="nil"/>
                    <w:tr2bl w:val="nil"/>
                  </w:tcBorders>
                  <w:vAlign w:val="center"/>
                </w:tcPr>
                <w:p w14:paraId="5020BF36">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种类</w:t>
                  </w:r>
                </w:p>
              </w:tc>
              <w:tc>
                <w:tcPr>
                  <w:tcW w:w="605" w:type="pct"/>
                  <w:tcBorders>
                    <w:tl2br w:val="nil"/>
                    <w:tr2bl w:val="nil"/>
                  </w:tcBorders>
                  <w:vAlign w:val="center"/>
                </w:tcPr>
                <w:p w14:paraId="2B80782C">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M</w:t>
                  </w:r>
                </w:p>
              </w:tc>
              <w:tc>
                <w:tcPr>
                  <w:tcW w:w="836" w:type="pct"/>
                  <w:tcBorders>
                    <w:tl2br w:val="nil"/>
                    <w:tr2bl w:val="nil"/>
                  </w:tcBorders>
                  <w:vAlign w:val="center"/>
                </w:tcPr>
                <w:p w14:paraId="35D35D59">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V</w:t>
                  </w:r>
                </w:p>
              </w:tc>
              <w:tc>
                <w:tcPr>
                  <w:tcW w:w="902" w:type="pct"/>
                  <w:tcBorders>
                    <w:tl2br w:val="nil"/>
                    <w:tr2bl w:val="nil"/>
                  </w:tcBorders>
                  <w:vAlign w:val="center"/>
                </w:tcPr>
                <w:p w14:paraId="764EDFB9">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溶液温度</w:t>
                  </w:r>
                </w:p>
              </w:tc>
              <w:tc>
                <w:tcPr>
                  <w:tcW w:w="855" w:type="pct"/>
                  <w:tcBorders>
                    <w:tl2br w:val="nil"/>
                    <w:tr2bl w:val="nil"/>
                  </w:tcBorders>
                  <w:vAlign w:val="center"/>
                </w:tcPr>
                <w:p w14:paraId="27EFAD31">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P</w:t>
                  </w:r>
                </w:p>
              </w:tc>
              <w:tc>
                <w:tcPr>
                  <w:tcW w:w="483" w:type="pct"/>
                  <w:tcBorders>
                    <w:tl2br w:val="nil"/>
                    <w:tr2bl w:val="nil"/>
                  </w:tcBorders>
                  <w:vAlign w:val="center"/>
                </w:tcPr>
                <w:p w14:paraId="682449AB">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F</w:t>
                  </w:r>
                </w:p>
              </w:tc>
              <w:tc>
                <w:tcPr>
                  <w:tcW w:w="547" w:type="pct"/>
                  <w:tcBorders>
                    <w:tl2br w:val="nil"/>
                    <w:tr2bl w:val="nil"/>
                  </w:tcBorders>
                  <w:vAlign w:val="center"/>
                </w:tcPr>
                <w:p w14:paraId="6B7306D1">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Gz</w:t>
                  </w:r>
                </w:p>
              </w:tc>
            </w:tr>
            <w:tr w14:paraId="1AB134DE">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69" w:type="pct"/>
                  <w:tcBorders>
                    <w:tl2br w:val="nil"/>
                    <w:tr2bl w:val="nil"/>
                  </w:tcBorders>
                  <w:vAlign w:val="center"/>
                </w:tcPr>
                <w:p w14:paraId="7F6D5D7B">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kern w:val="2"/>
                      <w:sz w:val="21"/>
                      <w:szCs w:val="21"/>
                      <w:highlight w:val="none"/>
                      <w:lang w:val="en-US" w:eastAsia="zh-CN" w:bidi="ar-SA"/>
                    </w:rPr>
                    <w:t>氯化氢</w:t>
                  </w:r>
                </w:p>
              </w:tc>
              <w:tc>
                <w:tcPr>
                  <w:tcW w:w="605" w:type="pct"/>
                  <w:tcBorders>
                    <w:tl2br w:val="nil"/>
                    <w:tr2bl w:val="nil"/>
                  </w:tcBorders>
                  <w:vAlign w:val="center"/>
                </w:tcPr>
                <w:p w14:paraId="5DF035A4">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kern w:val="2"/>
                      <w:sz w:val="21"/>
                      <w:szCs w:val="21"/>
                      <w:highlight w:val="none"/>
                      <w:lang w:val="en-US" w:eastAsia="zh-CN" w:bidi="ar-SA"/>
                    </w:rPr>
                    <w:t>36.5</w:t>
                  </w:r>
                </w:p>
              </w:tc>
              <w:tc>
                <w:tcPr>
                  <w:tcW w:w="836" w:type="pct"/>
                  <w:tcBorders>
                    <w:tl2br w:val="nil"/>
                    <w:tr2bl w:val="nil"/>
                  </w:tcBorders>
                  <w:vAlign w:val="center"/>
                </w:tcPr>
                <w:p w14:paraId="2E1AD175">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0.</w:t>
                  </w:r>
                  <w:r>
                    <w:rPr>
                      <w:rFonts w:hint="eastAsia" w:cs="Times New Roman"/>
                      <w:bCs/>
                      <w:color w:val="auto"/>
                      <w:kern w:val="2"/>
                      <w:sz w:val="21"/>
                      <w:szCs w:val="21"/>
                      <w:highlight w:val="none"/>
                      <w:lang w:val="en-US" w:eastAsia="zh-CN" w:bidi="ar-SA"/>
                    </w:rPr>
                    <w:t>5</w:t>
                  </w:r>
                </w:p>
              </w:tc>
              <w:tc>
                <w:tcPr>
                  <w:tcW w:w="902" w:type="pct"/>
                  <w:tcBorders>
                    <w:tl2br w:val="nil"/>
                    <w:tr2bl w:val="nil"/>
                  </w:tcBorders>
                  <w:vAlign w:val="center"/>
                </w:tcPr>
                <w:p w14:paraId="1270B835">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30℃</w:t>
                  </w:r>
                </w:p>
              </w:tc>
              <w:tc>
                <w:tcPr>
                  <w:tcW w:w="855" w:type="pct"/>
                  <w:tcBorders>
                    <w:tl2br w:val="nil"/>
                    <w:tr2bl w:val="nil"/>
                  </w:tcBorders>
                  <w:vAlign w:val="center"/>
                </w:tcPr>
                <w:p w14:paraId="1CA2D3B9">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kern w:val="2"/>
                      <w:sz w:val="21"/>
                      <w:szCs w:val="21"/>
                      <w:highlight w:val="none"/>
                      <w:lang w:val="en-US" w:eastAsia="zh-CN" w:bidi="ar-SA"/>
                    </w:rPr>
                    <w:t>0.228</w:t>
                  </w:r>
                </w:p>
              </w:tc>
              <w:tc>
                <w:tcPr>
                  <w:tcW w:w="483" w:type="pct"/>
                  <w:tcBorders>
                    <w:tl2br w:val="nil"/>
                    <w:tr2bl w:val="nil"/>
                  </w:tcBorders>
                  <w:vAlign w:val="center"/>
                </w:tcPr>
                <w:p w14:paraId="4106D859">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kern w:val="2"/>
                      <w:sz w:val="21"/>
                      <w:szCs w:val="21"/>
                      <w:highlight w:val="none"/>
                      <w:lang w:val="en-US" w:eastAsia="zh-CN" w:bidi="ar-SA"/>
                    </w:rPr>
                    <w:t>0.00785</w:t>
                  </w:r>
                </w:p>
              </w:tc>
              <w:tc>
                <w:tcPr>
                  <w:tcW w:w="547" w:type="pct"/>
                  <w:tcBorders>
                    <w:tl2br w:val="nil"/>
                    <w:tr2bl w:val="nil"/>
                  </w:tcBorders>
                  <w:vAlign w:val="center"/>
                </w:tcPr>
                <w:p w14:paraId="0DA3C7F1">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bCs/>
                      <w:color w:val="auto"/>
                      <w:kern w:val="2"/>
                      <w:sz w:val="21"/>
                      <w:szCs w:val="21"/>
                      <w:highlight w:val="none"/>
                      <w:lang w:val="en-US" w:eastAsia="zh-CN" w:bidi="ar-SA"/>
                    </w:rPr>
                    <w:t>0.</w:t>
                  </w:r>
                  <w:r>
                    <w:rPr>
                      <w:rFonts w:hint="eastAsia" w:cs="Times New Roman"/>
                      <w:bCs/>
                      <w:color w:val="auto"/>
                      <w:kern w:val="2"/>
                      <w:sz w:val="21"/>
                      <w:szCs w:val="21"/>
                      <w:highlight w:val="none"/>
                      <w:lang w:val="en-US" w:eastAsia="zh-CN" w:bidi="ar-SA"/>
                    </w:rPr>
                    <w:t>00005k</w:t>
                  </w:r>
                  <w:r>
                    <w:rPr>
                      <w:rFonts w:hint="eastAsia" w:ascii="Times New Roman" w:hAnsi="Times New Roman" w:eastAsia="宋体" w:cs="Times New Roman"/>
                      <w:bCs/>
                      <w:color w:val="auto"/>
                      <w:kern w:val="2"/>
                      <w:sz w:val="21"/>
                      <w:szCs w:val="21"/>
                      <w:highlight w:val="none"/>
                      <w:lang w:val="en-US" w:eastAsia="zh-CN" w:bidi="ar-SA"/>
                    </w:rPr>
                    <w:t>g/h</w:t>
                  </w:r>
                </w:p>
              </w:tc>
            </w:tr>
          </w:tbl>
          <w:p w14:paraId="69CD9EC7">
            <w:pPr>
              <w:pStyle w:val="326"/>
              <w:ind w:firstLine="48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根据建设单位提供，涉</w:t>
            </w:r>
            <w:r>
              <w:rPr>
                <w:rStyle w:val="287"/>
                <w:rFonts w:hint="eastAsia" w:ascii="Times New Roman" w:hAnsi="Times New Roman" w:eastAsia="宋体" w:cs="Times New Roman"/>
                <w:color w:val="auto"/>
                <w:sz w:val="21"/>
                <w:szCs w:val="21"/>
                <w:highlight w:val="none"/>
                <w:lang w:val="en-US" w:eastAsia="zh-CN"/>
              </w:rPr>
              <w:t>盐酸</w:t>
            </w:r>
            <w:r>
              <w:rPr>
                <w:rStyle w:val="287"/>
                <w:rFonts w:hint="default" w:ascii="Times New Roman" w:hAnsi="Times New Roman" w:eastAsia="宋体" w:cs="Times New Roman"/>
                <w:color w:val="auto"/>
                <w:sz w:val="21"/>
                <w:szCs w:val="21"/>
                <w:highlight w:val="none"/>
              </w:rPr>
              <w:t>实验时长约为</w:t>
            </w:r>
            <w:r>
              <w:rPr>
                <w:rStyle w:val="287"/>
                <w:rFonts w:hint="eastAsia" w:ascii="Times New Roman" w:hAnsi="Times New Roman" w:cs="Times New Roman"/>
                <w:color w:val="auto"/>
                <w:sz w:val="21"/>
                <w:szCs w:val="21"/>
                <w:highlight w:val="none"/>
                <w:lang w:val="en-US" w:eastAsia="zh-CN"/>
              </w:rPr>
              <w:t>1</w:t>
            </w:r>
            <w:r>
              <w:rPr>
                <w:rStyle w:val="287"/>
                <w:rFonts w:hint="default" w:ascii="Times New Roman" w:hAnsi="Times New Roman" w:eastAsia="宋体" w:cs="Times New Roman"/>
                <w:color w:val="auto"/>
                <w:sz w:val="21"/>
                <w:szCs w:val="21"/>
                <w:highlight w:val="none"/>
              </w:rPr>
              <w:t>h/d，年工作</w:t>
            </w:r>
            <w:r>
              <w:rPr>
                <w:rStyle w:val="287"/>
                <w:rFonts w:hint="eastAsia" w:ascii="Times New Roman" w:hAnsi="Times New Roman" w:cs="Times New Roman"/>
                <w:color w:val="auto"/>
                <w:sz w:val="21"/>
                <w:szCs w:val="21"/>
                <w:highlight w:val="none"/>
                <w:lang w:val="en-US" w:eastAsia="zh-CN"/>
              </w:rPr>
              <w:t>25</w:t>
            </w:r>
            <w:r>
              <w:rPr>
                <w:rStyle w:val="287"/>
                <w:rFonts w:hint="default" w:ascii="Times New Roman" w:hAnsi="Times New Roman" w:eastAsia="宋体" w:cs="Times New Roman"/>
                <w:color w:val="auto"/>
                <w:sz w:val="21"/>
                <w:szCs w:val="21"/>
                <w:highlight w:val="none"/>
                <w:lang w:val="en-US" w:eastAsia="zh-CN"/>
              </w:rPr>
              <w:t>0</w:t>
            </w:r>
            <w:r>
              <w:rPr>
                <w:rStyle w:val="287"/>
                <w:rFonts w:hint="default" w:ascii="Times New Roman" w:hAnsi="Times New Roman" w:eastAsia="宋体" w:cs="Times New Roman"/>
                <w:color w:val="auto"/>
                <w:sz w:val="21"/>
                <w:szCs w:val="21"/>
                <w:highlight w:val="none"/>
              </w:rPr>
              <w:t>d，</w:t>
            </w:r>
            <w:r>
              <w:rPr>
                <w:rStyle w:val="287"/>
                <w:rFonts w:hint="default" w:ascii="Times New Roman" w:hAnsi="Times New Roman" w:eastAsia="宋体" w:cs="Times New Roman"/>
                <w:color w:val="auto"/>
                <w:sz w:val="21"/>
                <w:szCs w:val="21"/>
                <w:highlight w:val="none"/>
                <w:lang w:val="en-US" w:eastAsia="zh-CN"/>
              </w:rPr>
              <w:t>则涉</w:t>
            </w:r>
            <w:r>
              <w:rPr>
                <w:rStyle w:val="287"/>
                <w:rFonts w:hint="eastAsia" w:ascii="Times New Roman" w:hAnsi="Times New Roman" w:eastAsia="宋体" w:cs="Times New Roman"/>
                <w:color w:val="auto"/>
                <w:sz w:val="21"/>
                <w:szCs w:val="21"/>
                <w:highlight w:val="none"/>
                <w:lang w:val="en-US" w:eastAsia="zh-CN"/>
              </w:rPr>
              <w:t>盐酸</w:t>
            </w:r>
            <w:r>
              <w:rPr>
                <w:rStyle w:val="287"/>
                <w:rFonts w:hint="default" w:ascii="Times New Roman" w:hAnsi="Times New Roman" w:eastAsia="宋体" w:cs="Times New Roman"/>
                <w:color w:val="auto"/>
                <w:sz w:val="21"/>
                <w:szCs w:val="21"/>
                <w:highlight w:val="none"/>
                <w:lang w:val="en-US" w:eastAsia="zh-CN"/>
              </w:rPr>
              <w:t>实验时长为</w:t>
            </w:r>
            <w:r>
              <w:rPr>
                <w:rStyle w:val="287"/>
                <w:rFonts w:hint="eastAsia" w:ascii="Times New Roman" w:hAnsi="Times New Roman" w:cs="Times New Roman"/>
                <w:color w:val="auto"/>
                <w:sz w:val="21"/>
                <w:szCs w:val="21"/>
                <w:highlight w:val="none"/>
                <w:lang w:val="en-US" w:eastAsia="zh-CN"/>
              </w:rPr>
              <w:t>25</w:t>
            </w:r>
            <w:r>
              <w:rPr>
                <w:rStyle w:val="287"/>
                <w:rFonts w:hint="default" w:ascii="Times New Roman" w:hAnsi="Times New Roman" w:eastAsia="宋体" w:cs="Times New Roman"/>
                <w:color w:val="auto"/>
                <w:sz w:val="21"/>
                <w:szCs w:val="21"/>
                <w:highlight w:val="none"/>
                <w:lang w:val="en-US" w:eastAsia="zh-CN"/>
              </w:rPr>
              <w:t>0h/a</w:t>
            </w:r>
            <w:r>
              <w:rPr>
                <w:rStyle w:val="287"/>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rPr>
              <w:t>则氯化氢产生量约为</w:t>
            </w:r>
            <w:r>
              <w:rPr>
                <w:rFonts w:hint="eastAsia" w:ascii="Times New Roman" w:hAnsi="Times New Roman" w:cs="Times New Roman"/>
                <w:color w:val="auto"/>
                <w:sz w:val="21"/>
                <w:szCs w:val="21"/>
                <w:highlight w:val="none"/>
                <w:lang w:val="en-US" w:eastAsia="zh-CN"/>
              </w:rPr>
              <w:t>0.0125</w:t>
            </w:r>
            <w:r>
              <w:rPr>
                <w:rFonts w:hint="default" w:ascii="Times New Roman" w:hAnsi="Times New Roman" w:eastAsia="宋体" w:cs="Times New Roman"/>
                <w:color w:val="auto"/>
                <w:sz w:val="21"/>
                <w:szCs w:val="21"/>
                <w:highlight w:val="none"/>
              </w:rPr>
              <w:t>kg/a。</w:t>
            </w:r>
          </w:p>
          <w:p w14:paraId="4441F46D">
            <w:pPr>
              <w:keepNext w:val="0"/>
              <w:keepLines w:val="0"/>
              <w:pageBreakBefore w:val="0"/>
              <w:kinsoku/>
              <w:wordWrap/>
              <w:overflowPunct/>
              <w:topLinePunct w:val="0"/>
              <w:autoSpaceDE/>
              <w:autoSpaceDN/>
              <w:bidi w:val="0"/>
              <w:adjustRightInd/>
              <w:snapToGrid/>
              <w:spacing w:line="336" w:lineRule="auto"/>
              <w:ind w:firstLine="422" w:firstLineChars="200"/>
              <w:textAlignment w:val="auto"/>
              <w:rPr>
                <w:rStyle w:val="287"/>
                <w:rFonts w:hint="default" w:cs="Times New Roman"/>
                <w:b/>
                <w:bCs/>
                <w:color w:val="auto"/>
                <w:sz w:val="21"/>
                <w:szCs w:val="21"/>
                <w:highlight w:val="none"/>
                <w:lang w:val="en-US" w:eastAsia="zh-CN"/>
              </w:rPr>
            </w:pPr>
            <w:r>
              <w:rPr>
                <w:rStyle w:val="287"/>
                <w:rFonts w:hint="eastAsia" w:cs="Times New Roman"/>
                <w:b/>
                <w:bCs/>
                <w:color w:val="auto"/>
                <w:sz w:val="21"/>
                <w:szCs w:val="21"/>
                <w:highlight w:val="none"/>
                <w:lang w:val="en-US" w:eastAsia="zh-CN"/>
              </w:rPr>
              <w:t>②挥发性有机物</w:t>
            </w:r>
          </w:p>
          <w:p w14:paraId="5D5E1B10">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s="Times New Roman"/>
                <w:color w:val="auto"/>
                <w:kern w:val="28"/>
                <w:sz w:val="21"/>
                <w:szCs w:val="21"/>
                <w:highlight w:val="none"/>
                <w:lang w:val="en-US" w:eastAsia="zh-CN"/>
              </w:rPr>
            </w:pPr>
            <w:r>
              <w:rPr>
                <w:rStyle w:val="287"/>
                <w:rFonts w:hint="eastAsia" w:ascii="Times New Roman" w:hAnsi="Times New Roman" w:cs="Times New Roman"/>
                <w:bCs w:val="0"/>
                <w:color w:val="auto"/>
                <w:sz w:val="21"/>
                <w:szCs w:val="21"/>
                <w:highlight w:val="none"/>
                <w:lang w:val="en-US" w:eastAsia="zh-CN"/>
              </w:rPr>
              <w:t>本项目使用药剂中可挥发和易挥发的</w:t>
            </w:r>
            <w:r>
              <w:rPr>
                <w:rStyle w:val="287"/>
                <w:rFonts w:hint="eastAsia" w:cs="Times New Roman"/>
                <w:bCs w:val="0"/>
                <w:color w:val="auto"/>
                <w:sz w:val="21"/>
                <w:szCs w:val="21"/>
                <w:highlight w:val="none"/>
                <w:lang w:val="en-US" w:eastAsia="zh-CN"/>
              </w:rPr>
              <w:t>主要为丙酮及</w:t>
            </w:r>
            <w:r>
              <w:rPr>
                <w:rFonts w:hint="eastAsia" w:eastAsia="宋体" w:cs="Times New Roman"/>
                <w:color w:val="auto"/>
                <w:kern w:val="28"/>
                <w:sz w:val="21"/>
                <w:szCs w:val="21"/>
                <w:highlight w:val="none"/>
                <w:lang w:val="en-US" w:eastAsia="zh-CN"/>
              </w:rPr>
              <w:t>异丁基甲酮</w:t>
            </w:r>
            <w:r>
              <w:rPr>
                <w:rStyle w:val="287"/>
                <w:rFonts w:hint="eastAsia" w:cs="Times New Roman"/>
                <w:bCs w:val="0"/>
                <w:color w:val="auto"/>
                <w:sz w:val="21"/>
                <w:szCs w:val="21"/>
                <w:highlight w:val="none"/>
                <w:lang w:val="en-US" w:eastAsia="zh-CN"/>
              </w:rPr>
              <w:t>，其中</w:t>
            </w:r>
            <w:r>
              <w:rPr>
                <w:rFonts w:hint="eastAsia" w:eastAsia="宋体" w:cs="Times New Roman"/>
                <w:color w:val="auto"/>
                <w:kern w:val="28"/>
                <w:sz w:val="21"/>
                <w:szCs w:val="21"/>
                <w:highlight w:val="none"/>
                <w:lang w:val="en-US" w:eastAsia="zh-CN"/>
              </w:rPr>
              <w:t>丙酮</w:t>
            </w:r>
            <w:r>
              <w:rPr>
                <w:rFonts w:hint="eastAsia" w:cs="Times New Roman"/>
                <w:color w:val="auto"/>
                <w:kern w:val="28"/>
                <w:sz w:val="21"/>
                <w:szCs w:val="21"/>
                <w:highlight w:val="none"/>
                <w:lang w:val="en-US" w:eastAsia="zh-CN"/>
              </w:rPr>
              <w:t>年用量为500mL，密</w:t>
            </w:r>
            <w:r>
              <w:rPr>
                <w:rStyle w:val="287"/>
                <w:rFonts w:hint="eastAsia" w:ascii="Times New Roman" w:hAnsi="Times New Roman" w:cs="Times New Roman"/>
                <w:bCs w:val="0"/>
                <w:color w:val="auto"/>
                <w:sz w:val="21"/>
                <w:szCs w:val="21"/>
                <w:highlight w:val="none"/>
                <w:lang w:val="en-US" w:eastAsia="zh-CN"/>
              </w:rPr>
              <w:t>度0.7899g/mL，</w:t>
            </w:r>
            <w:r>
              <w:rPr>
                <w:rFonts w:hint="eastAsia" w:eastAsia="宋体" w:cs="Times New Roman"/>
                <w:color w:val="auto"/>
                <w:kern w:val="28"/>
                <w:sz w:val="21"/>
                <w:szCs w:val="21"/>
                <w:highlight w:val="none"/>
                <w:lang w:val="en-US" w:eastAsia="zh-CN"/>
              </w:rPr>
              <w:t>甲级异丁基甲酮</w:t>
            </w:r>
            <w:r>
              <w:rPr>
                <w:rFonts w:hint="eastAsia" w:cs="Times New Roman"/>
                <w:color w:val="auto"/>
                <w:kern w:val="28"/>
                <w:sz w:val="21"/>
                <w:szCs w:val="21"/>
                <w:highlight w:val="none"/>
                <w:lang w:val="en-US" w:eastAsia="zh-CN"/>
              </w:rPr>
              <w:t>年用量为500mL，密</w:t>
            </w:r>
            <w:r>
              <w:rPr>
                <w:rStyle w:val="287"/>
                <w:rFonts w:hint="eastAsia" w:ascii="Times New Roman" w:hAnsi="Times New Roman" w:cs="Times New Roman"/>
                <w:bCs w:val="0"/>
                <w:color w:val="auto"/>
                <w:sz w:val="21"/>
                <w:szCs w:val="21"/>
                <w:highlight w:val="none"/>
                <w:lang w:val="en-US" w:eastAsia="zh-CN"/>
              </w:rPr>
              <w:t>度</w:t>
            </w:r>
            <w:r>
              <w:rPr>
                <w:rFonts w:hint="eastAsia" w:cs="Times New Roman"/>
                <w:color w:val="auto"/>
                <w:kern w:val="28"/>
                <w:sz w:val="21"/>
                <w:szCs w:val="21"/>
                <w:highlight w:val="none"/>
                <w:lang w:val="en-US" w:eastAsia="zh-CN"/>
              </w:rPr>
              <w:t>0.80g/mL，则药剂中可挥发性有机物年用量为0.79kg/a。</w:t>
            </w:r>
          </w:p>
          <w:p w14:paraId="062FD498">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挥发性有机废气参照《有机溶剂挥发量之估算方法》（赵焕平论文），各项废气产生量以原料用量的5%计算，则本项目非甲烷总烃产生量为0.04kg/a。</w:t>
            </w:r>
          </w:p>
          <w:p w14:paraId="208BD937">
            <w:pPr>
              <w:keepNext w:val="0"/>
              <w:keepLines w:val="0"/>
              <w:pageBreakBefore w:val="0"/>
              <w:kinsoku/>
              <w:wordWrap/>
              <w:overflowPunct/>
              <w:topLinePunct w:val="0"/>
              <w:autoSpaceDE/>
              <w:autoSpaceDN/>
              <w:bidi w:val="0"/>
              <w:adjustRightInd/>
              <w:snapToGrid/>
              <w:spacing w:line="336" w:lineRule="auto"/>
              <w:ind w:firstLine="422" w:firstLineChars="200"/>
              <w:textAlignment w:val="auto"/>
              <w:rPr>
                <w:rStyle w:val="287"/>
                <w:rFonts w:hint="eastAsia" w:cs="Times New Roman"/>
                <w:b/>
                <w:bCs/>
                <w:color w:val="auto"/>
                <w:sz w:val="21"/>
                <w:szCs w:val="21"/>
                <w:highlight w:val="none"/>
                <w:lang w:val="en-US" w:eastAsia="zh-CN"/>
              </w:rPr>
            </w:pPr>
            <w:r>
              <w:rPr>
                <w:rStyle w:val="287"/>
                <w:rFonts w:hint="eastAsia" w:cs="Times New Roman"/>
                <w:b/>
                <w:bCs/>
                <w:color w:val="auto"/>
                <w:sz w:val="21"/>
                <w:szCs w:val="21"/>
                <w:highlight w:val="none"/>
                <w:lang w:val="en-US" w:eastAsia="zh-CN"/>
              </w:rPr>
              <w:t>（4）氨</w:t>
            </w:r>
          </w:p>
          <w:p w14:paraId="7A2FA96C">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s="Times New Roman"/>
                <w:color w:val="auto"/>
                <w:kern w:val="28"/>
                <w:sz w:val="21"/>
                <w:szCs w:val="21"/>
                <w:highlight w:val="none"/>
                <w:lang w:val="en-US" w:eastAsia="zh-CN"/>
              </w:rPr>
            </w:pPr>
            <w:r>
              <w:rPr>
                <w:rFonts w:hint="eastAsia" w:cs="Times New Roman"/>
                <w:color w:val="auto"/>
                <w:kern w:val="28"/>
                <w:sz w:val="21"/>
                <w:szCs w:val="21"/>
                <w:highlight w:val="none"/>
                <w:lang w:val="en-US" w:eastAsia="zh-CN"/>
              </w:rPr>
              <w:t>本项目氨水用量为2500</w:t>
            </w:r>
            <w:r>
              <w:rPr>
                <w:rStyle w:val="287"/>
                <w:rFonts w:hint="eastAsia" w:ascii="Times New Roman" w:hAnsi="Times New Roman" w:cs="Times New Roman"/>
                <w:bCs w:val="0"/>
                <w:color w:val="auto"/>
                <w:sz w:val="21"/>
                <w:szCs w:val="21"/>
                <w:highlight w:val="none"/>
                <w:lang w:val="en-US" w:eastAsia="zh-CN"/>
              </w:rPr>
              <w:t>mL</w:t>
            </w:r>
            <w:r>
              <w:rPr>
                <w:rStyle w:val="287"/>
                <w:rFonts w:hint="eastAsia" w:cs="Times New Roman"/>
                <w:bCs w:val="0"/>
                <w:color w:val="auto"/>
                <w:sz w:val="21"/>
                <w:szCs w:val="21"/>
                <w:highlight w:val="none"/>
                <w:lang w:val="en-US" w:eastAsia="zh-CN"/>
              </w:rPr>
              <w:t>，</w:t>
            </w:r>
            <w:r>
              <w:rPr>
                <w:rStyle w:val="287"/>
                <w:rFonts w:hint="eastAsia" w:ascii="Times New Roman" w:hAnsi="Times New Roman" w:cs="Times New Roman"/>
                <w:bCs w:val="0"/>
                <w:color w:val="auto"/>
                <w:sz w:val="21"/>
                <w:szCs w:val="21"/>
                <w:highlight w:val="none"/>
                <w:lang w:val="en-US" w:eastAsia="zh-CN"/>
              </w:rPr>
              <w:t>氨水密度为0.91g/mL。根据</w:t>
            </w:r>
            <w:r>
              <w:rPr>
                <w:rFonts w:hint="eastAsia" w:cs="Times New Roman"/>
                <w:color w:val="auto"/>
                <w:kern w:val="28"/>
                <w:sz w:val="21"/>
                <w:szCs w:val="21"/>
                <w:highlight w:val="none"/>
                <w:lang w:val="en-US" w:eastAsia="zh-CN"/>
              </w:rPr>
              <w:t>企业提供资料，实验室常见氨水的浓度为20%，本次环评按照最不利影响考虑即氨水全部以废气形式排放，本项目氨产生量为455g/a。</w:t>
            </w:r>
          </w:p>
          <w:p w14:paraId="0B3C23C4">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s="Times New Roman"/>
                <w:color w:val="auto"/>
                <w:sz w:val="21"/>
                <w:szCs w:val="21"/>
                <w:highlight w:val="none"/>
                <w:lang w:eastAsia="zh-CN"/>
              </w:rPr>
            </w:pPr>
            <w:r>
              <w:rPr>
                <w:rStyle w:val="287"/>
                <w:rFonts w:hint="default" w:ascii="Times New Roman" w:hAnsi="Times New Roman" w:eastAsia="宋体" w:cs="Times New Roman"/>
                <w:color w:val="auto"/>
                <w:sz w:val="21"/>
                <w:szCs w:val="21"/>
                <w:highlight w:val="none"/>
                <w:lang w:val="en-US" w:eastAsia="zh-CN"/>
              </w:rPr>
              <w:t>综上，项目实验过程中，</w:t>
            </w:r>
            <w:r>
              <w:rPr>
                <w:rFonts w:hint="default" w:cs="Times New Roman"/>
                <w:color w:val="auto"/>
                <w:kern w:val="28"/>
                <w:sz w:val="21"/>
                <w:szCs w:val="21"/>
                <w:highlight w:val="none"/>
                <w:lang w:val="en-US" w:eastAsia="zh-CN"/>
              </w:rPr>
              <w:t>硫酸雾产生量约为</w:t>
            </w:r>
            <w:r>
              <w:rPr>
                <w:rFonts w:hint="eastAsia" w:cs="Times New Roman"/>
                <w:color w:val="auto"/>
                <w:kern w:val="28"/>
                <w:sz w:val="21"/>
                <w:szCs w:val="21"/>
                <w:highlight w:val="none"/>
                <w:lang w:val="en-US" w:eastAsia="zh-CN"/>
              </w:rPr>
              <w:t>1.75</w:t>
            </w:r>
            <w:r>
              <w:rPr>
                <w:rFonts w:hint="default" w:cs="Times New Roman"/>
                <w:color w:val="auto"/>
                <w:kern w:val="28"/>
                <w:sz w:val="21"/>
                <w:szCs w:val="21"/>
                <w:highlight w:val="none"/>
                <w:lang w:val="en-US" w:eastAsia="zh-CN"/>
              </w:rPr>
              <w:t>kg/a，</w:t>
            </w:r>
            <w:r>
              <w:rPr>
                <w:rFonts w:hint="eastAsia" w:cs="Times New Roman"/>
                <w:color w:val="auto"/>
                <w:kern w:val="28"/>
                <w:sz w:val="21"/>
                <w:szCs w:val="21"/>
                <w:highlight w:val="none"/>
                <w:lang w:val="en-US" w:eastAsia="zh-CN"/>
              </w:rPr>
              <w:t>氮氧化物</w:t>
            </w:r>
            <w:r>
              <w:rPr>
                <w:rFonts w:hint="default" w:cs="Times New Roman"/>
                <w:color w:val="auto"/>
                <w:kern w:val="28"/>
                <w:sz w:val="21"/>
                <w:szCs w:val="21"/>
                <w:highlight w:val="none"/>
                <w:lang w:val="en-US" w:eastAsia="zh-CN"/>
              </w:rPr>
              <w:t>产生量约为</w:t>
            </w:r>
            <w:r>
              <w:rPr>
                <w:rFonts w:hint="eastAsia" w:cs="Times New Roman"/>
                <w:color w:val="auto"/>
                <w:kern w:val="28"/>
                <w:sz w:val="21"/>
                <w:szCs w:val="21"/>
                <w:highlight w:val="none"/>
                <w:lang w:val="en-US" w:eastAsia="zh-CN"/>
              </w:rPr>
              <w:t>0.011</w:t>
            </w:r>
            <w:r>
              <w:rPr>
                <w:rFonts w:hint="default" w:cs="Times New Roman"/>
                <w:color w:val="auto"/>
                <w:kern w:val="28"/>
                <w:sz w:val="21"/>
                <w:szCs w:val="21"/>
                <w:highlight w:val="none"/>
                <w:lang w:val="en-US" w:eastAsia="zh-CN"/>
              </w:rPr>
              <w:t>kg/a，氯化氢产生量约为</w:t>
            </w:r>
            <w:r>
              <w:rPr>
                <w:rFonts w:hint="eastAsia" w:cs="Times New Roman"/>
                <w:color w:val="auto"/>
                <w:kern w:val="28"/>
                <w:sz w:val="21"/>
                <w:szCs w:val="21"/>
                <w:highlight w:val="none"/>
                <w:lang w:val="en-US" w:eastAsia="zh-CN"/>
              </w:rPr>
              <w:t>0.0125</w:t>
            </w:r>
            <w:r>
              <w:rPr>
                <w:rFonts w:hint="default" w:cs="Times New Roman"/>
                <w:color w:val="auto"/>
                <w:kern w:val="28"/>
                <w:sz w:val="21"/>
                <w:szCs w:val="21"/>
                <w:highlight w:val="none"/>
                <w:lang w:val="en-US" w:eastAsia="zh-CN"/>
              </w:rPr>
              <w:t>kg/a，非甲烷总烃产生量为</w:t>
            </w:r>
            <w:r>
              <w:rPr>
                <w:rFonts w:hint="eastAsia" w:cs="Times New Roman"/>
                <w:color w:val="auto"/>
                <w:kern w:val="28"/>
                <w:sz w:val="21"/>
                <w:szCs w:val="21"/>
                <w:highlight w:val="none"/>
                <w:lang w:val="en-US" w:eastAsia="zh-CN"/>
              </w:rPr>
              <w:t>0.04kg</w:t>
            </w:r>
            <w:r>
              <w:rPr>
                <w:rFonts w:hint="default" w:cs="Times New Roman"/>
                <w:color w:val="auto"/>
                <w:kern w:val="28"/>
                <w:sz w:val="21"/>
                <w:szCs w:val="21"/>
                <w:highlight w:val="none"/>
                <w:lang w:val="en-US" w:eastAsia="zh-CN"/>
              </w:rPr>
              <w:t>/a</w:t>
            </w:r>
            <w:r>
              <w:rPr>
                <w:rFonts w:hint="eastAsia" w:cs="Times New Roman"/>
                <w:color w:val="auto"/>
                <w:kern w:val="28"/>
                <w:sz w:val="21"/>
                <w:szCs w:val="21"/>
                <w:highlight w:val="none"/>
                <w:lang w:val="en-US" w:eastAsia="zh-CN"/>
              </w:rPr>
              <w:t>，氨0.455</w:t>
            </w:r>
            <w:r>
              <w:rPr>
                <w:rFonts w:hint="default" w:cs="Times New Roman"/>
                <w:color w:val="auto"/>
                <w:kern w:val="28"/>
                <w:sz w:val="21"/>
                <w:szCs w:val="21"/>
                <w:highlight w:val="none"/>
                <w:lang w:val="en-US" w:eastAsia="zh-CN"/>
              </w:rPr>
              <w:t>kg/a。项目配备通风橱，</w:t>
            </w:r>
            <w:r>
              <w:rPr>
                <w:rStyle w:val="287"/>
                <w:rFonts w:hint="default" w:ascii="Times New Roman" w:hAnsi="Times New Roman" w:eastAsia="宋体" w:cs="Times New Roman"/>
                <w:color w:val="auto"/>
                <w:sz w:val="21"/>
                <w:szCs w:val="21"/>
                <w:highlight w:val="none"/>
                <w:lang w:val="en-US" w:eastAsia="zh-CN"/>
              </w:rPr>
              <w:t>涉及化学试剂</w:t>
            </w:r>
            <w:r>
              <w:rPr>
                <w:rStyle w:val="287"/>
                <w:rFonts w:hint="eastAsia" w:cs="Times New Roman"/>
                <w:color w:val="auto"/>
                <w:sz w:val="21"/>
                <w:szCs w:val="21"/>
                <w:highlight w:val="none"/>
                <w:lang w:val="en-US" w:eastAsia="zh-CN"/>
              </w:rPr>
              <w:t>使用</w:t>
            </w:r>
            <w:r>
              <w:rPr>
                <w:rStyle w:val="287"/>
                <w:rFonts w:hint="default" w:ascii="Times New Roman" w:hAnsi="Times New Roman" w:eastAsia="宋体" w:cs="Times New Roman"/>
                <w:color w:val="auto"/>
                <w:sz w:val="21"/>
                <w:szCs w:val="21"/>
                <w:highlight w:val="none"/>
                <w:lang w:val="en-US" w:eastAsia="zh-CN"/>
              </w:rPr>
              <w:t>的操作均在通风橱内进行</w:t>
            </w:r>
            <w:r>
              <w:rPr>
                <w:rStyle w:val="287"/>
                <w:rFonts w:hint="default" w:ascii="Times New Roman" w:hAnsi="Times New Roman" w:cs="Times New Roman"/>
                <w:color w:val="auto"/>
                <w:sz w:val="21"/>
                <w:szCs w:val="21"/>
                <w:highlight w:val="none"/>
                <w:lang w:val="en-US" w:eastAsia="zh-CN"/>
              </w:rPr>
              <w:t>，</w:t>
            </w:r>
            <w:r>
              <w:rPr>
                <w:rStyle w:val="287"/>
                <w:rFonts w:hint="default" w:ascii="Times New Roman" w:hAnsi="Times New Roman" w:eastAsia="宋体" w:cs="Times New Roman"/>
                <w:color w:val="auto"/>
                <w:sz w:val="21"/>
                <w:szCs w:val="21"/>
                <w:highlight w:val="none"/>
                <w:lang w:val="en-US" w:eastAsia="zh-CN"/>
              </w:rPr>
              <w:t>收集效率按90%计算，</w:t>
            </w:r>
            <w:r>
              <w:rPr>
                <w:rFonts w:hint="eastAsia" w:ascii="Times New Roman" w:hAnsi="Times New Roman" w:cs="Times New Roman"/>
                <w:b w:val="0"/>
                <w:bCs w:val="0"/>
                <w:color w:val="auto"/>
                <w:sz w:val="21"/>
                <w:szCs w:val="21"/>
                <w:highlight w:val="none"/>
                <w:lang w:val="en-US" w:eastAsia="zh-CN"/>
              </w:rPr>
              <w:t>通风橱自带负压集气功能，风量约1000m</w:t>
            </w:r>
            <w:r>
              <w:rPr>
                <w:rFonts w:hint="eastAsia" w:ascii="Times New Roman" w:hAnsi="Times New Roman" w:cs="Times New Roman"/>
                <w:b w:val="0"/>
                <w:bCs w:val="0"/>
                <w:color w:val="auto"/>
                <w:sz w:val="21"/>
                <w:szCs w:val="21"/>
                <w:highlight w:val="none"/>
                <w:vertAlign w:val="superscript"/>
                <w:lang w:val="en-US" w:eastAsia="zh-CN"/>
              </w:rPr>
              <w:t>3</w:t>
            </w:r>
            <w:r>
              <w:rPr>
                <w:rFonts w:hint="eastAsia" w:ascii="Times New Roman" w:hAnsi="Times New Roman" w:cs="Times New Roman"/>
                <w:b w:val="0"/>
                <w:bCs w:val="0"/>
                <w:color w:val="auto"/>
                <w:sz w:val="21"/>
                <w:szCs w:val="21"/>
                <w:highlight w:val="none"/>
                <w:vertAlign w:val="baseline"/>
                <w:lang w:val="en-US" w:eastAsia="zh-CN"/>
              </w:rPr>
              <w:t>/h</w:t>
            </w:r>
            <w:r>
              <w:rPr>
                <w:rFonts w:hint="eastAsia" w:cs="Times New Roman"/>
                <w:color w:val="auto"/>
                <w:sz w:val="21"/>
                <w:szCs w:val="21"/>
                <w:highlight w:val="none"/>
                <w:lang w:eastAsia="zh-CN"/>
              </w:rPr>
              <w:t>。</w:t>
            </w:r>
          </w:p>
          <w:p w14:paraId="052C101D">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Style w:val="287"/>
                <w:rFonts w:hint="default" w:ascii="Times New Roman" w:hAnsi="Times New Roman" w:eastAsia="宋体" w:cs="Times New Roman"/>
                <w:color w:val="auto"/>
                <w:sz w:val="21"/>
                <w:szCs w:val="21"/>
                <w:highlight w:val="none"/>
                <w:lang w:val="en-US" w:eastAsia="zh-CN"/>
              </w:rPr>
            </w:pPr>
          </w:p>
          <w:p w14:paraId="7E580633">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Style w:val="287"/>
                <w:rFonts w:hint="eastAsia" w:ascii="Times New Roman" w:hAnsi="Times New Roman" w:eastAsia="宋体" w:cs="Times New Roman"/>
                <w:color w:val="auto"/>
                <w:sz w:val="21"/>
                <w:szCs w:val="21"/>
                <w:highlight w:val="none"/>
                <w:lang w:val="en-US" w:eastAsia="zh-CN"/>
              </w:rPr>
            </w:pPr>
          </w:p>
          <w:p w14:paraId="7FD6D6B4">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Style w:val="287"/>
                <w:rFonts w:hint="default" w:ascii="Times New Roman" w:hAnsi="Times New Roman" w:eastAsia="宋体" w:cs="Times New Roman"/>
                <w:color w:val="auto"/>
                <w:sz w:val="21"/>
                <w:szCs w:val="21"/>
                <w:highlight w:val="none"/>
                <w:lang w:val="en-US" w:eastAsia="zh-CN"/>
              </w:rPr>
            </w:pPr>
          </w:p>
          <w:p w14:paraId="0627AB59">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Style w:val="287"/>
                <w:rFonts w:hint="eastAsia" w:ascii="Times New Roman" w:hAnsi="Times New Roman" w:eastAsia="宋体" w:cs="Times New Roman"/>
                <w:color w:val="auto"/>
                <w:sz w:val="21"/>
                <w:szCs w:val="21"/>
                <w:highlight w:val="none"/>
                <w:lang w:val="en-US" w:eastAsia="zh-CN"/>
              </w:rPr>
            </w:pPr>
          </w:p>
          <w:p w14:paraId="1E762757">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Style w:val="287"/>
                <w:rFonts w:hint="default" w:ascii="Times New Roman" w:hAnsi="Times New Roman" w:eastAsia="宋体" w:cs="Times New Roman"/>
                <w:color w:val="auto"/>
                <w:sz w:val="21"/>
                <w:szCs w:val="21"/>
                <w:highlight w:val="none"/>
                <w:lang w:val="en-US" w:eastAsia="zh-CN"/>
              </w:rPr>
            </w:pPr>
          </w:p>
          <w:p w14:paraId="04E8637C">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Style w:val="287"/>
                <w:rFonts w:hint="default" w:ascii="Times New Roman" w:hAnsi="Times New Roman" w:eastAsia="宋体" w:cs="Times New Roman"/>
                <w:color w:val="auto"/>
                <w:sz w:val="21"/>
                <w:szCs w:val="21"/>
                <w:highlight w:val="none"/>
                <w:lang w:val="en-US" w:eastAsia="zh-CN"/>
              </w:rPr>
            </w:pPr>
          </w:p>
          <w:p w14:paraId="11C3DA6A">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Style w:val="287"/>
                <w:rFonts w:hint="default" w:ascii="Times New Roman" w:hAnsi="Times New Roman" w:eastAsia="宋体" w:cs="Times New Roman"/>
                <w:color w:val="auto"/>
                <w:sz w:val="21"/>
                <w:szCs w:val="21"/>
                <w:highlight w:val="none"/>
                <w:lang w:val="en-US" w:eastAsia="zh-CN"/>
              </w:rPr>
            </w:pPr>
          </w:p>
          <w:p w14:paraId="46C96C02">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Style w:val="287"/>
                <w:rFonts w:hint="default" w:ascii="Times New Roman" w:hAnsi="Times New Roman" w:eastAsia="宋体" w:cs="Times New Roman"/>
                <w:color w:val="auto"/>
                <w:sz w:val="21"/>
                <w:szCs w:val="21"/>
                <w:highlight w:val="none"/>
                <w:lang w:val="en-US" w:eastAsia="zh-CN"/>
              </w:rPr>
            </w:pPr>
          </w:p>
          <w:p w14:paraId="5C3574E3">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Style w:val="287"/>
                <w:rFonts w:hint="default" w:ascii="Times New Roman" w:hAnsi="Times New Roman" w:eastAsia="宋体" w:cs="Times New Roman"/>
                <w:color w:val="auto"/>
                <w:sz w:val="21"/>
                <w:szCs w:val="21"/>
                <w:highlight w:val="none"/>
                <w:lang w:val="en-US" w:eastAsia="zh-CN"/>
              </w:rPr>
            </w:pPr>
          </w:p>
          <w:p w14:paraId="22B66449">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Style w:val="287"/>
                <w:rFonts w:hint="default" w:ascii="Times New Roman" w:hAnsi="Times New Roman" w:eastAsia="宋体" w:cs="Times New Roman"/>
                <w:color w:val="auto"/>
                <w:sz w:val="21"/>
                <w:szCs w:val="21"/>
                <w:highlight w:val="none"/>
                <w:lang w:val="en-US" w:eastAsia="zh-CN"/>
              </w:rPr>
            </w:pPr>
          </w:p>
          <w:p w14:paraId="044251AB">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Style w:val="287"/>
                <w:rFonts w:hint="default" w:ascii="Times New Roman" w:hAnsi="Times New Roman" w:eastAsia="宋体" w:cs="Times New Roman"/>
                <w:color w:val="auto"/>
                <w:sz w:val="21"/>
                <w:szCs w:val="21"/>
                <w:highlight w:val="none"/>
                <w:lang w:val="en-US" w:eastAsia="zh-CN"/>
              </w:rPr>
            </w:pPr>
          </w:p>
          <w:p w14:paraId="139FEC5D">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Style w:val="287"/>
                <w:rFonts w:hint="default" w:ascii="Times New Roman" w:hAnsi="Times New Roman" w:eastAsia="宋体" w:cs="Times New Roman"/>
                <w:color w:val="auto"/>
                <w:sz w:val="21"/>
                <w:szCs w:val="21"/>
                <w:highlight w:val="none"/>
                <w:lang w:val="en-US" w:eastAsia="zh-CN"/>
              </w:rPr>
            </w:pPr>
          </w:p>
          <w:p w14:paraId="45D53C1B">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Style w:val="287"/>
                <w:rFonts w:hint="default" w:ascii="Times New Roman" w:hAnsi="Times New Roman" w:eastAsia="宋体" w:cs="Times New Roman"/>
                <w:color w:val="auto"/>
                <w:sz w:val="21"/>
                <w:szCs w:val="21"/>
                <w:highlight w:val="none"/>
                <w:lang w:val="en-US" w:eastAsia="zh-CN"/>
              </w:rPr>
            </w:pPr>
          </w:p>
          <w:p w14:paraId="1B618B07">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Style w:val="287"/>
                <w:rFonts w:hint="default" w:ascii="Times New Roman" w:hAnsi="Times New Roman" w:eastAsia="宋体" w:cs="Times New Roman"/>
                <w:color w:val="auto"/>
                <w:sz w:val="21"/>
                <w:szCs w:val="21"/>
                <w:highlight w:val="none"/>
                <w:lang w:val="en-US" w:eastAsia="zh-CN"/>
              </w:rPr>
            </w:pPr>
          </w:p>
          <w:p w14:paraId="1A4696F4">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b w:val="0"/>
                <w:bCs w:val="0"/>
                <w:color w:val="auto"/>
                <w:sz w:val="21"/>
                <w:szCs w:val="21"/>
                <w:highlight w:val="none"/>
                <w:lang w:val="en-US" w:eastAsia="zh-CN"/>
              </w:rPr>
            </w:pPr>
          </w:p>
          <w:p w14:paraId="407D8D35">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b w:val="0"/>
                <w:bCs w:val="0"/>
                <w:color w:val="auto"/>
                <w:sz w:val="21"/>
                <w:szCs w:val="21"/>
                <w:highlight w:val="none"/>
                <w:lang w:val="en-US" w:eastAsia="zh-CN"/>
              </w:rPr>
            </w:pPr>
          </w:p>
          <w:p w14:paraId="291EBFE6">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b w:val="0"/>
                <w:bCs w:val="0"/>
                <w:color w:val="auto"/>
                <w:sz w:val="21"/>
                <w:szCs w:val="21"/>
                <w:highlight w:val="none"/>
                <w:lang w:val="en-US" w:eastAsia="zh-CN"/>
              </w:rPr>
            </w:pPr>
          </w:p>
          <w:p w14:paraId="5E0558AE">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b w:val="0"/>
                <w:bCs w:val="0"/>
                <w:color w:val="auto"/>
                <w:sz w:val="21"/>
                <w:szCs w:val="21"/>
                <w:highlight w:val="none"/>
                <w:lang w:val="en-US" w:eastAsia="zh-CN"/>
              </w:rPr>
            </w:pPr>
          </w:p>
          <w:p w14:paraId="062FB265">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b w:val="0"/>
                <w:bCs w:val="0"/>
                <w:color w:val="auto"/>
                <w:sz w:val="21"/>
                <w:szCs w:val="21"/>
                <w:highlight w:val="none"/>
                <w:lang w:val="en-US" w:eastAsia="zh-CN"/>
              </w:rPr>
            </w:pPr>
          </w:p>
          <w:p w14:paraId="6EA13F8F">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b w:val="0"/>
                <w:bCs w:val="0"/>
                <w:color w:val="auto"/>
                <w:sz w:val="21"/>
                <w:szCs w:val="21"/>
                <w:highlight w:val="none"/>
                <w:lang w:val="en-US" w:eastAsia="zh-CN"/>
              </w:rPr>
            </w:pPr>
          </w:p>
          <w:p w14:paraId="28EB30E9">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b w:val="0"/>
                <w:bCs w:val="0"/>
                <w:color w:val="auto"/>
                <w:sz w:val="21"/>
                <w:szCs w:val="21"/>
                <w:highlight w:val="none"/>
                <w:lang w:val="en-US" w:eastAsia="zh-CN"/>
              </w:rPr>
            </w:pPr>
          </w:p>
          <w:p w14:paraId="462CA874">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cs="Times New Roman"/>
                <w:b w:val="0"/>
                <w:bCs w:val="0"/>
                <w:color w:val="auto"/>
                <w:sz w:val="21"/>
                <w:szCs w:val="21"/>
                <w:highlight w:val="none"/>
                <w:lang w:val="en-US" w:eastAsia="zh-CN"/>
              </w:rPr>
            </w:pPr>
          </w:p>
          <w:p w14:paraId="4277DF45">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cs="Times New Roman"/>
                <w:b w:val="0"/>
                <w:bCs w:val="0"/>
                <w:color w:val="auto"/>
                <w:sz w:val="21"/>
                <w:szCs w:val="21"/>
                <w:highlight w:val="none"/>
                <w:lang w:val="en-US" w:eastAsia="zh-CN"/>
              </w:rPr>
            </w:pPr>
          </w:p>
          <w:p w14:paraId="1A516784">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cs="Times New Roman"/>
                <w:b w:val="0"/>
                <w:bCs w:val="0"/>
                <w:color w:val="auto"/>
                <w:sz w:val="21"/>
                <w:szCs w:val="21"/>
                <w:highlight w:val="none"/>
                <w:lang w:val="en-US" w:eastAsia="zh-CN"/>
              </w:rPr>
            </w:pPr>
          </w:p>
          <w:p w14:paraId="0A2457AA">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cs="Times New Roman"/>
                <w:b w:val="0"/>
                <w:bCs w:val="0"/>
                <w:color w:val="auto"/>
                <w:sz w:val="21"/>
                <w:szCs w:val="21"/>
                <w:highlight w:val="none"/>
                <w:lang w:val="en-US" w:eastAsia="zh-CN"/>
              </w:rPr>
            </w:pPr>
          </w:p>
          <w:p w14:paraId="4B21A625">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cs="Times New Roman"/>
                <w:b w:val="0"/>
                <w:bCs w:val="0"/>
                <w:color w:val="auto"/>
                <w:sz w:val="21"/>
                <w:szCs w:val="21"/>
                <w:highlight w:val="none"/>
                <w:lang w:val="en-US" w:eastAsia="zh-CN"/>
              </w:rPr>
            </w:pPr>
          </w:p>
          <w:p w14:paraId="67DF2084">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cs="Times New Roman"/>
                <w:b w:val="0"/>
                <w:bCs w:val="0"/>
                <w:color w:val="auto"/>
                <w:sz w:val="21"/>
                <w:szCs w:val="21"/>
                <w:highlight w:val="none"/>
                <w:lang w:val="en-US" w:eastAsia="zh-CN"/>
              </w:rPr>
            </w:pPr>
          </w:p>
          <w:p w14:paraId="0757D5EB">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cs="Times New Roman"/>
                <w:b w:val="0"/>
                <w:bCs w:val="0"/>
                <w:color w:val="auto"/>
                <w:sz w:val="21"/>
                <w:szCs w:val="21"/>
                <w:highlight w:val="none"/>
                <w:lang w:val="en-US" w:eastAsia="zh-CN"/>
              </w:rPr>
            </w:pPr>
          </w:p>
          <w:p w14:paraId="182D84D8">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Style w:val="287"/>
                <w:rFonts w:hint="default" w:ascii="Times New Roman" w:hAnsi="Times New Roman" w:eastAsia="宋体" w:cs="Times New Roman"/>
                <w:color w:val="auto"/>
                <w:sz w:val="21"/>
                <w:szCs w:val="21"/>
                <w:highlight w:val="none"/>
                <w:lang w:val="en-US" w:eastAsia="zh-CN"/>
              </w:rPr>
            </w:pPr>
          </w:p>
          <w:p w14:paraId="042A9065">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Style w:val="287"/>
                <w:rFonts w:hint="eastAsia" w:ascii="Times New Roman" w:hAnsi="Times New Roman" w:eastAsia="宋体" w:cs="Times New Roman"/>
                <w:color w:val="auto"/>
                <w:sz w:val="21"/>
                <w:szCs w:val="21"/>
                <w:highlight w:val="none"/>
                <w:lang w:val="en-US" w:eastAsia="zh-CN"/>
              </w:rPr>
            </w:pPr>
          </w:p>
          <w:p w14:paraId="502A7D75">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Style w:val="287"/>
                <w:rFonts w:hint="default" w:ascii="Times New Roman" w:hAnsi="Times New Roman" w:eastAsia="宋体" w:cs="Times New Roman"/>
                <w:color w:val="auto"/>
                <w:sz w:val="21"/>
                <w:szCs w:val="21"/>
                <w:highlight w:val="none"/>
                <w:lang w:val="en-US" w:eastAsia="zh-CN"/>
              </w:rPr>
            </w:pPr>
          </w:p>
          <w:p w14:paraId="0ACF6C37">
            <w:pPr>
              <w:rPr>
                <w:rFonts w:hint="default"/>
                <w:lang w:val="en-US" w:eastAsia="zh-CN"/>
              </w:rPr>
            </w:pPr>
          </w:p>
        </w:tc>
      </w:tr>
    </w:tbl>
    <w:p w14:paraId="1FC88AE3">
      <w:pPr>
        <w:adjustRightInd w:val="0"/>
        <w:snapToGrid w:val="0"/>
        <w:spacing w:line="240" w:lineRule="auto"/>
        <w:jc w:val="center"/>
        <w:rPr>
          <w:rFonts w:hint="default" w:ascii="Times New Roman" w:hAnsi="Times New Roman" w:eastAsia="宋体" w:cs="Times New Roman"/>
          <w:b/>
          <w:bCs w:val="0"/>
          <w:color w:val="0000FF"/>
          <w:szCs w:val="21"/>
          <w:highlight w:val="none"/>
        </w:rPr>
        <w:sectPr>
          <w:pgSz w:w="11907" w:h="16840"/>
          <w:pgMar w:top="1417" w:right="1417" w:bottom="1417" w:left="1417" w:header="992" w:footer="992" w:gutter="0"/>
          <w:pgBorders>
            <w:top w:val="none" w:sz="0" w:space="0"/>
            <w:left w:val="none" w:sz="0" w:space="0"/>
            <w:bottom w:val="none" w:sz="0" w:space="0"/>
            <w:right w:val="none" w:sz="0" w:space="0"/>
          </w:pgBorders>
          <w:pgNumType w:fmt="numberInDash"/>
          <w:cols w:space="720" w:num="1"/>
          <w:docGrid w:linePitch="286" w:charSpace="0"/>
        </w:sectPr>
      </w:pPr>
    </w:p>
    <w:tbl>
      <w:tblPr>
        <w:tblStyle w:val="45"/>
        <w:tblW w:w="5433"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4104"/>
      </w:tblGrid>
      <w:tr w14:paraId="30B997A4">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64" w:hRule="atLeast"/>
          <w:jc w:val="center"/>
        </w:trPr>
        <w:tc>
          <w:tcPr>
            <w:tcW w:w="410" w:type="pct"/>
            <w:tcBorders>
              <w:top w:val="single" w:color="auto" w:sz="4" w:space="0"/>
              <w:left w:val="single" w:color="auto" w:sz="8" w:space="0"/>
              <w:bottom w:val="single" w:color="auto" w:sz="4" w:space="0"/>
              <w:right w:val="single" w:color="auto" w:sz="4" w:space="0"/>
            </w:tcBorders>
            <w:tcMar>
              <w:top w:w="0" w:type="dxa"/>
              <w:left w:w="28" w:type="dxa"/>
              <w:bottom w:w="0" w:type="dxa"/>
              <w:right w:w="28" w:type="dxa"/>
            </w:tcMar>
            <w:vAlign w:val="center"/>
          </w:tcPr>
          <w:p w14:paraId="687502FC">
            <w:pPr>
              <w:pStyle w:val="2"/>
              <w:numPr>
                <w:ilvl w:val="1"/>
                <w:numId w:val="0"/>
              </w:numPr>
              <w:ind w:leftChars="0"/>
              <w:rPr>
                <w:rFonts w:hint="default"/>
                <w:color w:val="0000FF"/>
                <w:highlight w:val="none"/>
              </w:rPr>
            </w:pPr>
          </w:p>
        </w:tc>
        <w:tc>
          <w:tcPr>
            <w:tcW w:w="4589" w:type="pct"/>
            <w:tcBorders>
              <w:top w:val="single" w:color="auto" w:sz="4" w:space="0"/>
              <w:left w:val="single" w:color="auto" w:sz="4" w:space="0"/>
              <w:bottom w:val="single" w:color="auto" w:sz="4" w:space="0"/>
              <w:right w:val="single" w:color="auto" w:sz="8" w:space="0"/>
            </w:tcBorders>
          </w:tcPr>
          <w:p w14:paraId="228841D3">
            <w:pPr>
              <w:pStyle w:val="63"/>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422" w:firstLineChars="200"/>
              <w:jc w:val="left"/>
              <w:textAlignment w:val="auto"/>
              <w:rPr>
                <w:rFonts w:hint="default" w:ascii="Times New Roman" w:hAnsi="Times New Roman" w:eastAsia="宋体" w:cs="Times New Roman"/>
                <w:b/>
                <w:bCs/>
                <w:color w:val="auto"/>
                <w:kern w:val="2"/>
                <w:sz w:val="21"/>
                <w:szCs w:val="21"/>
                <w:highlight w:val="none"/>
                <w:lang w:val="en-US" w:eastAsia="zh-CN" w:bidi="ar-SA"/>
              </w:rPr>
            </w:pPr>
            <w:r>
              <w:rPr>
                <w:rFonts w:hint="eastAsia" w:ascii="Times New Roman" w:hAnsi="Times New Roman" w:eastAsia="宋体" w:cs="Times New Roman"/>
                <w:b/>
                <w:bCs/>
                <w:color w:val="auto"/>
                <w:kern w:val="2"/>
                <w:sz w:val="21"/>
                <w:szCs w:val="21"/>
                <w:highlight w:val="none"/>
                <w:lang w:val="en-US" w:eastAsia="zh-CN" w:bidi="ar-SA"/>
              </w:rPr>
              <w:t>（</w:t>
            </w:r>
            <w:r>
              <w:rPr>
                <w:rFonts w:hint="eastAsia" w:ascii="Times New Roman" w:hAnsi="Times New Roman" w:cs="Times New Roman"/>
                <w:b/>
                <w:bCs/>
                <w:color w:val="auto"/>
                <w:kern w:val="2"/>
                <w:sz w:val="21"/>
                <w:szCs w:val="21"/>
                <w:highlight w:val="none"/>
                <w:lang w:val="en-US" w:eastAsia="zh-CN" w:bidi="ar-SA"/>
              </w:rPr>
              <w:t>2</w:t>
            </w:r>
            <w:r>
              <w:rPr>
                <w:rFonts w:hint="eastAsia" w:ascii="Times New Roman" w:hAnsi="Times New Roman" w:eastAsia="宋体" w:cs="Times New Roman"/>
                <w:b/>
                <w:bCs/>
                <w:color w:val="auto"/>
                <w:kern w:val="2"/>
                <w:sz w:val="21"/>
                <w:szCs w:val="21"/>
                <w:highlight w:val="none"/>
                <w:lang w:val="en-US" w:eastAsia="zh-CN" w:bidi="ar-SA"/>
              </w:rPr>
              <w:t>）</w:t>
            </w:r>
            <w:r>
              <w:rPr>
                <w:rFonts w:hint="eastAsia" w:ascii="Times New Roman" w:hAnsi="Times New Roman" w:cs="Times New Roman"/>
                <w:b/>
                <w:bCs/>
                <w:color w:val="auto"/>
                <w:kern w:val="2"/>
                <w:sz w:val="21"/>
                <w:szCs w:val="21"/>
                <w:highlight w:val="none"/>
                <w:lang w:val="en-US" w:eastAsia="zh-CN" w:bidi="ar-SA"/>
              </w:rPr>
              <w:t>废气产排情况</w:t>
            </w:r>
          </w:p>
          <w:p w14:paraId="7C96A68D">
            <w:pPr>
              <w:pStyle w:val="63"/>
              <w:keepLines w:val="0"/>
              <w:pageBreakBefore w:val="0"/>
              <w:kinsoku/>
              <w:wordWrap/>
              <w:overflowPunct/>
              <w:topLinePunct w:val="0"/>
              <w:bidi w:val="0"/>
              <w:ind w:left="0" w:leftChars="0"/>
              <w:jc w:val="center"/>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表</w:t>
            </w:r>
            <w:r>
              <w:rPr>
                <w:rFonts w:hint="eastAsia" w:eastAsia="黑体" w:cs="Times New Roman"/>
                <w:color w:val="auto"/>
                <w:sz w:val="21"/>
                <w:szCs w:val="21"/>
                <w:highlight w:val="none"/>
                <w:lang w:val="en-US" w:eastAsia="zh-CN"/>
              </w:rPr>
              <w:t>28</w:t>
            </w:r>
            <w:r>
              <w:rPr>
                <w:rFonts w:hint="default" w:ascii="Times New Roman" w:hAnsi="Times New Roman" w:eastAsia="黑体" w:cs="Times New Roman"/>
                <w:color w:val="auto"/>
                <w:sz w:val="21"/>
                <w:szCs w:val="21"/>
                <w:highlight w:val="none"/>
              </w:rPr>
              <w:t xml:space="preserve">  废气产排情况一览表</w:t>
            </w:r>
          </w:p>
          <w:tbl>
            <w:tblPr>
              <w:tblStyle w:val="45"/>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57"/>
              <w:gridCol w:w="457"/>
              <w:gridCol w:w="617"/>
              <w:gridCol w:w="807"/>
              <w:gridCol w:w="993"/>
              <w:gridCol w:w="750"/>
              <w:gridCol w:w="1806"/>
              <w:gridCol w:w="675"/>
              <w:gridCol w:w="769"/>
              <w:gridCol w:w="658"/>
              <w:gridCol w:w="758"/>
              <w:gridCol w:w="867"/>
              <w:gridCol w:w="1050"/>
              <w:gridCol w:w="1183"/>
              <w:gridCol w:w="816"/>
              <w:gridCol w:w="1226"/>
            </w:tblGrid>
            <w:tr w14:paraId="55AB58B2">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29" w:type="pct"/>
                  <w:gridSpan w:val="2"/>
                  <w:vMerge w:val="restart"/>
                  <w:noWrap w:val="0"/>
                  <w:vAlign w:val="center"/>
                </w:tcPr>
                <w:p w14:paraId="387A875A">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b/>
                      <w:bCs/>
                      <w:color w:val="auto"/>
                      <w:sz w:val="21"/>
                      <w:szCs w:val="21"/>
                      <w:highlight w:val="none"/>
                      <w:lang w:val="en-US" w:eastAsia="zh-CN"/>
                    </w:rPr>
                  </w:pPr>
                  <w:r>
                    <w:rPr>
                      <w:rStyle w:val="58"/>
                      <w:rFonts w:hint="default" w:ascii="Times New Roman" w:hAnsi="Times New Roman" w:eastAsia="宋体" w:cs="Times New Roman"/>
                      <w:b/>
                      <w:bCs/>
                      <w:color w:val="auto"/>
                      <w:kern w:val="2"/>
                      <w:highlight w:val="none"/>
                      <w:lang w:val="en-US" w:eastAsia="zh-CN"/>
                    </w:rPr>
                    <w:t>产污环节</w:t>
                  </w:r>
                </w:p>
              </w:tc>
              <w:tc>
                <w:tcPr>
                  <w:tcW w:w="222" w:type="pct"/>
                  <w:vMerge w:val="restart"/>
                  <w:noWrap w:val="0"/>
                  <w:vAlign w:val="center"/>
                </w:tcPr>
                <w:p w14:paraId="1D77FDDE">
                  <w:pPr>
                    <w:pStyle w:val="63"/>
                    <w:keepNext w:val="0"/>
                    <w:keepLines w:val="0"/>
                    <w:pageBreakBefore w:val="0"/>
                    <w:widowControl w:val="0"/>
                    <w:kinsoku/>
                    <w:wordWrap/>
                    <w:overflowPunct/>
                    <w:topLinePunct w:val="0"/>
                    <w:bidi w:val="0"/>
                    <w:spacing w:line="240" w:lineRule="auto"/>
                    <w:ind w:left="0" w:leftChars="0"/>
                    <w:jc w:val="center"/>
                    <w:textAlignment w:val="auto"/>
                    <w:rPr>
                      <w:rStyle w:val="58"/>
                      <w:rFonts w:hint="default" w:ascii="Times New Roman" w:hAnsi="Times New Roman" w:eastAsia="宋体" w:cs="Times New Roman"/>
                      <w:b/>
                      <w:bCs/>
                      <w:color w:val="auto"/>
                      <w:kern w:val="2"/>
                      <w:highlight w:val="none"/>
                      <w:lang w:val="en-US" w:eastAsia="zh-CN"/>
                    </w:rPr>
                  </w:pPr>
                  <w:r>
                    <w:rPr>
                      <w:rStyle w:val="58"/>
                      <w:rFonts w:hint="default" w:ascii="Times New Roman" w:hAnsi="Times New Roman" w:eastAsia="宋体" w:cs="Times New Roman"/>
                      <w:b/>
                      <w:bCs/>
                      <w:color w:val="auto"/>
                      <w:kern w:val="2"/>
                      <w:highlight w:val="none"/>
                      <w:lang w:val="en-US" w:eastAsia="zh-CN"/>
                    </w:rPr>
                    <w:t>污染物种类</w:t>
                  </w:r>
                </w:p>
              </w:tc>
              <w:tc>
                <w:tcPr>
                  <w:tcW w:w="647" w:type="pct"/>
                  <w:gridSpan w:val="2"/>
                  <w:noWrap w:val="0"/>
                  <w:vAlign w:val="center"/>
                </w:tcPr>
                <w:p w14:paraId="7BF517F9">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b/>
                      <w:bCs/>
                      <w:color w:val="auto"/>
                      <w:sz w:val="21"/>
                      <w:szCs w:val="21"/>
                      <w:highlight w:val="none"/>
                      <w:lang w:val="en-US" w:eastAsia="zh-CN" w:bidi="ar-SA"/>
                    </w:rPr>
                  </w:pPr>
                  <w:r>
                    <w:rPr>
                      <w:rFonts w:hint="default" w:ascii="Times New Roman" w:hAnsi="Times New Roman" w:eastAsia="宋体" w:cs="Times New Roman"/>
                      <w:b/>
                      <w:bCs/>
                      <w:color w:val="auto"/>
                      <w:sz w:val="21"/>
                      <w:szCs w:val="21"/>
                      <w:highlight w:val="none"/>
                      <w:lang w:val="en-US" w:eastAsia="zh-CN" w:bidi="ar-SA"/>
                    </w:rPr>
                    <w:t>污染物产生情况</w:t>
                  </w:r>
                </w:p>
              </w:tc>
              <w:tc>
                <w:tcPr>
                  <w:tcW w:w="269" w:type="pct"/>
                  <w:vMerge w:val="restart"/>
                  <w:noWrap w:val="0"/>
                  <w:vAlign w:val="center"/>
                </w:tcPr>
                <w:p w14:paraId="2FDCA62E">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排放形式</w:t>
                  </w:r>
                </w:p>
              </w:tc>
              <w:tc>
                <w:tcPr>
                  <w:tcW w:w="1679" w:type="pct"/>
                  <w:gridSpan w:val="5"/>
                  <w:noWrap w:val="0"/>
                  <w:vAlign w:val="center"/>
                </w:tcPr>
                <w:p w14:paraId="223FD1FC">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主要污染治理设施</w:t>
                  </w:r>
                </w:p>
              </w:tc>
              <w:tc>
                <w:tcPr>
                  <w:tcW w:w="1115" w:type="pct"/>
                  <w:gridSpan w:val="3"/>
                  <w:noWrap w:val="0"/>
                  <w:vAlign w:val="center"/>
                </w:tcPr>
                <w:p w14:paraId="1D13AACF">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污染物排放情况</w:t>
                  </w:r>
                </w:p>
              </w:tc>
              <w:tc>
                <w:tcPr>
                  <w:tcW w:w="293" w:type="pct"/>
                  <w:vMerge w:val="restart"/>
                  <w:noWrap w:val="0"/>
                  <w:vAlign w:val="center"/>
                </w:tcPr>
                <w:p w14:paraId="1B527024">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排污口编号或名称</w:t>
                  </w:r>
                </w:p>
              </w:tc>
              <w:tc>
                <w:tcPr>
                  <w:tcW w:w="441" w:type="pct"/>
                  <w:noWrap w:val="0"/>
                  <w:vAlign w:val="center"/>
                </w:tcPr>
                <w:p w14:paraId="17859304">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排放标准</w:t>
                  </w:r>
                </w:p>
              </w:tc>
            </w:tr>
            <w:tr w14:paraId="783E9C1D">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29" w:type="pct"/>
                  <w:gridSpan w:val="2"/>
                  <w:vMerge w:val="continue"/>
                  <w:noWrap w:val="0"/>
                  <w:vAlign w:val="center"/>
                </w:tcPr>
                <w:p w14:paraId="36BD39B9">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cs="Times New Roman"/>
                      <w:color w:val="auto"/>
                      <w:highlight w:val="none"/>
                    </w:rPr>
                  </w:pPr>
                </w:p>
              </w:tc>
              <w:tc>
                <w:tcPr>
                  <w:tcW w:w="222" w:type="pct"/>
                  <w:vMerge w:val="continue"/>
                  <w:noWrap w:val="0"/>
                  <w:vAlign w:val="center"/>
                </w:tcPr>
                <w:p w14:paraId="491487AD">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cs="Times New Roman"/>
                      <w:color w:val="auto"/>
                      <w:highlight w:val="none"/>
                    </w:rPr>
                  </w:pPr>
                </w:p>
              </w:tc>
              <w:tc>
                <w:tcPr>
                  <w:tcW w:w="290" w:type="pct"/>
                  <w:noWrap w:val="0"/>
                  <w:vAlign w:val="center"/>
                </w:tcPr>
                <w:p w14:paraId="3BDD9980">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b/>
                      <w:bCs/>
                      <w:color w:val="auto"/>
                      <w:sz w:val="21"/>
                      <w:szCs w:val="21"/>
                      <w:highlight w:val="none"/>
                      <w:lang w:val="en-US" w:eastAsia="zh-CN" w:bidi="ar-SA"/>
                    </w:rPr>
                  </w:pPr>
                  <w:r>
                    <w:rPr>
                      <w:rFonts w:hint="default" w:ascii="Times New Roman" w:hAnsi="Times New Roman" w:eastAsia="宋体" w:cs="Times New Roman"/>
                      <w:b/>
                      <w:bCs/>
                      <w:color w:val="auto"/>
                      <w:sz w:val="21"/>
                      <w:szCs w:val="21"/>
                      <w:highlight w:val="none"/>
                    </w:rPr>
                    <w:t>产生浓度（mg/m</w:t>
                  </w:r>
                  <w:r>
                    <w:rPr>
                      <w:rFonts w:hint="default" w:ascii="Times New Roman" w:hAnsi="Times New Roman" w:eastAsia="宋体" w:cs="Times New Roman"/>
                      <w:b/>
                      <w:bCs/>
                      <w:color w:val="auto"/>
                      <w:sz w:val="21"/>
                      <w:szCs w:val="21"/>
                      <w:highlight w:val="none"/>
                      <w:vertAlign w:val="superscript"/>
                    </w:rPr>
                    <w:t>3</w:t>
                  </w:r>
                  <w:r>
                    <w:rPr>
                      <w:rFonts w:hint="default" w:ascii="Times New Roman" w:hAnsi="Times New Roman" w:eastAsia="宋体" w:cs="Times New Roman"/>
                      <w:b/>
                      <w:bCs/>
                      <w:color w:val="auto"/>
                      <w:sz w:val="21"/>
                      <w:szCs w:val="21"/>
                      <w:highlight w:val="none"/>
                    </w:rPr>
                    <w:t>）</w:t>
                  </w:r>
                </w:p>
              </w:tc>
              <w:tc>
                <w:tcPr>
                  <w:tcW w:w="357" w:type="pct"/>
                  <w:noWrap w:val="0"/>
                  <w:vAlign w:val="center"/>
                </w:tcPr>
                <w:p w14:paraId="5E8E2762">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b/>
                      <w:bCs/>
                      <w:color w:val="auto"/>
                      <w:sz w:val="21"/>
                      <w:szCs w:val="21"/>
                      <w:highlight w:val="none"/>
                      <w:lang w:val="en-US" w:eastAsia="zh-CN" w:bidi="ar-SA"/>
                    </w:rPr>
                  </w:pPr>
                  <w:r>
                    <w:rPr>
                      <w:rFonts w:hint="default" w:ascii="Times New Roman" w:hAnsi="Times New Roman" w:eastAsia="宋体" w:cs="Times New Roman"/>
                      <w:b/>
                      <w:bCs/>
                      <w:color w:val="auto"/>
                      <w:sz w:val="21"/>
                      <w:szCs w:val="21"/>
                      <w:highlight w:val="none"/>
                    </w:rPr>
                    <w:t>产生量（</w:t>
                  </w:r>
                  <w:r>
                    <w:rPr>
                      <w:rFonts w:hint="default" w:ascii="Times New Roman" w:hAnsi="Times New Roman" w:cs="Times New Roman"/>
                      <w:b/>
                      <w:bCs/>
                      <w:color w:val="auto"/>
                      <w:sz w:val="21"/>
                      <w:szCs w:val="21"/>
                      <w:highlight w:val="none"/>
                      <w:lang w:val="en-US" w:eastAsia="zh-CN"/>
                    </w:rPr>
                    <w:t>kg</w:t>
                  </w:r>
                  <w:r>
                    <w:rPr>
                      <w:rFonts w:hint="default" w:ascii="Times New Roman" w:hAnsi="Times New Roman" w:eastAsia="宋体" w:cs="Times New Roman"/>
                      <w:b/>
                      <w:bCs/>
                      <w:color w:val="auto"/>
                      <w:sz w:val="21"/>
                      <w:szCs w:val="21"/>
                      <w:highlight w:val="none"/>
                    </w:rPr>
                    <w:t>/a）</w:t>
                  </w:r>
                </w:p>
              </w:tc>
              <w:tc>
                <w:tcPr>
                  <w:tcW w:w="269" w:type="pct"/>
                  <w:vMerge w:val="continue"/>
                  <w:noWrap w:val="0"/>
                  <w:vAlign w:val="center"/>
                </w:tcPr>
                <w:p w14:paraId="5701FC06">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cs="Times New Roman"/>
                      <w:color w:val="auto"/>
                      <w:highlight w:val="none"/>
                    </w:rPr>
                  </w:pPr>
                </w:p>
              </w:tc>
              <w:tc>
                <w:tcPr>
                  <w:tcW w:w="650" w:type="pct"/>
                  <w:noWrap w:val="0"/>
                  <w:vAlign w:val="center"/>
                </w:tcPr>
                <w:p w14:paraId="68124D00">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治理措施</w:t>
                  </w:r>
                </w:p>
              </w:tc>
              <w:tc>
                <w:tcPr>
                  <w:tcW w:w="242" w:type="pct"/>
                  <w:noWrap w:val="0"/>
                  <w:vAlign w:val="center"/>
                </w:tcPr>
                <w:p w14:paraId="6E746991">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b/>
                      <w:bCs/>
                      <w:color w:val="auto"/>
                      <w:sz w:val="21"/>
                      <w:szCs w:val="21"/>
                      <w:highlight w:val="none"/>
                      <w:lang w:val="en-US" w:eastAsia="zh-CN" w:bidi="ar-SA"/>
                    </w:rPr>
                  </w:pPr>
                  <w:r>
                    <w:rPr>
                      <w:rFonts w:hint="default" w:ascii="Times New Roman" w:hAnsi="Times New Roman" w:eastAsia="宋体" w:cs="Times New Roman"/>
                      <w:b/>
                      <w:bCs/>
                      <w:color w:val="auto"/>
                      <w:sz w:val="21"/>
                      <w:szCs w:val="21"/>
                      <w:highlight w:val="none"/>
                      <w:lang w:val="en-US" w:eastAsia="zh-CN"/>
                    </w:rPr>
                    <w:t>处理能力m</w:t>
                  </w:r>
                  <w:r>
                    <w:rPr>
                      <w:rFonts w:hint="default" w:ascii="Times New Roman" w:hAnsi="Times New Roman" w:eastAsia="宋体" w:cs="Times New Roman"/>
                      <w:b/>
                      <w:bCs/>
                      <w:color w:val="auto"/>
                      <w:sz w:val="21"/>
                      <w:szCs w:val="21"/>
                      <w:highlight w:val="none"/>
                      <w:vertAlign w:val="superscript"/>
                      <w:lang w:val="en-US" w:eastAsia="zh-CN"/>
                    </w:rPr>
                    <w:t>3</w:t>
                  </w:r>
                  <w:r>
                    <w:rPr>
                      <w:rFonts w:hint="default" w:ascii="Times New Roman" w:hAnsi="Times New Roman" w:eastAsia="宋体" w:cs="Times New Roman"/>
                      <w:b/>
                      <w:bCs/>
                      <w:color w:val="auto"/>
                      <w:sz w:val="21"/>
                      <w:szCs w:val="21"/>
                      <w:highlight w:val="none"/>
                      <w:lang w:val="en-US" w:eastAsia="zh-CN"/>
                    </w:rPr>
                    <w:t>/h</w:t>
                  </w:r>
                </w:p>
              </w:tc>
              <w:tc>
                <w:tcPr>
                  <w:tcW w:w="276" w:type="pct"/>
                  <w:noWrap w:val="0"/>
                  <w:vAlign w:val="center"/>
                </w:tcPr>
                <w:p w14:paraId="4F6EEB10">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b/>
                      <w:bCs/>
                      <w:color w:val="auto"/>
                      <w:sz w:val="21"/>
                      <w:szCs w:val="21"/>
                      <w:highlight w:val="none"/>
                      <w:lang w:val="en-US" w:eastAsia="zh-CN" w:bidi="ar-SA"/>
                    </w:rPr>
                  </w:pPr>
                  <w:r>
                    <w:rPr>
                      <w:rFonts w:hint="default" w:ascii="Times New Roman" w:hAnsi="Times New Roman" w:eastAsia="宋体" w:cs="Times New Roman"/>
                      <w:b/>
                      <w:bCs/>
                      <w:color w:val="auto"/>
                      <w:sz w:val="21"/>
                      <w:szCs w:val="21"/>
                      <w:highlight w:val="none"/>
                      <w:lang w:val="en-US" w:eastAsia="zh-CN"/>
                    </w:rPr>
                    <w:t>收集效率%</w:t>
                  </w:r>
                </w:p>
              </w:tc>
              <w:tc>
                <w:tcPr>
                  <w:tcW w:w="236" w:type="pct"/>
                  <w:noWrap w:val="0"/>
                  <w:vAlign w:val="center"/>
                </w:tcPr>
                <w:p w14:paraId="6B89E65A">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b/>
                      <w:bCs/>
                      <w:color w:val="auto"/>
                      <w:sz w:val="21"/>
                      <w:szCs w:val="21"/>
                      <w:highlight w:val="none"/>
                      <w:lang w:val="en-US" w:eastAsia="zh-CN" w:bidi="ar-SA"/>
                    </w:rPr>
                  </w:pPr>
                  <w:r>
                    <w:rPr>
                      <w:rFonts w:hint="default" w:ascii="Times New Roman" w:hAnsi="Times New Roman" w:eastAsia="宋体" w:cs="Times New Roman"/>
                      <w:b/>
                      <w:bCs/>
                      <w:color w:val="auto"/>
                      <w:sz w:val="21"/>
                      <w:szCs w:val="21"/>
                      <w:highlight w:val="none"/>
                      <w:lang w:val="en-US" w:eastAsia="zh-CN"/>
                    </w:rPr>
                    <w:t>去除效率%</w:t>
                  </w:r>
                </w:p>
              </w:tc>
              <w:tc>
                <w:tcPr>
                  <w:tcW w:w="272" w:type="pct"/>
                  <w:noWrap w:val="0"/>
                  <w:vAlign w:val="center"/>
                </w:tcPr>
                <w:p w14:paraId="4EB9CE87">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b/>
                      <w:bCs/>
                      <w:color w:val="auto"/>
                      <w:sz w:val="21"/>
                      <w:szCs w:val="21"/>
                      <w:highlight w:val="none"/>
                      <w:lang w:val="en-US" w:eastAsia="zh-CN" w:bidi="ar-SA"/>
                    </w:rPr>
                  </w:pPr>
                  <w:r>
                    <w:rPr>
                      <w:rFonts w:hint="default" w:ascii="Times New Roman" w:hAnsi="Times New Roman" w:eastAsia="宋体" w:cs="Times New Roman"/>
                      <w:b/>
                      <w:bCs/>
                      <w:color w:val="auto"/>
                      <w:sz w:val="21"/>
                      <w:szCs w:val="21"/>
                      <w:highlight w:val="none"/>
                      <w:lang w:val="en-US" w:eastAsia="zh-CN"/>
                    </w:rPr>
                    <w:t>是否为可行性技术</w:t>
                  </w:r>
                </w:p>
              </w:tc>
              <w:tc>
                <w:tcPr>
                  <w:tcW w:w="312" w:type="pct"/>
                  <w:noWrap w:val="0"/>
                  <w:vAlign w:val="center"/>
                </w:tcPr>
                <w:p w14:paraId="44F37132">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排放量</w:t>
                  </w:r>
                </w:p>
                <w:p w14:paraId="1C16D83A">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b/>
                      <w:bCs/>
                      <w:color w:val="auto"/>
                      <w:sz w:val="21"/>
                      <w:szCs w:val="21"/>
                      <w:highlight w:val="none"/>
                      <w:lang w:val="en-US" w:eastAsia="zh-CN" w:bidi="ar-SA"/>
                    </w:rPr>
                  </w:pPr>
                  <w:r>
                    <w:rPr>
                      <w:rFonts w:hint="default" w:ascii="Times New Roman" w:hAnsi="Times New Roman" w:eastAsia="宋体" w:cs="Times New Roman"/>
                      <w:b/>
                      <w:bCs/>
                      <w:color w:val="auto"/>
                      <w:sz w:val="21"/>
                      <w:szCs w:val="21"/>
                      <w:highlight w:val="none"/>
                    </w:rPr>
                    <w:t>（</w:t>
                  </w:r>
                  <w:r>
                    <w:rPr>
                      <w:rFonts w:hint="default" w:ascii="Times New Roman" w:hAnsi="Times New Roman" w:cs="Times New Roman"/>
                      <w:b/>
                      <w:bCs/>
                      <w:color w:val="auto"/>
                      <w:sz w:val="21"/>
                      <w:szCs w:val="21"/>
                      <w:highlight w:val="none"/>
                      <w:lang w:val="en-US" w:eastAsia="zh-CN"/>
                    </w:rPr>
                    <w:t>kg</w:t>
                  </w:r>
                  <w:r>
                    <w:rPr>
                      <w:rFonts w:hint="default" w:ascii="Times New Roman" w:hAnsi="Times New Roman" w:eastAsia="宋体" w:cs="Times New Roman"/>
                      <w:b/>
                      <w:bCs/>
                      <w:color w:val="auto"/>
                      <w:sz w:val="21"/>
                      <w:szCs w:val="21"/>
                      <w:highlight w:val="none"/>
                    </w:rPr>
                    <w:t>/a）</w:t>
                  </w:r>
                </w:p>
              </w:tc>
              <w:tc>
                <w:tcPr>
                  <w:tcW w:w="377" w:type="pct"/>
                  <w:noWrap w:val="0"/>
                  <w:vAlign w:val="center"/>
                </w:tcPr>
                <w:p w14:paraId="6EB2DFDF">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b/>
                      <w:bCs/>
                      <w:color w:val="auto"/>
                      <w:sz w:val="21"/>
                      <w:szCs w:val="21"/>
                      <w:highlight w:val="none"/>
                      <w:lang w:val="en-US" w:eastAsia="zh-CN" w:bidi="ar-SA"/>
                    </w:rPr>
                  </w:pPr>
                  <w:r>
                    <w:rPr>
                      <w:rFonts w:hint="default" w:ascii="Times New Roman" w:hAnsi="Times New Roman" w:eastAsia="宋体" w:cs="Times New Roman"/>
                      <w:b/>
                      <w:bCs/>
                      <w:color w:val="auto"/>
                      <w:sz w:val="21"/>
                      <w:szCs w:val="21"/>
                      <w:highlight w:val="none"/>
                    </w:rPr>
                    <w:t>排放速率（kg/h）</w:t>
                  </w:r>
                </w:p>
              </w:tc>
              <w:tc>
                <w:tcPr>
                  <w:tcW w:w="425" w:type="pct"/>
                  <w:noWrap w:val="0"/>
                  <w:vAlign w:val="center"/>
                </w:tcPr>
                <w:p w14:paraId="415CB8B7">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b/>
                      <w:bCs/>
                      <w:color w:val="auto"/>
                      <w:sz w:val="21"/>
                      <w:szCs w:val="21"/>
                      <w:highlight w:val="none"/>
                      <w:lang w:val="en-US" w:eastAsia="zh-CN" w:bidi="ar-SA"/>
                    </w:rPr>
                  </w:pPr>
                  <w:r>
                    <w:rPr>
                      <w:rFonts w:hint="default" w:ascii="Times New Roman" w:hAnsi="Times New Roman" w:eastAsia="宋体" w:cs="Times New Roman"/>
                      <w:b/>
                      <w:bCs/>
                      <w:color w:val="auto"/>
                      <w:sz w:val="21"/>
                      <w:szCs w:val="21"/>
                      <w:highlight w:val="none"/>
                    </w:rPr>
                    <w:t>排放浓度（mg/m</w:t>
                  </w:r>
                  <w:r>
                    <w:rPr>
                      <w:rFonts w:hint="default" w:ascii="Times New Roman" w:hAnsi="Times New Roman" w:eastAsia="宋体" w:cs="Times New Roman"/>
                      <w:b/>
                      <w:bCs/>
                      <w:color w:val="auto"/>
                      <w:sz w:val="21"/>
                      <w:szCs w:val="21"/>
                      <w:highlight w:val="none"/>
                      <w:vertAlign w:val="superscript"/>
                    </w:rPr>
                    <w:t>3</w:t>
                  </w:r>
                  <w:r>
                    <w:rPr>
                      <w:rFonts w:hint="default" w:ascii="Times New Roman" w:hAnsi="Times New Roman" w:eastAsia="宋体" w:cs="Times New Roman"/>
                      <w:b/>
                      <w:bCs/>
                      <w:color w:val="auto"/>
                      <w:sz w:val="21"/>
                      <w:szCs w:val="21"/>
                      <w:highlight w:val="none"/>
                    </w:rPr>
                    <w:t>）</w:t>
                  </w:r>
                </w:p>
              </w:tc>
              <w:tc>
                <w:tcPr>
                  <w:tcW w:w="293" w:type="pct"/>
                  <w:vMerge w:val="continue"/>
                  <w:noWrap w:val="0"/>
                  <w:vAlign w:val="center"/>
                </w:tcPr>
                <w:p w14:paraId="093992E9">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b/>
                      <w:bCs/>
                      <w:color w:val="auto"/>
                      <w:sz w:val="21"/>
                      <w:szCs w:val="21"/>
                      <w:highlight w:val="none"/>
                      <w:lang w:val="en-US" w:eastAsia="zh-CN"/>
                    </w:rPr>
                  </w:pPr>
                </w:p>
              </w:tc>
              <w:tc>
                <w:tcPr>
                  <w:tcW w:w="441" w:type="pct"/>
                  <w:noWrap w:val="0"/>
                  <w:vAlign w:val="center"/>
                </w:tcPr>
                <w:p w14:paraId="01C3701D">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浓度限值</w:t>
                  </w:r>
                  <w:r>
                    <w:rPr>
                      <w:rFonts w:hint="default" w:ascii="Times New Roman" w:hAnsi="Times New Roman" w:eastAsia="宋体" w:cs="Times New Roman"/>
                      <w:b/>
                      <w:bCs/>
                      <w:color w:val="auto"/>
                      <w:sz w:val="21"/>
                      <w:szCs w:val="21"/>
                      <w:highlight w:val="none"/>
                    </w:rPr>
                    <w:t>（mg/m</w:t>
                  </w:r>
                  <w:r>
                    <w:rPr>
                      <w:rFonts w:hint="default" w:ascii="Times New Roman" w:hAnsi="Times New Roman" w:eastAsia="宋体" w:cs="Times New Roman"/>
                      <w:b/>
                      <w:bCs/>
                      <w:color w:val="auto"/>
                      <w:sz w:val="21"/>
                      <w:szCs w:val="21"/>
                      <w:highlight w:val="none"/>
                      <w:vertAlign w:val="superscript"/>
                    </w:rPr>
                    <w:t>3</w:t>
                  </w:r>
                  <w:r>
                    <w:rPr>
                      <w:rFonts w:hint="default" w:ascii="Times New Roman" w:hAnsi="Times New Roman" w:eastAsia="宋体" w:cs="Times New Roman"/>
                      <w:b/>
                      <w:bCs/>
                      <w:color w:val="auto"/>
                      <w:sz w:val="21"/>
                      <w:szCs w:val="21"/>
                      <w:highlight w:val="none"/>
                    </w:rPr>
                    <w:t>）</w:t>
                  </w:r>
                </w:p>
              </w:tc>
            </w:tr>
            <w:tr w14:paraId="24747ECA">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64" w:type="pct"/>
                  <w:vMerge w:val="restart"/>
                  <w:noWrap w:val="0"/>
                  <w:vAlign w:val="center"/>
                </w:tcPr>
                <w:p w14:paraId="4A495592">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color w:val="auto"/>
                      <w:sz w:val="21"/>
                      <w:szCs w:val="21"/>
                      <w:highlight w:val="none"/>
                      <w:lang w:val="en-US" w:eastAsia="zh-CN"/>
                    </w:rPr>
                  </w:pPr>
                  <w:r>
                    <w:rPr>
                      <w:rStyle w:val="287"/>
                      <w:rFonts w:hint="default" w:ascii="Times New Roman" w:hAnsi="Times New Roman" w:cs="Times New Roman"/>
                      <w:bCs w:val="0"/>
                      <w:color w:val="auto"/>
                      <w:sz w:val="21"/>
                      <w:szCs w:val="21"/>
                      <w:highlight w:val="none"/>
                      <w:lang w:val="en-US" w:eastAsia="zh-CN"/>
                    </w:rPr>
                    <w:t>酸性废气</w:t>
                  </w:r>
                </w:p>
              </w:tc>
              <w:tc>
                <w:tcPr>
                  <w:tcW w:w="164" w:type="pct"/>
                  <w:vMerge w:val="restart"/>
                  <w:noWrap w:val="0"/>
                  <w:vAlign w:val="center"/>
                </w:tcPr>
                <w:p w14:paraId="0CFBD222">
                  <w:pPr>
                    <w:pStyle w:val="63"/>
                    <w:keepNext w:val="0"/>
                    <w:keepLines w:val="0"/>
                    <w:pageBreakBefore w:val="0"/>
                    <w:widowControl w:val="0"/>
                    <w:kinsoku/>
                    <w:wordWrap/>
                    <w:overflowPunct/>
                    <w:topLinePunct w:val="0"/>
                    <w:bidi w:val="0"/>
                    <w:spacing w:line="240" w:lineRule="auto"/>
                    <w:ind w:left="0" w:leftChars="0"/>
                    <w:jc w:val="center"/>
                    <w:textAlignment w:val="auto"/>
                    <w:rPr>
                      <w:rStyle w:val="287"/>
                      <w:rFonts w:hint="default" w:ascii="Times New Roman" w:hAnsi="Times New Roman" w:cs="Times New Roman"/>
                      <w:bCs w:val="0"/>
                      <w:color w:val="auto"/>
                      <w:sz w:val="21"/>
                      <w:szCs w:val="21"/>
                      <w:highlight w:val="none"/>
                    </w:rPr>
                  </w:pPr>
                  <w:r>
                    <w:rPr>
                      <w:rStyle w:val="287"/>
                      <w:rFonts w:hint="default" w:ascii="Times New Roman" w:hAnsi="Times New Roman" w:cs="Times New Roman"/>
                      <w:bCs w:val="0"/>
                      <w:color w:val="auto"/>
                      <w:sz w:val="21"/>
                      <w:szCs w:val="21"/>
                      <w:highlight w:val="none"/>
                    </w:rPr>
                    <w:t>硫酸</w:t>
                  </w:r>
                  <w:r>
                    <w:rPr>
                      <w:rStyle w:val="287"/>
                      <w:rFonts w:hint="default" w:ascii="Times New Roman" w:hAnsi="Times New Roman" w:cs="Times New Roman"/>
                      <w:bCs w:val="0"/>
                      <w:color w:val="auto"/>
                      <w:sz w:val="21"/>
                      <w:szCs w:val="21"/>
                      <w:highlight w:val="none"/>
                      <w:lang w:val="en-US" w:eastAsia="zh-CN"/>
                    </w:rPr>
                    <w:t>使用</w:t>
                  </w:r>
                </w:p>
              </w:tc>
              <w:tc>
                <w:tcPr>
                  <w:tcW w:w="222" w:type="pct"/>
                  <w:vMerge w:val="restart"/>
                  <w:noWrap w:val="0"/>
                  <w:vAlign w:val="center"/>
                </w:tcPr>
                <w:p w14:paraId="19BDDB52">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硫酸雾</w:t>
                  </w:r>
                </w:p>
              </w:tc>
              <w:tc>
                <w:tcPr>
                  <w:tcW w:w="807" w:type="dxa"/>
                  <w:noWrap w:val="0"/>
                  <w:vAlign w:val="center"/>
                </w:tcPr>
                <w:p w14:paraId="79E965A8">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6.3</w:t>
                  </w:r>
                </w:p>
              </w:tc>
              <w:tc>
                <w:tcPr>
                  <w:tcW w:w="993" w:type="dxa"/>
                  <w:noWrap w:val="0"/>
                  <w:vAlign w:val="center"/>
                </w:tcPr>
                <w:p w14:paraId="216B766A">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1.575</w:t>
                  </w:r>
                </w:p>
              </w:tc>
              <w:tc>
                <w:tcPr>
                  <w:tcW w:w="750" w:type="dxa"/>
                  <w:noWrap w:val="0"/>
                  <w:vAlign w:val="center"/>
                </w:tcPr>
                <w:p w14:paraId="10267FE4">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有组织</w:t>
                  </w:r>
                </w:p>
              </w:tc>
              <w:tc>
                <w:tcPr>
                  <w:tcW w:w="1806" w:type="dxa"/>
                  <w:noWrap w:val="0"/>
                  <w:vAlign w:val="center"/>
                </w:tcPr>
                <w:p w14:paraId="25E88FA8">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二级活性炭吸附装置+15m</w:t>
                  </w:r>
                  <w:r>
                    <w:rPr>
                      <w:rStyle w:val="361"/>
                      <w:rFonts w:hint="default" w:ascii="Times New Roman" w:hAnsi="Times New Roman" w:cs="Times New Roman"/>
                      <w:color w:val="auto"/>
                      <w:lang w:val="en-US" w:eastAsia="zh-CN" w:bidi="ar"/>
                    </w:rPr>
                    <w:t>高排气筒排放</w:t>
                  </w:r>
                </w:p>
              </w:tc>
              <w:tc>
                <w:tcPr>
                  <w:tcW w:w="675" w:type="dxa"/>
                  <w:noWrap w:val="0"/>
                  <w:vAlign w:val="center"/>
                </w:tcPr>
                <w:p w14:paraId="6F424AA2">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1000</w:t>
                  </w:r>
                </w:p>
              </w:tc>
              <w:tc>
                <w:tcPr>
                  <w:tcW w:w="769" w:type="dxa"/>
                  <w:noWrap w:val="0"/>
                  <w:vAlign w:val="center"/>
                </w:tcPr>
                <w:p w14:paraId="3BF40105">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90</w:t>
                  </w:r>
                </w:p>
              </w:tc>
              <w:tc>
                <w:tcPr>
                  <w:tcW w:w="658" w:type="dxa"/>
                  <w:noWrap w:val="0"/>
                  <w:vAlign w:val="center"/>
                </w:tcPr>
                <w:p w14:paraId="5AB79797">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60</w:t>
                  </w:r>
                </w:p>
              </w:tc>
              <w:tc>
                <w:tcPr>
                  <w:tcW w:w="758" w:type="dxa"/>
                  <w:noWrap w:val="0"/>
                  <w:vAlign w:val="center"/>
                </w:tcPr>
                <w:p w14:paraId="45297BC9">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是</w:t>
                  </w:r>
                </w:p>
              </w:tc>
              <w:tc>
                <w:tcPr>
                  <w:tcW w:w="867" w:type="dxa"/>
                  <w:noWrap w:val="0"/>
                  <w:vAlign w:val="center"/>
                </w:tcPr>
                <w:p w14:paraId="5070605A">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0.63</w:t>
                  </w:r>
                </w:p>
              </w:tc>
              <w:tc>
                <w:tcPr>
                  <w:tcW w:w="1050" w:type="dxa"/>
                  <w:noWrap w:val="0"/>
                  <w:vAlign w:val="center"/>
                </w:tcPr>
                <w:p w14:paraId="67EB99FD">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0.00252</w:t>
                  </w:r>
                </w:p>
              </w:tc>
              <w:tc>
                <w:tcPr>
                  <w:tcW w:w="1183" w:type="dxa"/>
                  <w:noWrap w:val="0"/>
                  <w:vAlign w:val="center"/>
                </w:tcPr>
                <w:p w14:paraId="725635A9">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2.52</w:t>
                  </w:r>
                </w:p>
              </w:tc>
              <w:tc>
                <w:tcPr>
                  <w:tcW w:w="293" w:type="pct"/>
                  <w:noWrap w:val="0"/>
                  <w:vAlign w:val="center"/>
                </w:tcPr>
                <w:p w14:paraId="5FA9DA99">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DA001</w:t>
                  </w:r>
                </w:p>
              </w:tc>
              <w:tc>
                <w:tcPr>
                  <w:tcW w:w="441" w:type="pct"/>
                  <w:noWrap w:val="0"/>
                  <w:vAlign w:val="center"/>
                </w:tcPr>
                <w:p w14:paraId="77DE773C">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Style w:val="287"/>
                      <w:rFonts w:hint="default" w:ascii="Times New Roman" w:hAnsi="Times New Roman" w:eastAsia="宋体" w:cs="Times New Roman"/>
                      <w:color w:val="auto"/>
                      <w:sz w:val="21"/>
                      <w:szCs w:val="21"/>
                      <w:highlight w:val="none"/>
                      <w:lang w:val="en-US" w:eastAsia="zh-CN"/>
                    </w:rPr>
                  </w:pPr>
                  <w:r>
                    <w:rPr>
                      <w:rStyle w:val="287"/>
                      <w:rFonts w:hint="default" w:ascii="Times New Roman" w:hAnsi="Times New Roman" w:cs="Times New Roman"/>
                      <w:color w:val="auto"/>
                      <w:sz w:val="21"/>
                      <w:szCs w:val="21"/>
                      <w:highlight w:val="none"/>
                      <w:lang w:val="en-US" w:eastAsia="zh-CN"/>
                    </w:rPr>
                    <w:t>45</w:t>
                  </w:r>
                </w:p>
              </w:tc>
            </w:tr>
            <w:tr w14:paraId="40E65425">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64" w:type="pct"/>
                  <w:vMerge w:val="continue"/>
                  <w:noWrap w:val="0"/>
                  <w:vAlign w:val="center"/>
                </w:tcPr>
                <w:p w14:paraId="2C7A2A03">
                  <w:pPr>
                    <w:pStyle w:val="63"/>
                    <w:keepNext w:val="0"/>
                    <w:keepLines w:val="0"/>
                    <w:pageBreakBefore w:val="0"/>
                    <w:widowControl w:val="0"/>
                    <w:kinsoku/>
                    <w:wordWrap/>
                    <w:overflowPunct/>
                    <w:topLinePunct w:val="0"/>
                    <w:bidi w:val="0"/>
                    <w:spacing w:line="240" w:lineRule="auto"/>
                    <w:ind w:left="0" w:leftChars="0"/>
                    <w:jc w:val="center"/>
                    <w:textAlignment w:val="auto"/>
                    <w:rPr>
                      <w:rStyle w:val="287"/>
                      <w:rFonts w:hint="default" w:ascii="Times New Roman" w:hAnsi="Times New Roman" w:cs="Times New Roman"/>
                      <w:bCs w:val="0"/>
                      <w:color w:val="auto"/>
                      <w:sz w:val="21"/>
                      <w:szCs w:val="21"/>
                      <w:highlight w:val="none"/>
                    </w:rPr>
                  </w:pPr>
                </w:p>
              </w:tc>
              <w:tc>
                <w:tcPr>
                  <w:tcW w:w="164" w:type="pct"/>
                  <w:vMerge w:val="continue"/>
                  <w:noWrap w:val="0"/>
                  <w:vAlign w:val="center"/>
                </w:tcPr>
                <w:p w14:paraId="25A4D829">
                  <w:pPr>
                    <w:pStyle w:val="63"/>
                    <w:keepNext w:val="0"/>
                    <w:keepLines w:val="0"/>
                    <w:pageBreakBefore w:val="0"/>
                    <w:widowControl w:val="0"/>
                    <w:kinsoku/>
                    <w:wordWrap/>
                    <w:overflowPunct/>
                    <w:topLinePunct w:val="0"/>
                    <w:bidi w:val="0"/>
                    <w:spacing w:line="240" w:lineRule="auto"/>
                    <w:ind w:left="0" w:leftChars="0"/>
                    <w:jc w:val="center"/>
                    <w:textAlignment w:val="auto"/>
                    <w:rPr>
                      <w:rStyle w:val="287"/>
                      <w:rFonts w:hint="default" w:ascii="Times New Roman" w:hAnsi="Times New Roman" w:cs="Times New Roman"/>
                      <w:bCs w:val="0"/>
                      <w:color w:val="auto"/>
                      <w:sz w:val="21"/>
                      <w:szCs w:val="21"/>
                      <w:highlight w:val="none"/>
                    </w:rPr>
                  </w:pPr>
                </w:p>
              </w:tc>
              <w:tc>
                <w:tcPr>
                  <w:tcW w:w="222" w:type="pct"/>
                  <w:vMerge w:val="continue"/>
                  <w:noWrap w:val="0"/>
                  <w:vAlign w:val="center"/>
                </w:tcPr>
                <w:p w14:paraId="308A21C0">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tc>
              <w:tc>
                <w:tcPr>
                  <w:tcW w:w="807" w:type="dxa"/>
                  <w:noWrap w:val="0"/>
                  <w:vAlign w:val="center"/>
                </w:tcPr>
                <w:p w14:paraId="2691BEC4">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993" w:type="dxa"/>
                  <w:noWrap w:val="0"/>
                  <w:vAlign w:val="center"/>
                </w:tcPr>
                <w:p w14:paraId="7569B498">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0.175</w:t>
                  </w:r>
                </w:p>
              </w:tc>
              <w:tc>
                <w:tcPr>
                  <w:tcW w:w="750" w:type="dxa"/>
                  <w:noWrap w:val="0"/>
                  <w:vAlign w:val="center"/>
                </w:tcPr>
                <w:p w14:paraId="5E90DE4B">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无组织</w:t>
                  </w:r>
                </w:p>
              </w:tc>
              <w:tc>
                <w:tcPr>
                  <w:tcW w:w="1806" w:type="dxa"/>
                  <w:noWrap w:val="0"/>
                  <w:vAlign w:val="center"/>
                </w:tcPr>
                <w:p w14:paraId="01B67A46">
                  <w:pPr>
                    <w:keepNext w:val="0"/>
                    <w:keepLines w:val="0"/>
                    <w:widowControl/>
                    <w:suppressLineNumbers w:val="0"/>
                    <w:jc w:val="center"/>
                    <w:textAlignment w:val="center"/>
                    <w:rPr>
                      <w:rFonts w:hint="default" w:ascii="Times New Roman" w:hAnsi="Times New Roman" w:cs="Times New Roman"/>
                      <w:color w:val="auto"/>
                      <w:spacing w:val="-9"/>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675" w:type="dxa"/>
                  <w:noWrap w:val="0"/>
                  <w:vAlign w:val="center"/>
                </w:tcPr>
                <w:p w14:paraId="1A8A9E47">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769" w:type="dxa"/>
                  <w:noWrap w:val="0"/>
                  <w:vAlign w:val="center"/>
                </w:tcPr>
                <w:p w14:paraId="1CB94830">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658" w:type="dxa"/>
                  <w:noWrap w:val="0"/>
                  <w:vAlign w:val="center"/>
                </w:tcPr>
                <w:p w14:paraId="4F3C2514">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758" w:type="dxa"/>
                  <w:noWrap w:val="0"/>
                  <w:vAlign w:val="center"/>
                </w:tcPr>
                <w:p w14:paraId="405535E7">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867" w:type="dxa"/>
                  <w:noWrap w:val="0"/>
                  <w:vAlign w:val="center"/>
                </w:tcPr>
                <w:p w14:paraId="29CF4714">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0.175</w:t>
                  </w:r>
                </w:p>
              </w:tc>
              <w:tc>
                <w:tcPr>
                  <w:tcW w:w="1050" w:type="dxa"/>
                  <w:noWrap w:val="0"/>
                  <w:vAlign w:val="center"/>
                </w:tcPr>
                <w:p w14:paraId="741F38E5">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1183" w:type="dxa"/>
                  <w:noWrap w:val="0"/>
                  <w:vAlign w:val="center"/>
                </w:tcPr>
                <w:p w14:paraId="6C7617FB">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293" w:type="pct"/>
                  <w:noWrap w:val="0"/>
                  <w:vAlign w:val="center"/>
                </w:tcPr>
                <w:p w14:paraId="3AFDD244">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Style w:val="287"/>
                      <w:rFonts w:hint="default" w:ascii="Times New Roman" w:hAnsi="Times New Roman" w:eastAsia="宋体" w:cs="Times New Roman"/>
                      <w:color w:val="auto"/>
                      <w:sz w:val="21"/>
                      <w:szCs w:val="21"/>
                      <w:highlight w:val="none"/>
                      <w:lang w:val="en-US" w:eastAsia="zh-CN"/>
                    </w:rPr>
                  </w:pPr>
                  <w:r>
                    <w:rPr>
                      <w:rStyle w:val="287"/>
                      <w:rFonts w:hint="default" w:ascii="Times New Roman" w:hAnsi="Times New Roman" w:eastAsia="宋体" w:cs="Times New Roman"/>
                      <w:color w:val="auto"/>
                      <w:sz w:val="21"/>
                      <w:szCs w:val="21"/>
                      <w:highlight w:val="none"/>
                      <w:lang w:val="en-US" w:eastAsia="zh-CN"/>
                    </w:rPr>
                    <w:t>/</w:t>
                  </w:r>
                </w:p>
              </w:tc>
              <w:tc>
                <w:tcPr>
                  <w:tcW w:w="441" w:type="pct"/>
                  <w:noWrap w:val="0"/>
                  <w:vAlign w:val="center"/>
                </w:tcPr>
                <w:p w14:paraId="699E022D">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1.2</w:t>
                  </w:r>
                </w:p>
              </w:tc>
            </w:tr>
            <w:tr w14:paraId="2B0C6FB8">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64" w:type="pct"/>
                  <w:vMerge w:val="continue"/>
                  <w:noWrap w:val="0"/>
                  <w:vAlign w:val="center"/>
                </w:tcPr>
                <w:p w14:paraId="2F61647F">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color w:val="auto"/>
                      <w:kern w:val="0"/>
                      <w:sz w:val="21"/>
                      <w:szCs w:val="21"/>
                      <w:highlight w:val="none"/>
                      <w:lang w:val="en-US" w:eastAsia="zh-CN"/>
                    </w:rPr>
                  </w:pPr>
                </w:p>
              </w:tc>
              <w:tc>
                <w:tcPr>
                  <w:tcW w:w="164" w:type="pct"/>
                  <w:vMerge w:val="restart"/>
                  <w:noWrap w:val="0"/>
                  <w:vAlign w:val="center"/>
                </w:tcPr>
                <w:p w14:paraId="374A4EB8">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硝酸使用</w:t>
                  </w:r>
                </w:p>
              </w:tc>
              <w:tc>
                <w:tcPr>
                  <w:tcW w:w="222" w:type="pct"/>
                  <w:vMerge w:val="restart"/>
                  <w:noWrap w:val="0"/>
                  <w:vAlign w:val="center"/>
                </w:tcPr>
                <w:p w14:paraId="5E9997BE">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Fonts w:hint="default" w:ascii="Times New Roman" w:hAnsi="Times New Roman" w:cs="Times New Roman"/>
                      <w:b w:val="0"/>
                      <w:color w:val="auto"/>
                      <w:kern w:val="0"/>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氮氧化物</w:t>
                  </w:r>
                </w:p>
              </w:tc>
              <w:tc>
                <w:tcPr>
                  <w:tcW w:w="807" w:type="dxa"/>
                  <w:noWrap w:val="0"/>
                  <w:vAlign w:val="center"/>
                </w:tcPr>
                <w:p w14:paraId="7E2C7BFC">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0.0396</w:t>
                  </w:r>
                </w:p>
              </w:tc>
              <w:tc>
                <w:tcPr>
                  <w:tcW w:w="993" w:type="dxa"/>
                  <w:noWrap w:val="0"/>
                  <w:vAlign w:val="center"/>
                </w:tcPr>
                <w:p w14:paraId="09A72222">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0.0099</w:t>
                  </w:r>
                </w:p>
              </w:tc>
              <w:tc>
                <w:tcPr>
                  <w:tcW w:w="750" w:type="dxa"/>
                  <w:noWrap w:val="0"/>
                  <w:vAlign w:val="center"/>
                </w:tcPr>
                <w:p w14:paraId="7B1F911D">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有组织</w:t>
                  </w:r>
                </w:p>
              </w:tc>
              <w:tc>
                <w:tcPr>
                  <w:tcW w:w="1806" w:type="dxa"/>
                  <w:noWrap w:val="0"/>
                  <w:vAlign w:val="center"/>
                </w:tcPr>
                <w:p w14:paraId="34774336">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二级活性炭吸附装置+15m</w:t>
                  </w:r>
                  <w:r>
                    <w:rPr>
                      <w:rStyle w:val="361"/>
                      <w:rFonts w:hint="default" w:ascii="Times New Roman" w:hAnsi="Times New Roman" w:cs="Times New Roman"/>
                      <w:color w:val="auto"/>
                      <w:lang w:val="en-US" w:eastAsia="zh-CN" w:bidi="ar"/>
                    </w:rPr>
                    <w:t>高排气筒排放</w:t>
                  </w:r>
                </w:p>
              </w:tc>
              <w:tc>
                <w:tcPr>
                  <w:tcW w:w="675" w:type="dxa"/>
                  <w:noWrap w:val="0"/>
                  <w:vAlign w:val="center"/>
                </w:tcPr>
                <w:p w14:paraId="7B9FEB2A">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1000</w:t>
                  </w:r>
                </w:p>
              </w:tc>
              <w:tc>
                <w:tcPr>
                  <w:tcW w:w="769" w:type="dxa"/>
                  <w:noWrap w:val="0"/>
                  <w:vAlign w:val="center"/>
                </w:tcPr>
                <w:p w14:paraId="4E17F7B5">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90</w:t>
                  </w:r>
                </w:p>
              </w:tc>
              <w:tc>
                <w:tcPr>
                  <w:tcW w:w="658" w:type="dxa"/>
                  <w:noWrap w:val="0"/>
                  <w:vAlign w:val="center"/>
                </w:tcPr>
                <w:p w14:paraId="149DF69D">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60</w:t>
                  </w:r>
                </w:p>
              </w:tc>
              <w:tc>
                <w:tcPr>
                  <w:tcW w:w="758" w:type="dxa"/>
                  <w:noWrap w:val="0"/>
                  <w:vAlign w:val="center"/>
                </w:tcPr>
                <w:p w14:paraId="49F94170">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是</w:t>
                  </w:r>
                </w:p>
              </w:tc>
              <w:tc>
                <w:tcPr>
                  <w:tcW w:w="867" w:type="dxa"/>
                  <w:noWrap w:val="0"/>
                  <w:vAlign w:val="center"/>
                </w:tcPr>
                <w:p w14:paraId="3BC2B3CF">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0.00396</w:t>
                  </w:r>
                </w:p>
              </w:tc>
              <w:tc>
                <w:tcPr>
                  <w:tcW w:w="1050" w:type="dxa"/>
                  <w:noWrap w:val="0"/>
                  <w:vAlign w:val="center"/>
                </w:tcPr>
                <w:p w14:paraId="682148DE">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0.00001584</w:t>
                  </w:r>
                </w:p>
              </w:tc>
              <w:tc>
                <w:tcPr>
                  <w:tcW w:w="1183" w:type="dxa"/>
                  <w:noWrap w:val="0"/>
                  <w:vAlign w:val="center"/>
                </w:tcPr>
                <w:p w14:paraId="2CD94FAB">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0.01584</w:t>
                  </w:r>
                </w:p>
              </w:tc>
              <w:tc>
                <w:tcPr>
                  <w:tcW w:w="293" w:type="pct"/>
                  <w:noWrap w:val="0"/>
                  <w:vAlign w:val="center"/>
                </w:tcPr>
                <w:p w14:paraId="672051CD">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DA001</w:t>
                  </w:r>
                </w:p>
              </w:tc>
              <w:tc>
                <w:tcPr>
                  <w:tcW w:w="441" w:type="pct"/>
                  <w:noWrap w:val="0"/>
                  <w:vAlign w:val="center"/>
                </w:tcPr>
                <w:p w14:paraId="0E15F932">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120</w:t>
                  </w:r>
                </w:p>
              </w:tc>
            </w:tr>
            <w:tr w14:paraId="4447224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64" w:type="pct"/>
                  <w:vMerge w:val="continue"/>
                  <w:noWrap w:val="0"/>
                  <w:vAlign w:val="center"/>
                </w:tcPr>
                <w:p w14:paraId="01CDB6DD">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color w:val="auto"/>
                      <w:kern w:val="0"/>
                      <w:sz w:val="21"/>
                      <w:szCs w:val="21"/>
                      <w:highlight w:val="none"/>
                      <w:lang w:val="en-US" w:eastAsia="zh-CN"/>
                    </w:rPr>
                  </w:pPr>
                </w:p>
              </w:tc>
              <w:tc>
                <w:tcPr>
                  <w:tcW w:w="164" w:type="pct"/>
                  <w:vMerge w:val="continue"/>
                  <w:noWrap w:val="0"/>
                  <w:vAlign w:val="center"/>
                </w:tcPr>
                <w:p w14:paraId="2D577131">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color w:val="auto"/>
                      <w:kern w:val="0"/>
                      <w:sz w:val="21"/>
                      <w:szCs w:val="21"/>
                      <w:highlight w:val="none"/>
                      <w:lang w:val="en-US" w:eastAsia="zh-CN"/>
                    </w:rPr>
                  </w:pPr>
                </w:p>
              </w:tc>
              <w:tc>
                <w:tcPr>
                  <w:tcW w:w="222" w:type="pct"/>
                  <w:vMerge w:val="continue"/>
                  <w:noWrap w:val="0"/>
                  <w:vAlign w:val="center"/>
                </w:tcPr>
                <w:p w14:paraId="247B3AD7">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Fonts w:hint="default" w:ascii="Times New Roman" w:hAnsi="Times New Roman" w:cs="Times New Roman"/>
                      <w:b w:val="0"/>
                      <w:color w:val="auto"/>
                      <w:kern w:val="0"/>
                      <w:sz w:val="21"/>
                      <w:szCs w:val="21"/>
                      <w:highlight w:val="none"/>
                      <w:lang w:val="en-US" w:eastAsia="zh-CN" w:bidi="ar-SA"/>
                    </w:rPr>
                  </w:pPr>
                </w:p>
              </w:tc>
              <w:tc>
                <w:tcPr>
                  <w:tcW w:w="807" w:type="dxa"/>
                  <w:noWrap w:val="0"/>
                  <w:vAlign w:val="center"/>
                </w:tcPr>
                <w:p w14:paraId="66ED1C40">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993" w:type="dxa"/>
                  <w:noWrap w:val="0"/>
                  <w:vAlign w:val="center"/>
                </w:tcPr>
                <w:p w14:paraId="23F26852">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0.0011</w:t>
                  </w:r>
                </w:p>
              </w:tc>
              <w:tc>
                <w:tcPr>
                  <w:tcW w:w="750" w:type="dxa"/>
                  <w:noWrap w:val="0"/>
                  <w:vAlign w:val="center"/>
                </w:tcPr>
                <w:p w14:paraId="3EF59A65">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无组织</w:t>
                  </w:r>
                </w:p>
              </w:tc>
              <w:tc>
                <w:tcPr>
                  <w:tcW w:w="1806" w:type="dxa"/>
                  <w:noWrap w:val="0"/>
                  <w:vAlign w:val="center"/>
                </w:tcPr>
                <w:p w14:paraId="3C0B8DBE">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675" w:type="dxa"/>
                  <w:noWrap w:val="0"/>
                  <w:vAlign w:val="center"/>
                </w:tcPr>
                <w:p w14:paraId="42C6C721">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769" w:type="dxa"/>
                  <w:noWrap w:val="0"/>
                  <w:vAlign w:val="center"/>
                </w:tcPr>
                <w:p w14:paraId="0FFAEE4C">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658" w:type="dxa"/>
                  <w:noWrap w:val="0"/>
                  <w:vAlign w:val="center"/>
                </w:tcPr>
                <w:p w14:paraId="5711E260">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758" w:type="dxa"/>
                  <w:noWrap w:val="0"/>
                  <w:vAlign w:val="center"/>
                </w:tcPr>
                <w:p w14:paraId="71B6BC58">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867" w:type="dxa"/>
                  <w:noWrap w:val="0"/>
                  <w:vAlign w:val="center"/>
                </w:tcPr>
                <w:p w14:paraId="7132D916">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0.0011</w:t>
                  </w:r>
                </w:p>
              </w:tc>
              <w:tc>
                <w:tcPr>
                  <w:tcW w:w="1050" w:type="dxa"/>
                  <w:noWrap w:val="0"/>
                  <w:vAlign w:val="center"/>
                </w:tcPr>
                <w:p w14:paraId="1403A660">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1183" w:type="dxa"/>
                  <w:noWrap w:val="0"/>
                  <w:vAlign w:val="center"/>
                </w:tcPr>
                <w:p w14:paraId="782D385A">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293" w:type="pct"/>
                  <w:noWrap w:val="0"/>
                  <w:vAlign w:val="center"/>
                </w:tcPr>
                <w:p w14:paraId="5C1F21B7">
                  <w:pPr>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Style w:val="287"/>
                      <w:rFonts w:hint="default" w:ascii="Times New Roman" w:hAnsi="Times New Roman" w:eastAsia="宋体" w:cs="Times New Roman"/>
                      <w:color w:val="auto"/>
                      <w:sz w:val="21"/>
                      <w:szCs w:val="21"/>
                      <w:highlight w:val="none"/>
                      <w:lang w:val="en-US" w:eastAsia="zh-CN"/>
                    </w:rPr>
                  </w:pPr>
                  <w:r>
                    <w:rPr>
                      <w:rStyle w:val="287"/>
                      <w:rFonts w:hint="default" w:ascii="Times New Roman" w:hAnsi="Times New Roman" w:eastAsia="宋体" w:cs="Times New Roman"/>
                      <w:color w:val="auto"/>
                      <w:sz w:val="21"/>
                      <w:szCs w:val="21"/>
                      <w:highlight w:val="none"/>
                      <w:lang w:val="en-US" w:eastAsia="zh-CN"/>
                    </w:rPr>
                    <w:t>/</w:t>
                  </w:r>
                </w:p>
              </w:tc>
              <w:tc>
                <w:tcPr>
                  <w:tcW w:w="441" w:type="pct"/>
                  <w:noWrap w:val="0"/>
                  <w:vAlign w:val="center"/>
                </w:tcPr>
                <w:p w14:paraId="1FE1BA2A">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0.12</w:t>
                  </w:r>
                </w:p>
              </w:tc>
            </w:tr>
            <w:tr w14:paraId="2DA17020">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4" w:type="pct"/>
                  <w:vMerge w:val="continue"/>
                  <w:noWrap w:val="0"/>
                  <w:vAlign w:val="center"/>
                </w:tcPr>
                <w:p w14:paraId="7AD3175D">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color w:val="auto"/>
                      <w:sz w:val="21"/>
                      <w:szCs w:val="21"/>
                      <w:highlight w:val="none"/>
                      <w:lang w:val="en-US" w:eastAsia="zh-CN"/>
                    </w:rPr>
                  </w:pPr>
                </w:p>
              </w:tc>
              <w:tc>
                <w:tcPr>
                  <w:tcW w:w="164" w:type="pct"/>
                  <w:vMerge w:val="restart"/>
                  <w:noWrap w:val="0"/>
                  <w:vAlign w:val="center"/>
                </w:tcPr>
                <w:p w14:paraId="7451CB70">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i w:val="0"/>
                      <w:iCs w:val="0"/>
                      <w:color w:val="auto"/>
                      <w:kern w:val="0"/>
                      <w:sz w:val="22"/>
                      <w:szCs w:val="22"/>
                      <w:highlight w:val="none"/>
                      <w:u w:val="none"/>
                      <w:lang w:val="en-US" w:eastAsia="zh-CN" w:bidi="ar"/>
                    </w:rPr>
                  </w:pPr>
                  <w:r>
                    <w:rPr>
                      <w:rFonts w:hint="default" w:ascii="Times New Roman" w:hAnsi="Times New Roman" w:eastAsia="宋体" w:cs="Times New Roman"/>
                      <w:i w:val="0"/>
                      <w:iCs w:val="0"/>
                      <w:color w:val="auto"/>
                      <w:kern w:val="0"/>
                      <w:sz w:val="22"/>
                      <w:szCs w:val="22"/>
                      <w:highlight w:val="none"/>
                      <w:u w:val="none"/>
                      <w:lang w:val="en-US" w:eastAsia="zh-CN" w:bidi="ar"/>
                    </w:rPr>
                    <w:t>盐酸使用</w:t>
                  </w:r>
                </w:p>
              </w:tc>
              <w:tc>
                <w:tcPr>
                  <w:tcW w:w="222" w:type="pct"/>
                  <w:vMerge w:val="restart"/>
                  <w:noWrap w:val="0"/>
                  <w:vAlign w:val="center"/>
                </w:tcPr>
                <w:p w14:paraId="79177F1D">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cs="Times New Roman"/>
                      <w:b w:val="0"/>
                      <w:color w:val="auto"/>
                      <w:kern w:val="0"/>
                      <w:sz w:val="21"/>
                      <w:szCs w:val="21"/>
                      <w:highlight w:val="none"/>
                      <w:lang w:val="en-US" w:eastAsia="zh-CN" w:bidi="ar-SA"/>
                    </w:rPr>
                  </w:pPr>
                  <w:r>
                    <w:rPr>
                      <w:rStyle w:val="287"/>
                      <w:rFonts w:hint="default" w:ascii="Times New Roman" w:hAnsi="Times New Roman" w:eastAsia="宋体" w:cs="Times New Roman"/>
                      <w:color w:val="auto"/>
                      <w:sz w:val="21"/>
                      <w:szCs w:val="21"/>
                      <w:highlight w:val="none"/>
                    </w:rPr>
                    <w:t>氯化氢</w:t>
                  </w:r>
                </w:p>
              </w:tc>
              <w:tc>
                <w:tcPr>
                  <w:tcW w:w="807" w:type="dxa"/>
                  <w:noWrap w:val="0"/>
                  <w:vAlign w:val="center"/>
                </w:tcPr>
                <w:p w14:paraId="3AECE2F5">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0.045</w:t>
                  </w:r>
                </w:p>
              </w:tc>
              <w:tc>
                <w:tcPr>
                  <w:tcW w:w="993" w:type="dxa"/>
                  <w:noWrap w:val="0"/>
                  <w:vAlign w:val="center"/>
                </w:tcPr>
                <w:p w14:paraId="68496C19">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0.01125</w:t>
                  </w:r>
                </w:p>
              </w:tc>
              <w:tc>
                <w:tcPr>
                  <w:tcW w:w="750" w:type="dxa"/>
                  <w:noWrap w:val="0"/>
                  <w:vAlign w:val="center"/>
                </w:tcPr>
                <w:p w14:paraId="512AB851">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有组织</w:t>
                  </w:r>
                </w:p>
              </w:tc>
              <w:tc>
                <w:tcPr>
                  <w:tcW w:w="1806" w:type="dxa"/>
                  <w:noWrap w:val="0"/>
                  <w:vAlign w:val="center"/>
                </w:tcPr>
                <w:p w14:paraId="0C505850">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二级活性炭吸附装置+15m</w:t>
                  </w:r>
                  <w:r>
                    <w:rPr>
                      <w:rStyle w:val="361"/>
                      <w:rFonts w:hint="default" w:ascii="Times New Roman" w:hAnsi="Times New Roman" w:cs="Times New Roman"/>
                      <w:color w:val="auto"/>
                      <w:lang w:val="en-US" w:eastAsia="zh-CN" w:bidi="ar"/>
                    </w:rPr>
                    <w:t>高排气筒排放</w:t>
                  </w:r>
                </w:p>
              </w:tc>
              <w:tc>
                <w:tcPr>
                  <w:tcW w:w="675" w:type="dxa"/>
                  <w:noWrap w:val="0"/>
                  <w:vAlign w:val="center"/>
                </w:tcPr>
                <w:p w14:paraId="03BFF05C">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1000</w:t>
                  </w:r>
                </w:p>
              </w:tc>
              <w:tc>
                <w:tcPr>
                  <w:tcW w:w="769" w:type="dxa"/>
                  <w:noWrap w:val="0"/>
                  <w:vAlign w:val="center"/>
                </w:tcPr>
                <w:p w14:paraId="01AD4FC6">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90</w:t>
                  </w:r>
                </w:p>
              </w:tc>
              <w:tc>
                <w:tcPr>
                  <w:tcW w:w="658" w:type="dxa"/>
                  <w:noWrap w:val="0"/>
                  <w:vAlign w:val="center"/>
                </w:tcPr>
                <w:p w14:paraId="5A58578E">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60</w:t>
                  </w:r>
                </w:p>
              </w:tc>
              <w:tc>
                <w:tcPr>
                  <w:tcW w:w="758" w:type="dxa"/>
                  <w:noWrap w:val="0"/>
                  <w:vAlign w:val="center"/>
                </w:tcPr>
                <w:p w14:paraId="4B9C3D28">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是</w:t>
                  </w:r>
                </w:p>
              </w:tc>
              <w:tc>
                <w:tcPr>
                  <w:tcW w:w="867" w:type="dxa"/>
                  <w:noWrap w:val="0"/>
                  <w:vAlign w:val="center"/>
                </w:tcPr>
                <w:p w14:paraId="5A2ECC61">
                  <w:pPr>
                    <w:keepNext w:val="0"/>
                    <w:keepLines w:val="0"/>
                    <w:widowControl/>
                    <w:suppressLineNumbers w:val="0"/>
                    <w:jc w:val="center"/>
                    <w:textAlignment w:val="center"/>
                    <w:rPr>
                      <w:rFonts w:hint="default" w:ascii="Times New Roman" w:hAnsi="Times New Roman" w:cs="Times New Roman"/>
                      <w:color w:val="auto"/>
                      <w:spacing w:val="-6"/>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0.0045</w:t>
                  </w:r>
                </w:p>
              </w:tc>
              <w:tc>
                <w:tcPr>
                  <w:tcW w:w="1050" w:type="dxa"/>
                  <w:noWrap w:val="0"/>
                  <w:vAlign w:val="center"/>
                </w:tcPr>
                <w:p w14:paraId="49ED56C0">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0.000018</w:t>
                  </w:r>
                </w:p>
              </w:tc>
              <w:tc>
                <w:tcPr>
                  <w:tcW w:w="1183" w:type="dxa"/>
                  <w:noWrap w:val="0"/>
                  <w:vAlign w:val="center"/>
                </w:tcPr>
                <w:p w14:paraId="6D1FA321">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0.018</w:t>
                  </w:r>
                </w:p>
              </w:tc>
              <w:tc>
                <w:tcPr>
                  <w:tcW w:w="293" w:type="pct"/>
                  <w:noWrap w:val="0"/>
                  <w:vAlign w:val="center"/>
                </w:tcPr>
                <w:p w14:paraId="5FCD86B1">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DA001</w:t>
                  </w:r>
                </w:p>
              </w:tc>
              <w:tc>
                <w:tcPr>
                  <w:tcW w:w="441" w:type="pct"/>
                  <w:noWrap w:val="0"/>
                  <w:vAlign w:val="center"/>
                </w:tcPr>
                <w:p w14:paraId="6C7C774E">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100</w:t>
                  </w:r>
                </w:p>
              </w:tc>
            </w:tr>
            <w:tr w14:paraId="6F3A20DA">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4" w:type="pct"/>
                  <w:vMerge w:val="continue"/>
                  <w:noWrap w:val="0"/>
                  <w:vAlign w:val="center"/>
                </w:tcPr>
                <w:p w14:paraId="54224DCD">
                  <w:pPr>
                    <w:pStyle w:val="63"/>
                    <w:keepNext w:val="0"/>
                    <w:keepLines w:val="0"/>
                    <w:pageBreakBefore w:val="0"/>
                    <w:widowControl w:val="0"/>
                    <w:kinsoku/>
                    <w:wordWrap/>
                    <w:overflowPunct/>
                    <w:topLinePunct w:val="0"/>
                    <w:bidi w:val="0"/>
                    <w:spacing w:line="240" w:lineRule="auto"/>
                    <w:ind w:left="0" w:leftChars="0"/>
                    <w:jc w:val="center"/>
                    <w:textAlignment w:val="auto"/>
                    <w:rPr>
                      <w:rStyle w:val="287"/>
                      <w:rFonts w:hint="default" w:ascii="Times New Roman" w:hAnsi="Times New Roman" w:eastAsia="宋体" w:cs="Times New Roman"/>
                      <w:color w:val="auto"/>
                      <w:sz w:val="21"/>
                      <w:szCs w:val="21"/>
                      <w:highlight w:val="none"/>
                      <w:lang w:val="en-US" w:eastAsia="zh-CN"/>
                    </w:rPr>
                  </w:pPr>
                </w:p>
              </w:tc>
              <w:tc>
                <w:tcPr>
                  <w:tcW w:w="164" w:type="pct"/>
                  <w:vMerge w:val="continue"/>
                  <w:noWrap w:val="0"/>
                  <w:vAlign w:val="center"/>
                </w:tcPr>
                <w:p w14:paraId="45775A39">
                  <w:pPr>
                    <w:pStyle w:val="63"/>
                    <w:keepNext w:val="0"/>
                    <w:keepLines w:val="0"/>
                    <w:pageBreakBefore w:val="0"/>
                    <w:widowControl w:val="0"/>
                    <w:kinsoku/>
                    <w:wordWrap/>
                    <w:overflowPunct/>
                    <w:topLinePunct w:val="0"/>
                    <w:bidi w:val="0"/>
                    <w:spacing w:line="240" w:lineRule="auto"/>
                    <w:ind w:left="0" w:leftChars="0"/>
                    <w:jc w:val="center"/>
                    <w:textAlignment w:val="auto"/>
                    <w:rPr>
                      <w:rStyle w:val="287"/>
                      <w:rFonts w:hint="default" w:ascii="Times New Roman" w:hAnsi="Times New Roman" w:eastAsia="宋体" w:cs="Times New Roman"/>
                      <w:color w:val="auto"/>
                      <w:sz w:val="21"/>
                      <w:szCs w:val="21"/>
                      <w:highlight w:val="none"/>
                      <w:lang w:val="en-US" w:eastAsia="zh-CN"/>
                    </w:rPr>
                  </w:pPr>
                </w:p>
              </w:tc>
              <w:tc>
                <w:tcPr>
                  <w:tcW w:w="222" w:type="pct"/>
                  <w:vMerge w:val="continue"/>
                  <w:noWrap w:val="0"/>
                  <w:vAlign w:val="center"/>
                </w:tcPr>
                <w:p w14:paraId="00E6FF07">
                  <w:pPr>
                    <w:pStyle w:val="63"/>
                    <w:keepNext w:val="0"/>
                    <w:keepLines w:val="0"/>
                    <w:pageBreakBefore w:val="0"/>
                    <w:widowControl w:val="0"/>
                    <w:kinsoku/>
                    <w:wordWrap/>
                    <w:overflowPunct/>
                    <w:topLinePunct w:val="0"/>
                    <w:bidi w:val="0"/>
                    <w:spacing w:line="240" w:lineRule="auto"/>
                    <w:ind w:left="0" w:leftChars="0"/>
                    <w:jc w:val="center"/>
                    <w:textAlignment w:val="auto"/>
                    <w:rPr>
                      <w:rStyle w:val="287"/>
                      <w:rFonts w:hint="default" w:ascii="Times New Roman" w:hAnsi="Times New Roman" w:eastAsia="宋体" w:cs="Times New Roman"/>
                      <w:color w:val="auto"/>
                      <w:sz w:val="21"/>
                      <w:szCs w:val="21"/>
                      <w:highlight w:val="none"/>
                    </w:rPr>
                  </w:pPr>
                </w:p>
              </w:tc>
              <w:tc>
                <w:tcPr>
                  <w:tcW w:w="807" w:type="dxa"/>
                  <w:noWrap w:val="0"/>
                  <w:vAlign w:val="center"/>
                </w:tcPr>
                <w:p w14:paraId="55096163">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993" w:type="dxa"/>
                  <w:noWrap w:val="0"/>
                  <w:vAlign w:val="center"/>
                </w:tcPr>
                <w:p w14:paraId="6B326C88">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0.00125</w:t>
                  </w:r>
                </w:p>
              </w:tc>
              <w:tc>
                <w:tcPr>
                  <w:tcW w:w="750" w:type="dxa"/>
                  <w:noWrap w:val="0"/>
                  <w:vAlign w:val="center"/>
                </w:tcPr>
                <w:p w14:paraId="578093BB">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无组织</w:t>
                  </w:r>
                </w:p>
              </w:tc>
              <w:tc>
                <w:tcPr>
                  <w:tcW w:w="1806" w:type="dxa"/>
                  <w:noWrap w:val="0"/>
                  <w:vAlign w:val="center"/>
                </w:tcPr>
                <w:p w14:paraId="12FEB4EA">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675" w:type="dxa"/>
                  <w:noWrap w:val="0"/>
                  <w:vAlign w:val="center"/>
                </w:tcPr>
                <w:p w14:paraId="676FCCB9">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769" w:type="dxa"/>
                  <w:noWrap w:val="0"/>
                  <w:vAlign w:val="center"/>
                </w:tcPr>
                <w:p w14:paraId="5D5642A9">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658" w:type="dxa"/>
                  <w:noWrap w:val="0"/>
                  <w:vAlign w:val="center"/>
                </w:tcPr>
                <w:p w14:paraId="63751998">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758" w:type="dxa"/>
                  <w:noWrap w:val="0"/>
                  <w:vAlign w:val="center"/>
                </w:tcPr>
                <w:p w14:paraId="3EF7388C">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867" w:type="dxa"/>
                  <w:noWrap w:val="0"/>
                  <w:vAlign w:val="center"/>
                </w:tcPr>
                <w:p w14:paraId="3C63DCDC">
                  <w:pPr>
                    <w:keepNext w:val="0"/>
                    <w:keepLines w:val="0"/>
                    <w:widowControl/>
                    <w:suppressLineNumbers w:val="0"/>
                    <w:jc w:val="center"/>
                    <w:textAlignment w:val="center"/>
                    <w:rPr>
                      <w:rFonts w:hint="default" w:ascii="Times New Roman" w:hAnsi="Times New Roman" w:cs="Times New Roman"/>
                      <w:color w:val="auto"/>
                      <w:spacing w:val="-6"/>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0.00125</w:t>
                  </w:r>
                </w:p>
              </w:tc>
              <w:tc>
                <w:tcPr>
                  <w:tcW w:w="1050" w:type="dxa"/>
                  <w:noWrap w:val="0"/>
                  <w:vAlign w:val="center"/>
                </w:tcPr>
                <w:p w14:paraId="18EB302E">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1183" w:type="dxa"/>
                  <w:noWrap w:val="0"/>
                  <w:vAlign w:val="center"/>
                </w:tcPr>
                <w:p w14:paraId="3AEC848B">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293" w:type="pct"/>
                  <w:noWrap w:val="0"/>
                  <w:vAlign w:val="center"/>
                </w:tcPr>
                <w:p w14:paraId="49D937B6">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Style w:val="287"/>
                      <w:rFonts w:hint="default" w:ascii="Times New Roman" w:hAnsi="Times New Roman" w:eastAsia="宋体" w:cs="Times New Roman"/>
                      <w:color w:val="auto"/>
                      <w:sz w:val="21"/>
                      <w:szCs w:val="21"/>
                      <w:highlight w:val="none"/>
                      <w:lang w:val="en-US" w:eastAsia="zh-CN"/>
                    </w:rPr>
                  </w:pPr>
                  <w:r>
                    <w:rPr>
                      <w:rStyle w:val="287"/>
                      <w:rFonts w:hint="default" w:ascii="Times New Roman" w:hAnsi="Times New Roman" w:eastAsia="宋体" w:cs="Times New Roman"/>
                      <w:color w:val="auto"/>
                      <w:sz w:val="21"/>
                      <w:szCs w:val="21"/>
                      <w:highlight w:val="none"/>
                      <w:lang w:val="en-US" w:eastAsia="zh-CN"/>
                    </w:rPr>
                    <w:t>/</w:t>
                  </w:r>
                </w:p>
              </w:tc>
              <w:tc>
                <w:tcPr>
                  <w:tcW w:w="441" w:type="pct"/>
                  <w:noWrap w:val="0"/>
                  <w:vAlign w:val="center"/>
                </w:tcPr>
                <w:p w14:paraId="04CC2FA5">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0.2</w:t>
                  </w:r>
                </w:p>
              </w:tc>
            </w:tr>
            <w:tr w14:paraId="5EADEBA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4" w:type="pct"/>
                  <w:vMerge w:val="continue"/>
                  <w:noWrap w:val="0"/>
                  <w:vAlign w:val="center"/>
                </w:tcPr>
                <w:p w14:paraId="66D8E8AC">
                  <w:pPr>
                    <w:pStyle w:val="63"/>
                    <w:keepNext w:val="0"/>
                    <w:keepLines w:val="0"/>
                    <w:pageBreakBefore w:val="0"/>
                    <w:widowControl w:val="0"/>
                    <w:kinsoku/>
                    <w:wordWrap/>
                    <w:overflowPunct/>
                    <w:topLinePunct w:val="0"/>
                    <w:bidi w:val="0"/>
                    <w:spacing w:line="240" w:lineRule="auto"/>
                    <w:ind w:left="0" w:leftChars="0"/>
                    <w:jc w:val="center"/>
                    <w:textAlignment w:val="auto"/>
                    <w:rPr>
                      <w:rStyle w:val="287"/>
                      <w:rFonts w:hint="default" w:ascii="Times New Roman" w:hAnsi="Times New Roman" w:eastAsia="宋体" w:cs="Times New Roman"/>
                      <w:color w:val="auto"/>
                      <w:sz w:val="21"/>
                      <w:szCs w:val="21"/>
                      <w:highlight w:val="none"/>
                      <w:lang w:val="en-US" w:eastAsia="zh-CN"/>
                    </w:rPr>
                  </w:pPr>
                </w:p>
              </w:tc>
              <w:tc>
                <w:tcPr>
                  <w:tcW w:w="164" w:type="pct"/>
                  <w:vMerge w:val="restart"/>
                  <w:noWrap w:val="0"/>
                  <w:vAlign w:val="center"/>
                </w:tcPr>
                <w:p w14:paraId="0EFD3F57">
                  <w:pPr>
                    <w:pStyle w:val="63"/>
                    <w:keepNext w:val="0"/>
                    <w:keepLines w:val="0"/>
                    <w:pageBreakBefore w:val="0"/>
                    <w:widowControl w:val="0"/>
                    <w:kinsoku/>
                    <w:wordWrap/>
                    <w:overflowPunct/>
                    <w:topLinePunct w:val="0"/>
                    <w:bidi w:val="0"/>
                    <w:spacing w:line="240" w:lineRule="auto"/>
                    <w:ind w:left="0" w:leftChars="0"/>
                    <w:jc w:val="center"/>
                    <w:textAlignment w:val="auto"/>
                    <w:rPr>
                      <w:rStyle w:val="287"/>
                      <w:rFonts w:hint="default" w:ascii="Times New Roman" w:hAnsi="Times New Roman" w:eastAsia="宋体" w:cs="Times New Roman"/>
                      <w:color w:val="auto"/>
                      <w:sz w:val="21"/>
                      <w:szCs w:val="21"/>
                      <w:highlight w:val="none"/>
                      <w:lang w:val="en-US" w:eastAsia="zh-CN"/>
                    </w:rPr>
                  </w:pPr>
                  <w:r>
                    <w:rPr>
                      <w:rStyle w:val="287"/>
                      <w:rFonts w:hint="default" w:ascii="Times New Roman" w:hAnsi="Times New Roman" w:cs="Times New Roman"/>
                      <w:color w:val="auto"/>
                      <w:sz w:val="21"/>
                      <w:szCs w:val="21"/>
                      <w:highlight w:val="none"/>
                      <w:lang w:val="en-US" w:eastAsia="zh-CN"/>
                    </w:rPr>
                    <w:t>氨水使用</w:t>
                  </w:r>
                </w:p>
              </w:tc>
              <w:tc>
                <w:tcPr>
                  <w:tcW w:w="222" w:type="pct"/>
                  <w:vMerge w:val="restart"/>
                  <w:noWrap w:val="0"/>
                  <w:vAlign w:val="center"/>
                </w:tcPr>
                <w:p w14:paraId="355922DD">
                  <w:pPr>
                    <w:pStyle w:val="63"/>
                    <w:keepNext w:val="0"/>
                    <w:keepLines w:val="0"/>
                    <w:pageBreakBefore w:val="0"/>
                    <w:widowControl w:val="0"/>
                    <w:kinsoku/>
                    <w:wordWrap/>
                    <w:overflowPunct/>
                    <w:topLinePunct w:val="0"/>
                    <w:bidi w:val="0"/>
                    <w:spacing w:line="240" w:lineRule="auto"/>
                    <w:ind w:left="0" w:leftChars="0"/>
                    <w:jc w:val="center"/>
                    <w:textAlignment w:val="auto"/>
                    <w:rPr>
                      <w:rStyle w:val="287"/>
                      <w:rFonts w:hint="default" w:ascii="Times New Roman" w:hAnsi="Times New Roman" w:eastAsia="宋体" w:cs="Times New Roman"/>
                      <w:color w:val="auto"/>
                      <w:sz w:val="21"/>
                      <w:szCs w:val="21"/>
                      <w:highlight w:val="none"/>
                    </w:rPr>
                  </w:pPr>
                  <w:r>
                    <w:rPr>
                      <w:rFonts w:hint="default" w:ascii="Times New Roman" w:hAnsi="Times New Roman" w:cs="Times New Roman"/>
                      <w:i w:val="0"/>
                      <w:iCs w:val="0"/>
                      <w:color w:val="auto"/>
                      <w:kern w:val="0"/>
                      <w:sz w:val="22"/>
                      <w:szCs w:val="22"/>
                      <w:highlight w:val="none"/>
                      <w:u w:val="none"/>
                      <w:lang w:val="en-US" w:eastAsia="zh-CN" w:bidi="ar"/>
                    </w:rPr>
                    <w:t>氨</w:t>
                  </w:r>
                </w:p>
              </w:tc>
              <w:tc>
                <w:tcPr>
                  <w:tcW w:w="807" w:type="dxa"/>
                  <w:noWrap w:val="0"/>
                  <w:vAlign w:val="center"/>
                </w:tcPr>
                <w:p w14:paraId="64DAE766">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1.638</w:t>
                  </w:r>
                </w:p>
              </w:tc>
              <w:tc>
                <w:tcPr>
                  <w:tcW w:w="993" w:type="dxa"/>
                  <w:noWrap w:val="0"/>
                  <w:vAlign w:val="center"/>
                </w:tcPr>
                <w:p w14:paraId="67C94DDC">
                  <w:pPr>
                    <w:keepNext w:val="0"/>
                    <w:keepLines w:val="0"/>
                    <w:widowControl/>
                    <w:suppressLineNumbers w:val="0"/>
                    <w:jc w:val="center"/>
                    <w:textAlignment w:val="center"/>
                    <w:rPr>
                      <w:rStyle w:val="287"/>
                      <w:rFonts w:hint="default" w:ascii="Times New Roman" w:hAnsi="Times New Roman"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0.4095</w:t>
                  </w:r>
                </w:p>
              </w:tc>
              <w:tc>
                <w:tcPr>
                  <w:tcW w:w="750" w:type="dxa"/>
                  <w:noWrap w:val="0"/>
                  <w:vAlign w:val="center"/>
                </w:tcPr>
                <w:p w14:paraId="6AB731B3">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有组织</w:t>
                  </w:r>
                </w:p>
              </w:tc>
              <w:tc>
                <w:tcPr>
                  <w:tcW w:w="1806" w:type="dxa"/>
                  <w:noWrap w:val="0"/>
                  <w:vAlign w:val="center"/>
                </w:tcPr>
                <w:p w14:paraId="55F0A69D">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二级活性炭吸附装置+15m</w:t>
                  </w:r>
                  <w:r>
                    <w:rPr>
                      <w:rStyle w:val="361"/>
                      <w:rFonts w:hint="default" w:ascii="Times New Roman" w:hAnsi="Times New Roman" w:cs="Times New Roman"/>
                      <w:color w:val="auto"/>
                      <w:lang w:val="en-US" w:eastAsia="zh-CN" w:bidi="ar"/>
                    </w:rPr>
                    <w:t>高排气筒排放</w:t>
                  </w:r>
                </w:p>
              </w:tc>
              <w:tc>
                <w:tcPr>
                  <w:tcW w:w="675" w:type="dxa"/>
                  <w:noWrap w:val="0"/>
                  <w:vAlign w:val="center"/>
                </w:tcPr>
                <w:p w14:paraId="2001F92E">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1000</w:t>
                  </w:r>
                </w:p>
              </w:tc>
              <w:tc>
                <w:tcPr>
                  <w:tcW w:w="769" w:type="dxa"/>
                  <w:noWrap w:val="0"/>
                  <w:vAlign w:val="center"/>
                </w:tcPr>
                <w:p w14:paraId="5232F64B">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90</w:t>
                  </w:r>
                </w:p>
              </w:tc>
              <w:tc>
                <w:tcPr>
                  <w:tcW w:w="658" w:type="dxa"/>
                  <w:noWrap w:val="0"/>
                  <w:vAlign w:val="center"/>
                </w:tcPr>
                <w:p w14:paraId="2A9F3806">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60</w:t>
                  </w:r>
                </w:p>
              </w:tc>
              <w:tc>
                <w:tcPr>
                  <w:tcW w:w="758" w:type="dxa"/>
                  <w:noWrap w:val="0"/>
                  <w:vAlign w:val="center"/>
                </w:tcPr>
                <w:p w14:paraId="107CDBC9">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是</w:t>
                  </w:r>
                </w:p>
              </w:tc>
              <w:tc>
                <w:tcPr>
                  <w:tcW w:w="867" w:type="dxa"/>
                  <w:noWrap w:val="0"/>
                  <w:vAlign w:val="center"/>
                </w:tcPr>
                <w:p w14:paraId="647E7E26">
                  <w:pPr>
                    <w:keepNext w:val="0"/>
                    <w:keepLines w:val="0"/>
                    <w:widowControl/>
                    <w:suppressLineNumbers w:val="0"/>
                    <w:jc w:val="center"/>
                    <w:textAlignment w:val="center"/>
                    <w:rPr>
                      <w:rStyle w:val="287"/>
                      <w:rFonts w:hint="default" w:ascii="Times New Roman" w:hAnsi="Times New Roman"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0.1638</w:t>
                  </w:r>
                </w:p>
              </w:tc>
              <w:tc>
                <w:tcPr>
                  <w:tcW w:w="1050" w:type="dxa"/>
                  <w:noWrap w:val="0"/>
                  <w:vAlign w:val="center"/>
                </w:tcPr>
                <w:p w14:paraId="26B4B754">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0.0006552</w:t>
                  </w:r>
                </w:p>
              </w:tc>
              <w:tc>
                <w:tcPr>
                  <w:tcW w:w="1183" w:type="dxa"/>
                  <w:noWrap w:val="0"/>
                  <w:vAlign w:val="center"/>
                </w:tcPr>
                <w:p w14:paraId="4717C963">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0.6552</w:t>
                  </w:r>
                </w:p>
              </w:tc>
              <w:tc>
                <w:tcPr>
                  <w:tcW w:w="293" w:type="pct"/>
                  <w:noWrap w:val="0"/>
                  <w:vAlign w:val="center"/>
                </w:tcPr>
                <w:p w14:paraId="33178630">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DA001</w:t>
                  </w:r>
                </w:p>
              </w:tc>
              <w:tc>
                <w:tcPr>
                  <w:tcW w:w="441" w:type="pct"/>
                  <w:noWrap w:val="0"/>
                  <w:vAlign w:val="center"/>
                </w:tcPr>
                <w:p w14:paraId="741FF8B4">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4.9</w:t>
                  </w:r>
                  <w:r>
                    <w:rPr>
                      <w:rFonts w:hint="default" w:ascii="Times New Roman" w:hAnsi="Times New Roman" w:cs="Times New Roman"/>
                      <w:color w:val="auto"/>
                      <w:sz w:val="21"/>
                      <w:szCs w:val="21"/>
                      <w:highlight w:val="none"/>
                      <w:lang w:val="en-US" w:eastAsia="zh-CN"/>
                    </w:rPr>
                    <w:t>kg/h（排放速率）</w:t>
                  </w:r>
                </w:p>
              </w:tc>
            </w:tr>
            <w:tr w14:paraId="60DBC4CA">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4" w:type="pct"/>
                  <w:vMerge w:val="continue"/>
                  <w:noWrap w:val="0"/>
                  <w:vAlign w:val="center"/>
                </w:tcPr>
                <w:p w14:paraId="224661E2">
                  <w:pPr>
                    <w:pStyle w:val="63"/>
                    <w:keepNext w:val="0"/>
                    <w:keepLines w:val="0"/>
                    <w:pageBreakBefore w:val="0"/>
                    <w:widowControl w:val="0"/>
                    <w:kinsoku/>
                    <w:wordWrap/>
                    <w:overflowPunct/>
                    <w:topLinePunct w:val="0"/>
                    <w:bidi w:val="0"/>
                    <w:spacing w:line="240" w:lineRule="auto"/>
                    <w:ind w:left="0" w:leftChars="0"/>
                    <w:jc w:val="center"/>
                    <w:textAlignment w:val="auto"/>
                    <w:rPr>
                      <w:rStyle w:val="287"/>
                      <w:rFonts w:hint="default" w:ascii="Times New Roman" w:hAnsi="Times New Roman" w:eastAsia="宋体" w:cs="Times New Roman"/>
                      <w:color w:val="auto"/>
                      <w:sz w:val="21"/>
                      <w:szCs w:val="21"/>
                      <w:highlight w:val="none"/>
                      <w:lang w:val="en-US" w:eastAsia="zh-CN"/>
                    </w:rPr>
                  </w:pPr>
                </w:p>
              </w:tc>
              <w:tc>
                <w:tcPr>
                  <w:tcW w:w="164" w:type="pct"/>
                  <w:vMerge w:val="continue"/>
                  <w:noWrap w:val="0"/>
                  <w:vAlign w:val="center"/>
                </w:tcPr>
                <w:p w14:paraId="7DA22EAE">
                  <w:pPr>
                    <w:pStyle w:val="63"/>
                    <w:keepNext w:val="0"/>
                    <w:keepLines w:val="0"/>
                    <w:pageBreakBefore w:val="0"/>
                    <w:widowControl w:val="0"/>
                    <w:kinsoku/>
                    <w:wordWrap/>
                    <w:overflowPunct/>
                    <w:topLinePunct w:val="0"/>
                    <w:bidi w:val="0"/>
                    <w:spacing w:line="240" w:lineRule="auto"/>
                    <w:ind w:left="0" w:leftChars="0"/>
                    <w:jc w:val="center"/>
                    <w:textAlignment w:val="auto"/>
                    <w:rPr>
                      <w:rStyle w:val="287"/>
                      <w:rFonts w:hint="default" w:ascii="Times New Roman" w:hAnsi="Times New Roman" w:eastAsia="宋体" w:cs="Times New Roman"/>
                      <w:color w:val="auto"/>
                      <w:sz w:val="21"/>
                      <w:szCs w:val="21"/>
                      <w:highlight w:val="none"/>
                      <w:lang w:val="en-US" w:eastAsia="zh-CN"/>
                    </w:rPr>
                  </w:pPr>
                </w:p>
              </w:tc>
              <w:tc>
                <w:tcPr>
                  <w:tcW w:w="222" w:type="pct"/>
                  <w:vMerge w:val="continue"/>
                  <w:noWrap w:val="0"/>
                  <w:vAlign w:val="center"/>
                </w:tcPr>
                <w:p w14:paraId="3A3516AF">
                  <w:pPr>
                    <w:pStyle w:val="63"/>
                    <w:keepNext w:val="0"/>
                    <w:keepLines w:val="0"/>
                    <w:pageBreakBefore w:val="0"/>
                    <w:widowControl w:val="0"/>
                    <w:kinsoku/>
                    <w:wordWrap/>
                    <w:overflowPunct/>
                    <w:topLinePunct w:val="0"/>
                    <w:bidi w:val="0"/>
                    <w:spacing w:line="240" w:lineRule="auto"/>
                    <w:ind w:left="0" w:leftChars="0"/>
                    <w:jc w:val="center"/>
                    <w:textAlignment w:val="auto"/>
                    <w:rPr>
                      <w:rStyle w:val="287"/>
                      <w:rFonts w:hint="default" w:ascii="Times New Roman" w:hAnsi="Times New Roman" w:eastAsia="宋体" w:cs="Times New Roman"/>
                      <w:color w:val="auto"/>
                      <w:sz w:val="21"/>
                      <w:szCs w:val="21"/>
                      <w:highlight w:val="none"/>
                    </w:rPr>
                  </w:pPr>
                </w:p>
              </w:tc>
              <w:tc>
                <w:tcPr>
                  <w:tcW w:w="807" w:type="dxa"/>
                  <w:noWrap w:val="0"/>
                  <w:vAlign w:val="center"/>
                </w:tcPr>
                <w:p w14:paraId="61A2B4F5">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993" w:type="dxa"/>
                  <w:noWrap w:val="0"/>
                  <w:vAlign w:val="center"/>
                </w:tcPr>
                <w:p w14:paraId="49B863E6">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0.0455</w:t>
                  </w:r>
                </w:p>
              </w:tc>
              <w:tc>
                <w:tcPr>
                  <w:tcW w:w="750" w:type="dxa"/>
                  <w:noWrap w:val="0"/>
                  <w:vAlign w:val="center"/>
                </w:tcPr>
                <w:p w14:paraId="3A26C169">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无组织</w:t>
                  </w:r>
                </w:p>
              </w:tc>
              <w:tc>
                <w:tcPr>
                  <w:tcW w:w="1806" w:type="dxa"/>
                  <w:noWrap w:val="0"/>
                  <w:vAlign w:val="center"/>
                </w:tcPr>
                <w:p w14:paraId="65037F8A">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675" w:type="dxa"/>
                  <w:noWrap w:val="0"/>
                  <w:vAlign w:val="center"/>
                </w:tcPr>
                <w:p w14:paraId="08ECE192">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769" w:type="dxa"/>
                  <w:noWrap w:val="0"/>
                  <w:vAlign w:val="center"/>
                </w:tcPr>
                <w:p w14:paraId="74E41BC8">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658" w:type="dxa"/>
                  <w:noWrap w:val="0"/>
                  <w:vAlign w:val="center"/>
                </w:tcPr>
                <w:p w14:paraId="38545C19">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758" w:type="dxa"/>
                  <w:noWrap w:val="0"/>
                  <w:vAlign w:val="center"/>
                </w:tcPr>
                <w:p w14:paraId="1ECD6C0C">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867" w:type="dxa"/>
                  <w:noWrap w:val="0"/>
                  <w:vAlign w:val="center"/>
                </w:tcPr>
                <w:p w14:paraId="31B69A53">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0.0455</w:t>
                  </w:r>
                </w:p>
              </w:tc>
              <w:tc>
                <w:tcPr>
                  <w:tcW w:w="1050" w:type="dxa"/>
                  <w:noWrap w:val="0"/>
                  <w:vAlign w:val="center"/>
                </w:tcPr>
                <w:p w14:paraId="19FFE320">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1183" w:type="dxa"/>
                  <w:noWrap w:val="0"/>
                  <w:vAlign w:val="center"/>
                </w:tcPr>
                <w:p w14:paraId="4A5D0F74">
                  <w:pPr>
                    <w:keepNext w:val="0"/>
                    <w:keepLines w:val="0"/>
                    <w:widowControl/>
                    <w:suppressLineNumbers w:val="0"/>
                    <w:jc w:val="center"/>
                    <w:textAlignment w:val="center"/>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293" w:type="pct"/>
                  <w:noWrap w:val="0"/>
                  <w:vAlign w:val="center"/>
                </w:tcPr>
                <w:p w14:paraId="415FF7B4">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Style w:val="287"/>
                      <w:rFonts w:hint="default" w:ascii="Times New Roman" w:hAnsi="Times New Roman" w:eastAsia="宋体" w:cs="Times New Roman"/>
                      <w:color w:val="auto"/>
                      <w:sz w:val="21"/>
                      <w:szCs w:val="21"/>
                      <w:highlight w:val="none"/>
                      <w:lang w:val="en-US" w:eastAsia="zh-CN"/>
                    </w:rPr>
                  </w:pPr>
                  <w:r>
                    <w:rPr>
                      <w:rStyle w:val="287"/>
                      <w:rFonts w:hint="default" w:ascii="Times New Roman" w:hAnsi="Times New Roman" w:eastAsia="宋体" w:cs="Times New Roman"/>
                      <w:color w:val="auto"/>
                      <w:sz w:val="21"/>
                      <w:szCs w:val="21"/>
                      <w:highlight w:val="none"/>
                      <w:lang w:val="en-US" w:eastAsia="zh-CN"/>
                    </w:rPr>
                    <w:t>/</w:t>
                  </w:r>
                </w:p>
              </w:tc>
              <w:tc>
                <w:tcPr>
                  <w:tcW w:w="441" w:type="pct"/>
                  <w:noWrap w:val="0"/>
                  <w:vAlign w:val="center"/>
                </w:tcPr>
                <w:p w14:paraId="44C4943A">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1.5</w:t>
                  </w:r>
                </w:p>
              </w:tc>
            </w:tr>
            <w:tr w14:paraId="59E08BAE">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64" w:type="pct"/>
                  <w:vMerge w:val="continue"/>
                  <w:noWrap w:val="0"/>
                  <w:vAlign w:val="center"/>
                </w:tcPr>
                <w:p w14:paraId="4C082A5A">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color w:val="auto"/>
                      <w:sz w:val="21"/>
                      <w:szCs w:val="21"/>
                      <w:highlight w:val="none"/>
                      <w:lang w:val="en-US" w:eastAsia="zh-CN"/>
                    </w:rPr>
                  </w:pPr>
                </w:p>
              </w:tc>
              <w:tc>
                <w:tcPr>
                  <w:tcW w:w="164" w:type="pct"/>
                  <w:vMerge w:val="restart"/>
                  <w:noWrap w:val="0"/>
                  <w:vAlign w:val="center"/>
                </w:tcPr>
                <w:p w14:paraId="3316769B">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挥发性有机物使用</w:t>
                  </w:r>
                </w:p>
              </w:tc>
              <w:tc>
                <w:tcPr>
                  <w:tcW w:w="222" w:type="pct"/>
                  <w:vMerge w:val="restart"/>
                  <w:noWrap w:val="0"/>
                  <w:vAlign w:val="center"/>
                </w:tcPr>
                <w:p w14:paraId="546BDC76">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b w:val="0"/>
                      <w:color w:val="auto"/>
                      <w:kern w:val="0"/>
                      <w:sz w:val="21"/>
                      <w:szCs w:val="21"/>
                      <w:highlight w:val="none"/>
                      <w:lang w:val="en-US" w:eastAsia="zh-CN" w:bidi="ar-SA"/>
                    </w:rPr>
                    <w:t>非甲烷总烃</w:t>
                  </w:r>
                </w:p>
              </w:tc>
              <w:tc>
                <w:tcPr>
                  <w:tcW w:w="807" w:type="dxa"/>
                  <w:noWrap w:val="0"/>
                  <w:vAlign w:val="center"/>
                </w:tcPr>
                <w:p w14:paraId="16C3FBE1">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0.144</w:t>
                  </w:r>
                </w:p>
              </w:tc>
              <w:tc>
                <w:tcPr>
                  <w:tcW w:w="993" w:type="dxa"/>
                  <w:noWrap w:val="0"/>
                  <w:vAlign w:val="center"/>
                </w:tcPr>
                <w:p w14:paraId="2380A7E2">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0.036</w:t>
                  </w:r>
                </w:p>
              </w:tc>
              <w:tc>
                <w:tcPr>
                  <w:tcW w:w="750" w:type="dxa"/>
                  <w:noWrap w:val="0"/>
                  <w:vAlign w:val="center"/>
                </w:tcPr>
                <w:p w14:paraId="095F3F15">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有组织</w:t>
                  </w:r>
                </w:p>
              </w:tc>
              <w:tc>
                <w:tcPr>
                  <w:tcW w:w="1806" w:type="dxa"/>
                  <w:noWrap w:val="0"/>
                  <w:vAlign w:val="center"/>
                </w:tcPr>
                <w:p w14:paraId="29BC1F12">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二级活性炭吸附装置+15m</w:t>
                  </w:r>
                  <w:r>
                    <w:rPr>
                      <w:rStyle w:val="361"/>
                      <w:rFonts w:hint="default" w:ascii="Times New Roman" w:hAnsi="Times New Roman" w:cs="Times New Roman"/>
                      <w:color w:val="auto"/>
                      <w:lang w:val="en-US" w:eastAsia="zh-CN" w:bidi="ar"/>
                    </w:rPr>
                    <w:t>高排气筒排放</w:t>
                  </w:r>
                </w:p>
              </w:tc>
              <w:tc>
                <w:tcPr>
                  <w:tcW w:w="675" w:type="dxa"/>
                  <w:noWrap w:val="0"/>
                  <w:vAlign w:val="center"/>
                </w:tcPr>
                <w:p w14:paraId="2F9D24F3">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1000</w:t>
                  </w:r>
                </w:p>
              </w:tc>
              <w:tc>
                <w:tcPr>
                  <w:tcW w:w="769" w:type="dxa"/>
                  <w:noWrap w:val="0"/>
                  <w:vAlign w:val="center"/>
                </w:tcPr>
                <w:p w14:paraId="0BC4682A">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90</w:t>
                  </w:r>
                </w:p>
              </w:tc>
              <w:tc>
                <w:tcPr>
                  <w:tcW w:w="658" w:type="dxa"/>
                  <w:noWrap w:val="0"/>
                  <w:vAlign w:val="center"/>
                </w:tcPr>
                <w:p w14:paraId="115C100D">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60</w:t>
                  </w:r>
                </w:p>
              </w:tc>
              <w:tc>
                <w:tcPr>
                  <w:tcW w:w="758" w:type="dxa"/>
                  <w:noWrap w:val="0"/>
                  <w:vAlign w:val="center"/>
                </w:tcPr>
                <w:p w14:paraId="16D27D14">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是</w:t>
                  </w:r>
                </w:p>
              </w:tc>
              <w:tc>
                <w:tcPr>
                  <w:tcW w:w="867" w:type="dxa"/>
                  <w:noWrap w:val="0"/>
                  <w:vAlign w:val="center"/>
                </w:tcPr>
                <w:p w14:paraId="6CBD13F9">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0.0144</w:t>
                  </w:r>
                </w:p>
              </w:tc>
              <w:tc>
                <w:tcPr>
                  <w:tcW w:w="1050" w:type="dxa"/>
                  <w:noWrap w:val="0"/>
                  <w:vAlign w:val="center"/>
                </w:tcPr>
                <w:p w14:paraId="2A24A91E">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0.0000576</w:t>
                  </w:r>
                </w:p>
              </w:tc>
              <w:tc>
                <w:tcPr>
                  <w:tcW w:w="1183" w:type="dxa"/>
                  <w:noWrap w:val="0"/>
                  <w:vAlign w:val="center"/>
                </w:tcPr>
                <w:p w14:paraId="4D8B7B9A">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0.0576</w:t>
                  </w:r>
                </w:p>
              </w:tc>
              <w:tc>
                <w:tcPr>
                  <w:tcW w:w="293" w:type="pct"/>
                  <w:noWrap w:val="0"/>
                  <w:vAlign w:val="center"/>
                </w:tcPr>
                <w:p w14:paraId="5B076CEE">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Style w:val="287"/>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DA001</w:t>
                  </w:r>
                </w:p>
              </w:tc>
              <w:tc>
                <w:tcPr>
                  <w:tcW w:w="441" w:type="pct"/>
                  <w:noWrap w:val="0"/>
                  <w:vAlign w:val="center"/>
                </w:tcPr>
                <w:p w14:paraId="28CED227">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120</w:t>
                  </w:r>
                </w:p>
              </w:tc>
            </w:tr>
            <w:tr w14:paraId="1243EBE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64" w:type="pct"/>
                  <w:vMerge w:val="continue"/>
                  <w:noWrap w:val="0"/>
                  <w:vAlign w:val="center"/>
                </w:tcPr>
                <w:p w14:paraId="471E4F6C">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color w:val="auto"/>
                      <w:sz w:val="21"/>
                      <w:szCs w:val="21"/>
                      <w:highlight w:val="none"/>
                      <w:lang w:val="en-US" w:eastAsia="zh-CN"/>
                    </w:rPr>
                  </w:pPr>
                </w:p>
              </w:tc>
              <w:tc>
                <w:tcPr>
                  <w:tcW w:w="164" w:type="pct"/>
                  <w:vMerge w:val="continue"/>
                  <w:noWrap w:val="0"/>
                  <w:vAlign w:val="center"/>
                </w:tcPr>
                <w:p w14:paraId="455B07A2">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color w:val="auto"/>
                      <w:sz w:val="21"/>
                      <w:szCs w:val="21"/>
                      <w:highlight w:val="none"/>
                      <w:lang w:val="en-US" w:eastAsia="zh-CN"/>
                    </w:rPr>
                  </w:pPr>
                </w:p>
              </w:tc>
              <w:tc>
                <w:tcPr>
                  <w:tcW w:w="222" w:type="pct"/>
                  <w:vMerge w:val="continue"/>
                  <w:noWrap w:val="0"/>
                  <w:vAlign w:val="center"/>
                </w:tcPr>
                <w:p w14:paraId="12DD7E05">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Fonts w:hint="default" w:ascii="Times New Roman" w:hAnsi="Times New Roman" w:cs="Times New Roman"/>
                      <w:b w:val="0"/>
                      <w:color w:val="auto"/>
                      <w:kern w:val="0"/>
                      <w:sz w:val="21"/>
                      <w:szCs w:val="21"/>
                      <w:highlight w:val="none"/>
                      <w:lang w:val="en-US" w:eastAsia="zh-CN" w:bidi="ar-SA"/>
                    </w:rPr>
                  </w:pPr>
                </w:p>
              </w:tc>
              <w:tc>
                <w:tcPr>
                  <w:tcW w:w="807" w:type="dxa"/>
                  <w:noWrap w:val="0"/>
                  <w:vAlign w:val="center"/>
                </w:tcPr>
                <w:p w14:paraId="666ABD11">
                  <w:pPr>
                    <w:keepNext w:val="0"/>
                    <w:keepLines w:val="0"/>
                    <w:widowControl/>
                    <w:suppressLineNumbers w:val="0"/>
                    <w:jc w:val="center"/>
                    <w:textAlignment w:val="center"/>
                    <w:rPr>
                      <w:rFonts w:hint="default" w:ascii="Times New Roman" w:hAnsi="Times New Roman" w:cs="Times New Roman"/>
                      <w:color w:val="auto"/>
                      <w:spacing w:val="-9"/>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993" w:type="dxa"/>
                  <w:noWrap w:val="0"/>
                  <w:vAlign w:val="center"/>
                </w:tcPr>
                <w:p w14:paraId="32015258">
                  <w:pPr>
                    <w:keepNext w:val="0"/>
                    <w:keepLines w:val="0"/>
                    <w:widowControl/>
                    <w:suppressLineNumbers w:val="0"/>
                    <w:jc w:val="center"/>
                    <w:textAlignment w:val="center"/>
                    <w:rPr>
                      <w:rFonts w:hint="default" w:ascii="Times New Roman" w:hAnsi="Times New Roman" w:cs="Times New Roman"/>
                      <w:color w:val="auto"/>
                      <w:spacing w:val="-9"/>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0.04</w:t>
                  </w:r>
                </w:p>
              </w:tc>
              <w:tc>
                <w:tcPr>
                  <w:tcW w:w="750" w:type="dxa"/>
                  <w:noWrap w:val="0"/>
                  <w:vAlign w:val="center"/>
                </w:tcPr>
                <w:p w14:paraId="67F9B77B">
                  <w:pPr>
                    <w:keepNext w:val="0"/>
                    <w:keepLines w:val="0"/>
                    <w:widowControl/>
                    <w:suppressLineNumbers w:val="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无组织</w:t>
                  </w:r>
                </w:p>
              </w:tc>
              <w:tc>
                <w:tcPr>
                  <w:tcW w:w="1806" w:type="dxa"/>
                  <w:noWrap w:val="0"/>
                  <w:vAlign w:val="center"/>
                </w:tcPr>
                <w:p w14:paraId="3046CB12">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675" w:type="dxa"/>
                  <w:noWrap w:val="0"/>
                  <w:vAlign w:val="center"/>
                </w:tcPr>
                <w:p w14:paraId="03335FA1">
                  <w:pPr>
                    <w:keepNext w:val="0"/>
                    <w:keepLines w:val="0"/>
                    <w:widowControl/>
                    <w:suppressLineNumbers w:val="0"/>
                    <w:jc w:val="center"/>
                    <w:textAlignment w:val="center"/>
                    <w:rPr>
                      <w:rFonts w:hint="default" w:ascii="Times New Roman" w:hAnsi="Times New Roman" w:cs="Times New Roman"/>
                      <w:color w:val="auto"/>
                      <w:spacing w:val="-9"/>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769" w:type="dxa"/>
                  <w:noWrap w:val="0"/>
                  <w:vAlign w:val="center"/>
                </w:tcPr>
                <w:p w14:paraId="6D8151C5">
                  <w:pPr>
                    <w:keepNext w:val="0"/>
                    <w:keepLines w:val="0"/>
                    <w:widowControl/>
                    <w:suppressLineNumbers w:val="0"/>
                    <w:jc w:val="center"/>
                    <w:textAlignment w:val="center"/>
                    <w:rPr>
                      <w:rFonts w:hint="default" w:ascii="Times New Roman" w:hAnsi="Times New Roman" w:cs="Times New Roman"/>
                      <w:color w:val="auto"/>
                      <w:spacing w:val="-9"/>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658" w:type="dxa"/>
                  <w:noWrap w:val="0"/>
                  <w:vAlign w:val="center"/>
                </w:tcPr>
                <w:p w14:paraId="3EB14D76">
                  <w:pPr>
                    <w:keepNext w:val="0"/>
                    <w:keepLines w:val="0"/>
                    <w:widowControl/>
                    <w:suppressLineNumbers w:val="0"/>
                    <w:jc w:val="center"/>
                    <w:textAlignment w:val="center"/>
                    <w:rPr>
                      <w:rFonts w:hint="default" w:ascii="Times New Roman" w:hAnsi="Times New Roman" w:cs="Times New Roman"/>
                      <w:color w:val="auto"/>
                      <w:spacing w:val="-9"/>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758" w:type="dxa"/>
                  <w:noWrap w:val="0"/>
                  <w:vAlign w:val="center"/>
                </w:tcPr>
                <w:p w14:paraId="68BAE5D9">
                  <w:pPr>
                    <w:keepNext w:val="0"/>
                    <w:keepLines w:val="0"/>
                    <w:widowControl/>
                    <w:suppressLineNumbers w:val="0"/>
                    <w:jc w:val="center"/>
                    <w:textAlignment w:val="center"/>
                    <w:rPr>
                      <w:rFonts w:hint="default" w:ascii="Times New Roman" w:hAnsi="Times New Roman" w:cs="Times New Roman"/>
                      <w:color w:val="auto"/>
                      <w:spacing w:val="-9"/>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867" w:type="dxa"/>
                  <w:noWrap w:val="0"/>
                  <w:vAlign w:val="center"/>
                </w:tcPr>
                <w:p w14:paraId="728B4306">
                  <w:pPr>
                    <w:keepNext w:val="0"/>
                    <w:keepLines w:val="0"/>
                    <w:widowControl/>
                    <w:suppressLineNumbers w:val="0"/>
                    <w:jc w:val="center"/>
                    <w:textAlignment w:val="center"/>
                    <w:rPr>
                      <w:rFonts w:hint="default" w:ascii="Times New Roman" w:hAnsi="Times New Roman" w:cs="Times New Roman"/>
                      <w:color w:val="auto"/>
                      <w:spacing w:val="-9"/>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0.04</w:t>
                  </w:r>
                </w:p>
              </w:tc>
              <w:tc>
                <w:tcPr>
                  <w:tcW w:w="1050" w:type="dxa"/>
                  <w:noWrap w:val="0"/>
                  <w:vAlign w:val="center"/>
                </w:tcPr>
                <w:p w14:paraId="3DAC5E5C">
                  <w:pPr>
                    <w:keepNext w:val="0"/>
                    <w:keepLines w:val="0"/>
                    <w:widowControl/>
                    <w:suppressLineNumbers w:val="0"/>
                    <w:jc w:val="center"/>
                    <w:textAlignment w:val="center"/>
                    <w:rPr>
                      <w:rFonts w:hint="default" w:ascii="Times New Roman" w:hAnsi="Times New Roman" w:cs="Times New Roman"/>
                      <w:color w:val="auto"/>
                      <w:spacing w:val="-9"/>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1183" w:type="dxa"/>
                  <w:noWrap w:val="0"/>
                  <w:vAlign w:val="center"/>
                </w:tcPr>
                <w:p w14:paraId="20A365CE">
                  <w:pPr>
                    <w:keepNext w:val="0"/>
                    <w:keepLines w:val="0"/>
                    <w:widowControl/>
                    <w:suppressLineNumbers w:val="0"/>
                    <w:jc w:val="center"/>
                    <w:textAlignment w:val="center"/>
                    <w:rPr>
                      <w:rFonts w:hint="default" w:ascii="Times New Roman" w:hAnsi="Times New Roman" w:cs="Times New Roman"/>
                      <w:color w:val="auto"/>
                      <w:spacing w:val="-9"/>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293" w:type="pct"/>
                  <w:noWrap w:val="0"/>
                  <w:vAlign w:val="center"/>
                </w:tcPr>
                <w:p w14:paraId="336A159E">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Style w:val="287"/>
                      <w:rFonts w:hint="default" w:ascii="Times New Roman" w:hAnsi="Times New Roman" w:eastAsia="宋体" w:cs="Times New Roman"/>
                      <w:color w:val="auto"/>
                      <w:sz w:val="21"/>
                      <w:szCs w:val="21"/>
                      <w:highlight w:val="none"/>
                      <w:lang w:val="en-US" w:eastAsia="zh-CN"/>
                    </w:rPr>
                  </w:pPr>
                  <w:r>
                    <w:rPr>
                      <w:rStyle w:val="287"/>
                      <w:rFonts w:hint="default" w:ascii="Times New Roman" w:hAnsi="Times New Roman" w:eastAsia="宋体" w:cs="Times New Roman"/>
                      <w:color w:val="auto"/>
                      <w:sz w:val="21"/>
                      <w:szCs w:val="21"/>
                      <w:highlight w:val="none"/>
                      <w:lang w:val="en-US" w:eastAsia="zh-CN"/>
                    </w:rPr>
                    <w:t>/</w:t>
                  </w:r>
                </w:p>
              </w:tc>
              <w:tc>
                <w:tcPr>
                  <w:tcW w:w="441" w:type="pct"/>
                  <w:noWrap w:val="0"/>
                  <w:vAlign w:val="center"/>
                </w:tcPr>
                <w:p w14:paraId="1E5A42A7">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4.0/6</w:t>
                  </w:r>
                </w:p>
              </w:tc>
            </w:tr>
          </w:tbl>
          <w:p w14:paraId="75152710">
            <w:pPr>
              <w:pStyle w:val="63"/>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422" w:firstLineChars="200"/>
              <w:jc w:val="left"/>
              <w:textAlignment w:val="auto"/>
              <w:rPr>
                <w:rFonts w:hint="default" w:ascii="Times New Roman" w:hAnsi="Times New Roman" w:eastAsia="宋体" w:cs="Times New Roman"/>
                <w:b/>
                <w:bCs/>
                <w:color w:val="auto"/>
                <w:kern w:val="2"/>
                <w:sz w:val="21"/>
                <w:szCs w:val="21"/>
                <w:highlight w:val="none"/>
                <w:lang w:val="en-US" w:eastAsia="zh-CN" w:bidi="ar-SA"/>
              </w:rPr>
            </w:pPr>
            <w:r>
              <w:rPr>
                <w:rFonts w:hint="eastAsia" w:ascii="Times New Roman" w:hAnsi="Times New Roman" w:eastAsia="宋体" w:cs="Times New Roman"/>
                <w:b/>
                <w:bCs/>
                <w:color w:val="auto"/>
                <w:kern w:val="2"/>
                <w:sz w:val="21"/>
                <w:szCs w:val="21"/>
                <w:highlight w:val="none"/>
                <w:lang w:val="en-US" w:eastAsia="zh-CN" w:bidi="ar-SA"/>
              </w:rPr>
              <w:t>（3）排污口情况及监测计划</w:t>
            </w:r>
          </w:p>
          <w:p w14:paraId="11383CF9">
            <w:pPr>
              <w:pStyle w:val="44"/>
              <w:spacing w:line="360" w:lineRule="auto"/>
              <w:ind w:left="0" w:leftChars="0" w:firstLine="48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2"/>
                <w:highlight w:val="none"/>
                <w:lang w:val="en-US" w:eastAsia="zh-CN"/>
              </w:rPr>
              <w:t>依据</w:t>
            </w:r>
            <w:r>
              <w:rPr>
                <w:rFonts w:hint="default" w:ascii="Times New Roman" w:hAnsi="Times New Roman" w:cs="Times New Roman"/>
                <w:color w:val="auto"/>
                <w:sz w:val="24"/>
                <w:highlight w:val="none"/>
              </w:rPr>
              <w:t>《排污单位自行监测技术指南 总则》（HJ819-2017）</w:t>
            </w:r>
            <w:r>
              <w:rPr>
                <w:rFonts w:hint="default" w:ascii="Times New Roman" w:hAnsi="Times New Roman" w:cs="Times New Roman"/>
                <w:color w:val="auto"/>
                <w:sz w:val="24"/>
                <w:szCs w:val="24"/>
                <w:highlight w:val="none"/>
              </w:rPr>
              <w:t>。</w:t>
            </w:r>
          </w:p>
          <w:p w14:paraId="5457FA82">
            <w:pPr>
              <w:pStyle w:val="63"/>
              <w:keepLines w:val="0"/>
              <w:pageBreakBefore w:val="0"/>
              <w:kinsoku/>
              <w:wordWrap/>
              <w:overflowPunct/>
              <w:topLinePunct w:val="0"/>
              <w:bidi w:val="0"/>
              <w:ind w:left="0" w:leftChars="0"/>
              <w:jc w:val="center"/>
              <w:rPr>
                <w:rFonts w:hint="default" w:ascii="Times New Roman" w:hAnsi="Times New Roman" w:eastAsia="黑体" w:cs="Times New Roman"/>
                <w:color w:val="auto"/>
                <w:sz w:val="21"/>
                <w:szCs w:val="21"/>
                <w:highlight w:val="none"/>
                <w:lang w:val="en-US" w:eastAsia="zh-CN"/>
              </w:rPr>
            </w:pPr>
            <w:r>
              <w:rPr>
                <w:rFonts w:hint="default" w:ascii="Times New Roman" w:hAnsi="Times New Roman" w:eastAsia="黑体" w:cs="Times New Roman"/>
                <w:color w:val="auto"/>
                <w:sz w:val="21"/>
                <w:szCs w:val="21"/>
                <w:highlight w:val="none"/>
              </w:rPr>
              <w:t>表</w:t>
            </w:r>
            <w:r>
              <w:rPr>
                <w:rFonts w:hint="eastAsia" w:eastAsia="黑体" w:cs="Times New Roman"/>
                <w:color w:val="auto"/>
                <w:sz w:val="21"/>
                <w:szCs w:val="21"/>
                <w:highlight w:val="none"/>
                <w:lang w:val="en-US" w:eastAsia="zh-CN"/>
              </w:rPr>
              <w:t>29</w:t>
            </w:r>
            <w:r>
              <w:rPr>
                <w:rFonts w:hint="default" w:ascii="Times New Roman" w:hAnsi="Times New Roman" w:eastAsia="黑体" w:cs="Times New Roman"/>
                <w:color w:val="auto"/>
                <w:sz w:val="21"/>
                <w:szCs w:val="21"/>
                <w:highlight w:val="none"/>
              </w:rPr>
              <w:t xml:space="preserve">  </w:t>
            </w:r>
            <w:r>
              <w:rPr>
                <w:rFonts w:hint="eastAsia" w:ascii="Times New Roman" w:hAnsi="Times New Roman" w:eastAsia="黑体" w:cs="Times New Roman"/>
                <w:color w:val="auto"/>
                <w:sz w:val="21"/>
                <w:szCs w:val="21"/>
                <w:highlight w:val="none"/>
                <w:lang w:val="en-US" w:eastAsia="zh-CN"/>
              </w:rPr>
              <w:t>排污口设置及监测计划</w:t>
            </w:r>
          </w:p>
          <w:tbl>
            <w:tblPr>
              <w:tblStyle w:val="46"/>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025"/>
              <w:gridCol w:w="678"/>
              <w:gridCol w:w="700"/>
              <w:gridCol w:w="700"/>
              <w:gridCol w:w="856"/>
              <w:gridCol w:w="2056"/>
              <w:gridCol w:w="1988"/>
              <w:gridCol w:w="1470"/>
              <w:gridCol w:w="2698"/>
              <w:gridCol w:w="788"/>
            </w:tblGrid>
            <w:tr w14:paraId="1A380D65">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restart"/>
                  <w:tcBorders>
                    <w:tl2br w:val="nil"/>
                    <w:tr2bl w:val="nil"/>
                  </w:tcBorders>
                  <w:noWrap w:val="0"/>
                  <w:vAlign w:val="center"/>
                </w:tcPr>
                <w:p w14:paraId="4595E320">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color w:val="auto"/>
                      <w:kern w:val="0"/>
                      <w:sz w:val="21"/>
                      <w:szCs w:val="21"/>
                      <w:highlight w:val="none"/>
                      <w:vertAlign w:val="baseline"/>
                      <w:lang w:val="en-US" w:eastAsia="zh-CN"/>
                    </w:rPr>
                  </w:pPr>
                  <w:r>
                    <w:rPr>
                      <w:rFonts w:hint="default" w:ascii="Times New Roman" w:hAnsi="Times New Roman" w:cs="Times New Roman"/>
                      <w:b/>
                      <w:color w:val="auto"/>
                      <w:kern w:val="0"/>
                      <w:sz w:val="21"/>
                      <w:szCs w:val="21"/>
                      <w:highlight w:val="none"/>
                      <w:vertAlign w:val="baseline"/>
                      <w:lang w:val="en-US" w:eastAsia="zh-CN"/>
                    </w:rPr>
                    <w:t>污染物类别</w:t>
                  </w:r>
                </w:p>
              </w:tc>
              <w:tc>
                <w:tcPr>
                  <w:tcW w:w="369" w:type="pct"/>
                  <w:vMerge w:val="restart"/>
                  <w:tcBorders>
                    <w:tl2br w:val="nil"/>
                    <w:tr2bl w:val="nil"/>
                  </w:tcBorders>
                  <w:noWrap w:val="0"/>
                  <w:vAlign w:val="center"/>
                </w:tcPr>
                <w:p w14:paraId="4729E267">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color w:val="auto"/>
                      <w:kern w:val="0"/>
                      <w:sz w:val="21"/>
                      <w:szCs w:val="21"/>
                      <w:highlight w:val="none"/>
                      <w:vertAlign w:val="baseline"/>
                      <w:lang w:val="en-US" w:eastAsia="zh-CN"/>
                    </w:rPr>
                  </w:pPr>
                  <w:r>
                    <w:rPr>
                      <w:rFonts w:hint="default" w:ascii="Times New Roman" w:hAnsi="Times New Roman" w:cs="Times New Roman"/>
                      <w:b/>
                      <w:color w:val="auto"/>
                      <w:kern w:val="0"/>
                      <w:sz w:val="21"/>
                      <w:szCs w:val="21"/>
                      <w:highlight w:val="none"/>
                      <w:vertAlign w:val="baseline"/>
                      <w:lang w:val="en-US" w:eastAsia="zh-CN"/>
                    </w:rPr>
                    <w:t>排放口编号或名称</w:t>
                  </w:r>
                </w:p>
              </w:tc>
              <w:tc>
                <w:tcPr>
                  <w:tcW w:w="1797" w:type="pct"/>
                  <w:gridSpan w:val="5"/>
                  <w:tcBorders>
                    <w:tl2br w:val="nil"/>
                    <w:tr2bl w:val="nil"/>
                  </w:tcBorders>
                  <w:noWrap w:val="0"/>
                  <w:vAlign w:val="center"/>
                </w:tcPr>
                <w:p w14:paraId="3BBCF812">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color w:val="auto"/>
                      <w:kern w:val="0"/>
                      <w:sz w:val="21"/>
                      <w:szCs w:val="21"/>
                      <w:highlight w:val="none"/>
                      <w:vertAlign w:val="baseline"/>
                      <w:lang w:eastAsia="zh-CN"/>
                    </w:rPr>
                  </w:pPr>
                  <w:r>
                    <w:rPr>
                      <w:rFonts w:hint="default" w:ascii="Times New Roman" w:hAnsi="Times New Roman" w:cs="Times New Roman"/>
                      <w:b/>
                      <w:color w:val="auto"/>
                      <w:kern w:val="0"/>
                      <w:sz w:val="21"/>
                      <w:szCs w:val="21"/>
                      <w:highlight w:val="none"/>
                      <w:vertAlign w:val="baseline"/>
                      <w:lang w:val="en-US" w:eastAsia="zh-CN"/>
                    </w:rPr>
                    <w:t>排放口基本情况</w:t>
                  </w:r>
                </w:p>
              </w:tc>
              <w:tc>
                <w:tcPr>
                  <w:tcW w:w="716" w:type="pct"/>
                  <w:vMerge w:val="restart"/>
                  <w:tcBorders>
                    <w:tl2br w:val="nil"/>
                    <w:tr2bl w:val="nil"/>
                  </w:tcBorders>
                  <w:noWrap w:val="0"/>
                  <w:vAlign w:val="center"/>
                </w:tcPr>
                <w:p w14:paraId="3F25E383">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color w:val="auto"/>
                      <w:kern w:val="0"/>
                      <w:sz w:val="21"/>
                      <w:szCs w:val="21"/>
                      <w:highlight w:val="none"/>
                      <w:vertAlign w:val="baseline"/>
                      <w:lang w:val="en-US" w:eastAsia="zh-CN"/>
                    </w:rPr>
                  </w:pPr>
                  <w:r>
                    <w:rPr>
                      <w:rFonts w:hint="default" w:ascii="Times New Roman" w:hAnsi="Times New Roman" w:cs="Times New Roman"/>
                      <w:b/>
                      <w:color w:val="auto"/>
                      <w:kern w:val="0"/>
                      <w:sz w:val="21"/>
                      <w:szCs w:val="21"/>
                      <w:highlight w:val="none"/>
                      <w:vertAlign w:val="baseline"/>
                      <w:lang w:val="en-US" w:eastAsia="zh-CN"/>
                    </w:rPr>
                    <w:t>排放标准</w:t>
                  </w:r>
                </w:p>
              </w:tc>
              <w:tc>
                <w:tcPr>
                  <w:tcW w:w="1785" w:type="pct"/>
                  <w:gridSpan w:val="3"/>
                  <w:tcBorders>
                    <w:tl2br w:val="nil"/>
                    <w:tr2bl w:val="nil"/>
                  </w:tcBorders>
                  <w:noWrap w:val="0"/>
                  <w:vAlign w:val="center"/>
                </w:tcPr>
                <w:p w14:paraId="19A27ADA">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color w:val="auto"/>
                      <w:kern w:val="0"/>
                      <w:sz w:val="21"/>
                      <w:szCs w:val="21"/>
                      <w:highlight w:val="none"/>
                      <w:vertAlign w:val="baseline"/>
                      <w:lang w:eastAsia="zh-CN"/>
                    </w:rPr>
                  </w:pPr>
                  <w:r>
                    <w:rPr>
                      <w:rFonts w:hint="default" w:ascii="Times New Roman" w:hAnsi="Times New Roman" w:cs="Times New Roman"/>
                      <w:b/>
                      <w:color w:val="auto"/>
                      <w:kern w:val="0"/>
                      <w:sz w:val="21"/>
                      <w:szCs w:val="21"/>
                      <w:highlight w:val="none"/>
                      <w:vertAlign w:val="baseline"/>
                      <w:lang w:val="en-US" w:eastAsia="zh-CN"/>
                    </w:rPr>
                    <w:t>监测要求</w:t>
                  </w:r>
                </w:p>
              </w:tc>
            </w:tr>
            <w:tr w14:paraId="45682D2D">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tcBorders>
                    <w:tl2br w:val="nil"/>
                    <w:tr2bl w:val="nil"/>
                  </w:tcBorders>
                  <w:noWrap w:val="0"/>
                  <w:vAlign w:val="center"/>
                </w:tcPr>
                <w:p w14:paraId="26A48B32">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color w:val="auto"/>
                      <w:kern w:val="0"/>
                      <w:sz w:val="21"/>
                      <w:szCs w:val="21"/>
                      <w:highlight w:val="none"/>
                      <w:vertAlign w:val="baseline"/>
                      <w:lang w:eastAsia="zh-CN"/>
                    </w:rPr>
                  </w:pPr>
                </w:p>
              </w:tc>
              <w:tc>
                <w:tcPr>
                  <w:tcW w:w="369" w:type="pct"/>
                  <w:vMerge w:val="continue"/>
                  <w:tcBorders>
                    <w:tl2br w:val="nil"/>
                    <w:tr2bl w:val="nil"/>
                  </w:tcBorders>
                  <w:noWrap w:val="0"/>
                  <w:vAlign w:val="center"/>
                </w:tcPr>
                <w:p w14:paraId="6A693DDF">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color w:val="auto"/>
                      <w:kern w:val="0"/>
                      <w:sz w:val="21"/>
                      <w:szCs w:val="21"/>
                      <w:highlight w:val="none"/>
                      <w:vertAlign w:val="baseline"/>
                      <w:lang w:eastAsia="zh-CN"/>
                    </w:rPr>
                  </w:pPr>
                </w:p>
              </w:tc>
              <w:tc>
                <w:tcPr>
                  <w:tcW w:w="244" w:type="pct"/>
                  <w:tcBorders>
                    <w:tl2br w:val="nil"/>
                    <w:tr2bl w:val="nil"/>
                  </w:tcBorders>
                  <w:noWrap w:val="0"/>
                  <w:vAlign w:val="center"/>
                </w:tcPr>
                <w:p w14:paraId="7CED1676">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color w:val="auto"/>
                      <w:kern w:val="0"/>
                      <w:sz w:val="21"/>
                      <w:szCs w:val="21"/>
                      <w:highlight w:val="none"/>
                      <w:vertAlign w:val="baseline"/>
                      <w:lang w:val="en-US" w:eastAsia="zh-CN"/>
                    </w:rPr>
                  </w:pPr>
                  <w:r>
                    <w:rPr>
                      <w:rFonts w:hint="default" w:ascii="Times New Roman" w:hAnsi="Times New Roman" w:cs="Times New Roman"/>
                      <w:b/>
                      <w:color w:val="auto"/>
                      <w:kern w:val="0"/>
                      <w:sz w:val="21"/>
                      <w:szCs w:val="21"/>
                      <w:highlight w:val="none"/>
                      <w:vertAlign w:val="baseline"/>
                      <w:lang w:val="en-US" w:eastAsia="zh-CN"/>
                    </w:rPr>
                    <w:t>高度</w:t>
                  </w:r>
                </w:p>
              </w:tc>
              <w:tc>
                <w:tcPr>
                  <w:tcW w:w="252" w:type="pct"/>
                  <w:tcBorders>
                    <w:tl2br w:val="nil"/>
                    <w:tr2bl w:val="nil"/>
                  </w:tcBorders>
                  <w:noWrap w:val="0"/>
                  <w:vAlign w:val="center"/>
                </w:tcPr>
                <w:p w14:paraId="49DF443E">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color w:val="auto"/>
                      <w:kern w:val="0"/>
                      <w:sz w:val="21"/>
                      <w:szCs w:val="21"/>
                      <w:highlight w:val="none"/>
                      <w:vertAlign w:val="baseline"/>
                      <w:lang w:val="en-US" w:eastAsia="zh-CN"/>
                    </w:rPr>
                  </w:pPr>
                  <w:r>
                    <w:rPr>
                      <w:rFonts w:hint="default" w:ascii="Times New Roman" w:hAnsi="Times New Roman" w:cs="Times New Roman"/>
                      <w:b/>
                      <w:color w:val="auto"/>
                      <w:kern w:val="0"/>
                      <w:sz w:val="21"/>
                      <w:szCs w:val="21"/>
                      <w:highlight w:val="none"/>
                      <w:vertAlign w:val="baseline"/>
                      <w:lang w:val="en-US" w:eastAsia="zh-CN"/>
                    </w:rPr>
                    <w:t>内径</w:t>
                  </w:r>
                </w:p>
              </w:tc>
              <w:tc>
                <w:tcPr>
                  <w:tcW w:w="252" w:type="pct"/>
                  <w:tcBorders>
                    <w:tl2br w:val="nil"/>
                    <w:tr2bl w:val="nil"/>
                  </w:tcBorders>
                  <w:noWrap w:val="0"/>
                  <w:vAlign w:val="center"/>
                </w:tcPr>
                <w:p w14:paraId="5BB59A52">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color w:val="auto"/>
                      <w:kern w:val="0"/>
                      <w:sz w:val="21"/>
                      <w:szCs w:val="21"/>
                      <w:highlight w:val="none"/>
                      <w:vertAlign w:val="baseline"/>
                      <w:lang w:val="en-US" w:eastAsia="zh-CN"/>
                    </w:rPr>
                  </w:pPr>
                  <w:r>
                    <w:rPr>
                      <w:rFonts w:hint="default" w:ascii="Times New Roman" w:hAnsi="Times New Roman" w:cs="Times New Roman"/>
                      <w:b/>
                      <w:color w:val="auto"/>
                      <w:kern w:val="0"/>
                      <w:sz w:val="21"/>
                      <w:szCs w:val="21"/>
                      <w:highlight w:val="none"/>
                      <w:vertAlign w:val="baseline"/>
                      <w:lang w:val="en-US" w:eastAsia="zh-CN"/>
                    </w:rPr>
                    <w:t>温度</w:t>
                  </w:r>
                </w:p>
              </w:tc>
              <w:tc>
                <w:tcPr>
                  <w:tcW w:w="308" w:type="pct"/>
                  <w:tcBorders>
                    <w:tl2br w:val="nil"/>
                    <w:tr2bl w:val="nil"/>
                  </w:tcBorders>
                  <w:noWrap w:val="0"/>
                  <w:vAlign w:val="center"/>
                </w:tcPr>
                <w:p w14:paraId="352B80B1">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color w:val="auto"/>
                      <w:kern w:val="0"/>
                      <w:sz w:val="21"/>
                      <w:szCs w:val="21"/>
                      <w:highlight w:val="none"/>
                      <w:vertAlign w:val="baseline"/>
                      <w:lang w:val="en-US" w:eastAsia="zh-CN"/>
                    </w:rPr>
                  </w:pPr>
                  <w:r>
                    <w:rPr>
                      <w:rFonts w:hint="default" w:ascii="Times New Roman" w:hAnsi="Times New Roman" w:cs="Times New Roman"/>
                      <w:b/>
                      <w:color w:val="auto"/>
                      <w:kern w:val="0"/>
                      <w:sz w:val="21"/>
                      <w:szCs w:val="21"/>
                      <w:highlight w:val="none"/>
                      <w:vertAlign w:val="baseline"/>
                      <w:lang w:val="en-US" w:eastAsia="zh-CN"/>
                    </w:rPr>
                    <w:t>类型</w:t>
                  </w:r>
                </w:p>
              </w:tc>
              <w:tc>
                <w:tcPr>
                  <w:tcW w:w="740" w:type="pct"/>
                  <w:tcBorders>
                    <w:tl2br w:val="nil"/>
                    <w:tr2bl w:val="nil"/>
                  </w:tcBorders>
                  <w:noWrap w:val="0"/>
                  <w:vAlign w:val="center"/>
                </w:tcPr>
                <w:p w14:paraId="5CDD1258">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color w:val="auto"/>
                      <w:kern w:val="0"/>
                      <w:sz w:val="21"/>
                      <w:szCs w:val="21"/>
                      <w:highlight w:val="none"/>
                      <w:vertAlign w:val="baseline"/>
                      <w:lang w:val="en-US" w:eastAsia="zh-CN"/>
                    </w:rPr>
                  </w:pPr>
                  <w:r>
                    <w:rPr>
                      <w:rFonts w:hint="default" w:ascii="Times New Roman" w:hAnsi="Times New Roman" w:cs="Times New Roman"/>
                      <w:b/>
                      <w:color w:val="auto"/>
                      <w:kern w:val="0"/>
                      <w:sz w:val="21"/>
                      <w:szCs w:val="21"/>
                      <w:highlight w:val="none"/>
                      <w:vertAlign w:val="baseline"/>
                      <w:lang w:val="en-US" w:eastAsia="zh-CN"/>
                    </w:rPr>
                    <w:t>地理坐标</w:t>
                  </w:r>
                </w:p>
              </w:tc>
              <w:tc>
                <w:tcPr>
                  <w:tcW w:w="716" w:type="pct"/>
                  <w:vMerge w:val="continue"/>
                  <w:tcBorders>
                    <w:tl2br w:val="nil"/>
                    <w:tr2bl w:val="nil"/>
                  </w:tcBorders>
                  <w:noWrap w:val="0"/>
                  <w:vAlign w:val="center"/>
                </w:tcPr>
                <w:p w14:paraId="59AB5AF3">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color w:val="auto"/>
                      <w:kern w:val="0"/>
                      <w:sz w:val="21"/>
                      <w:szCs w:val="21"/>
                      <w:highlight w:val="none"/>
                      <w:vertAlign w:val="baseline"/>
                      <w:lang w:eastAsia="zh-CN"/>
                    </w:rPr>
                  </w:pPr>
                </w:p>
              </w:tc>
              <w:tc>
                <w:tcPr>
                  <w:tcW w:w="529" w:type="pct"/>
                  <w:tcBorders>
                    <w:tl2br w:val="nil"/>
                    <w:tr2bl w:val="nil"/>
                  </w:tcBorders>
                  <w:noWrap w:val="0"/>
                  <w:vAlign w:val="center"/>
                </w:tcPr>
                <w:p w14:paraId="41A26BB2">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color w:val="auto"/>
                      <w:kern w:val="0"/>
                      <w:sz w:val="21"/>
                      <w:szCs w:val="21"/>
                      <w:highlight w:val="none"/>
                      <w:vertAlign w:val="baseline"/>
                      <w:lang w:val="en-US" w:eastAsia="zh-CN"/>
                    </w:rPr>
                  </w:pPr>
                  <w:r>
                    <w:rPr>
                      <w:rFonts w:hint="default" w:ascii="Times New Roman" w:hAnsi="Times New Roman" w:cs="Times New Roman"/>
                      <w:b/>
                      <w:color w:val="auto"/>
                      <w:kern w:val="0"/>
                      <w:sz w:val="21"/>
                      <w:szCs w:val="21"/>
                      <w:highlight w:val="none"/>
                      <w:vertAlign w:val="baseline"/>
                      <w:lang w:val="en-US" w:eastAsia="zh-CN"/>
                    </w:rPr>
                    <w:t>监测点位</w:t>
                  </w:r>
                </w:p>
              </w:tc>
              <w:tc>
                <w:tcPr>
                  <w:tcW w:w="971" w:type="pct"/>
                  <w:tcBorders>
                    <w:tl2br w:val="nil"/>
                    <w:tr2bl w:val="nil"/>
                  </w:tcBorders>
                  <w:noWrap w:val="0"/>
                  <w:vAlign w:val="center"/>
                </w:tcPr>
                <w:p w14:paraId="3B134A16">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color w:val="auto"/>
                      <w:kern w:val="0"/>
                      <w:sz w:val="21"/>
                      <w:szCs w:val="21"/>
                      <w:highlight w:val="none"/>
                      <w:vertAlign w:val="baseline"/>
                      <w:lang w:val="en-US" w:eastAsia="zh-CN"/>
                    </w:rPr>
                  </w:pPr>
                  <w:r>
                    <w:rPr>
                      <w:rFonts w:hint="default" w:ascii="Times New Roman" w:hAnsi="Times New Roman" w:cs="Times New Roman"/>
                      <w:b/>
                      <w:color w:val="auto"/>
                      <w:kern w:val="0"/>
                      <w:sz w:val="21"/>
                      <w:szCs w:val="21"/>
                      <w:highlight w:val="none"/>
                      <w:vertAlign w:val="baseline"/>
                      <w:lang w:val="en-US" w:eastAsia="zh-CN"/>
                    </w:rPr>
                    <w:t>监测因子</w:t>
                  </w:r>
                </w:p>
              </w:tc>
              <w:tc>
                <w:tcPr>
                  <w:tcW w:w="283" w:type="pct"/>
                  <w:tcBorders>
                    <w:tl2br w:val="nil"/>
                    <w:tr2bl w:val="nil"/>
                  </w:tcBorders>
                  <w:noWrap w:val="0"/>
                  <w:vAlign w:val="center"/>
                </w:tcPr>
                <w:p w14:paraId="61768DD7">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color w:val="auto"/>
                      <w:kern w:val="0"/>
                      <w:sz w:val="21"/>
                      <w:szCs w:val="21"/>
                      <w:highlight w:val="none"/>
                      <w:vertAlign w:val="baseline"/>
                      <w:lang w:val="en-US" w:eastAsia="zh-CN"/>
                    </w:rPr>
                  </w:pPr>
                  <w:r>
                    <w:rPr>
                      <w:rFonts w:hint="default" w:ascii="Times New Roman" w:hAnsi="Times New Roman" w:cs="Times New Roman"/>
                      <w:b/>
                      <w:color w:val="auto"/>
                      <w:kern w:val="0"/>
                      <w:sz w:val="21"/>
                      <w:szCs w:val="21"/>
                      <w:highlight w:val="none"/>
                      <w:vertAlign w:val="baseline"/>
                      <w:lang w:val="en-US" w:eastAsia="zh-CN"/>
                    </w:rPr>
                    <w:t>监测频次</w:t>
                  </w:r>
                </w:p>
              </w:tc>
            </w:tr>
            <w:tr w14:paraId="0D0D1245">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tcBorders>
                    <w:tl2br w:val="nil"/>
                    <w:tr2bl w:val="nil"/>
                  </w:tcBorders>
                  <w:noWrap w:val="0"/>
                  <w:vAlign w:val="center"/>
                </w:tcPr>
                <w:p w14:paraId="21B3CE7F">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有组织</w:t>
                  </w:r>
                </w:p>
              </w:tc>
              <w:tc>
                <w:tcPr>
                  <w:tcW w:w="369" w:type="pct"/>
                  <w:tcBorders>
                    <w:tl2br w:val="nil"/>
                    <w:tr2bl w:val="nil"/>
                  </w:tcBorders>
                  <w:noWrap w:val="0"/>
                  <w:vAlign w:val="center"/>
                </w:tcPr>
                <w:p w14:paraId="5517E8B6">
                  <w:pPr>
                    <w:pStyle w:val="63"/>
                    <w:keepLines w:val="0"/>
                    <w:pageBreakBefore w:val="0"/>
                    <w:kinsoku/>
                    <w:wordWrap/>
                    <w:overflowPunct/>
                    <w:topLinePunct w:val="0"/>
                    <w:bidi w:val="0"/>
                    <w:ind w:left="0" w:leftChars="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DA001</w:t>
                  </w:r>
                </w:p>
              </w:tc>
              <w:tc>
                <w:tcPr>
                  <w:tcW w:w="244" w:type="pct"/>
                  <w:tcBorders>
                    <w:tl2br w:val="nil"/>
                    <w:tr2bl w:val="nil"/>
                  </w:tcBorders>
                  <w:noWrap w:val="0"/>
                  <w:vAlign w:val="center"/>
                </w:tcPr>
                <w:p w14:paraId="2E4D4A17">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b w:val="0"/>
                      <w:bCs/>
                      <w:color w:val="auto"/>
                      <w:kern w:val="0"/>
                      <w:sz w:val="21"/>
                      <w:szCs w:val="21"/>
                      <w:highlight w:val="none"/>
                      <w:vertAlign w:val="baseline"/>
                      <w:lang w:val="en-US" w:eastAsia="zh-CN"/>
                    </w:rPr>
                    <w:t>15</w:t>
                  </w:r>
                </w:p>
              </w:tc>
              <w:tc>
                <w:tcPr>
                  <w:tcW w:w="252" w:type="pct"/>
                  <w:tcBorders>
                    <w:tl2br w:val="nil"/>
                    <w:tr2bl w:val="nil"/>
                  </w:tcBorders>
                  <w:noWrap w:val="0"/>
                  <w:vAlign w:val="center"/>
                </w:tcPr>
                <w:p w14:paraId="743C9546">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0.2</w:t>
                  </w:r>
                </w:p>
              </w:tc>
              <w:tc>
                <w:tcPr>
                  <w:tcW w:w="252" w:type="pct"/>
                  <w:tcBorders>
                    <w:tl2br w:val="nil"/>
                    <w:tr2bl w:val="nil"/>
                  </w:tcBorders>
                  <w:noWrap w:val="0"/>
                  <w:vAlign w:val="center"/>
                </w:tcPr>
                <w:p w14:paraId="30232E88">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b w:val="0"/>
                      <w:bCs/>
                      <w:color w:val="auto"/>
                      <w:kern w:val="0"/>
                      <w:sz w:val="21"/>
                      <w:szCs w:val="21"/>
                      <w:highlight w:val="none"/>
                      <w:vertAlign w:val="baseline"/>
                      <w:lang w:val="en-US" w:eastAsia="zh-CN"/>
                    </w:rPr>
                    <w:t>25</w:t>
                  </w:r>
                </w:p>
              </w:tc>
              <w:tc>
                <w:tcPr>
                  <w:tcW w:w="308" w:type="pct"/>
                  <w:tcBorders>
                    <w:tl2br w:val="nil"/>
                    <w:tr2bl w:val="nil"/>
                  </w:tcBorders>
                  <w:noWrap w:val="0"/>
                  <w:vAlign w:val="center"/>
                </w:tcPr>
                <w:p w14:paraId="3375B854">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
                      <w:color w:val="auto"/>
                      <w:kern w:val="0"/>
                      <w:sz w:val="21"/>
                      <w:szCs w:val="21"/>
                      <w:highlight w:val="none"/>
                      <w:vertAlign w:val="baseline"/>
                      <w:lang w:val="en-US" w:eastAsia="zh-CN"/>
                    </w:rPr>
                  </w:pPr>
                  <w:r>
                    <w:rPr>
                      <w:rFonts w:hint="default" w:ascii="Times New Roman" w:hAnsi="Times New Roman" w:cs="Times New Roman"/>
                      <w:b w:val="0"/>
                      <w:bCs/>
                      <w:color w:val="auto"/>
                      <w:kern w:val="0"/>
                      <w:sz w:val="21"/>
                      <w:szCs w:val="21"/>
                      <w:highlight w:val="none"/>
                      <w:vertAlign w:val="baseline"/>
                      <w:lang w:val="en-US" w:eastAsia="zh-CN"/>
                    </w:rPr>
                    <w:t>一般排放口</w:t>
                  </w:r>
                </w:p>
              </w:tc>
              <w:tc>
                <w:tcPr>
                  <w:tcW w:w="740" w:type="pct"/>
                  <w:tcBorders>
                    <w:tl2br w:val="nil"/>
                    <w:tr2bl w:val="nil"/>
                  </w:tcBorders>
                  <w:noWrap w:val="0"/>
                  <w:vAlign w:val="center"/>
                </w:tcPr>
                <w:p w14:paraId="7B74804C">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 w:val="0"/>
                      <w:bCs/>
                      <w:color w:val="auto"/>
                      <w:kern w:val="0"/>
                      <w:sz w:val="21"/>
                      <w:szCs w:val="21"/>
                      <w:highlight w:val="none"/>
                      <w:vertAlign w:val="baseline"/>
                      <w:lang w:val="en-US" w:eastAsia="zh-CN"/>
                    </w:rPr>
                  </w:pPr>
                  <w:r>
                    <w:rPr>
                      <w:rFonts w:hint="default" w:ascii="Times New Roman" w:hAnsi="Times New Roman" w:cs="Times New Roman"/>
                      <w:b w:val="0"/>
                      <w:bCs/>
                      <w:color w:val="auto"/>
                      <w:kern w:val="0"/>
                      <w:sz w:val="21"/>
                      <w:szCs w:val="21"/>
                      <w:highlight w:val="none"/>
                      <w:vertAlign w:val="baseline"/>
                      <w:lang w:val="en-US" w:eastAsia="zh-CN"/>
                    </w:rPr>
                    <w:t>经度</w:t>
                  </w:r>
                  <w:r>
                    <w:rPr>
                      <w:rFonts w:hint="eastAsia" w:cs="Times New Roman"/>
                      <w:color w:val="auto"/>
                      <w:sz w:val="21"/>
                      <w:szCs w:val="21"/>
                      <w:highlight w:val="none"/>
                      <w:lang w:val="en-US" w:eastAsia="zh-CN"/>
                    </w:rPr>
                    <w:t>***</w:t>
                  </w:r>
                  <w:r>
                    <w:rPr>
                      <w:rFonts w:hint="default" w:ascii="Times New Roman" w:hAnsi="Times New Roman" w:cs="Times New Roman"/>
                      <w:b w:val="0"/>
                      <w:bCs/>
                      <w:color w:val="auto"/>
                      <w:kern w:val="0"/>
                      <w:sz w:val="21"/>
                      <w:szCs w:val="21"/>
                      <w:highlight w:val="none"/>
                      <w:vertAlign w:val="baseline"/>
                      <w:lang w:val="en-US" w:eastAsia="zh-CN"/>
                    </w:rPr>
                    <w:t>纬度</w:t>
                  </w:r>
                  <w:r>
                    <w:rPr>
                      <w:rFonts w:hint="eastAsia" w:cs="Times New Roman"/>
                      <w:color w:val="auto"/>
                      <w:sz w:val="21"/>
                      <w:szCs w:val="21"/>
                      <w:highlight w:val="none"/>
                      <w:lang w:val="en-US" w:eastAsia="zh-CN"/>
                    </w:rPr>
                    <w:t>***</w:t>
                  </w:r>
                </w:p>
              </w:tc>
              <w:tc>
                <w:tcPr>
                  <w:tcW w:w="716" w:type="pct"/>
                  <w:tcBorders>
                    <w:tl2br w:val="nil"/>
                    <w:tr2bl w:val="nil"/>
                  </w:tcBorders>
                  <w:noWrap w:val="0"/>
                  <w:vAlign w:val="center"/>
                </w:tcPr>
                <w:p w14:paraId="4C690F83">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color w:val="auto"/>
                      <w:kern w:val="0"/>
                      <w:sz w:val="21"/>
                      <w:szCs w:val="21"/>
                      <w:highlight w:val="none"/>
                      <w:vertAlign w:val="baseline"/>
                      <w:lang w:eastAsia="zh-CN"/>
                    </w:rPr>
                  </w:pPr>
                  <w:r>
                    <w:rPr>
                      <w:rFonts w:hint="default" w:ascii="Times New Roman" w:hAnsi="Times New Roman" w:eastAsia="宋体" w:cs="Times New Roman"/>
                      <w:b w:val="0"/>
                      <w:bCs/>
                      <w:color w:val="auto"/>
                      <w:kern w:val="0"/>
                      <w:sz w:val="21"/>
                      <w:szCs w:val="21"/>
                      <w:highlight w:val="none"/>
                      <w:vertAlign w:val="baseline"/>
                      <w:lang w:val="en-US" w:eastAsia="zh-CN"/>
                    </w:rPr>
                    <w:t>《大气污染物综合排放标准》（GB16297-1996）</w:t>
                  </w:r>
                  <w:r>
                    <w:rPr>
                      <w:rFonts w:hint="eastAsia" w:cs="Times New Roman"/>
                      <w:b w:val="0"/>
                      <w:bCs/>
                      <w:color w:val="auto"/>
                      <w:kern w:val="0"/>
                      <w:sz w:val="21"/>
                      <w:szCs w:val="21"/>
                      <w:highlight w:val="none"/>
                      <w:vertAlign w:val="baseline"/>
                      <w:lang w:val="en-US" w:eastAsia="zh-CN"/>
                    </w:rPr>
                    <w:t>、</w:t>
                  </w:r>
                  <w:r>
                    <w:rPr>
                      <w:rFonts w:hint="eastAsia"/>
                      <w:bCs/>
                      <w:color w:val="auto"/>
                      <w:sz w:val="21"/>
                      <w:szCs w:val="21"/>
                      <w:highlight w:val="none"/>
                      <w:lang w:val="en-US" w:eastAsia="zh-CN"/>
                    </w:rPr>
                    <w:t>《恶臭污染物排放标准》（GB14554-93）</w:t>
                  </w:r>
                </w:p>
              </w:tc>
              <w:tc>
                <w:tcPr>
                  <w:tcW w:w="529" w:type="pct"/>
                  <w:tcBorders>
                    <w:tl2br w:val="nil"/>
                    <w:tr2bl w:val="nil"/>
                  </w:tcBorders>
                  <w:noWrap w:val="0"/>
                  <w:vAlign w:val="center"/>
                </w:tcPr>
                <w:p w14:paraId="090FB871">
                  <w:pPr>
                    <w:pStyle w:val="63"/>
                    <w:keepLines w:val="0"/>
                    <w:pageBreakBefore w:val="0"/>
                    <w:kinsoku/>
                    <w:wordWrap/>
                    <w:overflowPunct/>
                    <w:topLinePunct w:val="0"/>
                    <w:bidi w:val="0"/>
                    <w:ind w:left="0" w:leftChars="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废气排放口</w:t>
                  </w:r>
                </w:p>
              </w:tc>
              <w:tc>
                <w:tcPr>
                  <w:tcW w:w="971" w:type="pct"/>
                  <w:tcBorders>
                    <w:tl2br w:val="nil"/>
                    <w:tr2bl w:val="nil"/>
                  </w:tcBorders>
                  <w:noWrap w:val="0"/>
                  <w:vAlign w:val="center"/>
                </w:tcPr>
                <w:p w14:paraId="576E846B">
                  <w:pPr>
                    <w:pStyle w:val="63"/>
                    <w:keepLines w:val="0"/>
                    <w:pageBreakBefore w:val="0"/>
                    <w:kinsoku/>
                    <w:wordWrap/>
                    <w:overflowPunct/>
                    <w:topLinePunct w:val="0"/>
                    <w:bidi w:val="0"/>
                    <w:ind w:left="0" w:left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硫酸雾、</w:t>
                  </w:r>
                  <w:r>
                    <w:rPr>
                      <w:rFonts w:hint="eastAsia" w:cs="Times New Roman"/>
                      <w:color w:val="auto"/>
                      <w:sz w:val="21"/>
                      <w:szCs w:val="21"/>
                      <w:highlight w:val="none"/>
                      <w:lang w:val="en-US" w:eastAsia="zh-CN"/>
                    </w:rPr>
                    <w:t>硝酸雾、</w:t>
                  </w:r>
                  <w:r>
                    <w:rPr>
                      <w:rFonts w:hint="eastAsia" w:ascii="Times New Roman" w:hAnsi="Times New Roman" w:eastAsia="宋体" w:cs="Times New Roman"/>
                      <w:color w:val="auto"/>
                      <w:sz w:val="21"/>
                      <w:szCs w:val="21"/>
                      <w:highlight w:val="none"/>
                      <w:lang w:val="en-US" w:eastAsia="zh-CN"/>
                    </w:rPr>
                    <w:t>HCl</w:t>
                  </w:r>
                  <w:r>
                    <w:rPr>
                      <w:rFonts w:hint="eastAsia" w:cs="Times New Roman"/>
                      <w:i w:val="0"/>
                      <w:iCs w:val="0"/>
                      <w:color w:val="auto"/>
                      <w:kern w:val="0"/>
                      <w:sz w:val="22"/>
                      <w:szCs w:val="22"/>
                      <w:highlight w:val="none"/>
                      <w:u w:val="none"/>
                      <w:lang w:val="en-US" w:eastAsia="zh-CN" w:bidi="ar"/>
                    </w:rPr>
                    <w:t>、</w:t>
                  </w:r>
                  <w:r>
                    <w:rPr>
                      <w:rFonts w:hint="eastAsia" w:cs="Times New Roman"/>
                      <w:color w:val="auto"/>
                      <w:sz w:val="21"/>
                      <w:szCs w:val="21"/>
                      <w:highlight w:val="none"/>
                      <w:lang w:val="en-US" w:eastAsia="zh-CN"/>
                    </w:rPr>
                    <w:t>氨、</w:t>
                  </w:r>
                  <w:r>
                    <w:rPr>
                      <w:rFonts w:hint="eastAsia" w:cs="Times New Roman"/>
                      <w:b w:val="0"/>
                      <w:color w:val="auto"/>
                      <w:kern w:val="0"/>
                      <w:sz w:val="21"/>
                      <w:szCs w:val="21"/>
                      <w:highlight w:val="none"/>
                      <w:lang w:val="en-US" w:eastAsia="zh-CN" w:bidi="ar-SA"/>
                    </w:rPr>
                    <w:t>非甲烷总烃</w:t>
                  </w:r>
                </w:p>
              </w:tc>
              <w:tc>
                <w:tcPr>
                  <w:tcW w:w="283" w:type="pct"/>
                  <w:tcBorders>
                    <w:tl2br w:val="nil"/>
                    <w:tr2bl w:val="nil"/>
                  </w:tcBorders>
                  <w:noWrap w:val="0"/>
                  <w:vAlign w:val="center"/>
                </w:tcPr>
                <w:p w14:paraId="2FBAE194">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
                      <w:color w:val="auto"/>
                      <w:kern w:val="0"/>
                      <w:sz w:val="21"/>
                      <w:szCs w:val="21"/>
                      <w:highlight w:val="none"/>
                      <w:vertAlign w:val="baseline"/>
                      <w:lang w:val="en-US" w:eastAsia="zh-CN"/>
                    </w:rPr>
                  </w:pPr>
                  <w:r>
                    <w:rPr>
                      <w:rFonts w:hint="eastAsia" w:cs="Times New Roman"/>
                      <w:b w:val="0"/>
                      <w:bCs/>
                      <w:color w:val="auto"/>
                      <w:kern w:val="0"/>
                      <w:sz w:val="21"/>
                      <w:szCs w:val="21"/>
                      <w:highlight w:val="none"/>
                      <w:vertAlign w:val="baseline"/>
                      <w:lang w:val="en-US" w:eastAsia="zh-CN"/>
                    </w:rPr>
                    <w:t>一</w:t>
                  </w:r>
                  <w:r>
                    <w:rPr>
                      <w:rFonts w:hint="default" w:ascii="Times New Roman" w:hAnsi="Times New Roman" w:cs="Times New Roman"/>
                      <w:b w:val="0"/>
                      <w:bCs/>
                      <w:color w:val="auto"/>
                      <w:kern w:val="0"/>
                      <w:sz w:val="21"/>
                      <w:szCs w:val="21"/>
                      <w:highlight w:val="none"/>
                      <w:vertAlign w:val="baseline"/>
                      <w:lang w:val="en-US" w:eastAsia="zh-CN"/>
                    </w:rPr>
                    <w:t>年一次</w:t>
                  </w:r>
                </w:p>
              </w:tc>
            </w:tr>
            <w:tr w14:paraId="1FB1D1A4">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restart"/>
                  <w:tcBorders>
                    <w:tl2br w:val="nil"/>
                    <w:tr2bl w:val="nil"/>
                  </w:tcBorders>
                  <w:noWrap w:val="0"/>
                  <w:vAlign w:val="center"/>
                </w:tcPr>
                <w:p w14:paraId="42761457">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 w:val="0"/>
                      <w:bCs/>
                      <w:color w:val="auto"/>
                      <w:kern w:val="0"/>
                      <w:sz w:val="21"/>
                      <w:szCs w:val="21"/>
                      <w:highlight w:val="none"/>
                      <w:vertAlign w:val="baseline"/>
                      <w:lang w:val="en-US" w:eastAsia="zh-CN"/>
                    </w:rPr>
                  </w:pPr>
                  <w:r>
                    <w:rPr>
                      <w:rFonts w:hint="default" w:ascii="Times New Roman" w:hAnsi="Times New Roman" w:cs="Times New Roman"/>
                      <w:b w:val="0"/>
                      <w:bCs/>
                      <w:color w:val="auto"/>
                      <w:kern w:val="0"/>
                      <w:sz w:val="21"/>
                      <w:szCs w:val="21"/>
                      <w:highlight w:val="none"/>
                      <w:vertAlign w:val="baseline"/>
                      <w:lang w:val="en-US" w:eastAsia="zh-CN"/>
                    </w:rPr>
                    <w:t>无组织</w:t>
                  </w:r>
                </w:p>
              </w:tc>
              <w:tc>
                <w:tcPr>
                  <w:tcW w:w="369" w:type="pct"/>
                  <w:tcBorders>
                    <w:tl2br w:val="nil"/>
                    <w:tr2bl w:val="nil"/>
                  </w:tcBorders>
                  <w:noWrap w:val="0"/>
                  <w:vAlign w:val="center"/>
                </w:tcPr>
                <w:p w14:paraId="4FCB22C8">
                  <w:pPr>
                    <w:pStyle w:val="63"/>
                    <w:keepLines w:val="0"/>
                    <w:pageBreakBefore w:val="0"/>
                    <w:kinsoku/>
                    <w:wordWrap/>
                    <w:overflowPunct/>
                    <w:topLinePunct w:val="0"/>
                    <w:bidi w:val="0"/>
                    <w:ind w:left="0" w:leftChars="0"/>
                    <w:jc w:val="center"/>
                    <w:rPr>
                      <w:rFonts w:hint="eastAsia" w:cs="Times New Roman"/>
                      <w:color w:val="auto"/>
                      <w:sz w:val="21"/>
                      <w:szCs w:val="21"/>
                      <w:highlight w:val="none"/>
                      <w:lang w:val="en-US" w:eastAsia="zh-CN" w:bidi="ar-SA"/>
                    </w:rPr>
                  </w:pPr>
                  <w:r>
                    <w:rPr>
                      <w:rFonts w:hint="eastAsia" w:cs="Times New Roman"/>
                      <w:color w:val="auto"/>
                      <w:sz w:val="21"/>
                      <w:szCs w:val="21"/>
                      <w:highlight w:val="none"/>
                      <w:lang w:val="en-US" w:eastAsia="zh-CN" w:bidi="ar-SA"/>
                    </w:rPr>
                    <w:t>厂界</w:t>
                  </w:r>
                </w:p>
              </w:tc>
              <w:tc>
                <w:tcPr>
                  <w:tcW w:w="244" w:type="pct"/>
                  <w:tcBorders>
                    <w:tl2br w:val="nil"/>
                    <w:tr2bl w:val="nil"/>
                  </w:tcBorders>
                  <w:noWrap w:val="0"/>
                  <w:vAlign w:val="center"/>
                </w:tcPr>
                <w:p w14:paraId="76757A60">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cs="Times New Roman"/>
                      <w:b w:val="0"/>
                      <w:bCs/>
                      <w:color w:val="auto"/>
                      <w:kern w:val="0"/>
                      <w:sz w:val="21"/>
                      <w:szCs w:val="21"/>
                      <w:highlight w:val="none"/>
                      <w:vertAlign w:val="baseline"/>
                      <w:lang w:val="en-US" w:eastAsia="zh-CN"/>
                    </w:rPr>
                  </w:pPr>
                  <w:r>
                    <w:rPr>
                      <w:rFonts w:hint="eastAsia" w:cs="Times New Roman"/>
                      <w:b w:val="0"/>
                      <w:bCs/>
                      <w:color w:val="auto"/>
                      <w:kern w:val="0"/>
                      <w:sz w:val="21"/>
                      <w:szCs w:val="21"/>
                      <w:highlight w:val="none"/>
                      <w:vertAlign w:val="baseline"/>
                      <w:lang w:val="en-US" w:eastAsia="zh-CN"/>
                    </w:rPr>
                    <w:t>/</w:t>
                  </w:r>
                </w:p>
              </w:tc>
              <w:tc>
                <w:tcPr>
                  <w:tcW w:w="252" w:type="pct"/>
                  <w:tcBorders>
                    <w:tl2br w:val="nil"/>
                    <w:tr2bl w:val="nil"/>
                  </w:tcBorders>
                  <w:noWrap w:val="0"/>
                  <w:vAlign w:val="center"/>
                </w:tcPr>
                <w:p w14:paraId="594D9B4D">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w:t>
                  </w:r>
                </w:p>
              </w:tc>
              <w:tc>
                <w:tcPr>
                  <w:tcW w:w="252" w:type="pct"/>
                  <w:tcBorders>
                    <w:tl2br w:val="nil"/>
                    <w:tr2bl w:val="nil"/>
                  </w:tcBorders>
                  <w:noWrap w:val="0"/>
                  <w:vAlign w:val="center"/>
                </w:tcPr>
                <w:p w14:paraId="70E32A9E">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cs="Times New Roman"/>
                      <w:b w:val="0"/>
                      <w:bCs/>
                      <w:color w:val="auto"/>
                      <w:kern w:val="0"/>
                      <w:sz w:val="21"/>
                      <w:szCs w:val="21"/>
                      <w:highlight w:val="none"/>
                      <w:vertAlign w:val="baseline"/>
                      <w:lang w:val="en-US" w:eastAsia="zh-CN"/>
                    </w:rPr>
                  </w:pPr>
                  <w:r>
                    <w:rPr>
                      <w:rFonts w:hint="eastAsia" w:cs="Times New Roman"/>
                      <w:b w:val="0"/>
                      <w:bCs/>
                      <w:color w:val="auto"/>
                      <w:kern w:val="0"/>
                      <w:sz w:val="21"/>
                      <w:szCs w:val="21"/>
                      <w:highlight w:val="none"/>
                      <w:vertAlign w:val="baseline"/>
                      <w:lang w:val="en-US" w:eastAsia="zh-CN"/>
                    </w:rPr>
                    <w:t>/</w:t>
                  </w:r>
                </w:p>
              </w:tc>
              <w:tc>
                <w:tcPr>
                  <w:tcW w:w="308" w:type="pct"/>
                  <w:tcBorders>
                    <w:tl2br w:val="nil"/>
                    <w:tr2bl w:val="nil"/>
                  </w:tcBorders>
                  <w:noWrap w:val="0"/>
                  <w:vAlign w:val="center"/>
                </w:tcPr>
                <w:p w14:paraId="689E2587">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cs="Times New Roman"/>
                      <w:b w:val="0"/>
                      <w:bCs/>
                      <w:color w:val="auto"/>
                      <w:kern w:val="0"/>
                      <w:sz w:val="21"/>
                      <w:szCs w:val="21"/>
                      <w:highlight w:val="none"/>
                      <w:vertAlign w:val="baseline"/>
                      <w:lang w:val="en-US" w:eastAsia="zh-CN"/>
                    </w:rPr>
                  </w:pPr>
                  <w:r>
                    <w:rPr>
                      <w:rFonts w:hint="eastAsia" w:cs="Times New Roman"/>
                      <w:b w:val="0"/>
                      <w:bCs/>
                      <w:color w:val="auto"/>
                      <w:kern w:val="0"/>
                      <w:sz w:val="21"/>
                      <w:szCs w:val="21"/>
                      <w:highlight w:val="none"/>
                      <w:vertAlign w:val="baseline"/>
                      <w:lang w:val="en-US" w:eastAsia="zh-CN"/>
                    </w:rPr>
                    <w:t>/</w:t>
                  </w:r>
                </w:p>
              </w:tc>
              <w:tc>
                <w:tcPr>
                  <w:tcW w:w="740" w:type="pct"/>
                  <w:tcBorders>
                    <w:tl2br w:val="nil"/>
                    <w:tr2bl w:val="nil"/>
                  </w:tcBorders>
                  <w:noWrap w:val="0"/>
                  <w:vAlign w:val="center"/>
                </w:tcPr>
                <w:p w14:paraId="09B0AA78">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cs="Times New Roman"/>
                      <w:b w:val="0"/>
                      <w:bCs/>
                      <w:color w:val="auto"/>
                      <w:kern w:val="0"/>
                      <w:sz w:val="21"/>
                      <w:szCs w:val="21"/>
                      <w:highlight w:val="none"/>
                      <w:vertAlign w:val="baseline"/>
                      <w:lang w:val="en-US" w:eastAsia="zh-CN"/>
                    </w:rPr>
                  </w:pPr>
                  <w:r>
                    <w:rPr>
                      <w:rFonts w:hint="eastAsia" w:cs="Times New Roman"/>
                      <w:b w:val="0"/>
                      <w:bCs/>
                      <w:color w:val="auto"/>
                      <w:kern w:val="0"/>
                      <w:sz w:val="21"/>
                      <w:szCs w:val="21"/>
                      <w:highlight w:val="none"/>
                      <w:vertAlign w:val="baseline"/>
                      <w:lang w:val="en-US" w:eastAsia="zh-CN"/>
                    </w:rPr>
                    <w:t>/</w:t>
                  </w:r>
                </w:p>
              </w:tc>
              <w:tc>
                <w:tcPr>
                  <w:tcW w:w="716" w:type="pct"/>
                  <w:tcBorders>
                    <w:tl2br w:val="nil"/>
                    <w:tr2bl w:val="nil"/>
                  </w:tcBorders>
                  <w:noWrap w:val="0"/>
                  <w:vAlign w:val="center"/>
                </w:tcPr>
                <w:p w14:paraId="7A1D26C8">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color w:val="auto"/>
                      <w:kern w:val="0"/>
                      <w:sz w:val="21"/>
                      <w:szCs w:val="21"/>
                      <w:highlight w:val="none"/>
                      <w:vertAlign w:val="baseline"/>
                      <w:lang w:val="en-US" w:eastAsia="zh-CN"/>
                    </w:rPr>
                  </w:pPr>
                  <w:r>
                    <w:rPr>
                      <w:rFonts w:hint="default" w:ascii="Times New Roman" w:hAnsi="Times New Roman" w:eastAsia="宋体" w:cs="Times New Roman"/>
                      <w:b w:val="0"/>
                      <w:bCs/>
                      <w:color w:val="auto"/>
                      <w:kern w:val="0"/>
                      <w:sz w:val="21"/>
                      <w:szCs w:val="21"/>
                      <w:highlight w:val="none"/>
                      <w:vertAlign w:val="baseline"/>
                      <w:lang w:val="en-US" w:eastAsia="zh-CN"/>
                    </w:rPr>
                    <w:t>《大气污染物综合排放标准》（GB16297-1996）</w:t>
                  </w:r>
                  <w:r>
                    <w:rPr>
                      <w:rFonts w:hint="eastAsia" w:cs="Times New Roman"/>
                      <w:b w:val="0"/>
                      <w:bCs/>
                      <w:color w:val="auto"/>
                      <w:kern w:val="0"/>
                      <w:sz w:val="21"/>
                      <w:szCs w:val="21"/>
                      <w:highlight w:val="none"/>
                      <w:vertAlign w:val="baseline"/>
                      <w:lang w:val="en-US" w:eastAsia="zh-CN"/>
                    </w:rPr>
                    <w:t>、</w:t>
                  </w:r>
                  <w:r>
                    <w:rPr>
                      <w:rFonts w:hint="eastAsia"/>
                      <w:color w:val="auto"/>
                      <w:sz w:val="21"/>
                      <w:szCs w:val="21"/>
                      <w:highlight w:val="none"/>
                      <w:lang w:val="en-US" w:eastAsia="zh-CN"/>
                    </w:rPr>
                    <w:t>《恶臭污染物排放标准》（GB14554-93）</w:t>
                  </w:r>
                </w:p>
              </w:tc>
              <w:tc>
                <w:tcPr>
                  <w:tcW w:w="529" w:type="pct"/>
                  <w:tcBorders>
                    <w:tl2br w:val="nil"/>
                    <w:tr2bl w:val="nil"/>
                  </w:tcBorders>
                  <w:noWrap w:val="0"/>
                  <w:vAlign w:val="center"/>
                </w:tcPr>
                <w:p w14:paraId="6C5115D4">
                  <w:pPr>
                    <w:pStyle w:val="63"/>
                    <w:keepLines w:val="0"/>
                    <w:pageBreakBefore w:val="0"/>
                    <w:kinsoku/>
                    <w:wordWrap/>
                    <w:overflowPunct/>
                    <w:topLinePunct w:val="0"/>
                    <w:bidi w:val="0"/>
                    <w:ind w:left="0" w:leftChars="0"/>
                    <w:jc w:val="center"/>
                    <w:rPr>
                      <w:rFonts w:hint="default" w:cs="Times New Roman"/>
                      <w:color w:val="auto"/>
                      <w:sz w:val="21"/>
                      <w:szCs w:val="21"/>
                      <w:highlight w:val="none"/>
                      <w:lang w:val="en-US" w:eastAsia="zh-CN" w:bidi="ar-SA"/>
                    </w:rPr>
                  </w:pPr>
                  <w:r>
                    <w:rPr>
                      <w:rFonts w:hint="eastAsia" w:cs="Times New Roman"/>
                      <w:color w:val="auto"/>
                      <w:sz w:val="21"/>
                      <w:szCs w:val="21"/>
                      <w:highlight w:val="none"/>
                      <w:lang w:val="en-US" w:eastAsia="zh-CN" w:bidi="ar-SA"/>
                    </w:rPr>
                    <w:t>上风向一个，下风向三个</w:t>
                  </w:r>
                </w:p>
              </w:tc>
              <w:tc>
                <w:tcPr>
                  <w:tcW w:w="971" w:type="pct"/>
                  <w:tcBorders>
                    <w:tl2br w:val="nil"/>
                    <w:tr2bl w:val="nil"/>
                  </w:tcBorders>
                  <w:noWrap w:val="0"/>
                  <w:vAlign w:val="center"/>
                </w:tcPr>
                <w:p w14:paraId="0C33A796">
                  <w:pPr>
                    <w:pStyle w:val="63"/>
                    <w:keepLines w:val="0"/>
                    <w:pageBreakBefore w:val="0"/>
                    <w:kinsoku/>
                    <w:wordWrap/>
                    <w:overflowPunct/>
                    <w:topLinePunct w:val="0"/>
                    <w:bidi w:val="0"/>
                    <w:ind w:left="0" w:left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硫酸雾、</w:t>
                  </w:r>
                  <w:r>
                    <w:rPr>
                      <w:rFonts w:hint="eastAsia" w:cs="Times New Roman"/>
                      <w:color w:val="auto"/>
                      <w:sz w:val="21"/>
                      <w:szCs w:val="21"/>
                      <w:highlight w:val="none"/>
                      <w:lang w:val="en-US" w:eastAsia="zh-CN"/>
                    </w:rPr>
                    <w:t>硝酸雾、</w:t>
                  </w:r>
                  <w:r>
                    <w:rPr>
                      <w:rFonts w:hint="eastAsia" w:ascii="Times New Roman" w:hAnsi="Times New Roman" w:eastAsia="宋体" w:cs="Times New Roman"/>
                      <w:color w:val="auto"/>
                      <w:sz w:val="21"/>
                      <w:szCs w:val="21"/>
                      <w:highlight w:val="none"/>
                      <w:lang w:val="en-US" w:eastAsia="zh-CN"/>
                    </w:rPr>
                    <w:t>HCl</w:t>
                  </w:r>
                  <w:r>
                    <w:rPr>
                      <w:rFonts w:hint="eastAsia" w:cs="Times New Roman"/>
                      <w:color w:val="auto"/>
                      <w:sz w:val="21"/>
                      <w:szCs w:val="21"/>
                      <w:highlight w:val="none"/>
                      <w:lang w:val="en-US" w:eastAsia="zh-CN"/>
                    </w:rPr>
                    <w:t>、氨、</w:t>
                  </w:r>
                  <w:r>
                    <w:rPr>
                      <w:rFonts w:hint="eastAsia" w:cs="Times New Roman"/>
                      <w:b w:val="0"/>
                      <w:color w:val="auto"/>
                      <w:kern w:val="0"/>
                      <w:sz w:val="21"/>
                      <w:szCs w:val="21"/>
                      <w:highlight w:val="none"/>
                      <w:lang w:val="en-US" w:eastAsia="zh-CN" w:bidi="ar-SA"/>
                    </w:rPr>
                    <w:t>非甲烷总烃</w:t>
                  </w:r>
                </w:p>
              </w:tc>
              <w:tc>
                <w:tcPr>
                  <w:tcW w:w="283" w:type="pct"/>
                  <w:tcBorders>
                    <w:tl2br w:val="nil"/>
                    <w:tr2bl w:val="nil"/>
                  </w:tcBorders>
                  <w:noWrap w:val="0"/>
                  <w:vAlign w:val="center"/>
                </w:tcPr>
                <w:p w14:paraId="56E0602F">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cs="Times New Roman"/>
                      <w:b w:val="0"/>
                      <w:bCs/>
                      <w:color w:val="auto"/>
                      <w:kern w:val="0"/>
                      <w:sz w:val="21"/>
                      <w:szCs w:val="21"/>
                      <w:highlight w:val="none"/>
                      <w:vertAlign w:val="baseline"/>
                      <w:lang w:val="en-US" w:eastAsia="zh-CN"/>
                    </w:rPr>
                  </w:pPr>
                  <w:r>
                    <w:rPr>
                      <w:rFonts w:hint="eastAsia" w:cs="Times New Roman"/>
                      <w:b w:val="0"/>
                      <w:bCs/>
                      <w:color w:val="auto"/>
                      <w:kern w:val="0"/>
                      <w:sz w:val="21"/>
                      <w:szCs w:val="21"/>
                      <w:highlight w:val="none"/>
                      <w:vertAlign w:val="baseline"/>
                      <w:lang w:val="en-US" w:eastAsia="zh-CN"/>
                    </w:rPr>
                    <w:t>一</w:t>
                  </w:r>
                  <w:r>
                    <w:rPr>
                      <w:rFonts w:hint="default" w:ascii="Times New Roman" w:hAnsi="Times New Roman" w:cs="Times New Roman"/>
                      <w:b w:val="0"/>
                      <w:bCs/>
                      <w:color w:val="auto"/>
                      <w:kern w:val="0"/>
                      <w:sz w:val="21"/>
                      <w:szCs w:val="21"/>
                      <w:highlight w:val="none"/>
                      <w:vertAlign w:val="baseline"/>
                      <w:lang w:val="en-US" w:eastAsia="zh-CN"/>
                    </w:rPr>
                    <w:t>年一次</w:t>
                  </w:r>
                </w:p>
              </w:tc>
            </w:tr>
            <w:tr w14:paraId="3ED3D9AC">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tcBorders>
                    <w:tl2br w:val="nil"/>
                    <w:tr2bl w:val="nil"/>
                  </w:tcBorders>
                  <w:noWrap w:val="0"/>
                  <w:vAlign w:val="center"/>
                </w:tcPr>
                <w:p w14:paraId="295D0039">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 w:val="0"/>
                      <w:bCs/>
                      <w:color w:val="0000FF"/>
                      <w:kern w:val="0"/>
                      <w:sz w:val="21"/>
                      <w:szCs w:val="21"/>
                      <w:highlight w:val="none"/>
                      <w:vertAlign w:val="baseline"/>
                      <w:lang w:val="en-US" w:eastAsia="zh-CN"/>
                    </w:rPr>
                  </w:pPr>
                </w:p>
              </w:tc>
              <w:tc>
                <w:tcPr>
                  <w:tcW w:w="369" w:type="pct"/>
                  <w:tcBorders>
                    <w:tl2br w:val="nil"/>
                    <w:tr2bl w:val="nil"/>
                  </w:tcBorders>
                  <w:noWrap w:val="0"/>
                  <w:vAlign w:val="center"/>
                </w:tcPr>
                <w:p w14:paraId="1C41DFB3">
                  <w:pPr>
                    <w:pStyle w:val="63"/>
                    <w:keepLines w:val="0"/>
                    <w:pageBreakBefore w:val="0"/>
                    <w:kinsoku/>
                    <w:wordWrap/>
                    <w:overflowPunct/>
                    <w:topLinePunct w:val="0"/>
                    <w:bidi w:val="0"/>
                    <w:ind w:left="0" w:leftChars="0"/>
                    <w:jc w:val="center"/>
                    <w:rPr>
                      <w:rFonts w:hint="default" w:cs="Times New Roman"/>
                      <w:color w:val="auto"/>
                      <w:sz w:val="21"/>
                      <w:szCs w:val="21"/>
                      <w:highlight w:val="none"/>
                      <w:lang w:val="en-US" w:eastAsia="zh-CN" w:bidi="ar-SA"/>
                    </w:rPr>
                  </w:pPr>
                  <w:r>
                    <w:rPr>
                      <w:rFonts w:hint="eastAsia" w:cs="Times New Roman"/>
                      <w:color w:val="auto"/>
                      <w:sz w:val="21"/>
                      <w:szCs w:val="21"/>
                      <w:highlight w:val="none"/>
                      <w:lang w:val="en-US" w:eastAsia="zh-CN" w:bidi="ar-SA"/>
                    </w:rPr>
                    <w:t>厂房外</w:t>
                  </w:r>
                </w:p>
              </w:tc>
              <w:tc>
                <w:tcPr>
                  <w:tcW w:w="244" w:type="pct"/>
                  <w:tcBorders>
                    <w:tl2br w:val="nil"/>
                    <w:tr2bl w:val="nil"/>
                  </w:tcBorders>
                  <w:noWrap w:val="0"/>
                  <w:vAlign w:val="center"/>
                </w:tcPr>
                <w:p w14:paraId="46A06079">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cs="Times New Roman"/>
                      <w:b w:val="0"/>
                      <w:bCs/>
                      <w:color w:val="auto"/>
                      <w:kern w:val="0"/>
                      <w:sz w:val="21"/>
                      <w:szCs w:val="21"/>
                      <w:highlight w:val="none"/>
                      <w:vertAlign w:val="baseline"/>
                      <w:lang w:val="en-US" w:eastAsia="zh-CN"/>
                    </w:rPr>
                  </w:pPr>
                  <w:r>
                    <w:rPr>
                      <w:rFonts w:hint="eastAsia" w:cs="Times New Roman"/>
                      <w:b w:val="0"/>
                      <w:bCs/>
                      <w:color w:val="auto"/>
                      <w:kern w:val="0"/>
                      <w:sz w:val="21"/>
                      <w:szCs w:val="21"/>
                      <w:highlight w:val="none"/>
                      <w:vertAlign w:val="baseline"/>
                      <w:lang w:val="en-US" w:eastAsia="zh-CN"/>
                    </w:rPr>
                    <w:t>/</w:t>
                  </w:r>
                </w:p>
              </w:tc>
              <w:tc>
                <w:tcPr>
                  <w:tcW w:w="252" w:type="pct"/>
                  <w:tcBorders>
                    <w:tl2br w:val="nil"/>
                    <w:tr2bl w:val="nil"/>
                  </w:tcBorders>
                  <w:noWrap w:val="0"/>
                  <w:vAlign w:val="center"/>
                </w:tcPr>
                <w:p w14:paraId="09DA081C">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w:t>
                  </w:r>
                </w:p>
              </w:tc>
              <w:tc>
                <w:tcPr>
                  <w:tcW w:w="252" w:type="pct"/>
                  <w:tcBorders>
                    <w:tl2br w:val="nil"/>
                    <w:tr2bl w:val="nil"/>
                  </w:tcBorders>
                  <w:noWrap w:val="0"/>
                  <w:vAlign w:val="center"/>
                </w:tcPr>
                <w:p w14:paraId="5A8E9F27">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cs="Times New Roman"/>
                      <w:b w:val="0"/>
                      <w:bCs/>
                      <w:color w:val="auto"/>
                      <w:kern w:val="0"/>
                      <w:sz w:val="21"/>
                      <w:szCs w:val="21"/>
                      <w:highlight w:val="none"/>
                      <w:vertAlign w:val="baseline"/>
                      <w:lang w:val="en-US" w:eastAsia="zh-CN"/>
                    </w:rPr>
                  </w:pPr>
                  <w:r>
                    <w:rPr>
                      <w:rFonts w:hint="eastAsia" w:cs="Times New Roman"/>
                      <w:b w:val="0"/>
                      <w:bCs/>
                      <w:color w:val="auto"/>
                      <w:kern w:val="0"/>
                      <w:sz w:val="21"/>
                      <w:szCs w:val="21"/>
                      <w:highlight w:val="none"/>
                      <w:vertAlign w:val="baseline"/>
                      <w:lang w:val="en-US" w:eastAsia="zh-CN"/>
                    </w:rPr>
                    <w:t>/</w:t>
                  </w:r>
                </w:p>
              </w:tc>
              <w:tc>
                <w:tcPr>
                  <w:tcW w:w="308" w:type="pct"/>
                  <w:tcBorders>
                    <w:tl2br w:val="nil"/>
                    <w:tr2bl w:val="nil"/>
                  </w:tcBorders>
                  <w:noWrap w:val="0"/>
                  <w:vAlign w:val="center"/>
                </w:tcPr>
                <w:p w14:paraId="52B94A7E">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cs="Times New Roman"/>
                      <w:b w:val="0"/>
                      <w:bCs/>
                      <w:color w:val="auto"/>
                      <w:kern w:val="0"/>
                      <w:sz w:val="21"/>
                      <w:szCs w:val="21"/>
                      <w:highlight w:val="none"/>
                      <w:vertAlign w:val="baseline"/>
                      <w:lang w:val="en-US" w:eastAsia="zh-CN"/>
                    </w:rPr>
                  </w:pPr>
                  <w:r>
                    <w:rPr>
                      <w:rFonts w:hint="eastAsia" w:cs="Times New Roman"/>
                      <w:b w:val="0"/>
                      <w:bCs/>
                      <w:color w:val="auto"/>
                      <w:kern w:val="0"/>
                      <w:sz w:val="21"/>
                      <w:szCs w:val="21"/>
                      <w:highlight w:val="none"/>
                      <w:vertAlign w:val="baseline"/>
                      <w:lang w:val="en-US" w:eastAsia="zh-CN"/>
                    </w:rPr>
                    <w:t>/</w:t>
                  </w:r>
                </w:p>
              </w:tc>
              <w:tc>
                <w:tcPr>
                  <w:tcW w:w="740" w:type="pct"/>
                  <w:tcBorders>
                    <w:tl2br w:val="nil"/>
                    <w:tr2bl w:val="nil"/>
                  </w:tcBorders>
                  <w:noWrap w:val="0"/>
                  <w:vAlign w:val="center"/>
                </w:tcPr>
                <w:p w14:paraId="2B908BAF">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cs="Times New Roman"/>
                      <w:b w:val="0"/>
                      <w:bCs/>
                      <w:color w:val="auto"/>
                      <w:kern w:val="0"/>
                      <w:sz w:val="21"/>
                      <w:szCs w:val="21"/>
                      <w:highlight w:val="none"/>
                      <w:vertAlign w:val="baseline"/>
                      <w:lang w:val="en-US" w:eastAsia="zh-CN"/>
                    </w:rPr>
                  </w:pPr>
                  <w:r>
                    <w:rPr>
                      <w:rFonts w:hint="eastAsia" w:cs="Times New Roman"/>
                      <w:b w:val="0"/>
                      <w:bCs/>
                      <w:color w:val="auto"/>
                      <w:kern w:val="0"/>
                      <w:sz w:val="21"/>
                      <w:szCs w:val="21"/>
                      <w:highlight w:val="none"/>
                      <w:vertAlign w:val="baseline"/>
                      <w:lang w:val="en-US" w:eastAsia="zh-CN"/>
                    </w:rPr>
                    <w:t>/</w:t>
                  </w:r>
                </w:p>
              </w:tc>
              <w:tc>
                <w:tcPr>
                  <w:tcW w:w="716" w:type="pct"/>
                  <w:tcBorders>
                    <w:tl2br w:val="nil"/>
                    <w:tr2bl w:val="nil"/>
                  </w:tcBorders>
                  <w:noWrap w:val="0"/>
                  <w:vAlign w:val="center"/>
                </w:tcPr>
                <w:p w14:paraId="1BDE8E07">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 w:val="0"/>
                      <w:bCs/>
                      <w:color w:val="auto"/>
                      <w:kern w:val="0"/>
                      <w:sz w:val="21"/>
                      <w:szCs w:val="21"/>
                      <w:highlight w:val="none"/>
                      <w:vertAlign w:val="baseline"/>
                      <w:lang w:val="en-US" w:eastAsia="zh-CN"/>
                    </w:rPr>
                  </w:pPr>
                  <w:r>
                    <w:rPr>
                      <w:rFonts w:hint="eastAsia" w:cs="Times New Roman"/>
                      <w:b w:val="0"/>
                      <w:bCs/>
                      <w:color w:val="auto"/>
                      <w:kern w:val="0"/>
                      <w:sz w:val="21"/>
                      <w:szCs w:val="21"/>
                      <w:highlight w:val="none"/>
                      <w:vertAlign w:val="baseline"/>
                      <w:lang w:val="en-US" w:eastAsia="zh-CN"/>
                    </w:rPr>
                    <w:t>《</w:t>
                  </w:r>
                  <w:r>
                    <w:rPr>
                      <w:rFonts w:hint="default" w:ascii="Times New Roman" w:hAnsi="Times New Roman" w:eastAsia="宋体" w:cs="Times New Roman"/>
                      <w:b w:val="0"/>
                      <w:bCs/>
                      <w:color w:val="auto"/>
                      <w:kern w:val="0"/>
                      <w:sz w:val="21"/>
                      <w:szCs w:val="21"/>
                      <w:highlight w:val="none"/>
                      <w:vertAlign w:val="baseline"/>
                      <w:lang w:val="en-US" w:eastAsia="zh-CN"/>
                    </w:rPr>
                    <w:t>挥发性有机物无组织排放控制标准</w:t>
                  </w:r>
                  <w:r>
                    <w:rPr>
                      <w:rFonts w:hint="eastAsia" w:cs="Times New Roman"/>
                      <w:b w:val="0"/>
                      <w:bCs/>
                      <w:color w:val="auto"/>
                      <w:kern w:val="0"/>
                      <w:sz w:val="21"/>
                      <w:szCs w:val="21"/>
                      <w:highlight w:val="none"/>
                      <w:vertAlign w:val="baseline"/>
                      <w:lang w:val="en-US" w:eastAsia="zh-CN"/>
                    </w:rPr>
                    <w:t>》（GB37822-2019）</w:t>
                  </w:r>
                </w:p>
              </w:tc>
              <w:tc>
                <w:tcPr>
                  <w:tcW w:w="529" w:type="pct"/>
                  <w:tcBorders>
                    <w:tl2br w:val="nil"/>
                    <w:tr2bl w:val="nil"/>
                  </w:tcBorders>
                  <w:noWrap w:val="0"/>
                  <w:vAlign w:val="center"/>
                </w:tcPr>
                <w:p w14:paraId="031CFCD7">
                  <w:pPr>
                    <w:pStyle w:val="63"/>
                    <w:keepLines w:val="0"/>
                    <w:pageBreakBefore w:val="0"/>
                    <w:kinsoku/>
                    <w:wordWrap/>
                    <w:overflowPunct/>
                    <w:topLinePunct w:val="0"/>
                    <w:bidi w:val="0"/>
                    <w:ind w:left="0" w:leftChars="0"/>
                    <w:jc w:val="center"/>
                    <w:rPr>
                      <w:rFonts w:hint="default" w:cs="Times New Roman"/>
                      <w:color w:val="auto"/>
                      <w:sz w:val="21"/>
                      <w:szCs w:val="21"/>
                      <w:highlight w:val="none"/>
                      <w:lang w:val="en-US" w:eastAsia="zh-CN" w:bidi="ar-SA"/>
                    </w:rPr>
                  </w:pPr>
                  <w:r>
                    <w:rPr>
                      <w:rFonts w:hint="eastAsia" w:cs="Times New Roman"/>
                      <w:color w:val="auto"/>
                      <w:sz w:val="21"/>
                      <w:szCs w:val="21"/>
                      <w:highlight w:val="none"/>
                      <w:lang w:val="en-US" w:eastAsia="zh-CN" w:bidi="ar-SA"/>
                    </w:rPr>
                    <w:t>厂房外</w:t>
                  </w:r>
                </w:p>
              </w:tc>
              <w:tc>
                <w:tcPr>
                  <w:tcW w:w="971" w:type="pct"/>
                  <w:tcBorders>
                    <w:tl2br w:val="nil"/>
                    <w:tr2bl w:val="nil"/>
                  </w:tcBorders>
                  <w:noWrap w:val="0"/>
                  <w:vAlign w:val="center"/>
                </w:tcPr>
                <w:p w14:paraId="03AAC857">
                  <w:pPr>
                    <w:pStyle w:val="63"/>
                    <w:keepLines w:val="0"/>
                    <w:pageBreakBefore w:val="0"/>
                    <w:kinsoku/>
                    <w:wordWrap/>
                    <w:overflowPunct/>
                    <w:topLinePunct w:val="0"/>
                    <w:bidi w:val="0"/>
                    <w:ind w:left="0" w:leftChars="0"/>
                    <w:jc w:val="center"/>
                    <w:rPr>
                      <w:rFonts w:hint="eastAsia" w:ascii="Times New Roman" w:hAnsi="Times New Roman" w:eastAsia="宋体" w:cs="Times New Roman"/>
                      <w:color w:val="auto"/>
                      <w:sz w:val="21"/>
                      <w:szCs w:val="21"/>
                      <w:highlight w:val="none"/>
                      <w:lang w:val="en-US" w:eastAsia="zh-CN"/>
                    </w:rPr>
                  </w:pPr>
                  <w:r>
                    <w:rPr>
                      <w:rFonts w:hint="eastAsia" w:cs="Times New Roman"/>
                      <w:b w:val="0"/>
                      <w:color w:val="auto"/>
                      <w:kern w:val="0"/>
                      <w:sz w:val="21"/>
                      <w:szCs w:val="21"/>
                      <w:highlight w:val="none"/>
                      <w:lang w:val="en-US" w:eastAsia="zh-CN" w:bidi="ar-SA"/>
                    </w:rPr>
                    <w:t>非甲烷总烃</w:t>
                  </w:r>
                </w:p>
              </w:tc>
              <w:tc>
                <w:tcPr>
                  <w:tcW w:w="283" w:type="pct"/>
                  <w:tcBorders>
                    <w:tl2br w:val="nil"/>
                    <w:tr2bl w:val="nil"/>
                  </w:tcBorders>
                  <w:noWrap w:val="0"/>
                  <w:vAlign w:val="center"/>
                </w:tcPr>
                <w:p w14:paraId="4F5F594F">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cs="Times New Roman"/>
                      <w:b w:val="0"/>
                      <w:bCs/>
                      <w:color w:val="auto"/>
                      <w:kern w:val="0"/>
                      <w:sz w:val="21"/>
                      <w:szCs w:val="21"/>
                      <w:highlight w:val="none"/>
                      <w:vertAlign w:val="baseline"/>
                      <w:lang w:val="en-US" w:eastAsia="zh-CN"/>
                    </w:rPr>
                  </w:pPr>
                  <w:r>
                    <w:rPr>
                      <w:rFonts w:hint="eastAsia" w:cs="Times New Roman"/>
                      <w:b w:val="0"/>
                      <w:bCs/>
                      <w:color w:val="auto"/>
                      <w:kern w:val="0"/>
                      <w:sz w:val="21"/>
                      <w:szCs w:val="21"/>
                      <w:highlight w:val="none"/>
                      <w:vertAlign w:val="baseline"/>
                      <w:lang w:val="en-US" w:eastAsia="zh-CN"/>
                    </w:rPr>
                    <w:t>一</w:t>
                  </w:r>
                  <w:r>
                    <w:rPr>
                      <w:rFonts w:hint="default" w:ascii="Times New Roman" w:hAnsi="Times New Roman" w:cs="Times New Roman"/>
                      <w:b w:val="0"/>
                      <w:bCs/>
                      <w:color w:val="auto"/>
                      <w:kern w:val="0"/>
                      <w:sz w:val="21"/>
                      <w:szCs w:val="21"/>
                      <w:highlight w:val="none"/>
                      <w:vertAlign w:val="baseline"/>
                      <w:lang w:val="en-US" w:eastAsia="zh-CN"/>
                    </w:rPr>
                    <w:t>年一次</w:t>
                  </w:r>
                </w:p>
              </w:tc>
            </w:tr>
          </w:tbl>
          <w:p w14:paraId="0FA56EAD">
            <w:pPr>
              <w:pStyle w:val="44"/>
              <w:ind w:left="0" w:leftChars="0" w:firstLine="0" w:firstLineChars="0"/>
              <w:rPr>
                <w:rFonts w:hint="default" w:ascii="Times New Roman" w:hAnsi="Times New Roman" w:eastAsia="宋体" w:cs="Times New Roman"/>
                <w:color w:val="0000FF"/>
                <w:highlight w:val="none"/>
              </w:rPr>
            </w:pPr>
          </w:p>
        </w:tc>
      </w:tr>
    </w:tbl>
    <w:p w14:paraId="17B9DA5D">
      <w:pPr>
        <w:pStyle w:val="2"/>
        <w:ind w:leftChars="0"/>
        <w:rPr>
          <w:rFonts w:hint="default"/>
          <w:color w:val="0000FF"/>
          <w:highlight w:val="none"/>
        </w:rPr>
        <w:sectPr>
          <w:pgSz w:w="16840" w:h="11907" w:orient="landscape"/>
          <w:pgMar w:top="1417" w:right="1417" w:bottom="1417" w:left="1417" w:header="992" w:footer="992" w:gutter="0"/>
          <w:pgBorders>
            <w:top w:val="none" w:sz="0" w:space="0"/>
            <w:left w:val="none" w:sz="0" w:space="0"/>
            <w:bottom w:val="none" w:sz="0" w:space="0"/>
            <w:right w:val="none" w:sz="0" w:space="0"/>
          </w:pgBorders>
          <w:pgNumType w:fmt="numberInDash"/>
          <w:cols w:space="720" w:num="1"/>
          <w:docGrid w:linePitch="286" w:charSpace="0"/>
        </w:sectPr>
      </w:pPr>
    </w:p>
    <w:tbl>
      <w:tblPr>
        <w:tblStyle w:val="45"/>
        <w:tblW w:w="551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9400"/>
      </w:tblGrid>
      <w:tr w14:paraId="726248ED">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973" w:hRule="atLeast"/>
          <w:jc w:val="center"/>
        </w:trPr>
        <w:tc>
          <w:tcPr>
            <w:tcW w:w="411" w:type="pct"/>
            <w:tcBorders>
              <w:top w:val="single" w:color="auto" w:sz="4" w:space="0"/>
              <w:left w:val="single" w:color="auto" w:sz="8" w:space="0"/>
              <w:bottom w:val="single" w:color="auto" w:sz="4" w:space="0"/>
              <w:right w:val="single" w:color="auto" w:sz="4" w:space="0"/>
            </w:tcBorders>
            <w:tcMar>
              <w:top w:w="0" w:type="dxa"/>
              <w:left w:w="28" w:type="dxa"/>
              <w:bottom w:w="0" w:type="dxa"/>
              <w:right w:w="28" w:type="dxa"/>
            </w:tcMar>
            <w:vAlign w:val="center"/>
          </w:tcPr>
          <w:p w14:paraId="6CCE8FB7">
            <w:pPr>
              <w:rPr>
                <w:rFonts w:hint="default"/>
                <w:color w:val="0000FF"/>
                <w:highlight w:val="none"/>
              </w:rPr>
            </w:pPr>
          </w:p>
        </w:tc>
        <w:tc>
          <w:tcPr>
            <w:tcW w:w="4588" w:type="pct"/>
            <w:tcBorders>
              <w:top w:val="single" w:color="auto" w:sz="4" w:space="0"/>
              <w:left w:val="single" w:color="auto" w:sz="4" w:space="0"/>
              <w:bottom w:val="single" w:color="auto" w:sz="4" w:space="0"/>
              <w:right w:val="single" w:color="auto" w:sz="8" w:space="0"/>
            </w:tcBorders>
          </w:tcPr>
          <w:p w14:paraId="0E604026">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default" w:ascii="Times New Roman" w:hAnsi="Times New Roman" w:eastAsia="宋体" w:cs="Times New Roman"/>
                <w:b/>
                <w:bCs/>
                <w:color w:val="auto"/>
                <w:kern w:val="2"/>
                <w:sz w:val="21"/>
                <w:szCs w:val="21"/>
                <w:highlight w:val="none"/>
                <w:lang w:val="en-US" w:eastAsia="zh-CN" w:bidi="ar-SA"/>
              </w:rPr>
            </w:pPr>
            <w:r>
              <w:rPr>
                <w:rFonts w:hint="eastAsia" w:ascii="Times New Roman" w:hAnsi="Times New Roman" w:eastAsia="宋体" w:cs="Times New Roman"/>
                <w:b/>
                <w:bCs/>
                <w:color w:val="auto"/>
                <w:kern w:val="2"/>
                <w:sz w:val="21"/>
                <w:szCs w:val="21"/>
                <w:highlight w:val="none"/>
                <w:lang w:val="en-US" w:eastAsia="zh-CN" w:bidi="ar-SA"/>
              </w:rPr>
              <w:t>（4）非正常工况</w:t>
            </w:r>
          </w:p>
          <w:p w14:paraId="4E37F3B0">
            <w:pPr>
              <w:pStyle w:val="325"/>
              <w:ind w:firstLine="480"/>
              <w:rPr>
                <w:rFonts w:hint="eastAsia"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非正常排放是指生产过程中设备检修、工艺设备运转异常等非正常工况下的污染物排放以及污染物排放控制措施达不到应有效率等情况下的排放。项目废气非正常工况排放主要为废气处理设施出现故障不能正常运行时，</w:t>
            </w:r>
            <w:r>
              <w:rPr>
                <w:rFonts w:hint="eastAsia" w:cs="Times New Roman"/>
                <w:color w:val="auto"/>
                <w:sz w:val="21"/>
                <w:szCs w:val="21"/>
                <w:highlight w:val="none"/>
                <w:lang w:val="en-US" w:eastAsia="zh-CN"/>
              </w:rPr>
              <w:t>该情况下废气</w:t>
            </w:r>
            <w:r>
              <w:rPr>
                <w:rFonts w:hint="eastAsia" w:ascii="Times New Roman" w:hAnsi="Times New Roman" w:eastAsia="宋体" w:cs="Times New Roman"/>
                <w:color w:val="auto"/>
                <w:sz w:val="21"/>
                <w:szCs w:val="21"/>
                <w:highlight w:val="none"/>
                <w:lang w:val="en-US" w:eastAsia="zh-CN"/>
              </w:rPr>
              <w:t>净化效率为零考虑</w:t>
            </w:r>
            <w:r>
              <w:rPr>
                <w:rFonts w:hint="eastAsia" w:cs="Times New Roman"/>
                <w:color w:val="auto"/>
                <w:sz w:val="21"/>
                <w:szCs w:val="21"/>
                <w:highlight w:val="none"/>
                <w:lang w:val="en-US" w:eastAsia="zh-CN"/>
              </w:rPr>
              <w:t>，即事故排放源强按未经过处理的污染物产生量计算，非正常工况下主要大气污染物的排放源强见下表：</w:t>
            </w:r>
          </w:p>
          <w:p w14:paraId="30F2389D">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color w:val="auto"/>
                <w:sz w:val="21"/>
                <w:szCs w:val="21"/>
                <w:highlight w:val="none"/>
                <w:lang w:val="en-US" w:eastAsia="zh-CN"/>
              </w:rPr>
            </w:pPr>
            <w:r>
              <w:rPr>
                <w:rFonts w:hint="default" w:ascii="Times New Roman" w:hAnsi="Times New Roman" w:eastAsia="黑体" w:cs="Times New Roman"/>
                <w:color w:val="auto"/>
                <w:sz w:val="21"/>
                <w:szCs w:val="21"/>
                <w:highlight w:val="none"/>
                <w:lang w:val="en-US" w:eastAsia="zh-CN"/>
              </w:rPr>
              <w:t>表</w:t>
            </w:r>
            <w:r>
              <w:rPr>
                <w:rFonts w:hint="eastAsia" w:eastAsia="黑体" w:cs="Times New Roman"/>
                <w:color w:val="auto"/>
                <w:sz w:val="21"/>
                <w:szCs w:val="21"/>
                <w:highlight w:val="none"/>
                <w:lang w:val="en-US" w:eastAsia="zh-CN"/>
              </w:rPr>
              <w:t>30</w:t>
            </w:r>
            <w:r>
              <w:rPr>
                <w:rFonts w:hint="eastAsia" w:ascii="Times New Roman" w:hAnsi="Times New Roman" w:eastAsia="黑体" w:cs="Times New Roman"/>
                <w:color w:val="auto"/>
                <w:sz w:val="21"/>
                <w:szCs w:val="21"/>
                <w:highlight w:val="none"/>
                <w:lang w:val="en-US" w:eastAsia="zh-CN"/>
              </w:rPr>
              <w:t xml:space="preserve"> </w:t>
            </w:r>
            <w:r>
              <w:rPr>
                <w:rFonts w:hint="default" w:ascii="Times New Roman" w:hAnsi="Times New Roman" w:eastAsia="黑体" w:cs="Times New Roman"/>
                <w:color w:val="auto"/>
                <w:sz w:val="21"/>
                <w:szCs w:val="21"/>
                <w:highlight w:val="none"/>
                <w:lang w:val="en-US" w:eastAsia="zh-CN"/>
              </w:rPr>
              <w:t xml:space="preserve">  </w:t>
            </w:r>
            <w:r>
              <w:rPr>
                <w:rFonts w:hint="eastAsia" w:ascii="Times New Roman" w:hAnsi="Times New Roman" w:eastAsia="黑体" w:cs="Times New Roman"/>
                <w:color w:val="auto"/>
                <w:sz w:val="21"/>
                <w:szCs w:val="21"/>
                <w:highlight w:val="none"/>
                <w:lang w:val="en-US" w:eastAsia="zh-CN"/>
              </w:rPr>
              <w:t>非正常排放情况表</w:t>
            </w:r>
          </w:p>
          <w:tbl>
            <w:tblPr>
              <w:tblStyle w:val="45"/>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399"/>
              <w:gridCol w:w="1398"/>
              <w:gridCol w:w="1624"/>
              <w:gridCol w:w="1183"/>
              <w:gridCol w:w="1021"/>
              <w:gridCol w:w="1225"/>
            </w:tblGrid>
            <w:tr w14:paraId="57142F9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23" w:type="pct"/>
                  <w:noWrap w:val="0"/>
                  <w:vAlign w:val="center"/>
                </w:tcPr>
                <w:p w14:paraId="41CB1DCE">
                  <w:pPr>
                    <w:spacing w:line="320" w:lineRule="exact"/>
                    <w:ind w:firstLine="0" w:firstLineChars="0"/>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非正常排放源</w:t>
                  </w:r>
                </w:p>
              </w:tc>
              <w:tc>
                <w:tcPr>
                  <w:tcW w:w="762" w:type="pct"/>
                  <w:noWrap w:val="0"/>
                  <w:vAlign w:val="center"/>
                </w:tcPr>
                <w:p w14:paraId="644147B6">
                  <w:pPr>
                    <w:spacing w:line="320" w:lineRule="exact"/>
                    <w:ind w:firstLine="0" w:firstLineChars="0"/>
                    <w:jc w:val="center"/>
                    <w:rPr>
                      <w:rFonts w:hint="default" w:ascii="Times New Roman" w:hAnsi="Times New Roman" w:eastAsia="宋体" w:cs="Times New Roman"/>
                      <w:b/>
                      <w:color w:val="auto"/>
                      <w:sz w:val="21"/>
                      <w:szCs w:val="21"/>
                      <w:highlight w:val="none"/>
                      <w:lang w:val="en-US" w:eastAsia="zh-CN"/>
                    </w:rPr>
                  </w:pPr>
                  <w:r>
                    <w:rPr>
                      <w:rFonts w:hint="eastAsia" w:cs="Times New Roman"/>
                      <w:b/>
                      <w:color w:val="auto"/>
                      <w:sz w:val="21"/>
                      <w:szCs w:val="21"/>
                      <w:highlight w:val="none"/>
                      <w:lang w:val="en-US" w:eastAsia="zh-CN"/>
                    </w:rPr>
                    <w:t>情景设定</w:t>
                  </w:r>
                </w:p>
              </w:tc>
              <w:tc>
                <w:tcPr>
                  <w:tcW w:w="761" w:type="pct"/>
                  <w:noWrap w:val="0"/>
                  <w:vAlign w:val="center"/>
                </w:tcPr>
                <w:p w14:paraId="1DECB79A">
                  <w:pPr>
                    <w:spacing w:line="320" w:lineRule="exact"/>
                    <w:ind w:firstLine="0" w:firstLineChars="0"/>
                    <w:jc w:val="center"/>
                    <w:rPr>
                      <w:rFonts w:hint="default" w:ascii="Times New Roman" w:hAnsi="Times New Roman" w:cs="Times New Roman"/>
                      <w:b/>
                      <w:color w:val="auto"/>
                      <w:sz w:val="21"/>
                      <w:szCs w:val="21"/>
                      <w:highlight w:val="none"/>
                      <w:lang w:eastAsia="zh-CN"/>
                    </w:rPr>
                  </w:pPr>
                  <w:r>
                    <w:rPr>
                      <w:rFonts w:hint="default" w:ascii="Times New Roman" w:hAnsi="Times New Roman" w:cs="Times New Roman"/>
                      <w:b/>
                      <w:color w:val="auto"/>
                      <w:sz w:val="21"/>
                      <w:szCs w:val="21"/>
                      <w:highlight w:val="none"/>
                    </w:rPr>
                    <w:t>污染物</w:t>
                  </w:r>
                </w:p>
              </w:tc>
              <w:tc>
                <w:tcPr>
                  <w:tcW w:w="884" w:type="pct"/>
                  <w:noWrap w:val="0"/>
                  <w:vAlign w:val="center"/>
                </w:tcPr>
                <w:p w14:paraId="4C406C17">
                  <w:pPr>
                    <w:spacing w:line="320" w:lineRule="exact"/>
                    <w:ind w:firstLine="0" w:firstLineChars="0"/>
                    <w:jc w:val="center"/>
                    <w:rPr>
                      <w:rFonts w:hint="default" w:ascii="Times New Roman" w:hAnsi="Times New Roman" w:cs="Times New Roman"/>
                      <w:b/>
                      <w:color w:val="auto"/>
                      <w:sz w:val="21"/>
                      <w:szCs w:val="21"/>
                      <w:highlight w:val="none"/>
                      <w:lang w:val="en-US" w:eastAsia="zh-CN"/>
                    </w:rPr>
                  </w:pPr>
                  <w:r>
                    <w:rPr>
                      <w:rFonts w:hint="default" w:ascii="Times New Roman" w:hAnsi="Times New Roman" w:cs="Times New Roman"/>
                      <w:b/>
                      <w:color w:val="auto"/>
                      <w:sz w:val="21"/>
                      <w:szCs w:val="21"/>
                      <w:highlight w:val="none"/>
                    </w:rPr>
                    <w:t>非正常排放速率</w:t>
                  </w:r>
                  <w:r>
                    <w:rPr>
                      <w:rFonts w:hint="eastAsia" w:ascii="Times New Roman" w:hAnsi="Times New Roman" w:cs="Times New Roman"/>
                      <w:b/>
                      <w:color w:val="auto"/>
                      <w:sz w:val="21"/>
                      <w:szCs w:val="21"/>
                      <w:highlight w:val="none"/>
                      <w:lang w:eastAsia="zh-CN"/>
                    </w:rPr>
                    <w:t>（</w:t>
                  </w:r>
                  <w:r>
                    <w:rPr>
                      <w:rFonts w:hint="default" w:ascii="Times New Roman" w:hAnsi="Times New Roman" w:cs="Times New Roman"/>
                      <w:b/>
                      <w:color w:val="auto"/>
                      <w:sz w:val="21"/>
                      <w:szCs w:val="21"/>
                      <w:highlight w:val="none"/>
                    </w:rPr>
                    <w:t>kg/h</w:t>
                  </w:r>
                  <w:r>
                    <w:rPr>
                      <w:rFonts w:hint="eastAsia" w:ascii="Times New Roman" w:hAnsi="Times New Roman" w:cs="Times New Roman"/>
                      <w:b/>
                      <w:color w:val="auto"/>
                      <w:sz w:val="21"/>
                      <w:szCs w:val="21"/>
                      <w:highlight w:val="none"/>
                      <w:lang w:eastAsia="zh-CN"/>
                    </w:rPr>
                    <w:t>）</w:t>
                  </w:r>
                </w:p>
              </w:tc>
              <w:tc>
                <w:tcPr>
                  <w:tcW w:w="644" w:type="pct"/>
                  <w:noWrap w:val="0"/>
                  <w:vAlign w:val="center"/>
                </w:tcPr>
                <w:p w14:paraId="69748668">
                  <w:pPr>
                    <w:spacing w:line="320" w:lineRule="exact"/>
                    <w:ind w:firstLine="0" w:firstLineChars="0"/>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单次持续时间</w:t>
                  </w:r>
                </w:p>
              </w:tc>
              <w:tc>
                <w:tcPr>
                  <w:tcW w:w="556" w:type="pct"/>
                  <w:noWrap w:val="0"/>
                  <w:vAlign w:val="center"/>
                </w:tcPr>
                <w:p w14:paraId="5B8BAF0A">
                  <w:pPr>
                    <w:spacing w:line="320" w:lineRule="exact"/>
                    <w:ind w:firstLine="0" w:firstLineChars="0"/>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年发生频次</w:t>
                  </w:r>
                </w:p>
              </w:tc>
              <w:tc>
                <w:tcPr>
                  <w:tcW w:w="667" w:type="pct"/>
                  <w:noWrap w:val="0"/>
                  <w:vAlign w:val="center"/>
                </w:tcPr>
                <w:p w14:paraId="5C17EB3A">
                  <w:pPr>
                    <w:snapToGrid w:val="0"/>
                    <w:spacing w:line="320" w:lineRule="exact"/>
                    <w:ind w:firstLine="0" w:firstLineChars="0"/>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应对措施</w:t>
                  </w:r>
                </w:p>
              </w:tc>
            </w:tr>
            <w:tr w14:paraId="4B9F85B9">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23" w:type="pct"/>
                  <w:vMerge w:val="restart"/>
                  <w:noWrap w:val="0"/>
                  <w:vAlign w:val="center"/>
                </w:tcPr>
                <w:p w14:paraId="019EF8F0">
                  <w:pPr>
                    <w:adjustRightInd w:val="0"/>
                    <w:snapToGrid w:val="0"/>
                    <w:spacing w:line="320" w:lineRule="exact"/>
                    <w:ind w:firstLine="0" w:firstLineChars="0"/>
                    <w:jc w:val="center"/>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DA00</w:t>
                  </w:r>
                  <w:r>
                    <w:rPr>
                      <w:rFonts w:hint="eastAsia" w:cs="Times New Roman"/>
                      <w:color w:val="auto"/>
                      <w:sz w:val="21"/>
                      <w:szCs w:val="21"/>
                      <w:highlight w:val="none"/>
                      <w:lang w:val="en-US" w:eastAsia="zh-CN"/>
                    </w:rPr>
                    <w:t>1</w:t>
                  </w:r>
                </w:p>
              </w:tc>
              <w:tc>
                <w:tcPr>
                  <w:tcW w:w="762" w:type="pct"/>
                  <w:vMerge w:val="restart"/>
                  <w:noWrap w:val="0"/>
                  <w:vAlign w:val="center"/>
                </w:tcPr>
                <w:p w14:paraId="56D57BAD">
                  <w:pPr>
                    <w:spacing w:line="320" w:lineRule="exact"/>
                    <w:ind w:firstLine="0" w:firstLineChars="0"/>
                    <w:jc w:val="center"/>
                    <w:rPr>
                      <w:rFonts w:hint="eastAsia" w:ascii="Times New Roman" w:hAnsi="Times New Roman" w:cs="Times New Roman"/>
                      <w:color w:val="auto"/>
                      <w:kern w:val="2"/>
                      <w:sz w:val="21"/>
                      <w:szCs w:val="21"/>
                      <w:highlight w:val="none"/>
                      <w:lang w:val="en-US" w:eastAsia="zh-CN" w:bidi="ar-SA"/>
                    </w:rPr>
                  </w:pPr>
                  <w:r>
                    <w:rPr>
                      <w:rStyle w:val="287"/>
                      <w:rFonts w:hint="eastAsia" w:cs="Times New Roman"/>
                      <w:color w:val="auto"/>
                      <w:sz w:val="21"/>
                      <w:szCs w:val="21"/>
                      <w:highlight w:val="none"/>
                      <w:lang w:val="en-US" w:eastAsia="zh-CN"/>
                    </w:rPr>
                    <w:t>二级</w:t>
                  </w:r>
                  <w:r>
                    <w:rPr>
                      <w:rStyle w:val="287"/>
                      <w:rFonts w:hint="default" w:ascii="Times New Roman" w:hAnsi="Times New Roman" w:eastAsia="宋体" w:cs="Times New Roman"/>
                      <w:color w:val="auto"/>
                      <w:sz w:val="21"/>
                      <w:szCs w:val="21"/>
                      <w:highlight w:val="none"/>
                      <w:lang w:val="en-US" w:eastAsia="zh-CN"/>
                    </w:rPr>
                    <w:t>活性炭吸附装置</w:t>
                  </w:r>
                </w:p>
              </w:tc>
              <w:tc>
                <w:tcPr>
                  <w:tcW w:w="761" w:type="pct"/>
                  <w:noWrap w:val="0"/>
                  <w:vAlign w:val="center"/>
                </w:tcPr>
                <w:p w14:paraId="29BE381B">
                  <w:pPr>
                    <w:pStyle w:val="63"/>
                    <w:keepLines w:val="0"/>
                    <w:pageBreakBefore w:val="0"/>
                    <w:kinsoku/>
                    <w:wordWrap/>
                    <w:overflowPunct/>
                    <w:topLinePunct w:val="0"/>
                    <w:bidi w:val="0"/>
                    <w:ind w:left="0" w:left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非甲烷总烃</w:t>
                  </w:r>
                </w:p>
              </w:tc>
              <w:tc>
                <w:tcPr>
                  <w:tcW w:w="884" w:type="pct"/>
                  <w:noWrap w:val="0"/>
                  <w:vAlign w:val="center"/>
                </w:tcPr>
                <w:p w14:paraId="7CB617B5">
                  <w:pPr>
                    <w:spacing w:line="320" w:lineRule="exact"/>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0.00016</w:t>
                  </w:r>
                </w:p>
              </w:tc>
              <w:tc>
                <w:tcPr>
                  <w:tcW w:w="644" w:type="pct"/>
                  <w:vMerge w:val="restart"/>
                  <w:noWrap w:val="0"/>
                  <w:vAlign w:val="center"/>
                </w:tcPr>
                <w:p w14:paraId="2B7BDFCE">
                  <w:pPr>
                    <w:spacing w:line="320" w:lineRule="exact"/>
                    <w:ind w:firstLine="0" w:firstLineChars="0"/>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1h</w:t>
                  </w:r>
                </w:p>
              </w:tc>
              <w:tc>
                <w:tcPr>
                  <w:tcW w:w="556" w:type="pct"/>
                  <w:vMerge w:val="restart"/>
                  <w:noWrap w:val="0"/>
                  <w:vAlign w:val="center"/>
                </w:tcPr>
                <w:p w14:paraId="4B2C9294">
                  <w:pPr>
                    <w:spacing w:line="320" w:lineRule="exact"/>
                    <w:ind w:firstLine="0" w:firstLineChars="0"/>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1次/年</w:t>
                  </w:r>
                </w:p>
              </w:tc>
              <w:tc>
                <w:tcPr>
                  <w:tcW w:w="667" w:type="pct"/>
                  <w:vMerge w:val="restart"/>
                  <w:noWrap w:val="0"/>
                  <w:vAlign w:val="center"/>
                </w:tcPr>
                <w:p w14:paraId="7EB84EB1">
                  <w:pPr>
                    <w:spacing w:line="320" w:lineRule="exact"/>
                    <w:ind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立即</w:t>
                  </w:r>
                  <w:r>
                    <w:rPr>
                      <w:rFonts w:hint="eastAsia" w:ascii="Times New Roman" w:hAnsi="Times New Roman" w:cs="Times New Roman"/>
                      <w:color w:val="auto"/>
                      <w:sz w:val="21"/>
                      <w:szCs w:val="21"/>
                      <w:highlight w:val="none"/>
                      <w:lang w:val="en-US" w:eastAsia="zh-CN"/>
                    </w:rPr>
                    <w:t>停产，</w:t>
                  </w:r>
                  <w:r>
                    <w:rPr>
                      <w:rFonts w:hint="default" w:ascii="Times New Roman" w:hAnsi="Times New Roman" w:cs="Times New Roman"/>
                      <w:color w:val="auto"/>
                      <w:sz w:val="21"/>
                      <w:szCs w:val="21"/>
                      <w:highlight w:val="none"/>
                      <w:lang w:val="en-US" w:eastAsia="zh-CN"/>
                    </w:rPr>
                    <w:t>维修</w:t>
                  </w:r>
                  <w:r>
                    <w:rPr>
                      <w:rFonts w:hint="eastAsia" w:ascii="Times New Roman" w:hAnsi="Times New Roman" w:cs="Times New Roman"/>
                      <w:color w:val="auto"/>
                      <w:sz w:val="21"/>
                      <w:szCs w:val="21"/>
                      <w:highlight w:val="none"/>
                      <w:lang w:val="en-US" w:eastAsia="zh-CN"/>
                    </w:rPr>
                    <w:t>设备</w:t>
                  </w:r>
                </w:p>
              </w:tc>
            </w:tr>
            <w:tr w14:paraId="2D22E36C">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23" w:type="pct"/>
                  <w:vMerge w:val="continue"/>
                  <w:noWrap w:val="0"/>
                  <w:vAlign w:val="center"/>
                </w:tcPr>
                <w:p w14:paraId="4B8F4EB7">
                  <w:pPr>
                    <w:adjustRightInd w:val="0"/>
                    <w:snapToGrid w:val="0"/>
                    <w:spacing w:line="320" w:lineRule="exact"/>
                    <w:ind w:firstLine="0" w:firstLineChars="0"/>
                    <w:jc w:val="center"/>
                    <w:rPr>
                      <w:rFonts w:hint="eastAsia" w:ascii="Times New Roman" w:hAnsi="Times New Roman" w:cs="Times New Roman"/>
                      <w:color w:val="0000FF"/>
                      <w:sz w:val="21"/>
                      <w:szCs w:val="21"/>
                      <w:highlight w:val="none"/>
                      <w:lang w:val="en-US" w:eastAsia="zh-CN"/>
                    </w:rPr>
                  </w:pPr>
                </w:p>
              </w:tc>
              <w:tc>
                <w:tcPr>
                  <w:tcW w:w="762" w:type="pct"/>
                  <w:vMerge w:val="continue"/>
                  <w:noWrap w:val="0"/>
                  <w:vAlign w:val="center"/>
                </w:tcPr>
                <w:p w14:paraId="1DE213B6">
                  <w:pPr>
                    <w:spacing w:line="320" w:lineRule="exact"/>
                    <w:ind w:firstLine="0" w:firstLineChars="0"/>
                    <w:jc w:val="center"/>
                    <w:rPr>
                      <w:rStyle w:val="287"/>
                      <w:rFonts w:hint="default" w:ascii="Times New Roman" w:hAnsi="Times New Roman" w:eastAsia="宋体" w:cs="Times New Roman"/>
                      <w:color w:val="0000FF"/>
                      <w:sz w:val="21"/>
                      <w:szCs w:val="21"/>
                      <w:highlight w:val="none"/>
                      <w:lang w:val="en-US" w:eastAsia="zh-CN"/>
                    </w:rPr>
                  </w:pPr>
                </w:p>
              </w:tc>
              <w:tc>
                <w:tcPr>
                  <w:tcW w:w="761" w:type="pct"/>
                  <w:noWrap w:val="0"/>
                  <w:vAlign w:val="center"/>
                </w:tcPr>
                <w:p w14:paraId="13EA0C13">
                  <w:pPr>
                    <w:pStyle w:val="63"/>
                    <w:keepLines w:val="0"/>
                    <w:pageBreakBefore w:val="0"/>
                    <w:kinsoku/>
                    <w:wordWrap/>
                    <w:overflowPunct/>
                    <w:topLinePunct w:val="0"/>
                    <w:bidi w:val="0"/>
                    <w:ind w:left="0" w:left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氯化氢</w:t>
                  </w:r>
                </w:p>
              </w:tc>
              <w:tc>
                <w:tcPr>
                  <w:tcW w:w="884" w:type="pct"/>
                  <w:noWrap w:val="0"/>
                  <w:vAlign w:val="center"/>
                </w:tcPr>
                <w:p w14:paraId="4DEFE716">
                  <w:pPr>
                    <w:spacing w:line="320" w:lineRule="exact"/>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0.000</w:t>
                  </w:r>
                  <w:r>
                    <w:rPr>
                      <w:rFonts w:hint="eastAsia" w:cs="Times New Roman"/>
                      <w:color w:val="auto"/>
                      <w:sz w:val="21"/>
                      <w:szCs w:val="21"/>
                      <w:highlight w:val="none"/>
                      <w:lang w:val="en-US" w:eastAsia="zh-CN"/>
                    </w:rPr>
                    <w:t>05</w:t>
                  </w:r>
                </w:p>
              </w:tc>
              <w:tc>
                <w:tcPr>
                  <w:tcW w:w="644" w:type="pct"/>
                  <w:vMerge w:val="continue"/>
                  <w:noWrap w:val="0"/>
                  <w:vAlign w:val="center"/>
                </w:tcPr>
                <w:p w14:paraId="0F956ACD">
                  <w:pPr>
                    <w:spacing w:line="320" w:lineRule="exact"/>
                    <w:ind w:firstLine="0" w:firstLineChars="0"/>
                    <w:jc w:val="center"/>
                    <w:rPr>
                      <w:rFonts w:hint="eastAsia" w:ascii="Times New Roman" w:hAnsi="Times New Roman" w:cs="Times New Roman"/>
                      <w:color w:val="0000FF"/>
                      <w:kern w:val="2"/>
                      <w:sz w:val="21"/>
                      <w:szCs w:val="21"/>
                      <w:highlight w:val="none"/>
                      <w:lang w:val="en-US" w:eastAsia="zh-CN" w:bidi="ar-SA"/>
                    </w:rPr>
                  </w:pPr>
                </w:p>
              </w:tc>
              <w:tc>
                <w:tcPr>
                  <w:tcW w:w="556" w:type="pct"/>
                  <w:vMerge w:val="continue"/>
                  <w:noWrap w:val="0"/>
                  <w:vAlign w:val="center"/>
                </w:tcPr>
                <w:p w14:paraId="60C1E772">
                  <w:pPr>
                    <w:spacing w:line="320" w:lineRule="exact"/>
                    <w:ind w:firstLine="0" w:firstLineChars="0"/>
                    <w:jc w:val="center"/>
                    <w:rPr>
                      <w:rFonts w:hint="default" w:ascii="Times New Roman" w:hAnsi="Times New Roman" w:cs="Times New Roman"/>
                      <w:color w:val="0000FF"/>
                      <w:sz w:val="21"/>
                      <w:szCs w:val="21"/>
                      <w:highlight w:val="none"/>
                    </w:rPr>
                  </w:pPr>
                </w:p>
              </w:tc>
              <w:tc>
                <w:tcPr>
                  <w:tcW w:w="667" w:type="pct"/>
                  <w:vMerge w:val="continue"/>
                  <w:noWrap w:val="0"/>
                  <w:vAlign w:val="center"/>
                </w:tcPr>
                <w:p w14:paraId="5D708158">
                  <w:pPr>
                    <w:spacing w:line="320" w:lineRule="exact"/>
                    <w:ind w:firstLine="0" w:firstLineChars="0"/>
                    <w:jc w:val="center"/>
                    <w:rPr>
                      <w:rFonts w:hint="default" w:ascii="Times New Roman" w:hAnsi="Times New Roman" w:cs="Times New Roman"/>
                      <w:color w:val="0000FF"/>
                      <w:sz w:val="21"/>
                      <w:szCs w:val="21"/>
                      <w:highlight w:val="none"/>
                      <w:lang w:val="en-US" w:eastAsia="zh-CN"/>
                    </w:rPr>
                  </w:pPr>
                </w:p>
              </w:tc>
            </w:tr>
            <w:tr w14:paraId="436B289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23" w:type="pct"/>
                  <w:vMerge w:val="continue"/>
                  <w:noWrap w:val="0"/>
                  <w:vAlign w:val="center"/>
                </w:tcPr>
                <w:p w14:paraId="5A88FD89">
                  <w:pPr>
                    <w:adjustRightInd w:val="0"/>
                    <w:snapToGrid w:val="0"/>
                    <w:spacing w:line="320" w:lineRule="exact"/>
                    <w:ind w:firstLine="0" w:firstLineChars="0"/>
                    <w:jc w:val="center"/>
                    <w:rPr>
                      <w:rFonts w:hint="eastAsia" w:ascii="Times New Roman" w:hAnsi="Times New Roman" w:cs="Times New Roman"/>
                      <w:color w:val="0000FF"/>
                      <w:sz w:val="21"/>
                      <w:szCs w:val="21"/>
                      <w:highlight w:val="none"/>
                      <w:lang w:val="en-US" w:eastAsia="zh-CN"/>
                    </w:rPr>
                  </w:pPr>
                </w:p>
              </w:tc>
              <w:tc>
                <w:tcPr>
                  <w:tcW w:w="762" w:type="pct"/>
                  <w:vMerge w:val="continue"/>
                  <w:noWrap w:val="0"/>
                  <w:vAlign w:val="center"/>
                </w:tcPr>
                <w:p w14:paraId="15E6824C">
                  <w:pPr>
                    <w:spacing w:line="320" w:lineRule="exact"/>
                    <w:ind w:firstLine="0" w:firstLineChars="0"/>
                    <w:jc w:val="center"/>
                    <w:rPr>
                      <w:rStyle w:val="287"/>
                      <w:rFonts w:hint="default" w:ascii="Times New Roman" w:hAnsi="Times New Roman" w:eastAsia="宋体" w:cs="Times New Roman"/>
                      <w:color w:val="0000FF"/>
                      <w:sz w:val="21"/>
                      <w:szCs w:val="21"/>
                      <w:highlight w:val="none"/>
                      <w:lang w:val="en-US" w:eastAsia="zh-CN"/>
                    </w:rPr>
                  </w:pPr>
                </w:p>
              </w:tc>
              <w:tc>
                <w:tcPr>
                  <w:tcW w:w="761" w:type="pct"/>
                  <w:noWrap w:val="0"/>
                  <w:vAlign w:val="center"/>
                </w:tcPr>
                <w:p w14:paraId="576EEF2D">
                  <w:pPr>
                    <w:pStyle w:val="63"/>
                    <w:keepLines w:val="0"/>
                    <w:pageBreakBefore w:val="0"/>
                    <w:kinsoku/>
                    <w:wordWrap/>
                    <w:overflowPunct/>
                    <w:topLinePunct w:val="0"/>
                    <w:bidi w:val="0"/>
                    <w:ind w:left="0" w:leftChars="0"/>
                    <w:jc w:val="center"/>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氮氧化物</w:t>
                  </w:r>
                </w:p>
              </w:tc>
              <w:tc>
                <w:tcPr>
                  <w:tcW w:w="884" w:type="pct"/>
                  <w:noWrap w:val="0"/>
                  <w:vAlign w:val="center"/>
                </w:tcPr>
                <w:p w14:paraId="742C7C4B">
                  <w:pPr>
                    <w:spacing w:line="320" w:lineRule="exact"/>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0.000044</w:t>
                  </w:r>
                </w:p>
              </w:tc>
              <w:tc>
                <w:tcPr>
                  <w:tcW w:w="644" w:type="pct"/>
                  <w:vMerge w:val="continue"/>
                  <w:noWrap w:val="0"/>
                  <w:vAlign w:val="center"/>
                </w:tcPr>
                <w:p w14:paraId="16CE161E">
                  <w:pPr>
                    <w:spacing w:line="320" w:lineRule="exact"/>
                    <w:ind w:firstLine="0" w:firstLineChars="0"/>
                    <w:jc w:val="center"/>
                    <w:rPr>
                      <w:rFonts w:hint="eastAsia" w:ascii="Times New Roman" w:hAnsi="Times New Roman" w:cs="Times New Roman"/>
                      <w:color w:val="0000FF"/>
                      <w:kern w:val="2"/>
                      <w:sz w:val="21"/>
                      <w:szCs w:val="21"/>
                      <w:highlight w:val="none"/>
                      <w:lang w:val="en-US" w:eastAsia="zh-CN" w:bidi="ar-SA"/>
                    </w:rPr>
                  </w:pPr>
                </w:p>
              </w:tc>
              <w:tc>
                <w:tcPr>
                  <w:tcW w:w="556" w:type="pct"/>
                  <w:vMerge w:val="continue"/>
                  <w:noWrap w:val="0"/>
                  <w:vAlign w:val="center"/>
                </w:tcPr>
                <w:p w14:paraId="0F641582">
                  <w:pPr>
                    <w:spacing w:line="320" w:lineRule="exact"/>
                    <w:ind w:firstLine="0" w:firstLineChars="0"/>
                    <w:jc w:val="center"/>
                    <w:rPr>
                      <w:rFonts w:hint="default" w:ascii="Times New Roman" w:hAnsi="Times New Roman" w:cs="Times New Roman"/>
                      <w:color w:val="0000FF"/>
                      <w:sz w:val="21"/>
                      <w:szCs w:val="21"/>
                      <w:highlight w:val="none"/>
                    </w:rPr>
                  </w:pPr>
                </w:p>
              </w:tc>
              <w:tc>
                <w:tcPr>
                  <w:tcW w:w="667" w:type="pct"/>
                  <w:vMerge w:val="continue"/>
                  <w:noWrap w:val="0"/>
                  <w:vAlign w:val="center"/>
                </w:tcPr>
                <w:p w14:paraId="38580A19">
                  <w:pPr>
                    <w:spacing w:line="320" w:lineRule="exact"/>
                    <w:ind w:firstLine="0" w:firstLineChars="0"/>
                    <w:jc w:val="center"/>
                    <w:rPr>
                      <w:rFonts w:hint="default" w:ascii="Times New Roman" w:hAnsi="Times New Roman" w:cs="Times New Roman"/>
                      <w:color w:val="0000FF"/>
                      <w:sz w:val="21"/>
                      <w:szCs w:val="21"/>
                      <w:highlight w:val="none"/>
                      <w:lang w:val="en-US" w:eastAsia="zh-CN"/>
                    </w:rPr>
                  </w:pPr>
                </w:p>
              </w:tc>
            </w:tr>
            <w:tr w14:paraId="5B61B256">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23" w:type="pct"/>
                  <w:vMerge w:val="continue"/>
                  <w:noWrap w:val="0"/>
                  <w:vAlign w:val="center"/>
                </w:tcPr>
                <w:p w14:paraId="6BC765DA">
                  <w:pPr>
                    <w:adjustRightInd w:val="0"/>
                    <w:snapToGrid w:val="0"/>
                    <w:spacing w:line="320" w:lineRule="exact"/>
                    <w:ind w:firstLine="0" w:firstLineChars="0"/>
                    <w:jc w:val="center"/>
                    <w:rPr>
                      <w:rFonts w:hint="eastAsia" w:ascii="Times New Roman" w:hAnsi="Times New Roman" w:cs="Times New Roman"/>
                      <w:color w:val="0000FF"/>
                      <w:sz w:val="21"/>
                      <w:szCs w:val="21"/>
                      <w:highlight w:val="none"/>
                      <w:lang w:val="en-US" w:eastAsia="zh-CN"/>
                    </w:rPr>
                  </w:pPr>
                </w:p>
              </w:tc>
              <w:tc>
                <w:tcPr>
                  <w:tcW w:w="762" w:type="pct"/>
                  <w:vMerge w:val="continue"/>
                  <w:noWrap w:val="0"/>
                  <w:vAlign w:val="center"/>
                </w:tcPr>
                <w:p w14:paraId="3E0EA384">
                  <w:pPr>
                    <w:spacing w:line="320" w:lineRule="exact"/>
                    <w:ind w:firstLine="0" w:firstLineChars="0"/>
                    <w:jc w:val="center"/>
                    <w:rPr>
                      <w:rStyle w:val="287"/>
                      <w:rFonts w:hint="default" w:ascii="Times New Roman" w:hAnsi="Times New Roman" w:eastAsia="宋体" w:cs="Times New Roman"/>
                      <w:color w:val="0000FF"/>
                      <w:sz w:val="21"/>
                      <w:szCs w:val="21"/>
                      <w:highlight w:val="none"/>
                      <w:lang w:val="en-US" w:eastAsia="zh-CN"/>
                    </w:rPr>
                  </w:pPr>
                </w:p>
              </w:tc>
              <w:tc>
                <w:tcPr>
                  <w:tcW w:w="761" w:type="pct"/>
                  <w:noWrap w:val="0"/>
                  <w:vAlign w:val="center"/>
                </w:tcPr>
                <w:p w14:paraId="653EDF89">
                  <w:pPr>
                    <w:pStyle w:val="63"/>
                    <w:keepLines w:val="0"/>
                    <w:pageBreakBefore w:val="0"/>
                    <w:kinsoku/>
                    <w:wordWrap/>
                    <w:overflowPunct/>
                    <w:topLinePunct w:val="0"/>
                    <w:bidi w:val="0"/>
                    <w:ind w:left="0" w:left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硫酸雾</w:t>
                  </w:r>
                </w:p>
              </w:tc>
              <w:tc>
                <w:tcPr>
                  <w:tcW w:w="884" w:type="pct"/>
                  <w:noWrap w:val="0"/>
                  <w:vAlign w:val="center"/>
                </w:tcPr>
                <w:p w14:paraId="0173EAFC">
                  <w:pPr>
                    <w:spacing w:line="320" w:lineRule="exact"/>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0.007</w:t>
                  </w:r>
                </w:p>
              </w:tc>
              <w:tc>
                <w:tcPr>
                  <w:tcW w:w="644" w:type="pct"/>
                  <w:vMerge w:val="continue"/>
                  <w:noWrap w:val="0"/>
                  <w:vAlign w:val="center"/>
                </w:tcPr>
                <w:p w14:paraId="2959ED3F">
                  <w:pPr>
                    <w:spacing w:line="320" w:lineRule="exact"/>
                    <w:ind w:firstLine="0" w:firstLineChars="0"/>
                    <w:jc w:val="center"/>
                    <w:rPr>
                      <w:rFonts w:hint="eastAsia" w:ascii="Times New Roman" w:hAnsi="Times New Roman" w:cs="Times New Roman"/>
                      <w:color w:val="0000FF"/>
                      <w:kern w:val="2"/>
                      <w:sz w:val="21"/>
                      <w:szCs w:val="21"/>
                      <w:highlight w:val="none"/>
                      <w:lang w:val="en-US" w:eastAsia="zh-CN" w:bidi="ar-SA"/>
                    </w:rPr>
                  </w:pPr>
                </w:p>
              </w:tc>
              <w:tc>
                <w:tcPr>
                  <w:tcW w:w="556" w:type="pct"/>
                  <w:vMerge w:val="continue"/>
                  <w:noWrap w:val="0"/>
                  <w:vAlign w:val="center"/>
                </w:tcPr>
                <w:p w14:paraId="192C8CF4">
                  <w:pPr>
                    <w:spacing w:line="320" w:lineRule="exact"/>
                    <w:ind w:firstLine="0" w:firstLineChars="0"/>
                    <w:jc w:val="center"/>
                    <w:rPr>
                      <w:rFonts w:hint="default" w:ascii="Times New Roman" w:hAnsi="Times New Roman" w:cs="Times New Roman"/>
                      <w:color w:val="0000FF"/>
                      <w:sz w:val="21"/>
                      <w:szCs w:val="21"/>
                      <w:highlight w:val="none"/>
                    </w:rPr>
                  </w:pPr>
                </w:p>
              </w:tc>
              <w:tc>
                <w:tcPr>
                  <w:tcW w:w="667" w:type="pct"/>
                  <w:vMerge w:val="continue"/>
                  <w:noWrap w:val="0"/>
                  <w:vAlign w:val="center"/>
                </w:tcPr>
                <w:p w14:paraId="1E96432A">
                  <w:pPr>
                    <w:spacing w:line="320" w:lineRule="exact"/>
                    <w:ind w:firstLine="0" w:firstLineChars="0"/>
                    <w:jc w:val="center"/>
                    <w:rPr>
                      <w:rFonts w:hint="default" w:ascii="Times New Roman" w:hAnsi="Times New Roman" w:cs="Times New Roman"/>
                      <w:color w:val="0000FF"/>
                      <w:sz w:val="21"/>
                      <w:szCs w:val="21"/>
                      <w:highlight w:val="none"/>
                      <w:lang w:val="en-US" w:eastAsia="zh-CN"/>
                    </w:rPr>
                  </w:pPr>
                </w:p>
              </w:tc>
            </w:tr>
            <w:tr w14:paraId="3A68A450">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23" w:type="pct"/>
                  <w:vMerge w:val="continue"/>
                  <w:noWrap w:val="0"/>
                  <w:vAlign w:val="center"/>
                </w:tcPr>
                <w:p w14:paraId="452AE530">
                  <w:pPr>
                    <w:adjustRightInd w:val="0"/>
                    <w:snapToGrid w:val="0"/>
                    <w:spacing w:line="320" w:lineRule="exact"/>
                    <w:ind w:firstLine="0" w:firstLineChars="0"/>
                    <w:jc w:val="center"/>
                    <w:rPr>
                      <w:rFonts w:hint="eastAsia" w:ascii="Times New Roman" w:hAnsi="Times New Roman" w:cs="Times New Roman"/>
                      <w:color w:val="0000FF"/>
                      <w:sz w:val="21"/>
                      <w:szCs w:val="21"/>
                      <w:highlight w:val="none"/>
                      <w:lang w:val="en-US" w:eastAsia="zh-CN"/>
                    </w:rPr>
                  </w:pPr>
                </w:p>
              </w:tc>
              <w:tc>
                <w:tcPr>
                  <w:tcW w:w="762" w:type="pct"/>
                  <w:vMerge w:val="continue"/>
                  <w:noWrap w:val="0"/>
                  <w:vAlign w:val="center"/>
                </w:tcPr>
                <w:p w14:paraId="670533AF">
                  <w:pPr>
                    <w:spacing w:line="320" w:lineRule="exact"/>
                    <w:ind w:firstLine="0" w:firstLineChars="0"/>
                    <w:jc w:val="center"/>
                    <w:rPr>
                      <w:rFonts w:hint="eastAsia" w:ascii="Times New Roman" w:hAnsi="Times New Roman" w:cs="Times New Roman"/>
                      <w:color w:val="0000FF"/>
                      <w:sz w:val="21"/>
                      <w:szCs w:val="21"/>
                      <w:highlight w:val="none"/>
                      <w:lang w:val="en-US" w:eastAsia="zh-CN"/>
                    </w:rPr>
                  </w:pPr>
                </w:p>
              </w:tc>
              <w:tc>
                <w:tcPr>
                  <w:tcW w:w="761" w:type="pct"/>
                  <w:noWrap w:val="0"/>
                  <w:vAlign w:val="center"/>
                </w:tcPr>
                <w:p w14:paraId="2397E0BF">
                  <w:pPr>
                    <w:pStyle w:val="63"/>
                    <w:keepLines w:val="0"/>
                    <w:pageBreakBefore w:val="0"/>
                    <w:kinsoku/>
                    <w:wordWrap/>
                    <w:overflowPunct/>
                    <w:topLinePunct w:val="0"/>
                    <w:bidi w:val="0"/>
                    <w:ind w:left="0" w:leftChars="0"/>
                    <w:jc w:val="center"/>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氨</w:t>
                  </w:r>
                </w:p>
              </w:tc>
              <w:tc>
                <w:tcPr>
                  <w:tcW w:w="884" w:type="pct"/>
                  <w:noWrap w:val="0"/>
                  <w:vAlign w:val="center"/>
                </w:tcPr>
                <w:p w14:paraId="02EBF25C">
                  <w:pPr>
                    <w:spacing w:line="320" w:lineRule="exact"/>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0.0018</w:t>
                  </w:r>
                </w:p>
              </w:tc>
              <w:tc>
                <w:tcPr>
                  <w:tcW w:w="644" w:type="pct"/>
                  <w:vMerge w:val="continue"/>
                  <w:noWrap w:val="0"/>
                  <w:vAlign w:val="center"/>
                </w:tcPr>
                <w:p w14:paraId="48D2C8AE">
                  <w:pPr>
                    <w:spacing w:line="320" w:lineRule="exact"/>
                    <w:ind w:firstLine="0" w:firstLineChars="0"/>
                    <w:jc w:val="center"/>
                    <w:rPr>
                      <w:rFonts w:hint="eastAsia" w:ascii="Times New Roman" w:hAnsi="Times New Roman" w:cs="Times New Roman"/>
                      <w:color w:val="0000FF"/>
                      <w:kern w:val="2"/>
                      <w:sz w:val="21"/>
                      <w:szCs w:val="21"/>
                      <w:highlight w:val="none"/>
                      <w:lang w:val="en-US" w:eastAsia="zh-CN" w:bidi="ar-SA"/>
                    </w:rPr>
                  </w:pPr>
                </w:p>
              </w:tc>
              <w:tc>
                <w:tcPr>
                  <w:tcW w:w="556" w:type="pct"/>
                  <w:vMerge w:val="continue"/>
                  <w:noWrap w:val="0"/>
                  <w:vAlign w:val="center"/>
                </w:tcPr>
                <w:p w14:paraId="180B15A6">
                  <w:pPr>
                    <w:spacing w:line="320" w:lineRule="exact"/>
                    <w:ind w:firstLine="0" w:firstLineChars="0"/>
                    <w:jc w:val="center"/>
                    <w:rPr>
                      <w:rFonts w:hint="default" w:ascii="Times New Roman" w:hAnsi="Times New Roman" w:cs="Times New Roman"/>
                      <w:color w:val="0000FF"/>
                      <w:sz w:val="21"/>
                      <w:szCs w:val="21"/>
                      <w:highlight w:val="none"/>
                    </w:rPr>
                  </w:pPr>
                </w:p>
              </w:tc>
              <w:tc>
                <w:tcPr>
                  <w:tcW w:w="667" w:type="pct"/>
                  <w:vMerge w:val="continue"/>
                  <w:noWrap w:val="0"/>
                  <w:vAlign w:val="center"/>
                </w:tcPr>
                <w:p w14:paraId="3A6FAA2F">
                  <w:pPr>
                    <w:spacing w:line="320" w:lineRule="exact"/>
                    <w:ind w:firstLine="0" w:firstLineChars="0"/>
                    <w:jc w:val="center"/>
                    <w:rPr>
                      <w:rFonts w:hint="default" w:ascii="Times New Roman" w:hAnsi="Times New Roman" w:cs="Times New Roman"/>
                      <w:color w:val="0000FF"/>
                      <w:sz w:val="21"/>
                      <w:szCs w:val="21"/>
                      <w:highlight w:val="none"/>
                      <w:lang w:val="en-US" w:eastAsia="zh-CN"/>
                    </w:rPr>
                  </w:pPr>
                </w:p>
              </w:tc>
            </w:tr>
          </w:tbl>
          <w:p w14:paraId="5C097658">
            <w:pPr>
              <w:pStyle w:val="325"/>
              <w:ind w:firstLine="480"/>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为了减轻本项目对周围环境的影响程度和范围，保证该地区的可持续发展，项目在生产过程中必须加强管理，保证废气处理设施正常运行，避免事故发生。当废气处理设施出现故障不能正常运行时，应立即停产进行维修，避免对周围环境造成污染影响。</w:t>
            </w:r>
          </w:p>
          <w:p w14:paraId="4AE3E4CC">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420" w:leftChars="0"/>
              <w:textAlignment w:val="auto"/>
              <w:rPr>
                <w:rFonts w:hint="eastAsia" w:ascii="Times New Roman" w:hAnsi="Times New Roman" w:eastAsia="宋体" w:cs="Times New Roman"/>
                <w:b/>
                <w:bCs/>
                <w:color w:val="auto"/>
                <w:kern w:val="2"/>
                <w:sz w:val="21"/>
                <w:szCs w:val="21"/>
                <w:highlight w:val="none"/>
                <w:lang w:val="en-US" w:eastAsia="zh-CN" w:bidi="ar-SA"/>
              </w:rPr>
            </w:pPr>
            <w:r>
              <w:rPr>
                <w:rFonts w:hint="eastAsia" w:cs="Times New Roman"/>
                <w:b/>
                <w:bCs/>
                <w:color w:val="auto"/>
                <w:kern w:val="2"/>
                <w:sz w:val="21"/>
                <w:szCs w:val="21"/>
                <w:highlight w:val="none"/>
                <w:lang w:val="en-US" w:eastAsia="zh-CN" w:bidi="ar-SA"/>
              </w:rPr>
              <w:t>（5）</w:t>
            </w:r>
            <w:r>
              <w:rPr>
                <w:rFonts w:hint="eastAsia" w:ascii="Times New Roman" w:hAnsi="Times New Roman" w:eastAsia="宋体" w:cs="Times New Roman"/>
                <w:b/>
                <w:bCs/>
                <w:color w:val="auto"/>
                <w:kern w:val="2"/>
                <w:sz w:val="21"/>
                <w:szCs w:val="21"/>
                <w:highlight w:val="none"/>
                <w:lang w:val="en-US" w:eastAsia="zh-CN" w:bidi="ar-SA"/>
              </w:rPr>
              <w:t>影响分析</w:t>
            </w:r>
          </w:p>
          <w:p w14:paraId="301B65D3">
            <w:pPr>
              <w:pStyle w:val="326"/>
              <w:keepNext w:val="0"/>
              <w:keepLines w:val="0"/>
              <w:pageBreakBefore w:val="0"/>
              <w:widowControl/>
              <w:kinsoku/>
              <w:wordWrap/>
              <w:overflowPunct/>
              <w:topLinePunct w:val="0"/>
              <w:autoSpaceDE/>
              <w:autoSpaceDN/>
              <w:bidi w:val="0"/>
              <w:adjustRightInd w:val="0"/>
              <w:snapToGrid/>
              <w:spacing w:line="360" w:lineRule="auto"/>
              <w:ind w:firstLine="422" w:firstLineChars="200"/>
              <w:jc w:val="left"/>
              <w:textAlignment w:val="auto"/>
              <w:rPr>
                <w:rFonts w:hint="eastAsia" w:ascii="Times New Roman" w:hAnsi="Times New Roman" w:eastAsia="宋体" w:cs="Times New Roman"/>
                <w:b/>
                <w:bCs/>
                <w:color w:val="auto"/>
                <w:kern w:val="2"/>
                <w:sz w:val="21"/>
                <w:szCs w:val="21"/>
                <w:highlight w:val="none"/>
                <w:lang w:val="en-US" w:eastAsia="zh-CN" w:bidi="ar-SA"/>
              </w:rPr>
            </w:pPr>
            <w:r>
              <w:rPr>
                <w:rFonts w:hint="eastAsia" w:ascii="Times New Roman" w:hAnsi="Times New Roman" w:eastAsia="宋体" w:cs="Times New Roman"/>
                <w:b/>
                <w:bCs/>
                <w:color w:val="auto"/>
                <w:kern w:val="2"/>
                <w:sz w:val="21"/>
                <w:szCs w:val="21"/>
                <w:highlight w:val="none"/>
                <w:lang w:val="en-US" w:eastAsia="zh-CN" w:bidi="ar-SA"/>
              </w:rPr>
              <w:t>①达标性分析</w:t>
            </w:r>
          </w:p>
          <w:p w14:paraId="7BAAE7DA">
            <w:pPr>
              <w:pStyle w:val="325"/>
              <w:ind w:firstLine="480"/>
              <w:rPr>
                <w:rFonts w:hint="default"/>
                <w:color w:val="auto"/>
                <w:sz w:val="21"/>
                <w:szCs w:val="21"/>
                <w:highlight w:val="none"/>
                <w:lang w:val="en-US" w:eastAsia="zh-CN"/>
              </w:rPr>
            </w:pPr>
            <w:r>
              <w:rPr>
                <w:rFonts w:hint="eastAsia"/>
                <w:color w:val="auto"/>
                <w:sz w:val="21"/>
                <w:szCs w:val="21"/>
                <w:highlight w:val="none"/>
                <w:lang w:val="en-US" w:eastAsia="zh-CN"/>
              </w:rPr>
              <w:t>有组织废气</w:t>
            </w:r>
          </w:p>
          <w:p w14:paraId="71A8C9F8">
            <w:pPr>
              <w:pStyle w:val="63"/>
              <w:keepLines w:val="0"/>
              <w:pageBreakBefore w:val="0"/>
              <w:kinsoku/>
              <w:wordWrap/>
              <w:overflowPunct/>
              <w:topLinePunct w:val="0"/>
              <w:bidi w:val="0"/>
              <w:ind w:left="0" w:leftChars="0"/>
              <w:jc w:val="center"/>
              <w:rPr>
                <w:rFonts w:hint="default" w:ascii="Times New Roman" w:hAnsi="Times New Roman" w:eastAsia="黑体" w:cs="Times New Roman"/>
                <w:color w:val="auto"/>
                <w:sz w:val="21"/>
                <w:szCs w:val="21"/>
                <w:highlight w:val="none"/>
                <w:lang w:val="en-US" w:eastAsia="zh-CN"/>
              </w:rPr>
            </w:pPr>
            <w:r>
              <w:rPr>
                <w:rFonts w:hint="default" w:ascii="Times New Roman" w:hAnsi="Times New Roman" w:eastAsia="黑体" w:cs="Times New Roman"/>
                <w:color w:val="auto"/>
                <w:sz w:val="21"/>
                <w:szCs w:val="21"/>
                <w:highlight w:val="none"/>
              </w:rPr>
              <w:t>表</w:t>
            </w:r>
            <w:r>
              <w:rPr>
                <w:rFonts w:hint="eastAsia" w:eastAsia="黑体" w:cs="Times New Roman"/>
                <w:color w:val="auto"/>
                <w:sz w:val="21"/>
                <w:szCs w:val="21"/>
                <w:highlight w:val="none"/>
                <w:lang w:val="en-US" w:eastAsia="zh-CN"/>
              </w:rPr>
              <w:t>31</w:t>
            </w:r>
            <w:r>
              <w:rPr>
                <w:rFonts w:hint="default" w:ascii="Times New Roman" w:hAnsi="Times New Roman" w:eastAsia="黑体" w:cs="Times New Roman"/>
                <w:color w:val="auto"/>
                <w:sz w:val="21"/>
                <w:szCs w:val="21"/>
                <w:highlight w:val="none"/>
              </w:rPr>
              <w:t xml:space="preserve">   污染物排放情况及其达标性</w:t>
            </w:r>
          </w:p>
          <w:tbl>
            <w:tblPr>
              <w:tblStyle w:val="45"/>
              <w:tblW w:w="4997"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889"/>
              <w:gridCol w:w="1471"/>
              <w:gridCol w:w="1135"/>
              <w:gridCol w:w="1214"/>
              <w:gridCol w:w="1116"/>
              <w:gridCol w:w="1116"/>
              <w:gridCol w:w="1121"/>
              <w:gridCol w:w="1116"/>
            </w:tblGrid>
            <w:tr w14:paraId="1348F2AE">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299" w:type="pct"/>
                  <w:gridSpan w:val="2"/>
                  <w:vMerge w:val="restart"/>
                  <w:tcBorders>
                    <w:tl2br w:val="nil"/>
                    <w:tr2bl w:val="nil"/>
                  </w:tcBorders>
                  <w:noWrap w:val="0"/>
                  <w:vAlign w:val="center"/>
                </w:tcPr>
                <w:p w14:paraId="4298F3C9">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val="0"/>
                      <w:bCs w:val="0"/>
                      <w:color w:val="auto"/>
                      <w:sz w:val="21"/>
                      <w:szCs w:val="21"/>
                      <w:highlight w:val="none"/>
                      <w:lang w:val="en-US"/>
                    </w:rPr>
                  </w:pPr>
                  <w:r>
                    <w:rPr>
                      <w:rFonts w:ascii="Times New Roman" w:hAnsi="Times New Roman" w:eastAsia="宋体" w:cs="Times New Roman"/>
                      <w:b w:val="0"/>
                      <w:bCs w:val="0"/>
                      <w:color w:val="auto"/>
                      <w:sz w:val="21"/>
                      <w:szCs w:val="21"/>
                      <w:highlight w:val="none"/>
                      <w:lang w:val="en-US"/>
                    </w:rPr>
                    <w:t>排放源</w:t>
                  </w:r>
                </w:p>
              </w:tc>
              <w:tc>
                <w:tcPr>
                  <w:tcW w:w="625" w:type="pct"/>
                  <w:vMerge w:val="restart"/>
                  <w:tcBorders>
                    <w:tl2br w:val="nil"/>
                    <w:tr2bl w:val="nil"/>
                  </w:tcBorders>
                  <w:noWrap w:val="0"/>
                  <w:vAlign w:val="center"/>
                </w:tcPr>
                <w:p w14:paraId="0EFAD8F8">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val="0"/>
                      <w:bCs w:val="0"/>
                      <w:color w:val="auto"/>
                      <w:sz w:val="21"/>
                      <w:szCs w:val="21"/>
                      <w:highlight w:val="none"/>
                      <w:lang w:val="en-US"/>
                    </w:rPr>
                  </w:pPr>
                  <w:r>
                    <w:rPr>
                      <w:rFonts w:ascii="Times New Roman" w:hAnsi="Times New Roman" w:eastAsia="宋体" w:cs="Times New Roman"/>
                      <w:b w:val="0"/>
                      <w:bCs w:val="0"/>
                      <w:color w:val="auto"/>
                      <w:sz w:val="21"/>
                      <w:szCs w:val="21"/>
                      <w:highlight w:val="none"/>
                      <w:lang w:val="en-US"/>
                    </w:rPr>
                    <w:t>排放量</w:t>
                  </w:r>
                </w:p>
                <w:p w14:paraId="4F7EF6B7">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val="0"/>
                      <w:bCs w:val="0"/>
                      <w:color w:val="auto"/>
                      <w:sz w:val="21"/>
                      <w:szCs w:val="21"/>
                      <w:highlight w:val="none"/>
                      <w:lang w:val="en-US"/>
                    </w:rPr>
                  </w:pPr>
                  <w:r>
                    <w:rPr>
                      <w:rStyle w:val="287"/>
                      <w:rFonts w:hint="default" w:ascii="Times New Roman" w:hAnsi="Times New Roman" w:eastAsia="宋体" w:cs="Times New Roman"/>
                      <w:color w:val="auto"/>
                      <w:sz w:val="21"/>
                      <w:szCs w:val="21"/>
                      <w:highlight w:val="none"/>
                    </w:rPr>
                    <w:t>kg/a</w:t>
                  </w:r>
                </w:p>
              </w:tc>
              <w:tc>
                <w:tcPr>
                  <w:tcW w:w="614" w:type="pct"/>
                  <w:vMerge w:val="restart"/>
                  <w:tcBorders>
                    <w:tl2br w:val="nil"/>
                    <w:tr2bl w:val="nil"/>
                  </w:tcBorders>
                  <w:noWrap w:val="0"/>
                  <w:vAlign w:val="center"/>
                </w:tcPr>
                <w:p w14:paraId="693B9190">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val="0"/>
                      <w:bCs w:val="0"/>
                      <w:color w:val="auto"/>
                      <w:sz w:val="21"/>
                      <w:szCs w:val="21"/>
                      <w:highlight w:val="none"/>
                      <w:lang w:val="en-US"/>
                    </w:rPr>
                  </w:pPr>
                  <w:r>
                    <w:rPr>
                      <w:rFonts w:ascii="Times New Roman" w:hAnsi="Times New Roman" w:eastAsia="宋体" w:cs="Times New Roman"/>
                      <w:b w:val="0"/>
                      <w:bCs w:val="0"/>
                      <w:color w:val="auto"/>
                      <w:sz w:val="21"/>
                      <w:szCs w:val="21"/>
                      <w:highlight w:val="none"/>
                      <w:lang w:val="en-US"/>
                    </w:rPr>
                    <w:t>排放速率kg/h</w:t>
                  </w:r>
                </w:p>
              </w:tc>
              <w:tc>
                <w:tcPr>
                  <w:tcW w:w="614" w:type="pct"/>
                  <w:vMerge w:val="restart"/>
                  <w:tcBorders>
                    <w:tl2br w:val="nil"/>
                    <w:tr2bl w:val="nil"/>
                  </w:tcBorders>
                  <w:noWrap w:val="0"/>
                  <w:vAlign w:val="center"/>
                </w:tcPr>
                <w:p w14:paraId="7433DF27">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val="0"/>
                      <w:bCs w:val="0"/>
                      <w:color w:val="auto"/>
                      <w:sz w:val="21"/>
                      <w:szCs w:val="21"/>
                      <w:highlight w:val="none"/>
                      <w:lang w:val="en-US"/>
                    </w:rPr>
                  </w:pPr>
                  <w:r>
                    <w:rPr>
                      <w:rFonts w:ascii="Times New Roman" w:hAnsi="Times New Roman" w:eastAsia="宋体" w:cs="Times New Roman"/>
                      <w:b w:val="0"/>
                      <w:bCs w:val="0"/>
                      <w:color w:val="auto"/>
                      <w:sz w:val="21"/>
                      <w:szCs w:val="21"/>
                      <w:highlight w:val="none"/>
                      <w:lang w:val="en-US"/>
                    </w:rPr>
                    <w:t>排放浓度mg/m</w:t>
                  </w:r>
                  <w:r>
                    <w:rPr>
                      <w:rFonts w:ascii="Times New Roman" w:hAnsi="Times New Roman" w:eastAsia="宋体" w:cs="Times New Roman"/>
                      <w:b w:val="0"/>
                      <w:bCs w:val="0"/>
                      <w:color w:val="auto"/>
                      <w:sz w:val="21"/>
                      <w:szCs w:val="21"/>
                      <w:highlight w:val="none"/>
                      <w:vertAlign w:val="superscript"/>
                      <w:lang w:val="en-US"/>
                    </w:rPr>
                    <w:t>3</w:t>
                  </w:r>
                </w:p>
              </w:tc>
              <w:tc>
                <w:tcPr>
                  <w:tcW w:w="1231" w:type="pct"/>
                  <w:gridSpan w:val="2"/>
                  <w:tcBorders>
                    <w:tl2br w:val="nil"/>
                    <w:tr2bl w:val="nil"/>
                  </w:tcBorders>
                  <w:noWrap w:val="0"/>
                  <w:vAlign w:val="center"/>
                </w:tcPr>
                <w:p w14:paraId="52FB1990">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val="0"/>
                      <w:bCs w:val="0"/>
                      <w:color w:val="auto"/>
                      <w:sz w:val="21"/>
                      <w:szCs w:val="21"/>
                      <w:highlight w:val="none"/>
                      <w:lang w:val="en-US"/>
                    </w:rPr>
                  </w:pPr>
                  <w:r>
                    <w:rPr>
                      <w:rFonts w:ascii="Times New Roman" w:hAnsi="Times New Roman" w:eastAsia="宋体" w:cs="Times New Roman"/>
                      <w:b w:val="0"/>
                      <w:bCs w:val="0"/>
                      <w:color w:val="auto"/>
                      <w:sz w:val="21"/>
                      <w:szCs w:val="21"/>
                      <w:highlight w:val="none"/>
                      <w:lang w:val="en-US"/>
                    </w:rPr>
                    <w:t>标准值</w:t>
                  </w:r>
                </w:p>
              </w:tc>
              <w:tc>
                <w:tcPr>
                  <w:tcW w:w="614" w:type="pct"/>
                  <w:vMerge w:val="restart"/>
                  <w:tcBorders>
                    <w:tl2br w:val="nil"/>
                    <w:tr2bl w:val="nil"/>
                  </w:tcBorders>
                  <w:noWrap w:val="0"/>
                  <w:vAlign w:val="center"/>
                </w:tcPr>
                <w:p w14:paraId="67814DE5">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val="0"/>
                      <w:bCs w:val="0"/>
                      <w:color w:val="auto"/>
                      <w:sz w:val="21"/>
                      <w:szCs w:val="21"/>
                      <w:highlight w:val="none"/>
                      <w:lang w:val="en-US"/>
                    </w:rPr>
                  </w:pPr>
                  <w:r>
                    <w:rPr>
                      <w:rFonts w:ascii="Times New Roman" w:hAnsi="Times New Roman" w:eastAsia="宋体" w:cs="Times New Roman"/>
                      <w:b w:val="0"/>
                      <w:bCs w:val="0"/>
                      <w:color w:val="auto"/>
                      <w:sz w:val="21"/>
                      <w:szCs w:val="21"/>
                      <w:highlight w:val="none"/>
                      <w:lang w:val="en-US"/>
                    </w:rPr>
                    <w:t>是否达标</w:t>
                  </w:r>
                </w:p>
              </w:tc>
            </w:tr>
            <w:tr w14:paraId="66495E4D">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299" w:type="pct"/>
                  <w:gridSpan w:val="2"/>
                  <w:vMerge w:val="continue"/>
                  <w:tcBorders>
                    <w:tl2br w:val="nil"/>
                    <w:tr2bl w:val="nil"/>
                  </w:tcBorders>
                  <w:noWrap w:val="0"/>
                  <w:vAlign w:val="center"/>
                </w:tcPr>
                <w:p w14:paraId="1BBBD5B0">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val="0"/>
                      <w:bCs w:val="0"/>
                      <w:color w:val="auto"/>
                      <w:sz w:val="21"/>
                      <w:szCs w:val="21"/>
                      <w:highlight w:val="none"/>
                    </w:rPr>
                  </w:pPr>
                </w:p>
              </w:tc>
              <w:tc>
                <w:tcPr>
                  <w:tcW w:w="625" w:type="pct"/>
                  <w:vMerge w:val="continue"/>
                  <w:tcBorders>
                    <w:tl2br w:val="nil"/>
                    <w:tr2bl w:val="nil"/>
                  </w:tcBorders>
                  <w:noWrap w:val="0"/>
                  <w:vAlign w:val="center"/>
                </w:tcPr>
                <w:p w14:paraId="0EEE00A4">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val="0"/>
                      <w:bCs w:val="0"/>
                      <w:color w:val="auto"/>
                      <w:sz w:val="21"/>
                      <w:szCs w:val="21"/>
                      <w:highlight w:val="none"/>
                    </w:rPr>
                  </w:pPr>
                </w:p>
              </w:tc>
              <w:tc>
                <w:tcPr>
                  <w:tcW w:w="614" w:type="pct"/>
                  <w:vMerge w:val="continue"/>
                  <w:tcBorders>
                    <w:tl2br w:val="nil"/>
                    <w:tr2bl w:val="nil"/>
                  </w:tcBorders>
                  <w:noWrap w:val="0"/>
                  <w:vAlign w:val="center"/>
                </w:tcPr>
                <w:p w14:paraId="407D0822">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val="0"/>
                      <w:bCs w:val="0"/>
                      <w:color w:val="auto"/>
                      <w:sz w:val="21"/>
                      <w:szCs w:val="21"/>
                      <w:highlight w:val="none"/>
                    </w:rPr>
                  </w:pPr>
                </w:p>
              </w:tc>
              <w:tc>
                <w:tcPr>
                  <w:tcW w:w="614" w:type="pct"/>
                  <w:vMerge w:val="continue"/>
                  <w:tcBorders>
                    <w:tl2br w:val="nil"/>
                    <w:tr2bl w:val="nil"/>
                  </w:tcBorders>
                  <w:noWrap w:val="0"/>
                  <w:vAlign w:val="center"/>
                </w:tcPr>
                <w:p w14:paraId="6F4B7754">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val="0"/>
                      <w:bCs w:val="0"/>
                      <w:color w:val="auto"/>
                      <w:sz w:val="21"/>
                      <w:szCs w:val="21"/>
                      <w:highlight w:val="none"/>
                    </w:rPr>
                  </w:pPr>
                </w:p>
              </w:tc>
              <w:tc>
                <w:tcPr>
                  <w:tcW w:w="614" w:type="pct"/>
                  <w:tcBorders>
                    <w:tl2br w:val="nil"/>
                    <w:tr2bl w:val="nil"/>
                  </w:tcBorders>
                  <w:noWrap w:val="0"/>
                  <w:vAlign w:val="center"/>
                </w:tcPr>
                <w:p w14:paraId="70F39D71">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ascii="Times New Roman" w:hAnsi="Times New Roman" w:eastAsia="宋体" w:cs="Times New Roman"/>
                      <w:b w:val="0"/>
                      <w:bCs w:val="0"/>
                      <w:color w:val="auto"/>
                      <w:sz w:val="21"/>
                      <w:szCs w:val="21"/>
                      <w:highlight w:val="none"/>
                      <w:lang w:val="en-US"/>
                    </w:rPr>
                    <w:t>排放浓度mg/m</w:t>
                  </w:r>
                  <w:r>
                    <w:rPr>
                      <w:rFonts w:ascii="Times New Roman" w:hAnsi="Times New Roman" w:eastAsia="宋体" w:cs="Times New Roman"/>
                      <w:b w:val="0"/>
                      <w:bCs w:val="0"/>
                      <w:color w:val="auto"/>
                      <w:sz w:val="21"/>
                      <w:szCs w:val="21"/>
                      <w:highlight w:val="none"/>
                      <w:vertAlign w:val="superscript"/>
                      <w:lang w:val="en-US"/>
                    </w:rPr>
                    <w:t>3</w:t>
                  </w:r>
                </w:p>
              </w:tc>
              <w:tc>
                <w:tcPr>
                  <w:tcW w:w="617" w:type="pct"/>
                  <w:tcBorders>
                    <w:tl2br w:val="nil"/>
                    <w:tr2bl w:val="nil"/>
                  </w:tcBorders>
                  <w:noWrap w:val="0"/>
                  <w:vAlign w:val="center"/>
                </w:tcPr>
                <w:p w14:paraId="12366C0A">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val="0"/>
                      <w:bCs w:val="0"/>
                      <w:color w:val="auto"/>
                      <w:sz w:val="21"/>
                      <w:szCs w:val="21"/>
                      <w:highlight w:val="none"/>
                      <w:lang w:val="en-US"/>
                    </w:rPr>
                  </w:pPr>
                  <w:r>
                    <w:rPr>
                      <w:rFonts w:ascii="Times New Roman" w:hAnsi="Times New Roman" w:eastAsia="宋体" w:cs="Times New Roman"/>
                      <w:b w:val="0"/>
                      <w:bCs w:val="0"/>
                      <w:color w:val="auto"/>
                      <w:sz w:val="21"/>
                      <w:szCs w:val="21"/>
                      <w:highlight w:val="none"/>
                      <w:lang w:val="en-US"/>
                    </w:rPr>
                    <w:t>排放速率kg/h</w:t>
                  </w:r>
                </w:p>
              </w:tc>
              <w:tc>
                <w:tcPr>
                  <w:tcW w:w="614" w:type="pct"/>
                  <w:vMerge w:val="continue"/>
                  <w:tcBorders>
                    <w:tl2br w:val="nil"/>
                    <w:tr2bl w:val="nil"/>
                  </w:tcBorders>
                  <w:noWrap w:val="0"/>
                  <w:vAlign w:val="center"/>
                </w:tcPr>
                <w:p w14:paraId="0CB6FCA9">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val="0"/>
                      <w:bCs w:val="0"/>
                      <w:color w:val="auto"/>
                      <w:sz w:val="21"/>
                      <w:szCs w:val="21"/>
                      <w:highlight w:val="none"/>
                      <w:lang w:val="en-US"/>
                    </w:rPr>
                  </w:pPr>
                </w:p>
              </w:tc>
            </w:tr>
            <w:tr w14:paraId="6C3020C4">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491" w:type="pct"/>
                  <w:vMerge w:val="restart"/>
                  <w:tcBorders>
                    <w:tl2br w:val="nil"/>
                    <w:tr2bl w:val="nil"/>
                  </w:tcBorders>
                  <w:noWrap w:val="0"/>
                  <w:vAlign w:val="center"/>
                </w:tcPr>
                <w:p w14:paraId="1D5CA8D4">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ascii="Times New Roman" w:hAnsi="Times New Roman" w:eastAsia="宋体" w:cs="Times New Roman"/>
                      <w:b w:val="0"/>
                      <w:bCs w:val="0"/>
                      <w:color w:val="auto"/>
                      <w:sz w:val="21"/>
                      <w:szCs w:val="21"/>
                      <w:highlight w:val="none"/>
                      <w:lang w:val="en-US"/>
                    </w:rPr>
                    <w:t>DA00</w:t>
                  </w:r>
                  <w:r>
                    <w:rPr>
                      <w:rFonts w:hint="eastAsia" w:cs="Times New Roman"/>
                      <w:b w:val="0"/>
                      <w:bCs w:val="0"/>
                      <w:color w:val="auto"/>
                      <w:sz w:val="21"/>
                      <w:szCs w:val="21"/>
                      <w:highlight w:val="none"/>
                      <w:lang w:val="en-US" w:eastAsia="zh-CN"/>
                    </w:rPr>
                    <w:t>1</w:t>
                  </w:r>
                </w:p>
              </w:tc>
              <w:tc>
                <w:tcPr>
                  <w:tcW w:w="808" w:type="pct"/>
                  <w:tcBorders>
                    <w:tl2br w:val="nil"/>
                    <w:tr2bl w:val="nil"/>
                  </w:tcBorders>
                  <w:noWrap w:val="0"/>
                  <w:vAlign w:val="center"/>
                </w:tcPr>
                <w:p w14:paraId="4C504408">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val="0"/>
                      <w:bCs w:val="0"/>
                      <w:color w:val="auto"/>
                      <w:sz w:val="21"/>
                      <w:szCs w:val="21"/>
                      <w:highlight w:val="none"/>
                      <w:lang w:val="en-US"/>
                    </w:rPr>
                  </w:pPr>
                  <w:r>
                    <w:rPr>
                      <w:rFonts w:hint="eastAsia" w:ascii="Times New Roman" w:hAnsi="Times New Roman" w:eastAsia="宋体" w:cs="Times New Roman"/>
                      <w:b w:val="0"/>
                      <w:bCs w:val="0"/>
                      <w:color w:val="auto"/>
                      <w:sz w:val="21"/>
                      <w:szCs w:val="21"/>
                      <w:highlight w:val="none"/>
                      <w:lang w:val="en-US" w:eastAsia="zh-CN"/>
                    </w:rPr>
                    <w:t>非甲烷总烃</w:t>
                  </w:r>
                </w:p>
              </w:tc>
              <w:tc>
                <w:tcPr>
                  <w:tcW w:w="1139" w:type="dxa"/>
                  <w:tcBorders>
                    <w:tl2br w:val="nil"/>
                    <w:tr2bl w:val="nil"/>
                  </w:tcBorders>
                  <w:noWrap w:val="0"/>
                  <w:vAlign w:val="center"/>
                </w:tcPr>
                <w:p w14:paraId="188B0C75">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val="0"/>
                      <w:bCs w:val="0"/>
                      <w:color w:val="auto"/>
                      <w:sz w:val="21"/>
                      <w:szCs w:val="21"/>
                      <w:highlight w:val="none"/>
                      <w:lang w:val="en-US"/>
                    </w:rPr>
                  </w:pPr>
                  <w:r>
                    <w:rPr>
                      <w:rFonts w:hint="default" w:ascii="Times New Roman" w:hAnsi="Times New Roman" w:eastAsia="宋体" w:cs="Times New Roman"/>
                      <w:b w:val="0"/>
                      <w:bCs w:val="0"/>
                      <w:color w:val="auto"/>
                      <w:sz w:val="21"/>
                      <w:szCs w:val="21"/>
                      <w:highlight w:val="none"/>
                      <w:lang w:val="en-US" w:eastAsia="zh-CN"/>
                    </w:rPr>
                    <w:t>0.0144</w:t>
                  </w:r>
                </w:p>
              </w:tc>
              <w:tc>
                <w:tcPr>
                  <w:tcW w:w="1119" w:type="dxa"/>
                  <w:tcBorders>
                    <w:tl2br w:val="nil"/>
                    <w:tr2bl w:val="nil"/>
                  </w:tcBorders>
                  <w:noWrap w:val="0"/>
                  <w:vAlign w:val="center"/>
                </w:tcPr>
                <w:p w14:paraId="061D7EED">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val="0"/>
                      <w:bCs w:val="0"/>
                      <w:color w:val="auto"/>
                      <w:sz w:val="21"/>
                      <w:szCs w:val="21"/>
                      <w:highlight w:val="none"/>
                      <w:lang w:val="en-US"/>
                    </w:rPr>
                  </w:pPr>
                  <w:r>
                    <w:rPr>
                      <w:rFonts w:hint="default" w:ascii="Times New Roman" w:hAnsi="Times New Roman" w:eastAsia="宋体" w:cs="Times New Roman"/>
                      <w:b w:val="0"/>
                      <w:bCs w:val="0"/>
                      <w:color w:val="auto"/>
                      <w:sz w:val="21"/>
                      <w:szCs w:val="21"/>
                      <w:highlight w:val="none"/>
                      <w:lang w:val="en-US" w:eastAsia="zh-CN"/>
                    </w:rPr>
                    <w:t>0.0000576</w:t>
                  </w:r>
                </w:p>
              </w:tc>
              <w:tc>
                <w:tcPr>
                  <w:tcW w:w="1119" w:type="dxa"/>
                  <w:tcBorders>
                    <w:tl2br w:val="nil"/>
                    <w:tr2bl w:val="nil"/>
                  </w:tcBorders>
                  <w:noWrap w:val="0"/>
                  <w:vAlign w:val="center"/>
                </w:tcPr>
                <w:p w14:paraId="695FA647">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val="0"/>
                      <w:bCs w:val="0"/>
                      <w:color w:val="auto"/>
                      <w:sz w:val="21"/>
                      <w:szCs w:val="21"/>
                      <w:highlight w:val="none"/>
                      <w:lang w:val="en-US"/>
                    </w:rPr>
                  </w:pPr>
                  <w:r>
                    <w:rPr>
                      <w:rFonts w:hint="default" w:ascii="Times New Roman" w:hAnsi="Times New Roman" w:eastAsia="宋体" w:cs="Times New Roman"/>
                      <w:b w:val="0"/>
                      <w:bCs w:val="0"/>
                      <w:color w:val="auto"/>
                      <w:sz w:val="21"/>
                      <w:szCs w:val="21"/>
                      <w:highlight w:val="none"/>
                      <w:lang w:val="en-US" w:eastAsia="zh-CN"/>
                    </w:rPr>
                    <w:t>0.0576</w:t>
                  </w:r>
                </w:p>
              </w:tc>
              <w:tc>
                <w:tcPr>
                  <w:tcW w:w="614" w:type="pct"/>
                  <w:tcBorders>
                    <w:tl2br w:val="nil"/>
                    <w:tr2bl w:val="nil"/>
                  </w:tcBorders>
                  <w:noWrap w:val="0"/>
                  <w:vAlign w:val="center"/>
                </w:tcPr>
                <w:p w14:paraId="22C99744">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120</w:t>
                  </w:r>
                </w:p>
              </w:tc>
              <w:tc>
                <w:tcPr>
                  <w:tcW w:w="617" w:type="pct"/>
                  <w:tcBorders>
                    <w:tl2br w:val="nil"/>
                    <w:tr2bl w:val="nil"/>
                  </w:tcBorders>
                  <w:noWrap w:val="0"/>
                  <w:vAlign w:val="center"/>
                </w:tcPr>
                <w:p w14:paraId="53C26E81">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5</w:t>
                  </w:r>
                  <w:r>
                    <w:rPr>
                      <w:rFonts w:hint="eastAsia" w:ascii="Times New Roman" w:hAnsi="Times New Roman" w:eastAsia="宋体" w:cs="Times New Roman"/>
                      <w:b w:val="0"/>
                      <w:bCs w:val="0"/>
                      <w:color w:val="auto"/>
                      <w:sz w:val="21"/>
                      <w:szCs w:val="21"/>
                      <w:highlight w:val="none"/>
                      <w:lang w:val="en-US"/>
                    </w:rPr>
                    <w:t>*</w:t>
                  </w:r>
                </w:p>
              </w:tc>
              <w:tc>
                <w:tcPr>
                  <w:tcW w:w="614" w:type="pct"/>
                  <w:tcBorders>
                    <w:tl2br w:val="nil"/>
                    <w:tr2bl w:val="nil"/>
                  </w:tcBorders>
                  <w:noWrap w:val="0"/>
                  <w:vAlign w:val="center"/>
                </w:tcPr>
                <w:p w14:paraId="748DB6D8">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val="0"/>
                      <w:bCs w:val="0"/>
                      <w:color w:val="auto"/>
                      <w:sz w:val="21"/>
                      <w:szCs w:val="21"/>
                      <w:highlight w:val="none"/>
                      <w:lang w:val="en-US"/>
                    </w:rPr>
                  </w:pPr>
                  <w:r>
                    <w:rPr>
                      <w:rFonts w:hint="eastAsia" w:ascii="Times New Roman" w:hAnsi="Times New Roman" w:eastAsia="宋体" w:cs="Times New Roman"/>
                      <w:b w:val="0"/>
                      <w:bCs w:val="0"/>
                      <w:color w:val="auto"/>
                      <w:sz w:val="21"/>
                      <w:szCs w:val="21"/>
                      <w:highlight w:val="none"/>
                      <w:lang w:val="en-US"/>
                    </w:rPr>
                    <w:t>达标</w:t>
                  </w:r>
                </w:p>
              </w:tc>
            </w:tr>
            <w:tr w14:paraId="1FA92E91">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pct"/>
                  <w:vMerge w:val="continue"/>
                  <w:tcBorders>
                    <w:tl2br w:val="nil"/>
                    <w:tr2bl w:val="nil"/>
                  </w:tcBorders>
                  <w:noWrap w:val="0"/>
                  <w:vAlign w:val="center"/>
                </w:tcPr>
                <w:p w14:paraId="43461B7A">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val="0"/>
                      <w:bCs w:val="0"/>
                      <w:color w:val="auto"/>
                      <w:sz w:val="21"/>
                      <w:szCs w:val="21"/>
                      <w:highlight w:val="none"/>
                      <w:lang w:val="en-US"/>
                    </w:rPr>
                  </w:pPr>
                </w:p>
              </w:tc>
              <w:tc>
                <w:tcPr>
                  <w:tcW w:w="808" w:type="pct"/>
                  <w:tcBorders>
                    <w:tl2br w:val="nil"/>
                    <w:tr2bl w:val="nil"/>
                  </w:tcBorders>
                  <w:noWrap w:val="0"/>
                  <w:vAlign w:val="center"/>
                </w:tcPr>
                <w:p w14:paraId="3905551A">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lang w:val="en-US"/>
                    </w:rPr>
                  </w:pPr>
                  <w:r>
                    <w:rPr>
                      <w:rFonts w:hint="eastAsia" w:ascii="Times New Roman" w:hAnsi="Times New Roman" w:eastAsia="宋体" w:cs="Times New Roman"/>
                      <w:b w:val="0"/>
                      <w:bCs w:val="0"/>
                      <w:color w:val="auto"/>
                      <w:sz w:val="21"/>
                      <w:szCs w:val="21"/>
                      <w:highlight w:val="none"/>
                      <w:lang w:val="en-US" w:eastAsia="zh-CN"/>
                    </w:rPr>
                    <w:t>氯化氢</w:t>
                  </w:r>
                </w:p>
              </w:tc>
              <w:tc>
                <w:tcPr>
                  <w:tcW w:w="1139" w:type="dxa"/>
                  <w:tcBorders>
                    <w:tl2br w:val="nil"/>
                    <w:tr2bl w:val="nil"/>
                  </w:tcBorders>
                  <w:noWrap w:val="0"/>
                  <w:vAlign w:val="center"/>
                </w:tcPr>
                <w:p w14:paraId="0183699A">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0.0045</w:t>
                  </w:r>
                </w:p>
              </w:tc>
              <w:tc>
                <w:tcPr>
                  <w:tcW w:w="1119" w:type="dxa"/>
                  <w:tcBorders>
                    <w:tl2br w:val="nil"/>
                    <w:tr2bl w:val="nil"/>
                  </w:tcBorders>
                  <w:noWrap w:val="0"/>
                  <w:vAlign w:val="center"/>
                </w:tcPr>
                <w:p w14:paraId="455257B5">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0.000018</w:t>
                  </w:r>
                </w:p>
              </w:tc>
              <w:tc>
                <w:tcPr>
                  <w:tcW w:w="1119" w:type="dxa"/>
                  <w:tcBorders>
                    <w:tl2br w:val="nil"/>
                    <w:tr2bl w:val="nil"/>
                  </w:tcBorders>
                  <w:noWrap w:val="0"/>
                  <w:vAlign w:val="center"/>
                </w:tcPr>
                <w:p w14:paraId="1A96DEE6">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0.018</w:t>
                  </w:r>
                </w:p>
              </w:tc>
              <w:tc>
                <w:tcPr>
                  <w:tcW w:w="614" w:type="pct"/>
                  <w:tcBorders>
                    <w:tl2br w:val="nil"/>
                    <w:tr2bl w:val="nil"/>
                  </w:tcBorders>
                  <w:noWrap w:val="0"/>
                  <w:vAlign w:val="center"/>
                </w:tcPr>
                <w:p w14:paraId="6F394FE8">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100</w:t>
                  </w:r>
                </w:p>
              </w:tc>
              <w:tc>
                <w:tcPr>
                  <w:tcW w:w="617" w:type="pct"/>
                  <w:tcBorders>
                    <w:tl2br w:val="nil"/>
                    <w:tr2bl w:val="nil"/>
                  </w:tcBorders>
                  <w:noWrap w:val="0"/>
                  <w:vAlign w:val="center"/>
                </w:tcPr>
                <w:p w14:paraId="5C610CBF">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0.13</w:t>
                  </w:r>
                  <w:r>
                    <w:rPr>
                      <w:rFonts w:hint="eastAsia" w:ascii="Times New Roman" w:hAnsi="Times New Roman" w:eastAsia="宋体" w:cs="Times New Roman"/>
                      <w:b w:val="0"/>
                      <w:bCs w:val="0"/>
                      <w:color w:val="auto"/>
                      <w:sz w:val="21"/>
                      <w:szCs w:val="21"/>
                      <w:highlight w:val="none"/>
                      <w:lang w:val="en-US"/>
                    </w:rPr>
                    <w:t>*</w:t>
                  </w:r>
                </w:p>
              </w:tc>
              <w:tc>
                <w:tcPr>
                  <w:tcW w:w="614" w:type="pct"/>
                  <w:tcBorders>
                    <w:tl2br w:val="nil"/>
                    <w:tr2bl w:val="nil"/>
                  </w:tcBorders>
                  <w:noWrap w:val="0"/>
                  <w:vAlign w:val="center"/>
                </w:tcPr>
                <w:p w14:paraId="023BD828">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lang w:val="en-US"/>
                    </w:rPr>
                  </w:pPr>
                  <w:r>
                    <w:rPr>
                      <w:rFonts w:hint="eastAsia" w:ascii="Times New Roman" w:hAnsi="Times New Roman" w:eastAsia="宋体" w:cs="Times New Roman"/>
                      <w:b w:val="0"/>
                      <w:bCs w:val="0"/>
                      <w:color w:val="auto"/>
                      <w:sz w:val="21"/>
                      <w:szCs w:val="21"/>
                      <w:highlight w:val="none"/>
                      <w:lang w:val="en-US"/>
                    </w:rPr>
                    <w:t>达标</w:t>
                  </w:r>
                </w:p>
              </w:tc>
            </w:tr>
            <w:tr w14:paraId="406A2285">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pct"/>
                  <w:vMerge w:val="continue"/>
                  <w:tcBorders>
                    <w:tl2br w:val="nil"/>
                    <w:tr2bl w:val="nil"/>
                  </w:tcBorders>
                  <w:noWrap w:val="0"/>
                  <w:vAlign w:val="center"/>
                </w:tcPr>
                <w:p w14:paraId="204A5495">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val="0"/>
                      <w:bCs w:val="0"/>
                      <w:color w:val="auto"/>
                      <w:sz w:val="21"/>
                      <w:szCs w:val="21"/>
                      <w:highlight w:val="none"/>
                      <w:lang w:val="en-US"/>
                    </w:rPr>
                  </w:pPr>
                </w:p>
              </w:tc>
              <w:tc>
                <w:tcPr>
                  <w:tcW w:w="808" w:type="pct"/>
                  <w:tcBorders>
                    <w:tl2br w:val="nil"/>
                    <w:tr2bl w:val="nil"/>
                  </w:tcBorders>
                  <w:noWrap w:val="0"/>
                  <w:vAlign w:val="center"/>
                </w:tcPr>
                <w:p w14:paraId="6CE140AB">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氮氧化物</w:t>
                  </w:r>
                </w:p>
              </w:tc>
              <w:tc>
                <w:tcPr>
                  <w:tcW w:w="1139" w:type="dxa"/>
                  <w:tcBorders>
                    <w:tl2br w:val="nil"/>
                    <w:tr2bl w:val="nil"/>
                  </w:tcBorders>
                  <w:noWrap w:val="0"/>
                  <w:vAlign w:val="center"/>
                </w:tcPr>
                <w:p w14:paraId="78C1A9BF">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0.00396</w:t>
                  </w:r>
                </w:p>
              </w:tc>
              <w:tc>
                <w:tcPr>
                  <w:tcW w:w="1119" w:type="dxa"/>
                  <w:tcBorders>
                    <w:tl2br w:val="nil"/>
                    <w:tr2bl w:val="nil"/>
                  </w:tcBorders>
                  <w:noWrap w:val="0"/>
                  <w:vAlign w:val="center"/>
                </w:tcPr>
                <w:p w14:paraId="71E893DE">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0.00001584</w:t>
                  </w:r>
                </w:p>
              </w:tc>
              <w:tc>
                <w:tcPr>
                  <w:tcW w:w="1119" w:type="dxa"/>
                  <w:tcBorders>
                    <w:tl2br w:val="nil"/>
                    <w:tr2bl w:val="nil"/>
                  </w:tcBorders>
                  <w:noWrap w:val="0"/>
                  <w:vAlign w:val="center"/>
                </w:tcPr>
                <w:p w14:paraId="3595F3D8">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0.01584</w:t>
                  </w:r>
                </w:p>
              </w:tc>
              <w:tc>
                <w:tcPr>
                  <w:tcW w:w="614" w:type="pct"/>
                  <w:tcBorders>
                    <w:tl2br w:val="nil"/>
                    <w:tr2bl w:val="nil"/>
                  </w:tcBorders>
                  <w:noWrap w:val="0"/>
                  <w:vAlign w:val="center"/>
                </w:tcPr>
                <w:p w14:paraId="18B41D8C">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120</w:t>
                  </w:r>
                </w:p>
              </w:tc>
              <w:tc>
                <w:tcPr>
                  <w:tcW w:w="617" w:type="pct"/>
                  <w:tcBorders>
                    <w:tl2br w:val="nil"/>
                    <w:tr2bl w:val="nil"/>
                  </w:tcBorders>
                  <w:noWrap w:val="0"/>
                  <w:vAlign w:val="center"/>
                </w:tcPr>
                <w:p w14:paraId="4854E779">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0.385</w:t>
                  </w:r>
                  <w:r>
                    <w:rPr>
                      <w:rFonts w:hint="eastAsia" w:ascii="Times New Roman" w:hAnsi="Times New Roman" w:eastAsia="宋体" w:cs="Times New Roman"/>
                      <w:b w:val="0"/>
                      <w:bCs w:val="0"/>
                      <w:color w:val="auto"/>
                      <w:sz w:val="21"/>
                      <w:szCs w:val="21"/>
                      <w:highlight w:val="none"/>
                      <w:lang w:val="en-US"/>
                    </w:rPr>
                    <w:t>*</w:t>
                  </w:r>
                </w:p>
              </w:tc>
              <w:tc>
                <w:tcPr>
                  <w:tcW w:w="614" w:type="pct"/>
                  <w:tcBorders>
                    <w:tl2br w:val="nil"/>
                    <w:tr2bl w:val="nil"/>
                  </w:tcBorders>
                  <w:noWrap w:val="0"/>
                  <w:vAlign w:val="center"/>
                </w:tcPr>
                <w:p w14:paraId="64EF8C2D">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lang w:val="en-US"/>
                    </w:rPr>
                  </w:pPr>
                  <w:r>
                    <w:rPr>
                      <w:rFonts w:hint="eastAsia" w:ascii="Times New Roman" w:hAnsi="Times New Roman" w:eastAsia="宋体" w:cs="Times New Roman"/>
                      <w:b w:val="0"/>
                      <w:bCs w:val="0"/>
                      <w:color w:val="auto"/>
                      <w:sz w:val="21"/>
                      <w:szCs w:val="21"/>
                      <w:highlight w:val="none"/>
                      <w:lang w:val="en-US"/>
                    </w:rPr>
                    <w:t>达标</w:t>
                  </w:r>
                </w:p>
              </w:tc>
            </w:tr>
            <w:tr w14:paraId="21629342">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pct"/>
                  <w:vMerge w:val="continue"/>
                  <w:tcBorders>
                    <w:tl2br w:val="nil"/>
                    <w:tr2bl w:val="nil"/>
                  </w:tcBorders>
                  <w:noWrap w:val="0"/>
                  <w:vAlign w:val="center"/>
                </w:tcPr>
                <w:p w14:paraId="5D801F27">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val="0"/>
                      <w:bCs w:val="0"/>
                      <w:color w:val="auto"/>
                      <w:sz w:val="21"/>
                      <w:szCs w:val="21"/>
                      <w:highlight w:val="none"/>
                      <w:lang w:val="en-US"/>
                    </w:rPr>
                  </w:pPr>
                </w:p>
              </w:tc>
              <w:tc>
                <w:tcPr>
                  <w:tcW w:w="808" w:type="pct"/>
                  <w:tcBorders>
                    <w:tl2br w:val="nil"/>
                    <w:tr2bl w:val="nil"/>
                  </w:tcBorders>
                  <w:noWrap w:val="0"/>
                  <w:vAlign w:val="center"/>
                </w:tcPr>
                <w:p w14:paraId="1B3C3A3F">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硫酸雾</w:t>
                  </w:r>
                </w:p>
              </w:tc>
              <w:tc>
                <w:tcPr>
                  <w:tcW w:w="1139" w:type="dxa"/>
                  <w:tcBorders>
                    <w:tl2br w:val="nil"/>
                    <w:tr2bl w:val="nil"/>
                  </w:tcBorders>
                  <w:noWrap w:val="0"/>
                  <w:vAlign w:val="center"/>
                </w:tcPr>
                <w:p w14:paraId="5AC0D73B">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0.63</w:t>
                  </w:r>
                </w:p>
              </w:tc>
              <w:tc>
                <w:tcPr>
                  <w:tcW w:w="1119" w:type="dxa"/>
                  <w:tcBorders>
                    <w:tl2br w:val="nil"/>
                    <w:tr2bl w:val="nil"/>
                  </w:tcBorders>
                  <w:noWrap w:val="0"/>
                  <w:vAlign w:val="center"/>
                </w:tcPr>
                <w:p w14:paraId="5311188F">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0.00252</w:t>
                  </w:r>
                </w:p>
              </w:tc>
              <w:tc>
                <w:tcPr>
                  <w:tcW w:w="1119" w:type="dxa"/>
                  <w:tcBorders>
                    <w:tl2br w:val="nil"/>
                    <w:tr2bl w:val="nil"/>
                  </w:tcBorders>
                  <w:noWrap w:val="0"/>
                  <w:vAlign w:val="center"/>
                </w:tcPr>
                <w:p w14:paraId="093B60F3">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2.52</w:t>
                  </w:r>
                </w:p>
              </w:tc>
              <w:tc>
                <w:tcPr>
                  <w:tcW w:w="614" w:type="pct"/>
                  <w:tcBorders>
                    <w:tl2br w:val="nil"/>
                    <w:tr2bl w:val="nil"/>
                  </w:tcBorders>
                  <w:noWrap w:val="0"/>
                  <w:vAlign w:val="center"/>
                </w:tcPr>
                <w:p w14:paraId="745AC345">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45</w:t>
                  </w:r>
                </w:p>
              </w:tc>
              <w:tc>
                <w:tcPr>
                  <w:tcW w:w="617" w:type="pct"/>
                  <w:tcBorders>
                    <w:tl2br w:val="nil"/>
                    <w:tr2bl w:val="nil"/>
                  </w:tcBorders>
                  <w:noWrap w:val="0"/>
                  <w:vAlign w:val="center"/>
                </w:tcPr>
                <w:p w14:paraId="67695440">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0.75</w:t>
                  </w:r>
                  <w:r>
                    <w:rPr>
                      <w:rFonts w:hint="eastAsia" w:ascii="Times New Roman" w:hAnsi="Times New Roman" w:eastAsia="宋体" w:cs="Times New Roman"/>
                      <w:b w:val="0"/>
                      <w:bCs w:val="0"/>
                      <w:color w:val="auto"/>
                      <w:sz w:val="21"/>
                      <w:szCs w:val="21"/>
                      <w:highlight w:val="none"/>
                      <w:lang w:val="en-US"/>
                    </w:rPr>
                    <w:t>*</w:t>
                  </w:r>
                </w:p>
              </w:tc>
              <w:tc>
                <w:tcPr>
                  <w:tcW w:w="614" w:type="pct"/>
                  <w:tcBorders>
                    <w:tl2br w:val="nil"/>
                    <w:tr2bl w:val="nil"/>
                  </w:tcBorders>
                  <w:noWrap w:val="0"/>
                  <w:vAlign w:val="center"/>
                </w:tcPr>
                <w:p w14:paraId="6E30D675">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lang w:val="en-US"/>
                    </w:rPr>
                  </w:pPr>
                  <w:r>
                    <w:rPr>
                      <w:rFonts w:hint="eastAsia" w:ascii="Times New Roman" w:hAnsi="Times New Roman" w:eastAsia="宋体" w:cs="Times New Roman"/>
                      <w:b w:val="0"/>
                      <w:bCs w:val="0"/>
                      <w:color w:val="auto"/>
                      <w:sz w:val="21"/>
                      <w:szCs w:val="21"/>
                      <w:highlight w:val="none"/>
                      <w:lang w:val="en-US"/>
                    </w:rPr>
                    <w:t>达标</w:t>
                  </w:r>
                </w:p>
              </w:tc>
            </w:tr>
            <w:tr w14:paraId="29B9CB78">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pct"/>
                  <w:vMerge w:val="continue"/>
                  <w:tcBorders>
                    <w:tl2br w:val="nil"/>
                    <w:tr2bl w:val="nil"/>
                  </w:tcBorders>
                  <w:noWrap w:val="0"/>
                  <w:vAlign w:val="center"/>
                </w:tcPr>
                <w:p w14:paraId="00E94CFC">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val="0"/>
                      <w:bCs w:val="0"/>
                      <w:color w:val="auto"/>
                      <w:sz w:val="21"/>
                      <w:szCs w:val="21"/>
                      <w:highlight w:val="none"/>
                      <w:lang w:val="en-US"/>
                    </w:rPr>
                  </w:pPr>
                </w:p>
              </w:tc>
              <w:tc>
                <w:tcPr>
                  <w:tcW w:w="808" w:type="pct"/>
                  <w:tcBorders>
                    <w:tl2br w:val="nil"/>
                    <w:tr2bl w:val="nil"/>
                  </w:tcBorders>
                  <w:noWrap w:val="0"/>
                  <w:vAlign w:val="center"/>
                </w:tcPr>
                <w:p w14:paraId="10D3E98E">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lang w:val="en-US"/>
                    </w:rPr>
                  </w:pPr>
                  <w:r>
                    <w:rPr>
                      <w:rFonts w:hint="eastAsia" w:cs="Times New Roman"/>
                      <w:b w:val="0"/>
                      <w:bCs w:val="0"/>
                      <w:color w:val="auto"/>
                      <w:sz w:val="21"/>
                      <w:szCs w:val="21"/>
                      <w:highlight w:val="none"/>
                      <w:lang w:val="en-US" w:eastAsia="zh-CN"/>
                    </w:rPr>
                    <w:t>氨</w:t>
                  </w:r>
                </w:p>
              </w:tc>
              <w:tc>
                <w:tcPr>
                  <w:tcW w:w="1139" w:type="dxa"/>
                  <w:tcBorders>
                    <w:tl2br w:val="nil"/>
                    <w:tr2bl w:val="nil"/>
                  </w:tcBorders>
                  <w:noWrap w:val="0"/>
                  <w:vAlign w:val="center"/>
                </w:tcPr>
                <w:p w14:paraId="29A02724">
                  <w:pPr>
                    <w:keepNext w:val="0"/>
                    <w:keepLines w:val="0"/>
                    <w:widowControl/>
                    <w:suppressLineNumbers w:val="0"/>
                    <w:jc w:val="center"/>
                    <w:textAlignment w:val="center"/>
                    <w:rPr>
                      <w:rFonts w:hint="eastAsia" w:ascii="Times New Roman" w:hAnsi="Times New Roman" w:eastAsia="宋体" w:cs="Times New Roman"/>
                      <w:color w:val="0000FF"/>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0.1638</w:t>
                  </w:r>
                </w:p>
              </w:tc>
              <w:tc>
                <w:tcPr>
                  <w:tcW w:w="1119" w:type="dxa"/>
                  <w:tcBorders>
                    <w:tl2br w:val="nil"/>
                    <w:tr2bl w:val="nil"/>
                  </w:tcBorders>
                  <w:noWrap w:val="0"/>
                  <w:vAlign w:val="center"/>
                </w:tcPr>
                <w:p w14:paraId="7148DAE7">
                  <w:pPr>
                    <w:keepNext w:val="0"/>
                    <w:keepLines w:val="0"/>
                    <w:widowControl/>
                    <w:suppressLineNumbers w:val="0"/>
                    <w:jc w:val="center"/>
                    <w:textAlignment w:val="center"/>
                    <w:rPr>
                      <w:rFonts w:hint="eastAsia" w:ascii="Times New Roman" w:hAnsi="Times New Roman" w:eastAsia="宋体" w:cs="Times New Roman"/>
                      <w:color w:val="0000FF"/>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0.0006552</w:t>
                  </w:r>
                </w:p>
              </w:tc>
              <w:tc>
                <w:tcPr>
                  <w:tcW w:w="1119" w:type="dxa"/>
                  <w:tcBorders>
                    <w:tl2br w:val="nil"/>
                    <w:tr2bl w:val="nil"/>
                  </w:tcBorders>
                  <w:noWrap w:val="0"/>
                  <w:vAlign w:val="center"/>
                </w:tcPr>
                <w:p w14:paraId="51685E68">
                  <w:pPr>
                    <w:keepNext w:val="0"/>
                    <w:keepLines w:val="0"/>
                    <w:widowControl/>
                    <w:suppressLineNumbers w:val="0"/>
                    <w:jc w:val="center"/>
                    <w:textAlignment w:val="center"/>
                    <w:rPr>
                      <w:rFonts w:hint="eastAsia" w:ascii="Times New Roman" w:hAnsi="Times New Roman" w:eastAsia="宋体" w:cs="Times New Roman"/>
                      <w:color w:val="0000FF"/>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0.6552</w:t>
                  </w:r>
                </w:p>
              </w:tc>
              <w:tc>
                <w:tcPr>
                  <w:tcW w:w="614" w:type="pct"/>
                  <w:tcBorders>
                    <w:tl2br w:val="nil"/>
                    <w:tr2bl w:val="nil"/>
                  </w:tcBorders>
                  <w:noWrap w:val="0"/>
                  <w:vAlign w:val="center"/>
                </w:tcPr>
                <w:p w14:paraId="09F73024">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w:t>
                  </w:r>
                </w:p>
              </w:tc>
              <w:tc>
                <w:tcPr>
                  <w:tcW w:w="617" w:type="pct"/>
                  <w:tcBorders>
                    <w:tl2br w:val="nil"/>
                    <w:tr2bl w:val="nil"/>
                  </w:tcBorders>
                  <w:noWrap w:val="0"/>
                  <w:vAlign w:val="center"/>
                </w:tcPr>
                <w:p w14:paraId="684F75EA">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4.9</w:t>
                  </w:r>
                </w:p>
              </w:tc>
              <w:tc>
                <w:tcPr>
                  <w:tcW w:w="614" w:type="pct"/>
                  <w:tcBorders>
                    <w:tl2br w:val="nil"/>
                    <w:tr2bl w:val="nil"/>
                  </w:tcBorders>
                  <w:noWrap w:val="0"/>
                  <w:vAlign w:val="center"/>
                </w:tcPr>
                <w:p w14:paraId="5BFD0F2F">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达标</w:t>
                  </w:r>
                </w:p>
              </w:tc>
            </w:tr>
          </w:tbl>
          <w:p w14:paraId="49F9BE05">
            <w:pPr>
              <w:pStyle w:val="325"/>
              <w:ind w:firstLine="480"/>
              <w:rPr>
                <w:rFonts w:hint="eastAsia" w:cs="Times New Roman"/>
                <w:color w:val="auto"/>
                <w:sz w:val="21"/>
                <w:szCs w:val="21"/>
                <w:highlight w:val="none"/>
                <w:lang w:val="en-US" w:eastAsia="zh-CN"/>
              </w:rPr>
            </w:pPr>
            <w:r>
              <w:rPr>
                <w:rFonts w:hint="eastAsia"/>
                <w:color w:val="auto"/>
                <w:sz w:val="21"/>
                <w:szCs w:val="21"/>
                <w:highlight w:val="none"/>
              </w:rPr>
              <w:t>注*：本项目排气筒DA001高度不能满足高出周围200m半径范围内最高建筑5m以上的要求，以上标准为折合后标准。</w:t>
            </w:r>
          </w:p>
          <w:p w14:paraId="2AA6C20F">
            <w:pPr>
              <w:pStyle w:val="325"/>
              <w:ind w:firstLine="480"/>
              <w:rPr>
                <w:rFonts w:hint="eastAsia"/>
                <w:color w:val="auto"/>
                <w:sz w:val="21"/>
                <w:szCs w:val="21"/>
                <w:highlight w:val="none"/>
                <w:lang w:val="en-US" w:eastAsia="zh-CN"/>
              </w:rPr>
            </w:pPr>
            <w:r>
              <w:rPr>
                <w:rFonts w:hint="eastAsia"/>
                <w:color w:val="auto"/>
                <w:sz w:val="21"/>
                <w:szCs w:val="21"/>
                <w:highlight w:val="none"/>
                <w:lang w:val="en-US" w:eastAsia="zh-CN"/>
              </w:rPr>
              <w:t>由上表可知，项目</w:t>
            </w:r>
            <w:r>
              <w:rPr>
                <w:rFonts w:hint="eastAsia"/>
                <w:color w:val="auto"/>
                <w:sz w:val="21"/>
                <w:szCs w:val="21"/>
                <w:highlight w:val="none"/>
                <w:lang w:val="en-US"/>
              </w:rPr>
              <w:t>DA001</w:t>
            </w:r>
            <w:r>
              <w:rPr>
                <w:rFonts w:hint="eastAsia"/>
                <w:color w:val="auto"/>
                <w:sz w:val="21"/>
                <w:szCs w:val="21"/>
                <w:highlight w:val="none"/>
                <w:lang w:val="en-US" w:eastAsia="zh-CN"/>
              </w:rPr>
              <w:t>污染物排放浓度均满足</w:t>
            </w:r>
            <w:r>
              <w:rPr>
                <w:rFonts w:hint="default"/>
                <w:color w:val="auto"/>
                <w:sz w:val="21"/>
                <w:szCs w:val="21"/>
                <w:highlight w:val="none"/>
                <w:lang w:val="en-US" w:eastAsia="zh-CN"/>
              </w:rPr>
              <w:t>《大气污染物综合排放标准》（GB16297-1996）表2</w:t>
            </w:r>
            <w:r>
              <w:rPr>
                <w:rFonts w:hint="eastAsia"/>
                <w:color w:val="auto"/>
                <w:sz w:val="21"/>
                <w:szCs w:val="21"/>
                <w:highlight w:val="none"/>
                <w:lang w:val="en-US" w:eastAsia="zh-CN"/>
              </w:rPr>
              <w:t>及《恶臭污染物排放标准》（GB14554-93）二级的</w:t>
            </w:r>
            <w:r>
              <w:rPr>
                <w:rFonts w:hint="default"/>
                <w:color w:val="auto"/>
                <w:sz w:val="21"/>
                <w:szCs w:val="21"/>
                <w:highlight w:val="none"/>
                <w:lang w:val="en-US" w:eastAsia="zh-CN"/>
              </w:rPr>
              <w:t>限值要求</w:t>
            </w:r>
            <w:r>
              <w:rPr>
                <w:rFonts w:hint="eastAsia"/>
                <w:color w:val="auto"/>
                <w:sz w:val="21"/>
                <w:szCs w:val="21"/>
                <w:highlight w:val="none"/>
                <w:lang w:val="en-US" w:eastAsia="zh-CN"/>
              </w:rPr>
              <w:t>。</w:t>
            </w:r>
          </w:p>
          <w:p w14:paraId="68AF17E5">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②</w:t>
            </w:r>
            <w:r>
              <w:rPr>
                <w:rFonts w:hint="default" w:ascii="Times New Roman" w:hAnsi="Times New Roman" w:cs="Times New Roman"/>
                <w:color w:val="auto"/>
                <w:sz w:val="21"/>
                <w:szCs w:val="21"/>
                <w:highlight w:val="none"/>
                <w:lang w:val="en-US" w:eastAsia="zh-CN"/>
              </w:rPr>
              <w:t>措施可行性</w:t>
            </w:r>
          </w:p>
          <w:p w14:paraId="5BCFEB4B">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bCs/>
                <w:color w:val="auto"/>
                <w:sz w:val="21"/>
                <w:szCs w:val="21"/>
                <w:highlight w:val="none"/>
              </w:rPr>
            </w:pPr>
            <w:r>
              <w:rPr>
                <w:rFonts w:hint="eastAsia"/>
                <w:bCs/>
                <w:color w:val="auto"/>
                <w:sz w:val="21"/>
                <w:szCs w:val="21"/>
                <w:highlight w:val="none"/>
              </w:rPr>
              <w:t>活性炭吸附装置：活性炭细孔结构较好，吸附性较强，活性炭吸附是有效的去除合成溶解有机物、微污染物质等的措施。大部分比较大的有机物分子、芳香族化合物、卤代炔等能牢固地吸附在活性炭表面上或空隙中，并对腐殖质、合成有机物和低分子量有机物有明显的去除效果。本项目排气筒风机风量</w:t>
            </w:r>
            <w:r>
              <w:rPr>
                <w:rFonts w:hint="eastAsia"/>
                <w:bCs/>
                <w:color w:val="auto"/>
                <w:sz w:val="21"/>
                <w:szCs w:val="21"/>
                <w:highlight w:val="none"/>
                <w:lang w:val="en-US" w:eastAsia="zh-CN"/>
              </w:rPr>
              <w:t>1000</w:t>
            </w:r>
            <w:r>
              <w:rPr>
                <w:rFonts w:hint="eastAsia"/>
                <w:bCs/>
                <w:color w:val="auto"/>
                <w:sz w:val="21"/>
                <w:szCs w:val="21"/>
                <w:highlight w:val="none"/>
              </w:rPr>
              <w:t>m</w:t>
            </w:r>
            <w:r>
              <w:rPr>
                <w:rFonts w:hint="eastAsia"/>
                <w:bCs/>
                <w:color w:val="auto"/>
                <w:sz w:val="21"/>
                <w:szCs w:val="21"/>
                <w:highlight w:val="none"/>
                <w:vertAlign w:val="superscript"/>
              </w:rPr>
              <w:t>3</w:t>
            </w:r>
            <w:r>
              <w:rPr>
                <w:rFonts w:hint="eastAsia"/>
                <w:bCs/>
                <w:color w:val="auto"/>
                <w:sz w:val="21"/>
                <w:szCs w:val="21"/>
                <w:highlight w:val="none"/>
              </w:rPr>
              <w:t>/h，活性炭吸附装置内活性炭为蜂窝状活性炭，表面积</w:t>
            </w:r>
            <w:r>
              <w:rPr>
                <w:rFonts w:hint="eastAsia"/>
                <w:bCs/>
                <w:color w:val="auto"/>
                <w:sz w:val="21"/>
                <w:szCs w:val="21"/>
                <w:highlight w:val="none"/>
                <w:lang w:val="en-US" w:eastAsia="zh-CN"/>
              </w:rPr>
              <w:t>约</w:t>
            </w:r>
            <w:r>
              <w:rPr>
                <w:rFonts w:hint="eastAsia"/>
                <w:bCs/>
                <w:color w:val="auto"/>
                <w:sz w:val="21"/>
                <w:szCs w:val="21"/>
                <w:highlight w:val="none"/>
              </w:rPr>
              <w:t>为3.2m</w:t>
            </w:r>
            <w:r>
              <w:rPr>
                <w:rFonts w:hint="eastAsia"/>
                <w:bCs/>
                <w:color w:val="auto"/>
                <w:sz w:val="21"/>
                <w:szCs w:val="21"/>
                <w:highlight w:val="none"/>
                <w:vertAlign w:val="superscript"/>
              </w:rPr>
              <w:t>2</w:t>
            </w:r>
            <w:r>
              <w:rPr>
                <w:rFonts w:hint="eastAsia"/>
                <w:bCs/>
                <w:color w:val="auto"/>
                <w:sz w:val="21"/>
                <w:szCs w:val="21"/>
                <w:highlight w:val="none"/>
              </w:rPr>
              <w:t>，则废气流速为</w:t>
            </w:r>
            <w:r>
              <w:rPr>
                <w:rFonts w:hint="eastAsia"/>
                <w:bCs/>
                <w:color w:val="auto"/>
                <w:sz w:val="21"/>
                <w:szCs w:val="21"/>
                <w:highlight w:val="none"/>
                <w:lang w:val="en-US" w:eastAsia="zh-CN"/>
              </w:rPr>
              <w:t>0.087</w:t>
            </w:r>
            <w:r>
              <w:rPr>
                <w:rFonts w:hint="eastAsia"/>
                <w:bCs/>
                <w:color w:val="auto"/>
                <w:sz w:val="21"/>
                <w:szCs w:val="21"/>
                <w:highlight w:val="none"/>
              </w:rPr>
              <w:t>m/s，满足《吸附法工业有机废气治理工程技术规范》（HJ2026-2013）中“采用蜂窝状吸附剂时，气体流速宜低于1.2m/s”的要求。采用活性炭吸附可行有效，</w:t>
            </w:r>
            <w:r>
              <w:rPr>
                <w:bCs/>
                <w:color w:val="auto"/>
                <w:sz w:val="21"/>
                <w:szCs w:val="21"/>
                <w:highlight w:val="none"/>
              </w:rPr>
              <w:t>项目选用碘值不低于</w:t>
            </w:r>
            <w:r>
              <w:rPr>
                <w:rFonts w:hint="eastAsia"/>
                <w:bCs/>
                <w:color w:val="auto"/>
                <w:sz w:val="21"/>
                <w:szCs w:val="21"/>
                <w:highlight w:val="none"/>
              </w:rPr>
              <w:t>800</w:t>
            </w:r>
            <w:r>
              <w:rPr>
                <w:bCs/>
                <w:color w:val="auto"/>
                <w:sz w:val="21"/>
                <w:szCs w:val="21"/>
                <w:highlight w:val="none"/>
              </w:rPr>
              <w:t>mg/g的活性炭。</w:t>
            </w:r>
            <w:r>
              <w:rPr>
                <w:rFonts w:hint="eastAsia"/>
                <w:bCs/>
                <w:color w:val="auto"/>
                <w:sz w:val="21"/>
                <w:szCs w:val="21"/>
                <w:highlight w:val="none"/>
              </w:rPr>
              <w:t>符合《排污许可证申请与核发技术规范 总则》（HJ942-2018）要求。</w:t>
            </w:r>
          </w:p>
          <w:p w14:paraId="1799F655">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bCs/>
                <w:color w:val="auto"/>
                <w:sz w:val="21"/>
                <w:szCs w:val="21"/>
                <w:highlight w:val="none"/>
                <w:lang w:val="en-US" w:eastAsia="zh-CN"/>
              </w:rPr>
            </w:pPr>
            <w:r>
              <w:rPr>
                <w:rFonts w:hint="eastAsia"/>
                <w:bCs/>
                <w:color w:val="auto"/>
                <w:sz w:val="21"/>
                <w:szCs w:val="21"/>
                <w:highlight w:val="none"/>
                <w:lang w:val="en-US" w:eastAsia="zh-CN"/>
              </w:rPr>
              <w:t>本项目为实验室项目，不属于连续性生产类项目，实验试剂年使用量较少，产生的硫酸雾、硝酸雾、HCl、氨、非甲烷总烃量较少，经通风橱收集后通过二级</w:t>
            </w:r>
            <w:r>
              <w:rPr>
                <w:rFonts w:hint="default"/>
                <w:bCs/>
                <w:color w:val="auto"/>
                <w:sz w:val="21"/>
                <w:szCs w:val="21"/>
                <w:highlight w:val="none"/>
                <w:lang w:val="en-US" w:eastAsia="zh-CN"/>
              </w:rPr>
              <w:t>活性炭吸附装置</w:t>
            </w:r>
            <w:r>
              <w:rPr>
                <w:rFonts w:hint="eastAsia"/>
                <w:bCs/>
                <w:color w:val="auto"/>
                <w:sz w:val="21"/>
                <w:szCs w:val="21"/>
                <w:highlight w:val="none"/>
                <w:lang w:val="en-US" w:eastAsia="zh-CN"/>
              </w:rPr>
              <w:t>处理后由15</w:t>
            </w:r>
            <w:r>
              <w:rPr>
                <w:rFonts w:hint="default"/>
                <w:bCs/>
                <w:color w:val="auto"/>
                <w:sz w:val="21"/>
                <w:szCs w:val="21"/>
                <w:highlight w:val="none"/>
                <w:lang w:val="en-US" w:eastAsia="zh-CN"/>
              </w:rPr>
              <w:t>m高排气筒排放</w:t>
            </w:r>
            <w:r>
              <w:rPr>
                <w:rFonts w:hint="eastAsia"/>
                <w:bCs/>
                <w:color w:val="auto"/>
                <w:sz w:val="21"/>
                <w:szCs w:val="21"/>
                <w:highlight w:val="none"/>
                <w:lang w:val="en-US" w:eastAsia="zh-CN"/>
              </w:rPr>
              <w:t>，且根据上述结果分析，各污染物排放均能满足相应排放标准要求，对外环境影响较小。</w:t>
            </w:r>
          </w:p>
          <w:p w14:paraId="5F8A29CD">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bCs/>
                <w:color w:val="auto"/>
                <w:sz w:val="21"/>
                <w:szCs w:val="21"/>
                <w:highlight w:val="none"/>
                <w:lang w:val="en-US" w:eastAsia="zh-CN"/>
              </w:rPr>
            </w:pPr>
            <w:r>
              <w:rPr>
                <w:rFonts w:hint="eastAsia"/>
                <w:bCs/>
                <w:color w:val="auto"/>
                <w:sz w:val="21"/>
                <w:szCs w:val="21"/>
                <w:highlight w:val="none"/>
                <w:lang w:val="en-US" w:eastAsia="zh-CN"/>
              </w:rPr>
              <w:t>排气筒高度分析，根据</w:t>
            </w:r>
            <w:r>
              <w:rPr>
                <w:rFonts w:hint="default"/>
                <w:bCs/>
                <w:color w:val="auto"/>
                <w:sz w:val="21"/>
                <w:szCs w:val="21"/>
                <w:highlight w:val="none"/>
                <w:lang w:val="en-US" w:eastAsia="zh-CN"/>
              </w:rPr>
              <w:t>《大气污染物综合排放标准》（GB16297-1996）中对排气筒的要求，应高出周围200m半径范围的建筑5m以上，不能达到该要求的排气筒，应按其高度对应的表列排放速率标准值严格50%执行。本项目200m范围内最高建筑物</w:t>
            </w:r>
            <w:r>
              <w:rPr>
                <w:rFonts w:hint="eastAsia"/>
                <w:bCs/>
                <w:color w:val="auto"/>
                <w:sz w:val="21"/>
                <w:szCs w:val="21"/>
                <w:highlight w:val="none"/>
                <w:lang w:val="en-US" w:eastAsia="zh-CN"/>
              </w:rPr>
              <w:t>约</w:t>
            </w:r>
            <w:r>
              <w:rPr>
                <w:rFonts w:hint="default"/>
                <w:bCs/>
                <w:color w:val="auto"/>
                <w:sz w:val="21"/>
                <w:szCs w:val="21"/>
                <w:highlight w:val="none"/>
                <w:lang w:val="en-US" w:eastAsia="zh-CN"/>
              </w:rPr>
              <w:t>为</w:t>
            </w:r>
            <w:r>
              <w:rPr>
                <w:rFonts w:hint="eastAsia"/>
                <w:bCs/>
                <w:color w:val="auto"/>
                <w:sz w:val="21"/>
                <w:szCs w:val="21"/>
                <w:highlight w:val="none"/>
                <w:lang w:val="en-US" w:eastAsia="zh-CN"/>
              </w:rPr>
              <w:t>90</w:t>
            </w:r>
            <w:r>
              <w:rPr>
                <w:rFonts w:hint="default"/>
                <w:bCs/>
                <w:color w:val="auto"/>
                <w:sz w:val="21"/>
                <w:szCs w:val="21"/>
                <w:highlight w:val="none"/>
                <w:lang w:val="en-US" w:eastAsia="zh-CN"/>
              </w:rPr>
              <w:t>m，则应建设</w:t>
            </w:r>
            <w:r>
              <w:rPr>
                <w:rFonts w:hint="eastAsia"/>
                <w:bCs/>
                <w:color w:val="auto"/>
                <w:sz w:val="21"/>
                <w:szCs w:val="21"/>
                <w:highlight w:val="none"/>
                <w:lang w:val="en-US" w:eastAsia="zh-CN"/>
              </w:rPr>
              <w:t>95</w:t>
            </w:r>
            <w:r>
              <w:rPr>
                <w:rFonts w:hint="default"/>
                <w:bCs/>
                <w:color w:val="auto"/>
                <w:sz w:val="21"/>
                <w:szCs w:val="21"/>
                <w:highlight w:val="none"/>
                <w:lang w:val="en-US" w:eastAsia="zh-CN"/>
              </w:rPr>
              <w:t>m高排气筒，但基于安全角度考虑不可行，因此本项目所在楼层高度为</w:t>
            </w:r>
            <w:r>
              <w:rPr>
                <w:rFonts w:hint="eastAsia"/>
                <w:bCs/>
                <w:color w:val="auto"/>
                <w:sz w:val="21"/>
                <w:szCs w:val="21"/>
                <w:highlight w:val="none"/>
                <w:lang w:val="en-US" w:eastAsia="zh-CN"/>
              </w:rPr>
              <w:t>10m</w:t>
            </w:r>
            <w:r>
              <w:rPr>
                <w:rFonts w:hint="default"/>
                <w:bCs/>
                <w:color w:val="auto"/>
                <w:sz w:val="21"/>
                <w:szCs w:val="21"/>
                <w:highlight w:val="none"/>
                <w:lang w:val="en-US" w:eastAsia="zh-CN"/>
              </w:rPr>
              <w:t>，根据规定需建设</w:t>
            </w:r>
            <w:r>
              <w:rPr>
                <w:rFonts w:hint="eastAsia"/>
                <w:bCs/>
                <w:color w:val="auto"/>
                <w:sz w:val="21"/>
                <w:szCs w:val="21"/>
                <w:highlight w:val="none"/>
                <w:lang w:val="en-US" w:eastAsia="zh-CN"/>
              </w:rPr>
              <w:t>15</w:t>
            </w:r>
            <w:r>
              <w:rPr>
                <w:rFonts w:hint="default"/>
                <w:bCs/>
                <w:color w:val="auto"/>
                <w:sz w:val="21"/>
                <w:szCs w:val="21"/>
                <w:highlight w:val="none"/>
                <w:lang w:val="en-US" w:eastAsia="zh-CN"/>
              </w:rPr>
              <w:t>m高排气筒，排放速率标准值严格50%执行</w:t>
            </w:r>
            <w:r>
              <w:rPr>
                <w:rFonts w:hint="eastAsia"/>
                <w:bCs/>
                <w:color w:val="auto"/>
                <w:sz w:val="21"/>
                <w:szCs w:val="21"/>
                <w:highlight w:val="none"/>
                <w:lang w:val="en-US" w:eastAsia="zh-CN"/>
              </w:rPr>
              <w:t>。</w:t>
            </w:r>
          </w:p>
          <w:p w14:paraId="4B7860AE">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③影响评价结论</w:t>
            </w:r>
          </w:p>
          <w:p w14:paraId="27B88FB9">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综上</w:t>
            </w:r>
            <w:r>
              <w:rPr>
                <w:rFonts w:hint="eastAsia" w:ascii="Times New Roman" w:hAnsi="Times New Roman" w:cs="Times New Roman"/>
                <w:color w:val="auto"/>
                <w:sz w:val="21"/>
                <w:szCs w:val="21"/>
                <w:highlight w:val="none"/>
                <w:lang w:val="en-US" w:eastAsia="zh-CN"/>
              </w:rPr>
              <w:t>所述，</w:t>
            </w:r>
            <w:r>
              <w:rPr>
                <w:rFonts w:hint="default" w:ascii="Times New Roman" w:hAnsi="Times New Roman" w:cs="Times New Roman"/>
                <w:color w:val="auto"/>
                <w:sz w:val="21"/>
                <w:szCs w:val="21"/>
                <w:highlight w:val="none"/>
                <w:lang w:val="en-US" w:eastAsia="zh-CN"/>
              </w:rPr>
              <w:t>项目污染物放可满足排放标准要求，</w:t>
            </w:r>
            <w:r>
              <w:rPr>
                <w:rFonts w:hint="eastAsia" w:ascii="Times New Roman" w:hAnsi="Times New Roman" w:cs="Times New Roman"/>
                <w:color w:val="auto"/>
                <w:sz w:val="21"/>
                <w:szCs w:val="21"/>
                <w:highlight w:val="none"/>
                <w:lang w:val="en-US" w:eastAsia="zh-CN"/>
              </w:rPr>
              <w:t>对周边环境影响较小，大气环境影响可接受。</w:t>
            </w:r>
          </w:p>
          <w:p w14:paraId="193C828E">
            <w:pPr>
              <w:adjustRightInd w:val="0"/>
              <w:snapToGrid w:val="0"/>
              <w:ind w:firstLine="482" w:firstLineChars="200"/>
              <w:jc w:val="both"/>
              <w:rPr>
                <w:rFonts w:hint="default" w:ascii="Times New Roman" w:hAnsi="Times New Roman" w:cs="Times New Roman"/>
                <w:b/>
                <w:color w:val="auto"/>
                <w:kern w:val="0"/>
                <w:szCs w:val="24"/>
                <w:highlight w:val="none"/>
              </w:rPr>
            </w:pPr>
            <w:r>
              <w:rPr>
                <w:rFonts w:hint="default" w:ascii="Times New Roman" w:hAnsi="Times New Roman" w:cs="Times New Roman"/>
                <w:b/>
                <w:color w:val="auto"/>
                <w:kern w:val="0"/>
                <w:szCs w:val="24"/>
                <w:highlight w:val="none"/>
                <w:lang w:eastAsia="zh-CN"/>
              </w:rPr>
              <w:t>二</w:t>
            </w:r>
            <w:r>
              <w:rPr>
                <w:rFonts w:hint="default" w:ascii="Times New Roman" w:hAnsi="Times New Roman" w:cs="Times New Roman"/>
                <w:b/>
                <w:color w:val="auto"/>
                <w:kern w:val="0"/>
                <w:szCs w:val="24"/>
                <w:highlight w:val="none"/>
              </w:rPr>
              <w:t>、废水环境影响及治理措施</w:t>
            </w:r>
          </w:p>
          <w:p w14:paraId="4DB7B50B">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cs="Times New Roman"/>
                <w:bCs/>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本项目</w:t>
            </w:r>
            <w:r>
              <w:rPr>
                <w:rFonts w:hint="eastAsia" w:cs="Times New Roman"/>
                <w:bCs/>
                <w:color w:val="auto"/>
                <w:sz w:val="21"/>
                <w:szCs w:val="21"/>
                <w:highlight w:val="none"/>
                <w:lang w:val="en-US" w:eastAsia="zh-CN"/>
              </w:rPr>
              <w:t>实验分析过程用水产生的实验废液以及</w:t>
            </w:r>
            <w:r>
              <w:rPr>
                <w:rFonts w:hint="eastAsia"/>
                <w:color w:val="auto"/>
                <w:sz w:val="21"/>
                <w:szCs w:val="21"/>
                <w:highlight w:val="none"/>
                <w:lang w:val="zh-CN"/>
              </w:rPr>
              <w:t>清洗实验器皿</w:t>
            </w:r>
            <w:r>
              <w:rPr>
                <w:rFonts w:hint="eastAsia"/>
                <w:color w:val="auto"/>
                <w:sz w:val="21"/>
                <w:szCs w:val="21"/>
                <w:highlight w:val="none"/>
                <w:lang w:val="en-US" w:eastAsia="zh-CN"/>
              </w:rPr>
              <w:t>废水</w:t>
            </w:r>
            <w:r>
              <w:rPr>
                <w:rFonts w:hint="eastAsia"/>
                <w:color w:val="auto"/>
                <w:sz w:val="21"/>
                <w:szCs w:val="21"/>
                <w:highlight w:val="none"/>
                <w:lang w:val="zh-CN"/>
              </w:rPr>
              <w:t>，</w:t>
            </w:r>
            <w:r>
              <w:rPr>
                <w:rFonts w:hint="eastAsia"/>
                <w:color w:val="auto"/>
                <w:sz w:val="21"/>
                <w:szCs w:val="21"/>
                <w:highlight w:val="none"/>
                <w:lang w:val="en-US" w:eastAsia="zh-CN"/>
              </w:rPr>
              <w:t>总量约为8.2</w:t>
            </w:r>
            <w:r>
              <w:rPr>
                <w:rFonts w:hint="eastAsia"/>
                <w:color w:val="auto"/>
                <w:sz w:val="21"/>
                <w:szCs w:val="21"/>
                <w:highlight w:val="none"/>
                <w:lang w:val="zh-CN"/>
              </w:rPr>
              <w:t>m</w:t>
            </w:r>
            <w:r>
              <w:rPr>
                <w:rFonts w:hint="eastAsia"/>
                <w:color w:val="auto"/>
                <w:sz w:val="21"/>
                <w:szCs w:val="21"/>
                <w:highlight w:val="none"/>
                <w:vertAlign w:val="superscript"/>
                <w:lang w:val="zh-CN"/>
              </w:rPr>
              <w:t>3</w:t>
            </w:r>
            <w:r>
              <w:rPr>
                <w:rFonts w:hint="eastAsia"/>
                <w:color w:val="auto"/>
                <w:sz w:val="21"/>
                <w:szCs w:val="21"/>
                <w:highlight w:val="none"/>
                <w:lang w:val="zh-CN"/>
              </w:rPr>
              <w:t>/a，</w:t>
            </w:r>
            <w:r>
              <w:rPr>
                <w:rFonts w:hint="eastAsia"/>
                <w:color w:val="auto"/>
                <w:sz w:val="21"/>
                <w:szCs w:val="21"/>
                <w:highlight w:val="none"/>
                <w:lang w:val="en-US" w:eastAsia="zh-CN"/>
              </w:rPr>
              <w:t>均按危险废物计，</w:t>
            </w:r>
            <w:r>
              <w:rPr>
                <w:rFonts w:hint="eastAsia" w:cs="Times New Roman"/>
                <w:bCs/>
                <w:color w:val="auto"/>
                <w:sz w:val="21"/>
                <w:szCs w:val="21"/>
                <w:highlight w:val="none"/>
                <w:lang w:val="en-US" w:eastAsia="zh-CN"/>
              </w:rPr>
              <w:t>经专用容器收集后，委托资质单位处置。</w:t>
            </w:r>
          </w:p>
          <w:p w14:paraId="5EC8B83A">
            <w:pPr>
              <w:ind w:firstLine="420" w:firstLineChars="200"/>
              <w:jc w:val="both"/>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其余</w:t>
            </w:r>
            <w:r>
              <w:rPr>
                <w:rFonts w:hint="default" w:ascii="Times New Roman" w:hAnsi="Times New Roman" w:cs="Times New Roman"/>
                <w:color w:val="auto"/>
                <w:sz w:val="21"/>
                <w:szCs w:val="21"/>
                <w:highlight w:val="none"/>
                <w:lang w:val="en-US" w:eastAsia="zh-CN"/>
              </w:rPr>
              <w:t>主要为</w:t>
            </w:r>
            <w:r>
              <w:rPr>
                <w:rFonts w:hint="eastAsia" w:cs="Times New Roman"/>
                <w:color w:val="auto"/>
                <w:sz w:val="21"/>
                <w:szCs w:val="21"/>
                <w:highlight w:val="none"/>
                <w:lang w:val="en-US" w:eastAsia="zh-CN"/>
              </w:rPr>
              <w:t>纯水制备废水产生量为</w:t>
            </w:r>
            <w:r>
              <w:rPr>
                <w:rFonts w:hint="default" w:ascii="Times New Roman" w:hAnsi="Times New Roman" w:cs="Times New Roman"/>
                <w:color w:val="auto"/>
                <w:sz w:val="21"/>
                <w:szCs w:val="21"/>
                <w:highlight w:val="none"/>
                <w:lang w:val="en-US" w:eastAsia="zh-CN"/>
              </w:rPr>
              <w:t>2.35</w:t>
            </w:r>
            <w:r>
              <w:rPr>
                <w:rFonts w:hint="default" w:ascii="Times New Roman" w:hAnsi="Times New Roman" w:eastAsia="宋体" w:cs="Times New Roman"/>
                <w:color w:val="auto"/>
                <w:sz w:val="21"/>
                <w:szCs w:val="21"/>
                <w:highlight w:val="none"/>
                <w:lang w:val="en-US" w:eastAsia="zh-CN"/>
              </w:rPr>
              <w:t>m</w:t>
            </w:r>
            <w:r>
              <w:rPr>
                <w:rFonts w:hint="default" w:ascii="Times New Roman" w:hAnsi="Times New Roman" w:eastAsia="宋体" w:cs="Times New Roman"/>
                <w:color w:val="auto"/>
                <w:sz w:val="21"/>
                <w:szCs w:val="21"/>
                <w:highlight w:val="none"/>
                <w:vertAlign w:val="superscript"/>
                <w:lang w:val="en-US" w:eastAsia="zh-CN"/>
              </w:rPr>
              <w:t>3</w:t>
            </w:r>
            <w:r>
              <w:rPr>
                <w:rFonts w:hint="default" w:ascii="Times New Roman" w:hAnsi="Times New Roman" w:eastAsia="宋体" w:cs="Times New Roman"/>
                <w:color w:val="auto"/>
                <w:sz w:val="21"/>
                <w:szCs w:val="21"/>
                <w:highlight w:val="none"/>
                <w:lang w:val="en-US" w:eastAsia="zh-CN"/>
              </w:rPr>
              <w:t>/a</w:t>
            </w:r>
            <w:r>
              <w:rPr>
                <w:rFonts w:hint="eastAsia" w:ascii="Times New Roman" w:hAnsi="Times New Roman" w:cs="Times New Roman"/>
                <w:color w:val="auto"/>
                <w:sz w:val="21"/>
                <w:szCs w:val="21"/>
                <w:highlight w:val="none"/>
                <w:lang w:val="en-US" w:eastAsia="zh-CN"/>
              </w:rPr>
              <w:t>。</w:t>
            </w:r>
            <w:r>
              <w:rPr>
                <w:rFonts w:hint="eastAsia" w:cs="Times New Roman"/>
                <w:bCs/>
                <w:color w:val="auto"/>
                <w:sz w:val="21"/>
                <w:szCs w:val="21"/>
                <w:highlight w:val="none"/>
                <w:lang w:val="en-US" w:eastAsia="zh-CN"/>
              </w:rPr>
              <w:t>纯水制备废水用于厂区洒水抑尘</w:t>
            </w:r>
            <w:r>
              <w:rPr>
                <w:rFonts w:hint="eastAsia" w:cs="Times New Roman"/>
                <w:color w:val="auto"/>
                <w:sz w:val="21"/>
                <w:szCs w:val="21"/>
                <w:highlight w:val="none"/>
                <w:lang w:val="en-US" w:eastAsia="zh-CN"/>
              </w:rPr>
              <w:t>，纯水制备废水主要污染物为溶解性总固体，水质较清净，外排至污水管网可行</w:t>
            </w:r>
            <w:r>
              <w:rPr>
                <w:rFonts w:hint="eastAsia" w:ascii="Times New Roman" w:hAnsi="Times New Roman" w:eastAsia="宋体" w:cs="Times New Roman"/>
                <w:color w:val="auto"/>
                <w:kern w:val="2"/>
                <w:sz w:val="21"/>
                <w:szCs w:val="21"/>
                <w:highlight w:val="none"/>
                <w:lang w:val="zh-CN" w:eastAsia="zh-CN" w:bidi="ar-SA"/>
              </w:rPr>
              <w:t>。</w:t>
            </w:r>
          </w:p>
          <w:p w14:paraId="4A6488D2">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三、</w:t>
            </w:r>
            <w:r>
              <w:rPr>
                <w:rFonts w:hint="default" w:ascii="Times New Roman" w:hAnsi="Times New Roman" w:cs="Times New Roman"/>
                <w:b/>
                <w:color w:val="auto"/>
                <w:kern w:val="0"/>
                <w:szCs w:val="24"/>
                <w:highlight w:val="none"/>
              </w:rPr>
              <w:t>噪声环境影响及治理措施</w:t>
            </w:r>
          </w:p>
          <w:p w14:paraId="05338C4E">
            <w:pPr>
              <w:spacing w:line="360" w:lineRule="auto"/>
              <w:ind w:firstLine="422" w:firstLineChars="200"/>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（1）</w:t>
            </w:r>
            <w:r>
              <w:rPr>
                <w:rFonts w:hint="default" w:ascii="Times New Roman" w:hAnsi="Times New Roman" w:eastAsia="宋体" w:cs="Times New Roman"/>
                <w:b/>
                <w:bCs/>
                <w:color w:val="auto"/>
                <w:sz w:val="21"/>
                <w:szCs w:val="21"/>
                <w:highlight w:val="none"/>
                <w:lang w:val="en-US" w:eastAsia="zh-CN"/>
              </w:rPr>
              <w:t>噪声源强及降噪措施</w:t>
            </w:r>
          </w:p>
          <w:p w14:paraId="55B5B922">
            <w:pPr>
              <w:adjustRightInd w:val="0"/>
              <w:snapToGrid w:val="0"/>
              <w:ind w:firstLine="420" w:firstLineChars="200"/>
              <w:jc w:val="both"/>
              <w:rPr>
                <w:rFonts w:hint="default" w:ascii="Times New Roman" w:hAnsi="Times New Roman" w:eastAsia="宋体" w:cs="Times New Roman"/>
                <w:color w:val="0000FF"/>
                <w:spacing w:val="0"/>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本项目实验检测设备均为小型实验仪器，运行过程中产生的噪声较小，且均位于室内，经墙体隔声后其噪声值较小，产噪设备主要为</w:t>
            </w:r>
            <w:r>
              <w:rPr>
                <w:rFonts w:hint="eastAsia" w:eastAsia="宋体" w:cs="Times New Roman"/>
                <w:color w:val="auto"/>
                <w:sz w:val="21"/>
                <w:szCs w:val="21"/>
                <w:highlight w:val="none"/>
                <w:lang w:val="en-US" w:eastAsia="zh-CN"/>
              </w:rPr>
              <w:t>通风橱及风机</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pacing w:val="0"/>
                <w:kern w:val="2"/>
                <w:sz w:val="21"/>
                <w:szCs w:val="21"/>
                <w:highlight w:val="none"/>
                <w:lang w:val="en-US" w:eastAsia="zh-CN" w:bidi="ar-SA"/>
              </w:rPr>
              <w:t>设备噪声源强及治理措施见下表：</w:t>
            </w:r>
          </w:p>
          <w:p w14:paraId="41D9DA40">
            <w:pPr>
              <w:pStyle w:val="63"/>
              <w:jc w:val="center"/>
              <w:rPr>
                <w:rFonts w:hint="default" w:ascii="Times New Roman" w:hAnsi="Times New Roman" w:eastAsia="Times New Roman" w:cs="Times New Roman"/>
                <w:b/>
                <w:bCs/>
                <w:color w:val="auto"/>
                <w:sz w:val="21"/>
                <w:szCs w:val="21"/>
                <w:highlight w:val="none"/>
                <w:lang w:val="en-US" w:eastAsia="zh-CN"/>
              </w:rPr>
            </w:pPr>
            <w:r>
              <w:rPr>
                <w:rFonts w:hint="eastAsia" w:ascii="Times New Roman" w:hAnsi="Times New Roman" w:eastAsia="Times New Roman" w:cs="Times New Roman"/>
                <w:b/>
                <w:bCs/>
                <w:color w:val="auto"/>
                <w:sz w:val="21"/>
                <w:szCs w:val="21"/>
                <w:highlight w:val="none"/>
                <w:lang w:val="en-US" w:eastAsia="zh-CN"/>
              </w:rPr>
              <w:t>表3</w:t>
            </w:r>
            <w:r>
              <w:rPr>
                <w:rFonts w:hint="eastAsia" w:eastAsia="Times New Roman" w:cs="Times New Roman"/>
                <w:b/>
                <w:bCs/>
                <w:color w:val="auto"/>
                <w:sz w:val="21"/>
                <w:szCs w:val="21"/>
                <w:highlight w:val="none"/>
                <w:lang w:val="en-US" w:eastAsia="zh-CN"/>
              </w:rPr>
              <w:t>2</w:t>
            </w:r>
            <w:r>
              <w:rPr>
                <w:rFonts w:hint="eastAsia" w:ascii="Times New Roman" w:hAnsi="Times New Roman" w:eastAsia="Times New Roman" w:cs="Times New Roman"/>
                <w:b/>
                <w:bCs/>
                <w:color w:val="auto"/>
                <w:sz w:val="21"/>
                <w:szCs w:val="21"/>
                <w:highlight w:val="none"/>
                <w:lang w:val="en-US" w:eastAsia="zh-CN"/>
              </w:rPr>
              <w:t xml:space="preserve"> 工业企业噪声源强调查清单（室内声源，以</w:t>
            </w:r>
            <w:r>
              <w:rPr>
                <w:rFonts w:hint="eastAsia" w:eastAsia="Times New Roman" w:cs="Times New Roman"/>
                <w:b/>
                <w:bCs/>
                <w:color w:val="auto"/>
                <w:sz w:val="21"/>
                <w:szCs w:val="21"/>
                <w:highlight w:val="none"/>
                <w:lang w:val="en-US" w:eastAsia="zh-CN"/>
              </w:rPr>
              <w:t>项目西</w:t>
            </w:r>
            <w:r>
              <w:rPr>
                <w:rFonts w:hint="eastAsia" w:ascii="Times New Roman" w:hAnsi="Times New Roman" w:eastAsia="Times New Roman" w:cs="Times New Roman"/>
                <w:b/>
                <w:bCs/>
                <w:color w:val="auto"/>
                <w:sz w:val="21"/>
                <w:szCs w:val="21"/>
                <w:highlight w:val="none"/>
                <w:lang w:val="en-US" w:eastAsia="zh-CN"/>
              </w:rPr>
              <w:t>南角为原点）</w:t>
            </w:r>
          </w:p>
          <w:tbl>
            <w:tblPr>
              <w:tblStyle w:val="46"/>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50"/>
              <w:gridCol w:w="350"/>
              <w:gridCol w:w="1045"/>
              <w:gridCol w:w="744"/>
              <w:gridCol w:w="898"/>
              <w:gridCol w:w="565"/>
              <w:gridCol w:w="510"/>
              <w:gridCol w:w="510"/>
              <w:gridCol w:w="501"/>
              <w:gridCol w:w="448"/>
              <w:gridCol w:w="715"/>
              <w:gridCol w:w="641"/>
              <w:gridCol w:w="657"/>
              <w:gridCol w:w="716"/>
              <w:gridCol w:w="528"/>
            </w:tblGrid>
            <w:tr w14:paraId="666D3CE4">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4" w:type="pct"/>
                  <w:vMerge w:val="restart"/>
                  <w:tcBorders>
                    <w:tl2br w:val="nil"/>
                    <w:tr2bl w:val="nil"/>
                  </w:tcBorders>
                  <w:noWrap w:val="0"/>
                  <w:vAlign w:val="center"/>
                </w:tcPr>
                <w:p w14:paraId="6A66ABF5">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b w:val="0"/>
                      <w:color w:val="auto"/>
                      <w:kern w:val="2"/>
                      <w:sz w:val="21"/>
                      <w:szCs w:val="21"/>
                      <w:highlight w:val="none"/>
                      <w:lang w:val="en-US" w:eastAsia="zh-CN" w:bidi="ar-SA"/>
                    </w:rPr>
                    <w:t>序号</w:t>
                  </w:r>
                </w:p>
              </w:tc>
              <w:tc>
                <w:tcPr>
                  <w:tcW w:w="194" w:type="pct"/>
                  <w:vMerge w:val="restart"/>
                  <w:tcBorders>
                    <w:tl2br w:val="nil"/>
                    <w:tr2bl w:val="nil"/>
                  </w:tcBorders>
                  <w:noWrap w:val="0"/>
                  <w:vAlign w:val="center"/>
                </w:tcPr>
                <w:p w14:paraId="53711109">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b w:val="0"/>
                      <w:color w:val="auto"/>
                      <w:kern w:val="2"/>
                      <w:sz w:val="21"/>
                      <w:szCs w:val="21"/>
                      <w:highlight w:val="none"/>
                      <w:lang w:val="en-US" w:eastAsia="zh-CN" w:bidi="ar-SA"/>
                    </w:rPr>
                    <w:t>建筑物名称</w:t>
                  </w:r>
                </w:p>
              </w:tc>
              <w:tc>
                <w:tcPr>
                  <w:tcW w:w="572" w:type="pct"/>
                  <w:vMerge w:val="restart"/>
                  <w:tcBorders>
                    <w:tl2br w:val="nil"/>
                    <w:tr2bl w:val="nil"/>
                  </w:tcBorders>
                  <w:noWrap w:val="0"/>
                  <w:vAlign w:val="center"/>
                </w:tcPr>
                <w:p w14:paraId="781CB045">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b w:val="0"/>
                      <w:color w:val="auto"/>
                      <w:kern w:val="2"/>
                      <w:sz w:val="21"/>
                      <w:szCs w:val="21"/>
                      <w:highlight w:val="none"/>
                      <w:lang w:val="en-US" w:eastAsia="zh-CN" w:bidi="ar-SA"/>
                    </w:rPr>
                    <w:t>声源名称</w:t>
                  </w:r>
                </w:p>
              </w:tc>
              <w:tc>
                <w:tcPr>
                  <w:tcW w:w="408" w:type="pct"/>
                  <w:vMerge w:val="restart"/>
                  <w:tcBorders>
                    <w:tl2br w:val="nil"/>
                    <w:tr2bl w:val="nil"/>
                  </w:tcBorders>
                  <w:noWrap w:val="0"/>
                  <w:vAlign w:val="center"/>
                </w:tcPr>
                <w:p w14:paraId="5A5032ED">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b w:val="0"/>
                      <w:color w:val="auto"/>
                      <w:kern w:val="2"/>
                      <w:sz w:val="21"/>
                      <w:szCs w:val="21"/>
                      <w:highlight w:val="none"/>
                      <w:lang w:val="en-US" w:eastAsia="zh-CN" w:bidi="ar-SA"/>
                    </w:rPr>
                    <w:t>型号</w:t>
                  </w:r>
                </w:p>
              </w:tc>
              <w:tc>
                <w:tcPr>
                  <w:tcW w:w="492" w:type="pct"/>
                  <w:tcBorders>
                    <w:tl2br w:val="nil"/>
                    <w:tr2bl w:val="nil"/>
                  </w:tcBorders>
                  <w:noWrap w:val="0"/>
                  <w:vAlign w:val="center"/>
                </w:tcPr>
                <w:p w14:paraId="1B35F4B2">
                  <w:pPr>
                    <w:pStyle w:val="145"/>
                    <w:keepNext w:val="0"/>
                    <w:keepLines w:val="0"/>
                    <w:pageBreakBefore w:val="0"/>
                    <w:kinsoku/>
                    <w:wordWrap/>
                    <w:overflowPunct/>
                    <w:autoSpaceDE/>
                    <w:autoSpaceDN/>
                    <w:bidi w:val="0"/>
                    <w:spacing w:line="240" w:lineRule="auto"/>
                    <w:ind w:left="-48" w:leftChars="-20" w:right="-48" w:rightChars="-20" w:firstLine="0" w:firstLineChars="0"/>
                    <w:jc w:val="center"/>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b w:val="0"/>
                      <w:color w:val="auto"/>
                      <w:kern w:val="2"/>
                      <w:sz w:val="21"/>
                      <w:szCs w:val="21"/>
                      <w:highlight w:val="none"/>
                      <w:lang w:val="en-US" w:eastAsia="zh-CN" w:bidi="ar-SA"/>
                    </w:rPr>
                    <w:t>声源源强</w:t>
                  </w:r>
                </w:p>
              </w:tc>
              <w:tc>
                <w:tcPr>
                  <w:tcW w:w="311" w:type="pct"/>
                  <w:vMerge w:val="restart"/>
                  <w:tcBorders>
                    <w:tl2br w:val="nil"/>
                    <w:tr2bl w:val="nil"/>
                  </w:tcBorders>
                  <w:noWrap w:val="0"/>
                  <w:vAlign w:val="center"/>
                </w:tcPr>
                <w:p w14:paraId="6B4D05F6">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b w:val="0"/>
                      <w:color w:val="auto"/>
                      <w:kern w:val="2"/>
                      <w:sz w:val="21"/>
                      <w:szCs w:val="21"/>
                      <w:highlight w:val="none"/>
                      <w:lang w:val="en-US" w:eastAsia="zh-CN" w:bidi="ar-SA"/>
                    </w:rPr>
                    <w:t>声源控制措施</w:t>
                  </w:r>
                </w:p>
              </w:tc>
              <w:tc>
                <w:tcPr>
                  <w:tcW w:w="838" w:type="pct"/>
                  <w:gridSpan w:val="3"/>
                  <w:tcBorders>
                    <w:tl2br w:val="nil"/>
                    <w:tr2bl w:val="nil"/>
                  </w:tcBorders>
                  <w:noWrap w:val="0"/>
                  <w:vAlign w:val="center"/>
                </w:tcPr>
                <w:p w14:paraId="28DC23B4">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b w:val="0"/>
                      <w:color w:val="auto"/>
                      <w:kern w:val="2"/>
                      <w:sz w:val="21"/>
                      <w:szCs w:val="21"/>
                      <w:highlight w:val="none"/>
                      <w:lang w:val="en-US" w:eastAsia="zh-CN" w:bidi="ar-SA"/>
                    </w:rPr>
                    <w:t>空间相对位置</w:t>
                  </w:r>
                </w:p>
              </w:tc>
              <w:tc>
                <w:tcPr>
                  <w:tcW w:w="247" w:type="pct"/>
                  <w:vMerge w:val="restart"/>
                  <w:tcBorders>
                    <w:tl2br w:val="nil"/>
                    <w:tr2bl w:val="nil"/>
                  </w:tcBorders>
                  <w:noWrap w:val="0"/>
                  <w:vAlign w:val="center"/>
                </w:tcPr>
                <w:p w14:paraId="57D83DF1">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b w:val="0"/>
                      <w:color w:val="auto"/>
                      <w:kern w:val="2"/>
                      <w:sz w:val="21"/>
                      <w:szCs w:val="21"/>
                      <w:highlight w:val="none"/>
                      <w:lang w:val="en-US" w:eastAsia="zh-CN" w:bidi="ar-SA"/>
                    </w:rPr>
                    <w:t>距室内边</w:t>
                  </w:r>
                </w:p>
                <w:p w14:paraId="35921C15">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b w:val="0"/>
                      <w:color w:val="auto"/>
                      <w:kern w:val="2"/>
                      <w:sz w:val="21"/>
                      <w:szCs w:val="21"/>
                      <w:highlight w:val="none"/>
                      <w:lang w:val="en-US" w:eastAsia="zh-CN" w:bidi="ar-SA"/>
                    </w:rPr>
                    <w:t>界距离/m</w:t>
                  </w:r>
                </w:p>
              </w:tc>
              <w:tc>
                <w:tcPr>
                  <w:tcW w:w="344" w:type="pct"/>
                  <w:vMerge w:val="restart"/>
                  <w:tcBorders>
                    <w:tl2br w:val="nil"/>
                    <w:tr2bl w:val="nil"/>
                  </w:tcBorders>
                  <w:noWrap w:val="0"/>
                  <w:vAlign w:val="center"/>
                </w:tcPr>
                <w:p w14:paraId="776A93FE">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b w:val="0"/>
                      <w:color w:val="auto"/>
                      <w:kern w:val="2"/>
                      <w:sz w:val="21"/>
                      <w:szCs w:val="21"/>
                      <w:highlight w:val="none"/>
                      <w:lang w:val="en-US" w:eastAsia="zh-CN" w:bidi="ar-SA"/>
                    </w:rPr>
                    <w:t>室内边界</w:t>
                  </w:r>
                </w:p>
                <w:p w14:paraId="62E63943">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b w:val="0"/>
                      <w:color w:val="auto"/>
                      <w:kern w:val="2"/>
                      <w:sz w:val="21"/>
                      <w:szCs w:val="21"/>
                      <w:highlight w:val="none"/>
                      <w:lang w:val="en-US" w:eastAsia="zh-CN" w:bidi="ar-SA"/>
                    </w:rPr>
                    <w:t>声级</w:t>
                  </w:r>
                </w:p>
                <w:p w14:paraId="4006037E">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b w:val="0"/>
                      <w:color w:val="auto"/>
                      <w:kern w:val="2"/>
                      <w:sz w:val="21"/>
                      <w:szCs w:val="21"/>
                      <w:highlight w:val="none"/>
                      <w:lang w:val="en-US" w:eastAsia="zh-CN" w:bidi="ar-SA"/>
                    </w:rPr>
                    <w:t>/dB(A)</w:t>
                  </w:r>
                </w:p>
              </w:tc>
              <w:tc>
                <w:tcPr>
                  <w:tcW w:w="352" w:type="pct"/>
                  <w:vMerge w:val="restart"/>
                  <w:tcBorders>
                    <w:tl2br w:val="nil"/>
                    <w:tr2bl w:val="nil"/>
                  </w:tcBorders>
                  <w:noWrap w:val="0"/>
                  <w:vAlign w:val="center"/>
                </w:tcPr>
                <w:p w14:paraId="06E132D5">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b w:val="0"/>
                      <w:color w:val="auto"/>
                      <w:kern w:val="2"/>
                      <w:sz w:val="21"/>
                      <w:szCs w:val="21"/>
                      <w:highlight w:val="none"/>
                      <w:lang w:val="en-US" w:eastAsia="zh-CN" w:bidi="ar-SA"/>
                    </w:rPr>
                    <w:t>运行时间</w:t>
                  </w:r>
                </w:p>
              </w:tc>
              <w:tc>
                <w:tcPr>
                  <w:tcW w:w="358" w:type="pct"/>
                  <w:vMerge w:val="restart"/>
                  <w:tcBorders>
                    <w:tl2br w:val="nil"/>
                    <w:tr2bl w:val="nil"/>
                  </w:tcBorders>
                  <w:noWrap w:val="0"/>
                  <w:vAlign w:val="center"/>
                </w:tcPr>
                <w:p w14:paraId="3B98E343">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b w:val="0"/>
                      <w:color w:val="auto"/>
                      <w:kern w:val="2"/>
                      <w:sz w:val="21"/>
                      <w:szCs w:val="21"/>
                      <w:highlight w:val="none"/>
                      <w:lang w:val="en-US" w:eastAsia="zh-CN" w:bidi="ar-SA"/>
                    </w:rPr>
                    <w:t>建筑物</w:t>
                  </w:r>
                </w:p>
                <w:p w14:paraId="14832BDC">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b w:val="0"/>
                      <w:color w:val="auto"/>
                      <w:kern w:val="2"/>
                      <w:sz w:val="21"/>
                      <w:szCs w:val="21"/>
                      <w:highlight w:val="none"/>
                      <w:lang w:val="en-US" w:eastAsia="zh-CN" w:bidi="ar-SA"/>
                    </w:rPr>
                    <w:t>插入损</w:t>
                  </w:r>
                </w:p>
                <w:p w14:paraId="720C91C2">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b w:val="0"/>
                      <w:color w:val="auto"/>
                      <w:kern w:val="2"/>
                      <w:sz w:val="21"/>
                      <w:szCs w:val="21"/>
                      <w:highlight w:val="none"/>
                      <w:lang w:val="en-US" w:eastAsia="zh-CN" w:bidi="ar-SA"/>
                    </w:rPr>
                    <w:t>失/</w:t>
                  </w:r>
                </w:p>
                <w:p w14:paraId="6BA01EAE">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b w:val="0"/>
                      <w:color w:val="auto"/>
                      <w:kern w:val="2"/>
                      <w:sz w:val="21"/>
                      <w:szCs w:val="21"/>
                      <w:highlight w:val="none"/>
                      <w:lang w:val="en-US" w:eastAsia="zh-CN" w:bidi="ar-SA"/>
                    </w:rPr>
                    <w:t>dB(A)</w:t>
                  </w:r>
                </w:p>
                <w:p w14:paraId="136A50AC">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b w:val="0"/>
                      <w:color w:val="auto"/>
                      <w:kern w:val="2"/>
                      <w:sz w:val="21"/>
                      <w:szCs w:val="21"/>
                      <w:highlight w:val="none"/>
                      <w:lang w:val="en-US" w:eastAsia="zh-CN" w:bidi="ar-SA"/>
                    </w:rPr>
                  </w:pPr>
                </w:p>
              </w:tc>
              <w:tc>
                <w:tcPr>
                  <w:tcW w:w="685" w:type="pct"/>
                  <w:gridSpan w:val="2"/>
                  <w:tcBorders>
                    <w:tl2br w:val="nil"/>
                    <w:tr2bl w:val="nil"/>
                  </w:tcBorders>
                  <w:noWrap w:val="0"/>
                  <w:vAlign w:val="center"/>
                </w:tcPr>
                <w:p w14:paraId="1678BB13">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b w:val="0"/>
                      <w:color w:val="auto"/>
                      <w:kern w:val="2"/>
                      <w:sz w:val="21"/>
                      <w:szCs w:val="21"/>
                      <w:highlight w:val="none"/>
                      <w:lang w:val="en-US" w:eastAsia="zh-CN" w:bidi="ar-SA"/>
                    </w:rPr>
                    <w:t>建筑物外噪声</w:t>
                  </w:r>
                </w:p>
              </w:tc>
            </w:tr>
            <w:tr w14:paraId="003011C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89" w:hRule="atLeast"/>
              </w:trPr>
              <w:tc>
                <w:tcPr>
                  <w:tcW w:w="194" w:type="pct"/>
                  <w:vMerge w:val="continue"/>
                  <w:tcBorders>
                    <w:tl2br w:val="nil"/>
                    <w:tr2bl w:val="nil"/>
                  </w:tcBorders>
                  <w:noWrap w:val="0"/>
                  <w:vAlign w:val="center"/>
                </w:tcPr>
                <w:p w14:paraId="2D133C61">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color w:val="auto"/>
                      <w:sz w:val="21"/>
                      <w:szCs w:val="21"/>
                      <w:highlight w:val="none"/>
                      <w:vertAlign w:val="baseline"/>
                      <w:lang w:val="en-US" w:eastAsia="zh-CN"/>
                    </w:rPr>
                  </w:pPr>
                </w:p>
              </w:tc>
              <w:tc>
                <w:tcPr>
                  <w:tcW w:w="194" w:type="pct"/>
                  <w:vMerge w:val="continue"/>
                  <w:tcBorders>
                    <w:tl2br w:val="nil"/>
                    <w:tr2bl w:val="nil"/>
                  </w:tcBorders>
                  <w:noWrap w:val="0"/>
                  <w:vAlign w:val="center"/>
                </w:tcPr>
                <w:p w14:paraId="2E87D07B">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color w:val="auto"/>
                      <w:sz w:val="21"/>
                      <w:szCs w:val="21"/>
                      <w:highlight w:val="none"/>
                      <w:vertAlign w:val="baseline"/>
                      <w:lang w:val="en-US" w:eastAsia="zh-CN"/>
                    </w:rPr>
                  </w:pPr>
                </w:p>
              </w:tc>
              <w:tc>
                <w:tcPr>
                  <w:tcW w:w="572" w:type="pct"/>
                  <w:vMerge w:val="continue"/>
                  <w:tcBorders>
                    <w:tl2br w:val="nil"/>
                    <w:tr2bl w:val="nil"/>
                  </w:tcBorders>
                  <w:noWrap w:val="0"/>
                  <w:vAlign w:val="center"/>
                </w:tcPr>
                <w:p w14:paraId="67FD8EA9">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color w:val="auto"/>
                      <w:sz w:val="21"/>
                      <w:szCs w:val="21"/>
                      <w:highlight w:val="none"/>
                      <w:vertAlign w:val="baseline"/>
                      <w:lang w:val="en-US" w:eastAsia="zh-CN"/>
                    </w:rPr>
                  </w:pPr>
                </w:p>
              </w:tc>
              <w:tc>
                <w:tcPr>
                  <w:tcW w:w="408" w:type="pct"/>
                  <w:vMerge w:val="continue"/>
                  <w:tcBorders>
                    <w:tl2br w:val="nil"/>
                    <w:tr2bl w:val="nil"/>
                  </w:tcBorders>
                  <w:noWrap w:val="0"/>
                  <w:vAlign w:val="center"/>
                </w:tcPr>
                <w:p w14:paraId="3EC98598">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color w:val="auto"/>
                      <w:sz w:val="21"/>
                      <w:szCs w:val="21"/>
                      <w:highlight w:val="none"/>
                      <w:vertAlign w:val="baseline"/>
                      <w:lang w:val="en-US" w:eastAsia="zh-CN"/>
                    </w:rPr>
                  </w:pPr>
                </w:p>
              </w:tc>
              <w:tc>
                <w:tcPr>
                  <w:tcW w:w="492" w:type="pct"/>
                  <w:tcBorders>
                    <w:tl2br w:val="nil"/>
                    <w:tr2bl w:val="nil"/>
                  </w:tcBorders>
                  <w:noWrap w:val="0"/>
                  <w:vAlign w:val="center"/>
                </w:tcPr>
                <w:p w14:paraId="5B716702">
                  <w:pPr>
                    <w:pStyle w:val="145"/>
                    <w:keepNext w:val="0"/>
                    <w:keepLines w:val="0"/>
                    <w:pageBreakBefore w:val="0"/>
                    <w:kinsoku/>
                    <w:wordWrap/>
                    <w:overflowPunct/>
                    <w:autoSpaceDE/>
                    <w:autoSpaceDN/>
                    <w:bidi w:val="0"/>
                    <w:spacing w:line="240" w:lineRule="auto"/>
                    <w:ind w:left="-48" w:leftChars="-20" w:right="-48" w:rightChars="-20" w:firstLine="0" w:firstLineChars="0"/>
                    <w:jc w:val="center"/>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b w:val="0"/>
                      <w:color w:val="auto"/>
                      <w:kern w:val="2"/>
                      <w:sz w:val="21"/>
                      <w:szCs w:val="21"/>
                      <w:highlight w:val="none"/>
                      <w:lang w:val="en-US" w:eastAsia="zh-CN" w:bidi="ar-SA"/>
                    </w:rPr>
                    <w:t>声功率级别/（dB（A）</w:t>
                  </w:r>
                </w:p>
              </w:tc>
              <w:tc>
                <w:tcPr>
                  <w:tcW w:w="311" w:type="pct"/>
                  <w:vMerge w:val="continue"/>
                  <w:tcBorders>
                    <w:tl2br w:val="nil"/>
                    <w:tr2bl w:val="nil"/>
                  </w:tcBorders>
                  <w:noWrap w:val="0"/>
                  <w:vAlign w:val="center"/>
                </w:tcPr>
                <w:p w14:paraId="49C43AE3">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b w:val="0"/>
                      <w:color w:val="auto"/>
                      <w:kern w:val="2"/>
                      <w:sz w:val="21"/>
                      <w:szCs w:val="21"/>
                      <w:highlight w:val="none"/>
                      <w:lang w:val="en-US" w:eastAsia="zh-CN" w:bidi="ar-SA"/>
                    </w:rPr>
                  </w:pPr>
                </w:p>
              </w:tc>
              <w:tc>
                <w:tcPr>
                  <w:tcW w:w="281" w:type="pct"/>
                  <w:tcBorders>
                    <w:tl2br w:val="nil"/>
                    <w:tr2bl w:val="nil"/>
                  </w:tcBorders>
                  <w:noWrap w:val="0"/>
                  <w:vAlign w:val="center"/>
                </w:tcPr>
                <w:p w14:paraId="18F2FD94">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b w:val="0"/>
                      <w:color w:val="auto"/>
                      <w:kern w:val="2"/>
                      <w:sz w:val="21"/>
                      <w:szCs w:val="21"/>
                      <w:highlight w:val="none"/>
                      <w:lang w:val="en-US" w:eastAsia="zh-CN" w:bidi="ar-SA"/>
                    </w:rPr>
                    <w:t>X/m</w:t>
                  </w:r>
                </w:p>
              </w:tc>
              <w:tc>
                <w:tcPr>
                  <w:tcW w:w="281" w:type="pct"/>
                  <w:tcBorders>
                    <w:tl2br w:val="nil"/>
                    <w:tr2bl w:val="nil"/>
                  </w:tcBorders>
                  <w:noWrap w:val="0"/>
                  <w:vAlign w:val="center"/>
                </w:tcPr>
                <w:p w14:paraId="59562ED0">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b w:val="0"/>
                      <w:color w:val="auto"/>
                      <w:kern w:val="2"/>
                      <w:sz w:val="21"/>
                      <w:szCs w:val="21"/>
                      <w:highlight w:val="none"/>
                      <w:lang w:val="en-US" w:eastAsia="zh-CN" w:bidi="ar-SA"/>
                    </w:rPr>
                    <w:t>Y/m</w:t>
                  </w:r>
                </w:p>
              </w:tc>
              <w:tc>
                <w:tcPr>
                  <w:tcW w:w="276" w:type="pct"/>
                  <w:tcBorders>
                    <w:tl2br w:val="nil"/>
                    <w:tr2bl w:val="nil"/>
                  </w:tcBorders>
                  <w:noWrap w:val="0"/>
                  <w:vAlign w:val="center"/>
                </w:tcPr>
                <w:p w14:paraId="589B6A59">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b w:val="0"/>
                      <w:color w:val="auto"/>
                      <w:kern w:val="2"/>
                      <w:sz w:val="21"/>
                      <w:szCs w:val="21"/>
                      <w:highlight w:val="none"/>
                      <w:lang w:val="en-US" w:eastAsia="zh-CN" w:bidi="ar-SA"/>
                    </w:rPr>
                    <w:t>Z/m</w:t>
                  </w:r>
                </w:p>
              </w:tc>
              <w:tc>
                <w:tcPr>
                  <w:tcW w:w="247" w:type="pct"/>
                  <w:vMerge w:val="continue"/>
                  <w:tcBorders>
                    <w:tl2br w:val="nil"/>
                    <w:tr2bl w:val="nil"/>
                  </w:tcBorders>
                  <w:noWrap w:val="0"/>
                  <w:vAlign w:val="center"/>
                </w:tcPr>
                <w:p w14:paraId="4BF0D183">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color w:val="auto"/>
                      <w:sz w:val="21"/>
                      <w:szCs w:val="21"/>
                      <w:highlight w:val="none"/>
                      <w:vertAlign w:val="baseline"/>
                      <w:lang w:val="en-US"/>
                    </w:rPr>
                  </w:pPr>
                </w:p>
              </w:tc>
              <w:tc>
                <w:tcPr>
                  <w:tcW w:w="344" w:type="pct"/>
                  <w:vMerge w:val="continue"/>
                  <w:tcBorders>
                    <w:tl2br w:val="nil"/>
                    <w:tr2bl w:val="nil"/>
                  </w:tcBorders>
                  <w:noWrap w:val="0"/>
                  <w:vAlign w:val="center"/>
                </w:tcPr>
                <w:p w14:paraId="557940CA">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color w:val="auto"/>
                      <w:sz w:val="21"/>
                      <w:szCs w:val="21"/>
                      <w:highlight w:val="none"/>
                      <w:vertAlign w:val="baseline"/>
                    </w:rPr>
                  </w:pPr>
                </w:p>
              </w:tc>
              <w:tc>
                <w:tcPr>
                  <w:tcW w:w="352" w:type="pct"/>
                  <w:vMerge w:val="continue"/>
                  <w:tcBorders>
                    <w:tl2br w:val="nil"/>
                    <w:tr2bl w:val="nil"/>
                  </w:tcBorders>
                  <w:noWrap w:val="0"/>
                  <w:vAlign w:val="center"/>
                </w:tcPr>
                <w:p w14:paraId="2ECC8089">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color w:val="auto"/>
                      <w:sz w:val="21"/>
                      <w:szCs w:val="21"/>
                      <w:highlight w:val="none"/>
                      <w:vertAlign w:val="baseline"/>
                    </w:rPr>
                  </w:pPr>
                </w:p>
              </w:tc>
              <w:tc>
                <w:tcPr>
                  <w:tcW w:w="358" w:type="pct"/>
                  <w:vMerge w:val="continue"/>
                  <w:tcBorders>
                    <w:tl2br w:val="nil"/>
                    <w:tr2bl w:val="nil"/>
                  </w:tcBorders>
                  <w:noWrap w:val="0"/>
                  <w:vAlign w:val="center"/>
                </w:tcPr>
                <w:p w14:paraId="0174AEBE">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color w:val="auto"/>
                      <w:sz w:val="21"/>
                      <w:szCs w:val="21"/>
                      <w:highlight w:val="none"/>
                      <w:vertAlign w:val="baseline"/>
                    </w:rPr>
                  </w:pPr>
                </w:p>
              </w:tc>
              <w:tc>
                <w:tcPr>
                  <w:tcW w:w="390" w:type="pct"/>
                  <w:tcBorders>
                    <w:tl2br w:val="nil"/>
                    <w:tr2bl w:val="nil"/>
                  </w:tcBorders>
                  <w:noWrap w:val="0"/>
                  <w:vAlign w:val="center"/>
                </w:tcPr>
                <w:p w14:paraId="437F4E5F">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b w:val="0"/>
                      <w:color w:val="auto"/>
                      <w:kern w:val="2"/>
                      <w:sz w:val="21"/>
                      <w:szCs w:val="21"/>
                      <w:highlight w:val="none"/>
                      <w:lang w:val="en-US" w:eastAsia="zh-CN" w:bidi="ar-SA"/>
                    </w:rPr>
                    <w:t>声压级</w:t>
                  </w:r>
                </w:p>
                <w:p w14:paraId="01386971">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b w:val="0"/>
                      <w:color w:val="auto"/>
                      <w:kern w:val="2"/>
                      <w:sz w:val="21"/>
                      <w:szCs w:val="21"/>
                      <w:highlight w:val="none"/>
                      <w:lang w:val="en-US" w:eastAsia="zh-CN" w:bidi="ar-SA"/>
                    </w:rPr>
                    <w:t>/dB(A)</w:t>
                  </w:r>
                </w:p>
              </w:tc>
              <w:tc>
                <w:tcPr>
                  <w:tcW w:w="294" w:type="pct"/>
                  <w:tcBorders>
                    <w:tl2br w:val="nil"/>
                    <w:tr2bl w:val="nil"/>
                  </w:tcBorders>
                  <w:noWrap w:val="0"/>
                  <w:vAlign w:val="center"/>
                </w:tcPr>
                <w:p w14:paraId="30759EE2">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b w:val="0"/>
                      <w:color w:val="auto"/>
                      <w:kern w:val="2"/>
                      <w:sz w:val="21"/>
                      <w:szCs w:val="21"/>
                      <w:highlight w:val="none"/>
                      <w:lang w:val="en-US" w:eastAsia="zh-CN" w:bidi="ar-SA"/>
                    </w:rPr>
                    <w:t xml:space="preserve">建筑物外距离/m </w:t>
                  </w:r>
                </w:p>
              </w:tc>
            </w:tr>
            <w:tr w14:paraId="5BB4F854">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4" w:type="pct"/>
                  <w:tcBorders>
                    <w:tl2br w:val="nil"/>
                    <w:tr2bl w:val="nil"/>
                  </w:tcBorders>
                  <w:noWrap w:val="0"/>
                  <w:vAlign w:val="center"/>
                </w:tcPr>
                <w:p w14:paraId="58E71146">
                  <w:pPr>
                    <w:keepNext w:val="0"/>
                    <w:keepLines w:val="0"/>
                    <w:pageBreakBefore w:val="0"/>
                    <w:widowControl/>
                    <w:kinsoku/>
                    <w:wordWrap/>
                    <w:overflowPunct/>
                    <w:autoSpaceDE/>
                    <w:autoSpaceDN/>
                    <w:bidi w:val="0"/>
                    <w:spacing w:line="240" w:lineRule="auto"/>
                    <w:ind w:left="-48" w:leftChars="-20" w:right="-48" w:rightChars="-2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w:t>
                  </w:r>
                </w:p>
              </w:tc>
              <w:tc>
                <w:tcPr>
                  <w:tcW w:w="194" w:type="pct"/>
                  <w:vMerge w:val="restart"/>
                  <w:tcBorders>
                    <w:tl2br w:val="nil"/>
                    <w:tr2bl w:val="nil"/>
                  </w:tcBorders>
                  <w:noWrap w:val="0"/>
                  <w:vAlign w:val="center"/>
                </w:tcPr>
                <w:p w14:paraId="1E8D9A45">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b w:val="0"/>
                      <w:color w:val="auto"/>
                      <w:kern w:val="2"/>
                      <w:sz w:val="21"/>
                      <w:szCs w:val="21"/>
                      <w:highlight w:val="none"/>
                      <w:lang w:val="en-US" w:eastAsia="zh-CN" w:bidi="ar-SA"/>
                    </w:rPr>
                  </w:pPr>
                  <w:r>
                    <w:rPr>
                      <w:rFonts w:hint="eastAsia" w:cs="Times New Roman"/>
                      <w:b w:val="0"/>
                      <w:color w:val="auto"/>
                      <w:kern w:val="2"/>
                      <w:sz w:val="21"/>
                      <w:szCs w:val="21"/>
                      <w:highlight w:val="none"/>
                      <w:lang w:val="en-US" w:eastAsia="zh-CN" w:bidi="ar-SA"/>
                    </w:rPr>
                    <w:t>实验室</w:t>
                  </w:r>
                </w:p>
              </w:tc>
              <w:tc>
                <w:tcPr>
                  <w:tcW w:w="572" w:type="pct"/>
                  <w:tcBorders>
                    <w:tl2br w:val="nil"/>
                    <w:tr2bl w:val="nil"/>
                  </w:tcBorders>
                  <w:noWrap w:val="0"/>
                  <w:vAlign w:val="center"/>
                </w:tcPr>
                <w:p w14:paraId="3598CA01">
                  <w:pPr>
                    <w:keepNext w:val="0"/>
                    <w:keepLines w:val="0"/>
                    <w:pageBreakBefore w:val="0"/>
                    <w:widowControl/>
                    <w:suppressLineNumbers w:val="0"/>
                    <w:kinsoku/>
                    <w:wordWrap/>
                    <w:overflowPunct/>
                    <w:topLinePunct/>
                    <w:autoSpaceDE/>
                    <w:autoSpaceDN/>
                    <w:bidi w:val="0"/>
                    <w:adjustRightInd w:val="0"/>
                    <w:snapToGrid w:val="0"/>
                    <w:spacing w:line="240" w:lineRule="auto"/>
                    <w:ind w:left="0" w:lef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通风橱</w:t>
                  </w:r>
                </w:p>
              </w:tc>
              <w:tc>
                <w:tcPr>
                  <w:tcW w:w="408" w:type="pct"/>
                  <w:tcBorders>
                    <w:tl2br w:val="nil"/>
                    <w:tr2bl w:val="nil"/>
                  </w:tcBorders>
                  <w:noWrap w:val="0"/>
                  <w:vAlign w:val="center"/>
                </w:tcPr>
                <w:p w14:paraId="6CA010A3">
                  <w:pPr>
                    <w:keepNext w:val="0"/>
                    <w:keepLines w:val="0"/>
                    <w:pageBreakBefore w:val="0"/>
                    <w:widowControl/>
                    <w:kinsoku/>
                    <w:wordWrap/>
                    <w:overflowPunct/>
                    <w:topLinePunct/>
                    <w:autoSpaceDE/>
                    <w:autoSpaceDN/>
                    <w:bidi w:val="0"/>
                    <w:spacing w:line="240" w:lineRule="auto"/>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bidi="ar-SA"/>
                    </w:rPr>
                    <w:t>/</w:t>
                  </w:r>
                </w:p>
              </w:tc>
              <w:tc>
                <w:tcPr>
                  <w:tcW w:w="492" w:type="pct"/>
                  <w:tcBorders>
                    <w:tl2br w:val="nil"/>
                    <w:tr2bl w:val="nil"/>
                  </w:tcBorders>
                  <w:noWrap w:val="0"/>
                  <w:vAlign w:val="center"/>
                </w:tcPr>
                <w:p w14:paraId="2C9DC4BC">
                  <w:pPr>
                    <w:pStyle w:val="118"/>
                    <w:keepNext w:val="0"/>
                    <w:keepLines w:val="0"/>
                    <w:pageBreakBefore w:val="0"/>
                    <w:kinsoku/>
                    <w:wordWrap/>
                    <w:overflowPunct/>
                    <w:autoSpaceDE/>
                    <w:autoSpaceDN/>
                    <w:bidi w:val="0"/>
                    <w:spacing w:line="240" w:lineRule="auto"/>
                    <w:ind w:left="152" w:leftChars="-20" w:right="-48" w:rightChars="-20"/>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65</w:t>
                  </w:r>
                </w:p>
              </w:tc>
              <w:tc>
                <w:tcPr>
                  <w:tcW w:w="311" w:type="pct"/>
                  <w:vMerge w:val="restart"/>
                  <w:tcBorders>
                    <w:tl2br w:val="nil"/>
                    <w:tr2bl w:val="nil"/>
                  </w:tcBorders>
                  <w:noWrap w:val="0"/>
                  <w:vAlign w:val="center"/>
                </w:tcPr>
                <w:p w14:paraId="5C228155">
                  <w:pPr>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安装减振基座、</w:t>
                  </w:r>
                  <w:r>
                    <w:rPr>
                      <w:rFonts w:hint="eastAsia" w:eastAsia="宋体" w:cs="Times New Roman"/>
                      <w:color w:val="auto"/>
                      <w:sz w:val="21"/>
                      <w:szCs w:val="21"/>
                      <w:highlight w:val="none"/>
                      <w:lang w:val="en-US" w:eastAsia="zh-CN"/>
                    </w:rPr>
                    <w:t>墙体</w:t>
                  </w:r>
                  <w:r>
                    <w:rPr>
                      <w:rFonts w:hint="default" w:ascii="Times New Roman" w:hAnsi="Times New Roman" w:eastAsia="宋体" w:cs="Times New Roman"/>
                      <w:color w:val="auto"/>
                      <w:sz w:val="21"/>
                      <w:szCs w:val="21"/>
                      <w:highlight w:val="none"/>
                    </w:rPr>
                    <w:t>隔声等措施</w:t>
                  </w:r>
                </w:p>
              </w:tc>
              <w:tc>
                <w:tcPr>
                  <w:tcW w:w="512" w:type="dxa"/>
                  <w:tcBorders>
                    <w:tl2br w:val="nil"/>
                    <w:tr2bl w:val="nil"/>
                  </w:tcBorders>
                  <w:noWrap w:val="0"/>
                  <w:vAlign w:val="center"/>
                </w:tcPr>
                <w:p w14:paraId="1124D4CE">
                  <w:pPr>
                    <w:spacing w:line="240" w:lineRule="auto"/>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0</w:t>
                  </w:r>
                </w:p>
              </w:tc>
              <w:tc>
                <w:tcPr>
                  <w:tcW w:w="512" w:type="dxa"/>
                  <w:tcBorders>
                    <w:tl2br w:val="nil"/>
                    <w:tr2bl w:val="nil"/>
                  </w:tcBorders>
                  <w:noWrap w:val="0"/>
                  <w:vAlign w:val="center"/>
                </w:tcPr>
                <w:p w14:paraId="4A652589">
                  <w:pPr>
                    <w:spacing w:line="240" w:lineRule="auto"/>
                    <w:jc w:val="center"/>
                    <w:rPr>
                      <w:rFonts w:hint="default" w:ascii="Times New Roman" w:hAnsi="Times New Roman" w:eastAsia="宋体" w:cs="Times New Roman"/>
                      <w:color w:val="0000FF"/>
                      <w:sz w:val="21"/>
                      <w:szCs w:val="21"/>
                      <w:highlight w:val="none"/>
                      <w:vertAlign w:val="baseline"/>
                      <w:lang w:val="en-US"/>
                    </w:rPr>
                  </w:pPr>
                  <w:r>
                    <w:rPr>
                      <w:rFonts w:hint="eastAsia" w:cs="Times New Roman"/>
                      <w:color w:val="auto"/>
                      <w:sz w:val="21"/>
                      <w:szCs w:val="21"/>
                      <w:highlight w:val="none"/>
                      <w:vertAlign w:val="baseline"/>
                      <w:lang w:val="en-US" w:eastAsia="zh-CN"/>
                    </w:rPr>
                    <w:t>5</w:t>
                  </w:r>
                </w:p>
              </w:tc>
              <w:tc>
                <w:tcPr>
                  <w:tcW w:w="503" w:type="dxa"/>
                  <w:tcBorders>
                    <w:tl2br w:val="nil"/>
                    <w:tr2bl w:val="nil"/>
                  </w:tcBorders>
                  <w:noWrap w:val="0"/>
                  <w:vAlign w:val="center"/>
                </w:tcPr>
                <w:p w14:paraId="0B99E596">
                  <w:pPr>
                    <w:spacing w:line="240" w:lineRule="auto"/>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0</w:t>
                  </w:r>
                </w:p>
              </w:tc>
              <w:tc>
                <w:tcPr>
                  <w:tcW w:w="247" w:type="pct"/>
                  <w:tcBorders>
                    <w:tl2br w:val="nil"/>
                    <w:tr2bl w:val="nil"/>
                  </w:tcBorders>
                  <w:noWrap w:val="0"/>
                  <w:vAlign w:val="center"/>
                </w:tcPr>
                <w:p w14:paraId="3D3B2929">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b w:val="0"/>
                      <w:color w:val="auto"/>
                      <w:kern w:val="2"/>
                      <w:sz w:val="21"/>
                      <w:szCs w:val="21"/>
                      <w:highlight w:val="none"/>
                      <w:lang w:val="en-US" w:eastAsia="zh-CN" w:bidi="ar-SA"/>
                    </w:rPr>
                  </w:pPr>
                  <w:r>
                    <w:rPr>
                      <w:rFonts w:hint="eastAsia" w:eastAsia="宋体" w:cs="Times New Roman"/>
                      <w:b w:val="0"/>
                      <w:color w:val="auto"/>
                      <w:kern w:val="2"/>
                      <w:sz w:val="21"/>
                      <w:szCs w:val="21"/>
                      <w:highlight w:val="none"/>
                      <w:lang w:val="en-US" w:eastAsia="zh-CN" w:bidi="ar-SA"/>
                    </w:rPr>
                    <w:t>0</w:t>
                  </w:r>
                </w:p>
              </w:tc>
              <w:tc>
                <w:tcPr>
                  <w:tcW w:w="344" w:type="pct"/>
                  <w:tcBorders>
                    <w:tl2br w:val="nil"/>
                    <w:tr2bl w:val="nil"/>
                  </w:tcBorders>
                  <w:noWrap w:val="0"/>
                  <w:vAlign w:val="center"/>
                </w:tcPr>
                <w:p w14:paraId="34835415">
                  <w:pPr>
                    <w:pStyle w:val="145"/>
                    <w:keepNext w:val="0"/>
                    <w:keepLines w:val="0"/>
                    <w:pageBreakBefore w:val="0"/>
                    <w:kinsoku/>
                    <w:wordWrap/>
                    <w:overflowPunct/>
                    <w:autoSpaceDE/>
                    <w:autoSpaceDN/>
                    <w:bidi w:val="0"/>
                    <w:spacing w:line="240" w:lineRule="auto"/>
                    <w:ind w:left="-48" w:leftChars="-20" w:right="-48" w:rightChars="-20" w:firstLine="0" w:firstLineChars="0"/>
                    <w:jc w:val="center"/>
                    <w:rPr>
                      <w:rFonts w:hint="default" w:ascii="Times New Roman" w:hAnsi="Times New Roman" w:eastAsia="宋体" w:cs="Times New Roman"/>
                      <w:b w:val="0"/>
                      <w:color w:val="auto"/>
                      <w:kern w:val="2"/>
                      <w:sz w:val="21"/>
                      <w:szCs w:val="21"/>
                      <w:highlight w:val="none"/>
                      <w:lang w:val="en-US" w:eastAsia="zh-CN" w:bidi="ar-SA"/>
                    </w:rPr>
                  </w:pPr>
                  <w:r>
                    <w:rPr>
                      <w:rFonts w:hint="eastAsia" w:eastAsia="宋体" w:cs="Times New Roman"/>
                      <w:b w:val="0"/>
                      <w:color w:val="auto"/>
                      <w:kern w:val="2"/>
                      <w:sz w:val="21"/>
                      <w:szCs w:val="21"/>
                      <w:highlight w:val="none"/>
                      <w:lang w:val="en-US" w:eastAsia="zh-CN" w:bidi="ar-SA"/>
                    </w:rPr>
                    <w:t>65</w:t>
                  </w:r>
                </w:p>
              </w:tc>
              <w:tc>
                <w:tcPr>
                  <w:tcW w:w="352" w:type="pct"/>
                  <w:tcBorders>
                    <w:tl2br w:val="nil"/>
                    <w:tr2bl w:val="nil"/>
                  </w:tcBorders>
                  <w:noWrap w:val="0"/>
                  <w:vAlign w:val="center"/>
                </w:tcPr>
                <w:p w14:paraId="11F71F8C">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b w:val="0"/>
                      <w:color w:val="auto"/>
                      <w:kern w:val="2"/>
                      <w:sz w:val="21"/>
                      <w:szCs w:val="21"/>
                      <w:highlight w:val="none"/>
                      <w:lang w:val="en-US" w:eastAsia="zh-CN" w:bidi="ar-SA"/>
                    </w:rPr>
                  </w:pPr>
                  <w:r>
                    <w:rPr>
                      <w:rFonts w:hint="eastAsia" w:eastAsia="宋体" w:cs="Times New Roman"/>
                      <w:b w:val="0"/>
                      <w:color w:val="auto"/>
                      <w:kern w:val="2"/>
                      <w:sz w:val="21"/>
                      <w:szCs w:val="21"/>
                      <w:highlight w:val="none"/>
                      <w:lang w:val="en-US" w:eastAsia="zh-CN" w:bidi="ar-SA"/>
                    </w:rPr>
                    <w:t>250</w:t>
                  </w:r>
                  <w:r>
                    <w:rPr>
                      <w:rFonts w:hint="default" w:ascii="Times New Roman" w:hAnsi="Times New Roman" w:eastAsia="宋体" w:cs="Times New Roman"/>
                      <w:b w:val="0"/>
                      <w:color w:val="auto"/>
                      <w:kern w:val="2"/>
                      <w:sz w:val="21"/>
                      <w:szCs w:val="21"/>
                      <w:highlight w:val="none"/>
                      <w:lang w:val="en-US" w:eastAsia="zh-CN" w:bidi="ar-SA"/>
                    </w:rPr>
                    <w:t>h</w:t>
                  </w:r>
                </w:p>
              </w:tc>
              <w:tc>
                <w:tcPr>
                  <w:tcW w:w="358" w:type="pct"/>
                  <w:tcBorders>
                    <w:tl2br w:val="nil"/>
                    <w:tr2bl w:val="nil"/>
                  </w:tcBorders>
                  <w:noWrap w:val="0"/>
                  <w:vAlign w:val="center"/>
                </w:tcPr>
                <w:p w14:paraId="66CE443D">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b w:val="0"/>
                      <w:color w:val="auto"/>
                      <w:kern w:val="2"/>
                      <w:sz w:val="21"/>
                      <w:szCs w:val="21"/>
                      <w:highlight w:val="none"/>
                      <w:lang w:val="en-US" w:eastAsia="zh-CN" w:bidi="ar-SA"/>
                    </w:rPr>
                    <w:t>12</w:t>
                  </w:r>
                </w:p>
              </w:tc>
              <w:tc>
                <w:tcPr>
                  <w:tcW w:w="390" w:type="pct"/>
                  <w:tcBorders>
                    <w:tl2br w:val="nil"/>
                    <w:tr2bl w:val="nil"/>
                  </w:tcBorders>
                  <w:noWrap w:val="0"/>
                  <w:vAlign w:val="center"/>
                </w:tcPr>
                <w:p w14:paraId="1595D185">
                  <w:pPr>
                    <w:pStyle w:val="118"/>
                    <w:keepNext w:val="0"/>
                    <w:keepLines w:val="0"/>
                    <w:pageBreakBefore w:val="0"/>
                    <w:kinsoku/>
                    <w:wordWrap/>
                    <w:overflowPunct/>
                    <w:autoSpaceDE/>
                    <w:autoSpaceDN/>
                    <w:bidi w:val="0"/>
                    <w:spacing w:line="240" w:lineRule="auto"/>
                    <w:ind w:left="152" w:leftChars="-20" w:right="-48" w:rightChars="-20"/>
                    <w:rPr>
                      <w:rFonts w:hint="default" w:ascii="Times New Roman" w:hAnsi="Times New Roman" w:eastAsia="宋体" w:cs="Times New Roman"/>
                      <w:b w:val="0"/>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53</w:t>
                  </w:r>
                </w:p>
              </w:tc>
              <w:tc>
                <w:tcPr>
                  <w:tcW w:w="294" w:type="pct"/>
                  <w:tcBorders>
                    <w:tl2br w:val="nil"/>
                    <w:tr2bl w:val="nil"/>
                  </w:tcBorders>
                  <w:noWrap w:val="0"/>
                  <w:vAlign w:val="center"/>
                </w:tcPr>
                <w:p w14:paraId="364ED9B1">
                  <w:pPr>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w:t>
                  </w:r>
                </w:p>
              </w:tc>
            </w:tr>
            <w:tr w14:paraId="370E3E20">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94" w:type="pct"/>
                  <w:tcBorders>
                    <w:tl2br w:val="nil"/>
                    <w:tr2bl w:val="nil"/>
                  </w:tcBorders>
                  <w:noWrap w:val="0"/>
                  <w:vAlign w:val="center"/>
                </w:tcPr>
                <w:p w14:paraId="1AAADF5C">
                  <w:pPr>
                    <w:keepNext w:val="0"/>
                    <w:keepLines w:val="0"/>
                    <w:pageBreakBefore w:val="0"/>
                    <w:widowControl/>
                    <w:kinsoku/>
                    <w:wordWrap/>
                    <w:overflowPunct/>
                    <w:autoSpaceDE/>
                    <w:autoSpaceDN/>
                    <w:bidi w:val="0"/>
                    <w:spacing w:line="240" w:lineRule="auto"/>
                    <w:ind w:left="-48" w:leftChars="-20" w:right="-48" w:rightChars="-20"/>
                    <w:jc w:val="center"/>
                    <w:textAlignment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2</w:t>
                  </w:r>
                </w:p>
              </w:tc>
              <w:tc>
                <w:tcPr>
                  <w:tcW w:w="194" w:type="pct"/>
                  <w:vMerge w:val="continue"/>
                  <w:tcBorders>
                    <w:tl2br w:val="nil"/>
                    <w:tr2bl w:val="nil"/>
                  </w:tcBorders>
                  <w:noWrap w:val="0"/>
                  <w:vAlign w:val="center"/>
                </w:tcPr>
                <w:p w14:paraId="5FCFF84C">
                  <w:pPr>
                    <w:pStyle w:val="145"/>
                    <w:keepNext w:val="0"/>
                    <w:keepLines w:val="0"/>
                    <w:pageBreakBefore w:val="0"/>
                    <w:kinsoku/>
                    <w:wordWrap/>
                    <w:overflowPunct/>
                    <w:autoSpaceDE/>
                    <w:autoSpaceDN/>
                    <w:bidi w:val="0"/>
                    <w:spacing w:line="240" w:lineRule="auto"/>
                    <w:ind w:left="-48" w:leftChars="-20" w:right="-48" w:rightChars="-20"/>
                    <w:jc w:val="center"/>
                    <w:rPr>
                      <w:rFonts w:hint="eastAsia" w:cs="Times New Roman"/>
                      <w:b w:val="0"/>
                      <w:color w:val="auto"/>
                      <w:kern w:val="2"/>
                      <w:sz w:val="21"/>
                      <w:szCs w:val="21"/>
                      <w:highlight w:val="none"/>
                      <w:lang w:val="en-US" w:eastAsia="zh-CN" w:bidi="ar-SA"/>
                    </w:rPr>
                  </w:pPr>
                </w:p>
              </w:tc>
              <w:tc>
                <w:tcPr>
                  <w:tcW w:w="572" w:type="pct"/>
                  <w:tcBorders>
                    <w:tl2br w:val="nil"/>
                    <w:tr2bl w:val="nil"/>
                  </w:tcBorders>
                  <w:noWrap w:val="0"/>
                  <w:vAlign w:val="center"/>
                </w:tcPr>
                <w:p w14:paraId="6C49F0B7">
                  <w:pPr>
                    <w:keepNext w:val="0"/>
                    <w:keepLines w:val="0"/>
                    <w:pageBreakBefore w:val="0"/>
                    <w:widowControl/>
                    <w:suppressLineNumbers w:val="0"/>
                    <w:kinsoku/>
                    <w:wordWrap/>
                    <w:overflowPunct/>
                    <w:topLinePunct/>
                    <w:autoSpaceDE/>
                    <w:autoSpaceDN/>
                    <w:bidi w:val="0"/>
                    <w:adjustRightInd w:val="0"/>
                    <w:snapToGrid w:val="0"/>
                    <w:spacing w:line="240" w:lineRule="auto"/>
                    <w:ind w:left="0" w:lef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通风橱</w:t>
                  </w:r>
                </w:p>
              </w:tc>
              <w:tc>
                <w:tcPr>
                  <w:tcW w:w="408" w:type="pct"/>
                  <w:tcBorders>
                    <w:tl2br w:val="nil"/>
                    <w:tr2bl w:val="nil"/>
                  </w:tcBorders>
                  <w:noWrap w:val="0"/>
                  <w:vAlign w:val="center"/>
                </w:tcPr>
                <w:p w14:paraId="7FBD90FE">
                  <w:pPr>
                    <w:keepNext w:val="0"/>
                    <w:keepLines w:val="0"/>
                    <w:pageBreakBefore w:val="0"/>
                    <w:widowControl/>
                    <w:kinsoku/>
                    <w:wordWrap/>
                    <w:overflowPunct/>
                    <w:topLinePunct/>
                    <w:autoSpaceDE/>
                    <w:autoSpaceDN/>
                    <w:bidi w:val="0"/>
                    <w:spacing w:line="240" w:lineRule="auto"/>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w:t>
                  </w:r>
                </w:p>
              </w:tc>
              <w:tc>
                <w:tcPr>
                  <w:tcW w:w="492" w:type="pct"/>
                  <w:tcBorders>
                    <w:tl2br w:val="nil"/>
                    <w:tr2bl w:val="nil"/>
                  </w:tcBorders>
                  <w:noWrap w:val="0"/>
                  <w:vAlign w:val="center"/>
                </w:tcPr>
                <w:p w14:paraId="33C3973E">
                  <w:pPr>
                    <w:pStyle w:val="118"/>
                    <w:keepNext w:val="0"/>
                    <w:keepLines w:val="0"/>
                    <w:pageBreakBefore w:val="0"/>
                    <w:kinsoku/>
                    <w:wordWrap/>
                    <w:overflowPunct/>
                    <w:autoSpaceDE/>
                    <w:autoSpaceDN/>
                    <w:bidi w:val="0"/>
                    <w:spacing w:line="240" w:lineRule="auto"/>
                    <w:ind w:left="152" w:leftChars="-20" w:right="-48" w:rightChars="-20" w:hanging="200" w:firstLineChars="0"/>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65</w:t>
                  </w:r>
                </w:p>
              </w:tc>
              <w:tc>
                <w:tcPr>
                  <w:tcW w:w="311" w:type="pct"/>
                  <w:vMerge w:val="continue"/>
                  <w:tcBorders>
                    <w:tl2br w:val="nil"/>
                    <w:tr2bl w:val="nil"/>
                  </w:tcBorders>
                  <w:noWrap w:val="0"/>
                  <w:vAlign w:val="center"/>
                </w:tcPr>
                <w:p w14:paraId="40506C5C">
                  <w:pPr>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color w:val="auto"/>
                      <w:sz w:val="21"/>
                      <w:szCs w:val="21"/>
                      <w:highlight w:val="none"/>
                    </w:rPr>
                  </w:pPr>
                </w:p>
              </w:tc>
              <w:tc>
                <w:tcPr>
                  <w:tcW w:w="512" w:type="dxa"/>
                  <w:tcBorders>
                    <w:tl2br w:val="nil"/>
                    <w:tr2bl w:val="nil"/>
                  </w:tcBorders>
                  <w:noWrap w:val="0"/>
                  <w:vAlign w:val="center"/>
                </w:tcPr>
                <w:p w14:paraId="6E83D14C">
                  <w:pPr>
                    <w:spacing w:line="240" w:lineRule="auto"/>
                    <w:jc w:val="center"/>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vertAlign w:val="baseline"/>
                      <w:lang w:val="en-US" w:eastAsia="zh-CN"/>
                    </w:rPr>
                    <w:t>2</w:t>
                  </w:r>
                </w:p>
              </w:tc>
              <w:tc>
                <w:tcPr>
                  <w:tcW w:w="512" w:type="dxa"/>
                  <w:tcBorders>
                    <w:tl2br w:val="nil"/>
                    <w:tr2bl w:val="nil"/>
                  </w:tcBorders>
                  <w:noWrap w:val="0"/>
                  <w:vAlign w:val="center"/>
                </w:tcPr>
                <w:p w14:paraId="731A6CB6">
                  <w:pPr>
                    <w:spacing w:line="240" w:lineRule="auto"/>
                    <w:jc w:val="center"/>
                    <w:rPr>
                      <w:rFonts w:hint="eastAsia" w:ascii="Times New Roman" w:hAnsi="Times New Roman" w:eastAsia="宋体" w:cs="Times New Roman"/>
                      <w:color w:val="0000FF"/>
                      <w:sz w:val="21"/>
                      <w:szCs w:val="21"/>
                      <w:highlight w:val="none"/>
                      <w:lang w:val="en-US" w:eastAsia="zh-CN"/>
                    </w:rPr>
                  </w:pPr>
                  <w:r>
                    <w:rPr>
                      <w:rFonts w:hint="eastAsia" w:cs="Times New Roman"/>
                      <w:color w:val="auto"/>
                      <w:sz w:val="21"/>
                      <w:szCs w:val="21"/>
                      <w:highlight w:val="none"/>
                      <w:vertAlign w:val="baseline"/>
                      <w:lang w:val="en-US" w:eastAsia="zh-CN"/>
                    </w:rPr>
                    <w:t>5</w:t>
                  </w:r>
                </w:p>
              </w:tc>
              <w:tc>
                <w:tcPr>
                  <w:tcW w:w="503" w:type="dxa"/>
                  <w:tcBorders>
                    <w:tl2br w:val="nil"/>
                    <w:tr2bl w:val="nil"/>
                  </w:tcBorders>
                  <w:noWrap w:val="0"/>
                  <w:vAlign w:val="center"/>
                </w:tcPr>
                <w:p w14:paraId="1075EBE5">
                  <w:pPr>
                    <w:spacing w:line="240" w:lineRule="auto"/>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0</w:t>
                  </w:r>
                </w:p>
              </w:tc>
              <w:tc>
                <w:tcPr>
                  <w:tcW w:w="247" w:type="pct"/>
                  <w:tcBorders>
                    <w:tl2br w:val="nil"/>
                    <w:tr2bl w:val="nil"/>
                  </w:tcBorders>
                  <w:noWrap w:val="0"/>
                  <w:vAlign w:val="center"/>
                </w:tcPr>
                <w:p w14:paraId="5947DFB2">
                  <w:pPr>
                    <w:pStyle w:val="145"/>
                    <w:keepNext w:val="0"/>
                    <w:keepLines w:val="0"/>
                    <w:pageBreakBefore w:val="0"/>
                    <w:kinsoku/>
                    <w:wordWrap/>
                    <w:overflowPunct/>
                    <w:autoSpaceDE/>
                    <w:autoSpaceDN/>
                    <w:bidi w:val="0"/>
                    <w:spacing w:line="240" w:lineRule="auto"/>
                    <w:ind w:left="-48" w:leftChars="-20" w:right="-48" w:rightChars="-20"/>
                    <w:jc w:val="center"/>
                    <w:rPr>
                      <w:rFonts w:hint="eastAsia" w:ascii="Times New Roman" w:hAnsi="Times New Roman" w:eastAsia="宋体" w:cs="Times New Roman"/>
                      <w:b w:val="0"/>
                      <w:color w:val="auto"/>
                      <w:kern w:val="2"/>
                      <w:sz w:val="21"/>
                      <w:szCs w:val="21"/>
                      <w:highlight w:val="none"/>
                      <w:lang w:val="en-US" w:eastAsia="zh-CN" w:bidi="ar-SA"/>
                    </w:rPr>
                  </w:pPr>
                  <w:r>
                    <w:rPr>
                      <w:rFonts w:hint="eastAsia" w:eastAsia="宋体" w:cs="Times New Roman"/>
                      <w:b w:val="0"/>
                      <w:color w:val="auto"/>
                      <w:kern w:val="2"/>
                      <w:sz w:val="21"/>
                      <w:szCs w:val="21"/>
                      <w:highlight w:val="none"/>
                      <w:lang w:val="en-US" w:eastAsia="zh-CN" w:bidi="ar-SA"/>
                    </w:rPr>
                    <w:t>0</w:t>
                  </w:r>
                </w:p>
              </w:tc>
              <w:tc>
                <w:tcPr>
                  <w:tcW w:w="344" w:type="pct"/>
                  <w:tcBorders>
                    <w:tl2br w:val="nil"/>
                    <w:tr2bl w:val="nil"/>
                  </w:tcBorders>
                  <w:noWrap w:val="0"/>
                  <w:vAlign w:val="center"/>
                </w:tcPr>
                <w:p w14:paraId="61CE2E02">
                  <w:pPr>
                    <w:pStyle w:val="145"/>
                    <w:keepNext w:val="0"/>
                    <w:keepLines w:val="0"/>
                    <w:pageBreakBefore w:val="0"/>
                    <w:kinsoku/>
                    <w:wordWrap/>
                    <w:overflowPunct/>
                    <w:autoSpaceDE/>
                    <w:autoSpaceDN/>
                    <w:bidi w:val="0"/>
                    <w:spacing w:line="240" w:lineRule="auto"/>
                    <w:ind w:left="-48" w:leftChars="-20" w:right="-48" w:rightChars="-20" w:firstLine="0" w:firstLineChars="0"/>
                    <w:jc w:val="center"/>
                    <w:rPr>
                      <w:rFonts w:hint="default" w:ascii="Times New Roman" w:hAnsi="Times New Roman" w:eastAsia="宋体" w:cs="Times New Roman"/>
                      <w:b w:val="0"/>
                      <w:color w:val="auto"/>
                      <w:kern w:val="2"/>
                      <w:sz w:val="21"/>
                      <w:szCs w:val="21"/>
                      <w:highlight w:val="none"/>
                      <w:lang w:val="en-US" w:eastAsia="zh-CN" w:bidi="ar-SA"/>
                    </w:rPr>
                  </w:pPr>
                  <w:r>
                    <w:rPr>
                      <w:rFonts w:hint="eastAsia" w:cs="Times New Roman"/>
                      <w:b w:val="0"/>
                      <w:color w:val="auto"/>
                      <w:kern w:val="2"/>
                      <w:sz w:val="21"/>
                      <w:szCs w:val="21"/>
                      <w:highlight w:val="none"/>
                      <w:lang w:val="en-US" w:eastAsia="zh-CN" w:bidi="ar-SA"/>
                    </w:rPr>
                    <w:t>65</w:t>
                  </w:r>
                </w:p>
              </w:tc>
              <w:tc>
                <w:tcPr>
                  <w:tcW w:w="352" w:type="pct"/>
                  <w:tcBorders>
                    <w:tl2br w:val="nil"/>
                    <w:tr2bl w:val="nil"/>
                  </w:tcBorders>
                  <w:noWrap w:val="0"/>
                  <w:vAlign w:val="center"/>
                </w:tcPr>
                <w:p w14:paraId="08D76846">
                  <w:pPr>
                    <w:pStyle w:val="145"/>
                    <w:keepNext w:val="0"/>
                    <w:keepLines w:val="0"/>
                    <w:pageBreakBefore w:val="0"/>
                    <w:kinsoku/>
                    <w:wordWrap/>
                    <w:overflowPunct/>
                    <w:autoSpaceDE/>
                    <w:autoSpaceDN/>
                    <w:bidi w:val="0"/>
                    <w:spacing w:line="240" w:lineRule="auto"/>
                    <w:ind w:left="-48" w:leftChars="-20" w:right="-48" w:rightChars="-20"/>
                    <w:jc w:val="center"/>
                    <w:rPr>
                      <w:rFonts w:hint="eastAsia" w:ascii="Times New Roman" w:hAnsi="Times New Roman" w:eastAsia="宋体" w:cs="Times New Roman"/>
                      <w:b w:val="0"/>
                      <w:color w:val="auto"/>
                      <w:kern w:val="2"/>
                      <w:sz w:val="21"/>
                      <w:szCs w:val="21"/>
                      <w:highlight w:val="none"/>
                      <w:lang w:val="en-US" w:eastAsia="zh-CN" w:bidi="ar-SA"/>
                    </w:rPr>
                  </w:pPr>
                  <w:r>
                    <w:rPr>
                      <w:rFonts w:hint="eastAsia" w:eastAsia="宋体" w:cs="Times New Roman"/>
                      <w:b w:val="0"/>
                      <w:color w:val="auto"/>
                      <w:kern w:val="2"/>
                      <w:sz w:val="21"/>
                      <w:szCs w:val="21"/>
                      <w:highlight w:val="none"/>
                      <w:lang w:val="en-US" w:eastAsia="zh-CN" w:bidi="ar-SA"/>
                    </w:rPr>
                    <w:t>250</w:t>
                  </w:r>
                  <w:r>
                    <w:rPr>
                      <w:rFonts w:hint="default" w:ascii="Times New Roman" w:hAnsi="Times New Roman" w:eastAsia="宋体" w:cs="Times New Roman"/>
                      <w:b w:val="0"/>
                      <w:color w:val="auto"/>
                      <w:kern w:val="2"/>
                      <w:sz w:val="21"/>
                      <w:szCs w:val="21"/>
                      <w:highlight w:val="none"/>
                      <w:lang w:val="en-US" w:eastAsia="zh-CN" w:bidi="ar-SA"/>
                    </w:rPr>
                    <w:t>h</w:t>
                  </w:r>
                </w:p>
              </w:tc>
              <w:tc>
                <w:tcPr>
                  <w:tcW w:w="358" w:type="pct"/>
                  <w:tcBorders>
                    <w:tl2br w:val="nil"/>
                    <w:tr2bl w:val="nil"/>
                  </w:tcBorders>
                  <w:noWrap w:val="0"/>
                  <w:vAlign w:val="center"/>
                </w:tcPr>
                <w:p w14:paraId="18275FF3">
                  <w:pPr>
                    <w:pStyle w:val="145"/>
                    <w:keepNext w:val="0"/>
                    <w:keepLines w:val="0"/>
                    <w:pageBreakBefore w:val="0"/>
                    <w:kinsoku/>
                    <w:wordWrap/>
                    <w:overflowPunct/>
                    <w:autoSpaceDE/>
                    <w:autoSpaceDN/>
                    <w:bidi w:val="0"/>
                    <w:spacing w:line="240" w:lineRule="auto"/>
                    <w:ind w:left="-48" w:leftChars="-20" w:right="-48" w:rightChars="-20"/>
                    <w:jc w:val="center"/>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b w:val="0"/>
                      <w:color w:val="auto"/>
                      <w:kern w:val="2"/>
                      <w:sz w:val="21"/>
                      <w:szCs w:val="21"/>
                      <w:highlight w:val="none"/>
                      <w:lang w:val="en-US" w:eastAsia="zh-CN" w:bidi="ar-SA"/>
                    </w:rPr>
                    <w:t>12</w:t>
                  </w:r>
                </w:p>
              </w:tc>
              <w:tc>
                <w:tcPr>
                  <w:tcW w:w="390" w:type="pct"/>
                  <w:tcBorders>
                    <w:tl2br w:val="nil"/>
                    <w:tr2bl w:val="nil"/>
                  </w:tcBorders>
                  <w:noWrap w:val="0"/>
                  <w:vAlign w:val="center"/>
                </w:tcPr>
                <w:p w14:paraId="44370B10">
                  <w:pPr>
                    <w:pStyle w:val="118"/>
                    <w:keepNext w:val="0"/>
                    <w:keepLines w:val="0"/>
                    <w:pageBreakBefore w:val="0"/>
                    <w:kinsoku/>
                    <w:wordWrap/>
                    <w:overflowPunct/>
                    <w:autoSpaceDE/>
                    <w:autoSpaceDN/>
                    <w:bidi w:val="0"/>
                    <w:spacing w:line="240" w:lineRule="auto"/>
                    <w:ind w:left="152" w:leftChars="-20" w:right="-48" w:rightChars="-20" w:hanging="200" w:firstLineChars="0"/>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53</w:t>
                  </w:r>
                </w:p>
              </w:tc>
              <w:tc>
                <w:tcPr>
                  <w:tcW w:w="294" w:type="pct"/>
                  <w:tcBorders>
                    <w:tl2br w:val="nil"/>
                    <w:tr2bl w:val="nil"/>
                  </w:tcBorders>
                  <w:noWrap w:val="0"/>
                  <w:vAlign w:val="center"/>
                </w:tcPr>
                <w:p w14:paraId="73C8B454">
                  <w:pPr>
                    <w:keepNext w:val="0"/>
                    <w:keepLines w:val="0"/>
                    <w:pageBreakBefore w:val="0"/>
                    <w:kinsoku/>
                    <w:wordWrap/>
                    <w:overflowPunct/>
                    <w:autoSpaceDE/>
                    <w:autoSpaceDN/>
                    <w:bidi w:val="0"/>
                    <w:spacing w:line="240" w:lineRule="auto"/>
                    <w:ind w:left="-48" w:leftChars="-20" w:right="-48" w:rightChars="-20"/>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1</w:t>
                  </w:r>
                </w:p>
              </w:tc>
            </w:tr>
          </w:tbl>
          <w:p w14:paraId="27581C2A">
            <w:pPr>
              <w:pStyle w:val="63"/>
              <w:jc w:val="center"/>
              <w:rPr>
                <w:rFonts w:hint="eastAsia" w:ascii="Times New Roman" w:hAnsi="Times New Roman" w:eastAsia="Times New Roman" w:cs="Times New Roman"/>
                <w:b/>
                <w:bCs/>
                <w:color w:val="auto"/>
                <w:sz w:val="21"/>
                <w:szCs w:val="21"/>
                <w:highlight w:val="none"/>
                <w:lang w:val="en-US" w:eastAsia="zh-CN"/>
              </w:rPr>
            </w:pPr>
          </w:p>
          <w:p w14:paraId="2692BA13">
            <w:pPr>
              <w:pStyle w:val="63"/>
              <w:jc w:val="center"/>
              <w:rPr>
                <w:rFonts w:hint="default" w:ascii="Times New Roman" w:hAnsi="Times New Roman" w:eastAsia="Times New Roman" w:cs="Times New Roman"/>
                <w:b/>
                <w:bCs/>
                <w:color w:val="auto"/>
                <w:sz w:val="21"/>
                <w:szCs w:val="21"/>
                <w:highlight w:val="none"/>
                <w:lang w:val="en-US" w:eastAsia="zh-CN"/>
              </w:rPr>
            </w:pPr>
            <w:r>
              <w:rPr>
                <w:rFonts w:hint="eastAsia" w:ascii="Times New Roman" w:hAnsi="Times New Roman" w:eastAsia="Times New Roman" w:cs="Times New Roman"/>
                <w:b/>
                <w:bCs/>
                <w:color w:val="auto"/>
                <w:sz w:val="21"/>
                <w:szCs w:val="21"/>
                <w:highlight w:val="none"/>
                <w:lang w:val="en-US" w:eastAsia="zh-CN"/>
              </w:rPr>
              <w:t>表3</w:t>
            </w:r>
            <w:r>
              <w:rPr>
                <w:rFonts w:hint="eastAsia" w:eastAsia="Times New Roman" w:cs="Times New Roman"/>
                <w:b/>
                <w:bCs/>
                <w:color w:val="auto"/>
                <w:sz w:val="21"/>
                <w:szCs w:val="21"/>
                <w:highlight w:val="none"/>
                <w:lang w:val="en-US" w:eastAsia="zh-CN"/>
              </w:rPr>
              <w:t>3</w:t>
            </w:r>
            <w:r>
              <w:rPr>
                <w:rFonts w:hint="eastAsia" w:ascii="Times New Roman" w:hAnsi="Times New Roman" w:eastAsia="Times New Roman" w:cs="Times New Roman"/>
                <w:b/>
                <w:bCs/>
                <w:color w:val="auto"/>
                <w:sz w:val="21"/>
                <w:szCs w:val="21"/>
                <w:highlight w:val="none"/>
                <w:lang w:val="en-US" w:eastAsia="zh-CN"/>
              </w:rPr>
              <w:t xml:space="preserve"> 工业企业噪声源强调查清单（室外声源，以</w:t>
            </w:r>
            <w:r>
              <w:rPr>
                <w:rFonts w:hint="eastAsia" w:eastAsia="Times New Roman" w:cs="Times New Roman"/>
                <w:b/>
                <w:bCs/>
                <w:color w:val="auto"/>
                <w:sz w:val="21"/>
                <w:szCs w:val="21"/>
                <w:highlight w:val="none"/>
                <w:lang w:val="en-US" w:eastAsia="zh-CN"/>
              </w:rPr>
              <w:t>项目</w:t>
            </w:r>
            <w:r>
              <w:rPr>
                <w:rFonts w:hint="eastAsia" w:ascii="Times New Roman" w:hAnsi="Times New Roman" w:eastAsia="Times New Roman" w:cs="Times New Roman"/>
                <w:b/>
                <w:bCs/>
                <w:color w:val="auto"/>
                <w:sz w:val="21"/>
                <w:szCs w:val="21"/>
                <w:highlight w:val="none"/>
                <w:lang w:val="en-US" w:eastAsia="zh-CN"/>
              </w:rPr>
              <w:t>西南角为原点）</w:t>
            </w:r>
          </w:p>
          <w:tbl>
            <w:tblPr>
              <w:tblStyle w:val="46"/>
              <w:tblW w:w="4998"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59"/>
              <w:gridCol w:w="1444"/>
              <w:gridCol w:w="854"/>
              <w:gridCol w:w="893"/>
              <w:gridCol w:w="860"/>
              <w:gridCol w:w="831"/>
              <w:gridCol w:w="1455"/>
              <w:gridCol w:w="1422"/>
              <w:gridCol w:w="962"/>
            </w:tblGrid>
            <w:tr w14:paraId="0BCCFD16">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 w:type="pct"/>
                  <w:vMerge w:val="restart"/>
                  <w:tcBorders>
                    <w:tl2br w:val="nil"/>
                    <w:tr2bl w:val="nil"/>
                  </w:tcBorders>
                  <w:noWrap w:val="0"/>
                  <w:vAlign w:val="center"/>
                </w:tcPr>
                <w:p w14:paraId="013D6A1A">
                  <w:pPr>
                    <w:keepNext w:val="0"/>
                    <w:keepLines w:val="0"/>
                    <w:pageBreakBefore w:val="0"/>
                    <w:widowControl/>
                    <w:suppressLineNumbers w:val="0"/>
                    <w:kinsoku/>
                    <w:wordWrap/>
                    <w:overflowPunct/>
                    <w:topLinePunct/>
                    <w:autoSpaceDE/>
                    <w:autoSpaceDN/>
                    <w:bidi w:val="0"/>
                    <w:adjustRightInd w:val="0"/>
                    <w:snapToGrid w:val="0"/>
                    <w:spacing w:line="240" w:lineRule="auto"/>
                    <w:ind w:left="0" w:leftChars="0" w:firstLine="0" w:firstLineChars="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序号</w:t>
                  </w:r>
                </w:p>
              </w:tc>
              <w:tc>
                <w:tcPr>
                  <w:tcW w:w="786" w:type="pct"/>
                  <w:vMerge w:val="restart"/>
                  <w:tcBorders>
                    <w:tl2br w:val="nil"/>
                    <w:tr2bl w:val="nil"/>
                  </w:tcBorders>
                  <w:noWrap w:val="0"/>
                  <w:vAlign w:val="center"/>
                </w:tcPr>
                <w:p w14:paraId="1F77EC4D">
                  <w:pPr>
                    <w:keepNext w:val="0"/>
                    <w:keepLines w:val="0"/>
                    <w:pageBreakBefore w:val="0"/>
                    <w:widowControl/>
                    <w:suppressLineNumbers w:val="0"/>
                    <w:kinsoku/>
                    <w:wordWrap/>
                    <w:overflowPunct/>
                    <w:topLinePunct/>
                    <w:autoSpaceDE/>
                    <w:autoSpaceDN/>
                    <w:bidi w:val="0"/>
                    <w:adjustRightInd w:val="0"/>
                    <w:snapToGrid w:val="0"/>
                    <w:spacing w:line="240" w:lineRule="auto"/>
                    <w:ind w:left="0" w:leftChars="0" w:firstLine="0" w:firstLineChars="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声源名称</w:t>
                  </w:r>
                </w:p>
              </w:tc>
              <w:tc>
                <w:tcPr>
                  <w:tcW w:w="465" w:type="pct"/>
                  <w:vMerge w:val="restart"/>
                  <w:tcBorders>
                    <w:tl2br w:val="nil"/>
                    <w:tr2bl w:val="nil"/>
                  </w:tcBorders>
                  <w:noWrap w:val="0"/>
                  <w:vAlign w:val="center"/>
                </w:tcPr>
                <w:p w14:paraId="364AB99C">
                  <w:pPr>
                    <w:keepNext w:val="0"/>
                    <w:keepLines w:val="0"/>
                    <w:pageBreakBefore w:val="0"/>
                    <w:widowControl/>
                    <w:suppressLineNumbers w:val="0"/>
                    <w:kinsoku/>
                    <w:wordWrap/>
                    <w:overflowPunct/>
                    <w:topLinePunct/>
                    <w:autoSpaceDE/>
                    <w:autoSpaceDN/>
                    <w:bidi w:val="0"/>
                    <w:adjustRightInd w:val="0"/>
                    <w:snapToGrid w:val="0"/>
                    <w:spacing w:line="240" w:lineRule="auto"/>
                    <w:ind w:left="0" w:leftChars="0" w:firstLine="0" w:firstLineChars="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型号</w:t>
                  </w:r>
                </w:p>
              </w:tc>
              <w:tc>
                <w:tcPr>
                  <w:tcW w:w="1406" w:type="pct"/>
                  <w:gridSpan w:val="3"/>
                  <w:tcBorders>
                    <w:tl2br w:val="nil"/>
                    <w:tr2bl w:val="nil"/>
                  </w:tcBorders>
                  <w:noWrap w:val="0"/>
                  <w:vAlign w:val="center"/>
                </w:tcPr>
                <w:p w14:paraId="755B3C8E">
                  <w:pPr>
                    <w:keepNext w:val="0"/>
                    <w:keepLines w:val="0"/>
                    <w:pageBreakBefore w:val="0"/>
                    <w:widowControl/>
                    <w:suppressLineNumbers w:val="0"/>
                    <w:kinsoku/>
                    <w:wordWrap/>
                    <w:overflowPunct/>
                    <w:topLinePunct/>
                    <w:autoSpaceDE/>
                    <w:autoSpaceDN/>
                    <w:bidi w:val="0"/>
                    <w:adjustRightInd w:val="0"/>
                    <w:snapToGrid w:val="0"/>
                    <w:spacing w:line="240" w:lineRule="auto"/>
                    <w:ind w:left="0" w:leftChars="0" w:firstLine="0" w:firstLineChars="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空间相对位置</w:t>
                  </w:r>
                </w:p>
              </w:tc>
              <w:tc>
                <w:tcPr>
                  <w:tcW w:w="792" w:type="pct"/>
                  <w:tcBorders>
                    <w:tl2br w:val="nil"/>
                    <w:tr2bl w:val="nil"/>
                  </w:tcBorders>
                  <w:noWrap w:val="0"/>
                  <w:vAlign w:val="center"/>
                </w:tcPr>
                <w:p w14:paraId="615998C0">
                  <w:pPr>
                    <w:keepNext w:val="0"/>
                    <w:keepLines w:val="0"/>
                    <w:pageBreakBefore w:val="0"/>
                    <w:widowControl/>
                    <w:suppressLineNumbers w:val="0"/>
                    <w:kinsoku/>
                    <w:wordWrap/>
                    <w:overflowPunct/>
                    <w:topLinePunct/>
                    <w:autoSpaceDE/>
                    <w:autoSpaceDN/>
                    <w:bidi w:val="0"/>
                    <w:adjustRightInd w:val="0"/>
                    <w:snapToGrid w:val="0"/>
                    <w:spacing w:line="240" w:lineRule="auto"/>
                    <w:ind w:left="0" w:lef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声源源强</w:t>
                  </w:r>
                </w:p>
              </w:tc>
              <w:tc>
                <w:tcPr>
                  <w:tcW w:w="774" w:type="pct"/>
                  <w:vMerge w:val="restart"/>
                  <w:tcBorders>
                    <w:tl2br w:val="nil"/>
                    <w:tr2bl w:val="nil"/>
                  </w:tcBorders>
                  <w:noWrap w:val="0"/>
                  <w:vAlign w:val="center"/>
                </w:tcPr>
                <w:p w14:paraId="6237DAEF">
                  <w:pPr>
                    <w:keepNext w:val="0"/>
                    <w:keepLines w:val="0"/>
                    <w:pageBreakBefore w:val="0"/>
                    <w:widowControl/>
                    <w:suppressLineNumbers w:val="0"/>
                    <w:kinsoku/>
                    <w:wordWrap/>
                    <w:overflowPunct/>
                    <w:topLinePunct/>
                    <w:autoSpaceDE/>
                    <w:autoSpaceDN/>
                    <w:bidi w:val="0"/>
                    <w:adjustRightInd w:val="0"/>
                    <w:snapToGrid w:val="0"/>
                    <w:spacing w:line="240" w:lineRule="auto"/>
                    <w:ind w:left="0" w:lef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声源控制措施</w:t>
                  </w:r>
                </w:p>
              </w:tc>
              <w:tc>
                <w:tcPr>
                  <w:tcW w:w="523" w:type="pct"/>
                  <w:vMerge w:val="restart"/>
                  <w:tcBorders>
                    <w:tl2br w:val="nil"/>
                    <w:tr2bl w:val="nil"/>
                  </w:tcBorders>
                  <w:noWrap w:val="0"/>
                  <w:vAlign w:val="center"/>
                </w:tcPr>
                <w:p w14:paraId="1948AC08">
                  <w:pPr>
                    <w:keepNext w:val="0"/>
                    <w:keepLines w:val="0"/>
                    <w:pageBreakBefore w:val="0"/>
                    <w:widowControl/>
                    <w:suppressLineNumbers w:val="0"/>
                    <w:kinsoku/>
                    <w:wordWrap/>
                    <w:overflowPunct/>
                    <w:topLinePunct/>
                    <w:autoSpaceDE/>
                    <w:autoSpaceDN/>
                    <w:bidi w:val="0"/>
                    <w:adjustRightInd w:val="0"/>
                    <w:snapToGrid w:val="0"/>
                    <w:spacing w:line="240" w:lineRule="auto"/>
                    <w:ind w:left="0" w:leftChars="0" w:firstLine="0" w:firstLineChars="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运行时段</w:t>
                  </w:r>
                </w:p>
              </w:tc>
            </w:tr>
            <w:tr w14:paraId="7C1CA76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 w:type="pct"/>
                  <w:vMerge w:val="continue"/>
                  <w:tcBorders>
                    <w:tl2br w:val="nil"/>
                    <w:tr2bl w:val="nil"/>
                  </w:tcBorders>
                  <w:noWrap w:val="0"/>
                  <w:vAlign w:val="center"/>
                </w:tcPr>
                <w:p w14:paraId="1DEDCC67">
                  <w:pPr>
                    <w:keepNext w:val="0"/>
                    <w:keepLines w:val="0"/>
                    <w:pageBreakBefore w:val="0"/>
                    <w:widowControl/>
                    <w:suppressLineNumbers w:val="0"/>
                    <w:kinsoku/>
                    <w:wordWrap/>
                    <w:overflowPunct/>
                    <w:topLinePunct/>
                    <w:autoSpaceDE/>
                    <w:autoSpaceDN/>
                    <w:bidi w:val="0"/>
                    <w:adjustRightInd w:val="0"/>
                    <w:snapToGrid w:val="0"/>
                    <w:spacing w:line="240" w:lineRule="auto"/>
                    <w:ind w:left="0" w:leftChars="0" w:firstLine="0" w:firstLineChars="0"/>
                    <w:jc w:val="center"/>
                    <w:textAlignment w:val="center"/>
                    <w:rPr>
                      <w:rFonts w:hint="eastAsia" w:ascii="Times New Roman" w:hAnsi="Times New Roman" w:eastAsia="宋体" w:cs="Times New Roman"/>
                      <w:color w:val="auto"/>
                      <w:sz w:val="21"/>
                      <w:szCs w:val="21"/>
                      <w:highlight w:val="none"/>
                      <w:lang w:val="en-US" w:eastAsia="zh-CN"/>
                    </w:rPr>
                  </w:pPr>
                </w:p>
              </w:tc>
              <w:tc>
                <w:tcPr>
                  <w:tcW w:w="786" w:type="pct"/>
                  <w:vMerge w:val="continue"/>
                  <w:tcBorders>
                    <w:tl2br w:val="nil"/>
                    <w:tr2bl w:val="nil"/>
                  </w:tcBorders>
                  <w:noWrap w:val="0"/>
                  <w:vAlign w:val="center"/>
                </w:tcPr>
                <w:p w14:paraId="0C9355E6">
                  <w:pPr>
                    <w:keepNext w:val="0"/>
                    <w:keepLines w:val="0"/>
                    <w:pageBreakBefore w:val="0"/>
                    <w:widowControl/>
                    <w:suppressLineNumbers w:val="0"/>
                    <w:kinsoku/>
                    <w:wordWrap/>
                    <w:overflowPunct/>
                    <w:topLinePunct/>
                    <w:autoSpaceDE/>
                    <w:autoSpaceDN/>
                    <w:bidi w:val="0"/>
                    <w:adjustRightInd w:val="0"/>
                    <w:snapToGrid w:val="0"/>
                    <w:spacing w:line="240" w:lineRule="auto"/>
                    <w:ind w:left="0" w:leftChars="0" w:firstLine="0" w:firstLineChars="0"/>
                    <w:jc w:val="center"/>
                    <w:textAlignment w:val="center"/>
                    <w:rPr>
                      <w:rFonts w:hint="eastAsia" w:ascii="Times New Roman" w:hAnsi="Times New Roman" w:eastAsia="宋体" w:cs="Times New Roman"/>
                      <w:color w:val="auto"/>
                      <w:sz w:val="21"/>
                      <w:szCs w:val="21"/>
                      <w:highlight w:val="none"/>
                      <w:lang w:val="en-US" w:eastAsia="zh-CN"/>
                    </w:rPr>
                  </w:pPr>
                </w:p>
              </w:tc>
              <w:tc>
                <w:tcPr>
                  <w:tcW w:w="465" w:type="pct"/>
                  <w:vMerge w:val="continue"/>
                  <w:tcBorders>
                    <w:tl2br w:val="nil"/>
                    <w:tr2bl w:val="nil"/>
                  </w:tcBorders>
                  <w:noWrap w:val="0"/>
                  <w:vAlign w:val="center"/>
                </w:tcPr>
                <w:p w14:paraId="4FA476D1">
                  <w:pPr>
                    <w:keepNext w:val="0"/>
                    <w:keepLines w:val="0"/>
                    <w:pageBreakBefore w:val="0"/>
                    <w:widowControl/>
                    <w:suppressLineNumbers w:val="0"/>
                    <w:kinsoku/>
                    <w:wordWrap/>
                    <w:overflowPunct/>
                    <w:topLinePunct/>
                    <w:autoSpaceDE/>
                    <w:autoSpaceDN/>
                    <w:bidi w:val="0"/>
                    <w:adjustRightInd w:val="0"/>
                    <w:snapToGrid w:val="0"/>
                    <w:spacing w:line="240" w:lineRule="auto"/>
                    <w:ind w:left="0" w:leftChars="0" w:firstLine="0" w:firstLineChars="0"/>
                    <w:jc w:val="center"/>
                    <w:textAlignment w:val="center"/>
                    <w:rPr>
                      <w:rFonts w:hint="eastAsia" w:ascii="Times New Roman" w:hAnsi="Times New Roman" w:eastAsia="宋体" w:cs="Times New Roman"/>
                      <w:color w:val="auto"/>
                      <w:sz w:val="21"/>
                      <w:szCs w:val="21"/>
                      <w:highlight w:val="none"/>
                      <w:lang w:val="en-US" w:eastAsia="zh-CN"/>
                    </w:rPr>
                  </w:pPr>
                </w:p>
              </w:tc>
              <w:tc>
                <w:tcPr>
                  <w:tcW w:w="486" w:type="pct"/>
                  <w:tcBorders>
                    <w:tl2br w:val="nil"/>
                    <w:tr2bl w:val="nil"/>
                  </w:tcBorders>
                  <w:noWrap w:val="0"/>
                  <w:vAlign w:val="center"/>
                </w:tcPr>
                <w:p w14:paraId="34D84074">
                  <w:pPr>
                    <w:keepNext w:val="0"/>
                    <w:keepLines w:val="0"/>
                    <w:pageBreakBefore w:val="0"/>
                    <w:widowControl/>
                    <w:suppressLineNumbers w:val="0"/>
                    <w:kinsoku/>
                    <w:wordWrap/>
                    <w:overflowPunct/>
                    <w:topLinePunct/>
                    <w:autoSpaceDE/>
                    <w:autoSpaceDN/>
                    <w:bidi w:val="0"/>
                    <w:adjustRightInd w:val="0"/>
                    <w:snapToGrid w:val="0"/>
                    <w:spacing w:line="240" w:lineRule="auto"/>
                    <w:ind w:left="0" w:leftChars="0" w:firstLine="0" w:firstLineChars="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X/m</w:t>
                  </w:r>
                </w:p>
              </w:tc>
              <w:tc>
                <w:tcPr>
                  <w:tcW w:w="468" w:type="pct"/>
                  <w:tcBorders>
                    <w:tl2br w:val="nil"/>
                    <w:tr2bl w:val="nil"/>
                  </w:tcBorders>
                  <w:noWrap w:val="0"/>
                  <w:vAlign w:val="center"/>
                </w:tcPr>
                <w:p w14:paraId="45D783E5">
                  <w:pPr>
                    <w:keepNext w:val="0"/>
                    <w:keepLines w:val="0"/>
                    <w:pageBreakBefore w:val="0"/>
                    <w:widowControl/>
                    <w:suppressLineNumbers w:val="0"/>
                    <w:kinsoku/>
                    <w:wordWrap/>
                    <w:overflowPunct/>
                    <w:topLinePunct/>
                    <w:autoSpaceDE/>
                    <w:autoSpaceDN/>
                    <w:bidi w:val="0"/>
                    <w:adjustRightInd w:val="0"/>
                    <w:snapToGrid w:val="0"/>
                    <w:spacing w:line="240" w:lineRule="auto"/>
                    <w:ind w:left="0" w:leftChars="0" w:firstLine="0" w:firstLineChars="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Y/m</w:t>
                  </w:r>
                </w:p>
              </w:tc>
              <w:tc>
                <w:tcPr>
                  <w:tcW w:w="452" w:type="pct"/>
                  <w:tcBorders>
                    <w:tl2br w:val="nil"/>
                    <w:tr2bl w:val="nil"/>
                  </w:tcBorders>
                  <w:noWrap w:val="0"/>
                  <w:vAlign w:val="center"/>
                </w:tcPr>
                <w:p w14:paraId="3FB4A901">
                  <w:pPr>
                    <w:keepNext w:val="0"/>
                    <w:keepLines w:val="0"/>
                    <w:pageBreakBefore w:val="0"/>
                    <w:widowControl/>
                    <w:suppressLineNumbers w:val="0"/>
                    <w:kinsoku/>
                    <w:wordWrap/>
                    <w:overflowPunct/>
                    <w:topLinePunct/>
                    <w:autoSpaceDE/>
                    <w:autoSpaceDN/>
                    <w:bidi w:val="0"/>
                    <w:adjustRightInd w:val="0"/>
                    <w:snapToGrid w:val="0"/>
                    <w:spacing w:line="240" w:lineRule="auto"/>
                    <w:ind w:left="0" w:lef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Z/m</w:t>
                  </w:r>
                </w:p>
              </w:tc>
              <w:tc>
                <w:tcPr>
                  <w:tcW w:w="792" w:type="pct"/>
                  <w:tcBorders>
                    <w:tl2br w:val="nil"/>
                    <w:tr2bl w:val="nil"/>
                  </w:tcBorders>
                  <w:noWrap w:val="0"/>
                  <w:vAlign w:val="center"/>
                </w:tcPr>
                <w:p w14:paraId="03B2CF99">
                  <w:pPr>
                    <w:keepNext w:val="0"/>
                    <w:keepLines w:val="0"/>
                    <w:pageBreakBefore w:val="0"/>
                    <w:widowControl/>
                    <w:suppressLineNumbers w:val="0"/>
                    <w:kinsoku/>
                    <w:wordWrap/>
                    <w:overflowPunct/>
                    <w:topLinePunct/>
                    <w:autoSpaceDE/>
                    <w:autoSpaceDN/>
                    <w:bidi w:val="0"/>
                    <w:adjustRightInd w:val="0"/>
                    <w:snapToGrid w:val="0"/>
                    <w:spacing w:line="240" w:lineRule="auto"/>
                    <w:ind w:left="0" w:lef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声功率级别/（dB（A）</w:t>
                  </w:r>
                </w:p>
              </w:tc>
              <w:tc>
                <w:tcPr>
                  <w:tcW w:w="774" w:type="pct"/>
                  <w:vMerge w:val="continue"/>
                  <w:tcBorders>
                    <w:tl2br w:val="nil"/>
                    <w:tr2bl w:val="nil"/>
                  </w:tcBorders>
                  <w:noWrap w:val="0"/>
                  <w:vAlign w:val="center"/>
                </w:tcPr>
                <w:p w14:paraId="7E4B72E5">
                  <w:pPr>
                    <w:keepNext w:val="0"/>
                    <w:keepLines w:val="0"/>
                    <w:pageBreakBefore w:val="0"/>
                    <w:widowControl/>
                    <w:suppressLineNumbers w:val="0"/>
                    <w:kinsoku/>
                    <w:wordWrap/>
                    <w:overflowPunct/>
                    <w:topLinePunct/>
                    <w:autoSpaceDE/>
                    <w:autoSpaceDN/>
                    <w:bidi w:val="0"/>
                    <w:adjustRightInd w:val="0"/>
                    <w:snapToGrid w:val="0"/>
                    <w:spacing w:line="240" w:lineRule="auto"/>
                    <w:ind w:left="0" w:lef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p>
              </w:tc>
              <w:tc>
                <w:tcPr>
                  <w:tcW w:w="523" w:type="pct"/>
                  <w:vMerge w:val="continue"/>
                  <w:tcBorders>
                    <w:tl2br w:val="nil"/>
                    <w:tr2bl w:val="nil"/>
                  </w:tcBorders>
                  <w:noWrap w:val="0"/>
                  <w:vAlign w:val="center"/>
                </w:tcPr>
                <w:p w14:paraId="5AC8F20F">
                  <w:pPr>
                    <w:keepNext w:val="0"/>
                    <w:keepLines w:val="0"/>
                    <w:pageBreakBefore w:val="0"/>
                    <w:widowControl/>
                    <w:suppressLineNumbers w:val="0"/>
                    <w:kinsoku/>
                    <w:wordWrap/>
                    <w:overflowPunct/>
                    <w:topLinePunct/>
                    <w:autoSpaceDE/>
                    <w:autoSpaceDN/>
                    <w:bidi w:val="0"/>
                    <w:adjustRightInd w:val="0"/>
                    <w:snapToGrid w:val="0"/>
                    <w:spacing w:line="240" w:lineRule="auto"/>
                    <w:ind w:left="0" w:lef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p>
              </w:tc>
            </w:tr>
            <w:tr w14:paraId="3C390E6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 w:type="pct"/>
                  <w:tcBorders>
                    <w:tl2br w:val="nil"/>
                    <w:tr2bl w:val="nil"/>
                  </w:tcBorders>
                  <w:noWrap w:val="0"/>
                  <w:vAlign w:val="center"/>
                </w:tcPr>
                <w:p w14:paraId="1956707E">
                  <w:pPr>
                    <w:keepNext w:val="0"/>
                    <w:keepLines w:val="0"/>
                    <w:pageBreakBefore w:val="0"/>
                    <w:widowControl/>
                    <w:suppressLineNumbers w:val="0"/>
                    <w:kinsoku/>
                    <w:wordWrap/>
                    <w:overflowPunct/>
                    <w:topLinePunct/>
                    <w:autoSpaceDE/>
                    <w:autoSpaceDN/>
                    <w:bidi w:val="0"/>
                    <w:adjustRightInd w:val="0"/>
                    <w:snapToGrid w:val="0"/>
                    <w:spacing w:line="240" w:lineRule="auto"/>
                    <w:ind w:left="0" w:leftChars="0" w:firstLine="0" w:firstLineChars="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w:t>
                  </w:r>
                </w:p>
              </w:tc>
              <w:tc>
                <w:tcPr>
                  <w:tcW w:w="786" w:type="pct"/>
                  <w:tcBorders>
                    <w:tl2br w:val="nil"/>
                    <w:tr2bl w:val="nil"/>
                  </w:tcBorders>
                  <w:noWrap w:val="0"/>
                  <w:vAlign w:val="center"/>
                </w:tcPr>
                <w:p w14:paraId="7244F3BA">
                  <w:pPr>
                    <w:keepNext w:val="0"/>
                    <w:keepLines w:val="0"/>
                    <w:pageBreakBefore w:val="0"/>
                    <w:widowControl/>
                    <w:suppressLineNumbers w:val="0"/>
                    <w:kinsoku/>
                    <w:wordWrap/>
                    <w:overflowPunct/>
                    <w:topLinePunct/>
                    <w:autoSpaceDE/>
                    <w:autoSpaceDN/>
                    <w:bidi w:val="0"/>
                    <w:adjustRightInd w:val="0"/>
                    <w:snapToGrid w:val="0"/>
                    <w:spacing w:line="240" w:lineRule="auto"/>
                    <w:ind w:left="0" w:lef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风机</w:t>
                  </w:r>
                </w:p>
              </w:tc>
              <w:tc>
                <w:tcPr>
                  <w:tcW w:w="465" w:type="pct"/>
                  <w:tcBorders>
                    <w:tl2br w:val="nil"/>
                    <w:tr2bl w:val="nil"/>
                  </w:tcBorders>
                  <w:noWrap w:val="0"/>
                  <w:vAlign w:val="center"/>
                </w:tcPr>
                <w:p w14:paraId="772A3C7D">
                  <w:pPr>
                    <w:keepNext w:val="0"/>
                    <w:keepLines w:val="0"/>
                    <w:pageBreakBefore w:val="0"/>
                    <w:widowControl/>
                    <w:suppressLineNumbers w:val="0"/>
                    <w:kinsoku/>
                    <w:wordWrap/>
                    <w:overflowPunct/>
                    <w:topLinePunct/>
                    <w:autoSpaceDE/>
                    <w:autoSpaceDN/>
                    <w:bidi w:val="0"/>
                    <w:adjustRightInd w:val="0"/>
                    <w:snapToGrid w:val="0"/>
                    <w:spacing w:line="240" w:lineRule="auto"/>
                    <w:ind w:left="0" w:lef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p>
              </w:tc>
              <w:tc>
                <w:tcPr>
                  <w:tcW w:w="486" w:type="pct"/>
                  <w:tcBorders>
                    <w:tl2br w:val="nil"/>
                    <w:tr2bl w:val="nil"/>
                  </w:tcBorders>
                  <w:noWrap w:val="0"/>
                  <w:vAlign w:val="center"/>
                </w:tcPr>
                <w:p w14:paraId="308C2DE6">
                  <w:pPr>
                    <w:keepNext w:val="0"/>
                    <w:keepLines w:val="0"/>
                    <w:pageBreakBefore w:val="0"/>
                    <w:widowControl/>
                    <w:suppressLineNumbers w:val="0"/>
                    <w:kinsoku/>
                    <w:wordWrap/>
                    <w:overflowPunct/>
                    <w:topLinePunct/>
                    <w:autoSpaceDE/>
                    <w:autoSpaceDN/>
                    <w:bidi w:val="0"/>
                    <w:adjustRightInd w:val="0"/>
                    <w:snapToGrid w:val="0"/>
                    <w:spacing w:line="240" w:lineRule="auto"/>
                    <w:ind w:left="0" w:lef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-1</w:t>
                  </w:r>
                </w:p>
              </w:tc>
              <w:tc>
                <w:tcPr>
                  <w:tcW w:w="468" w:type="pct"/>
                  <w:tcBorders>
                    <w:tl2br w:val="nil"/>
                    <w:tr2bl w:val="nil"/>
                  </w:tcBorders>
                  <w:noWrap w:val="0"/>
                  <w:vAlign w:val="center"/>
                </w:tcPr>
                <w:p w14:paraId="28EFD804">
                  <w:pPr>
                    <w:keepNext w:val="0"/>
                    <w:keepLines w:val="0"/>
                    <w:pageBreakBefore w:val="0"/>
                    <w:widowControl/>
                    <w:suppressLineNumbers w:val="0"/>
                    <w:kinsoku/>
                    <w:wordWrap/>
                    <w:overflowPunct/>
                    <w:topLinePunct/>
                    <w:autoSpaceDE/>
                    <w:autoSpaceDN/>
                    <w:bidi w:val="0"/>
                    <w:adjustRightInd w:val="0"/>
                    <w:snapToGrid w:val="0"/>
                    <w:spacing w:line="240" w:lineRule="auto"/>
                    <w:ind w:left="0" w:lef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w:t>
                  </w:r>
                </w:p>
              </w:tc>
              <w:tc>
                <w:tcPr>
                  <w:tcW w:w="452" w:type="pct"/>
                  <w:tcBorders>
                    <w:tl2br w:val="nil"/>
                    <w:tr2bl w:val="nil"/>
                  </w:tcBorders>
                  <w:noWrap w:val="0"/>
                  <w:vAlign w:val="center"/>
                </w:tcPr>
                <w:p w14:paraId="41A864B3">
                  <w:pPr>
                    <w:keepNext w:val="0"/>
                    <w:keepLines w:val="0"/>
                    <w:pageBreakBefore w:val="0"/>
                    <w:widowControl/>
                    <w:suppressLineNumbers w:val="0"/>
                    <w:kinsoku/>
                    <w:wordWrap/>
                    <w:overflowPunct/>
                    <w:topLinePunct/>
                    <w:autoSpaceDE/>
                    <w:autoSpaceDN/>
                    <w:bidi w:val="0"/>
                    <w:adjustRightInd w:val="0"/>
                    <w:snapToGrid w:val="0"/>
                    <w:spacing w:line="240" w:lineRule="auto"/>
                    <w:ind w:left="0" w:lef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0</w:t>
                  </w:r>
                </w:p>
              </w:tc>
              <w:tc>
                <w:tcPr>
                  <w:tcW w:w="792" w:type="pct"/>
                  <w:tcBorders>
                    <w:tl2br w:val="nil"/>
                    <w:tr2bl w:val="nil"/>
                  </w:tcBorders>
                  <w:noWrap w:val="0"/>
                  <w:vAlign w:val="center"/>
                </w:tcPr>
                <w:p w14:paraId="1CFFBDB6">
                  <w:pPr>
                    <w:keepNext w:val="0"/>
                    <w:keepLines w:val="0"/>
                    <w:pageBreakBefore w:val="0"/>
                    <w:widowControl/>
                    <w:suppressLineNumbers w:val="0"/>
                    <w:kinsoku/>
                    <w:wordWrap/>
                    <w:overflowPunct/>
                    <w:topLinePunct/>
                    <w:autoSpaceDE/>
                    <w:autoSpaceDN/>
                    <w:bidi w:val="0"/>
                    <w:adjustRightInd w:val="0"/>
                    <w:snapToGrid w:val="0"/>
                    <w:spacing w:line="240" w:lineRule="auto"/>
                    <w:ind w:left="0" w:lef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9</w:t>
                  </w:r>
                  <w:r>
                    <w:rPr>
                      <w:rFonts w:hint="eastAsia" w:eastAsia="宋体" w:cs="Times New Roman"/>
                      <w:color w:val="auto"/>
                      <w:sz w:val="21"/>
                      <w:szCs w:val="21"/>
                      <w:highlight w:val="none"/>
                      <w:lang w:val="en-US" w:eastAsia="zh-CN"/>
                    </w:rPr>
                    <w:t>0</w:t>
                  </w:r>
                </w:p>
              </w:tc>
              <w:tc>
                <w:tcPr>
                  <w:tcW w:w="774" w:type="pct"/>
                  <w:tcBorders>
                    <w:tl2br w:val="nil"/>
                    <w:tr2bl w:val="nil"/>
                  </w:tcBorders>
                  <w:noWrap w:val="0"/>
                  <w:vAlign w:val="center"/>
                </w:tcPr>
                <w:p w14:paraId="2A0C4EA9">
                  <w:pPr>
                    <w:keepNext w:val="0"/>
                    <w:keepLines w:val="0"/>
                    <w:pageBreakBefore w:val="0"/>
                    <w:widowControl/>
                    <w:suppressLineNumbers w:val="0"/>
                    <w:kinsoku/>
                    <w:wordWrap/>
                    <w:overflowPunct/>
                    <w:topLinePunct/>
                    <w:autoSpaceDE/>
                    <w:autoSpaceDN/>
                    <w:bidi w:val="0"/>
                    <w:adjustRightInd w:val="0"/>
                    <w:snapToGrid w:val="0"/>
                    <w:spacing w:line="240" w:lineRule="auto"/>
                    <w:ind w:left="0" w:lef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减震垫、</w:t>
                  </w:r>
                  <w:r>
                    <w:rPr>
                      <w:rFonts w:hint="default" w:ascii="Times New Roman" w:hAnsi="Times New Roman" w:eastAsia="宋体" w:cs="Times New Roman"/>
                      <w:color w:val="auto"/>
                      <w:sz w:val="21"/>
                      <w:szCs w:val="21"/>
                      <w:highlight w:val="none"/>
                      <w:lang w:val="en-US" w:eastAsia="zh-CN"/>
                    </w:rPr>
                    <w:t>柔性连接</w:t>
                  </w:r>
                  <w:r>
                    <w:rPr>
                      <w:rFonts w:hint="eastAsia" w:ascii="Times New Roman" w:hAnsi="Times New Roman" w:eastAsia="宋体" w:cs="Times New Roman"/>
                      <w:color w:val="auto"/>
                      <w:sz w:val="21"/>
                      <w:szCs w:val="21"/>
                      <w:highlight w:val="none"/>
                      <w:lang w:val="en-US" w:eastAsia="zh-CN"/>
                    </w:rPr>
                    <w:t>、距离衰减</w:t>
                  </w:r>
                  <w:r>
                    <w:rPr>
                      <w:rFonts w:hint="default" w:ascii="Times New Roman" w:hAnsi="Times New Roman" w:eastAsia="宋体" w:cs="Times New Roman"/>
                      <w:color w:val="auto"/>
                      <w:sz w:val="21"/>
                      <w:szCs w:val="21"/>
                      <w:highlight w:val="none"/>
                      <w:lang w:val="en-US" w:eastAsia="zh-CN"/>
                    </w:rPr>
                    <w:t>、</w:t>
                  </w:r>
                </w:p>
              </w:tc>
              <w:tc>
                <w:tcPr>
                  <w:tcW w:w="523" w:type="pct"/>
                  <w:tcBorders>
                    <w:tl2br w:val="nil"/>
                    <w:tr2bl w:val="nil"/>
                  </w:tcBorders>
                  <w:noWrap w:val="0"/>
                  <w:vAlign w:val="center"/>
                </w:tcPr>
                <w:p w14:paraId="37D50B21">
                  <w:pPr>
                    <w:keepNext w:val="0"/>
                    <w:keepLines w:val="0"/>
                    <w:pageBreakBefore w:val="0"/>
                    <w:widowControl/>
                    <w:suppressLineNumbers w:val="0"/>
                    <w:kinsoku/>
                    <w:wordWrap/>
                    <w:overflowPunct/>
                    <w:topLinePunct/>
                    <w:autoSpaceDE/>
                    <w:autoSpaceDN/>
                    <w:bidi w:val="0"/>
                    <w:adjustRightInd w:val="0"/>
                    <w:snapToGrid w:val="0"/>
                    <w:spacing w:line="240" w:lineRule="auto"/>
                    <w:ind w:left="0" w:leftChars="0" w:firstLine="0" w:firstLineChars="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连续运行</w:t>
                  </w:r>
                </w:p>
              </w:tc>
            </w:tr>
          </w:tbl>
          <w:p w14:paraId="6DCE8F65">
            <w:pPr>
              <w:spacing w:line="360" w:lineRule="auto"/>
              <w:ind w:firstLine="422" w:firstLineChars="200"/>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（2）预测点</w:t>
            </w:r>
          </w:p>
          <w:p w14:paraId="5F88EBC1">
            <w:pPr>
              <w:spacing w:line="360" w:lineRule="auto"/>
              <w:ind w:firstLine="420" w:firstLineChars="200"/>
              <w:rPr>
                <w:rFonts w:hint="default" w:ascii="Times New Roman" w:hAnsi="Times New Roman" w:cs="Times New Roman"/>
                <w:color w:val="0000FF"/>
                <w:sz w:val="21"/>
                <w:szCs w:val="21"/>
                <w:highlight w:val="none"/>
              </w:rPr>
            </w:pPr>
            <w:r>
              <w:rPr>
                <w:rFonts w:hint="default" w:ascii="Times New Roman" w:hAnsi="Times New Roman" w:cs="Times New Roman"/>
                <w:color w:val="auto"/>
                <w:sz w:val="21"/>
                <w:szCs w:val="21"/>
                <w:highlight w:val="none"/>
              </w:rPr>
              <w:t>预测点选择在项目四周厂界，共</w:t>
            </w:r>
            <w:r>
              <w:rPr>
                <w:rFonts w:hint="eastAsia" w:ascii="Times New Roman" w:hAnsi="Times New Roman" w:cs="Times New Roman"/>
                <w:color w:val="auto"/>
                <w:sz w:val="21"/>
                <w:szCs w:val="21"/>
                <w:highlight w:val="none"/>
                <w:lang w:val="en-US" w:eastAsia="zh-CN"/>
              </w:rPr>
              <w:t>4</w:t>
            </w:r>
            <w:r>
              <w:rPr>
                <w:rFonts w:hint="default" w:ascii="Times New Roman" w:hAnsi="Times New Roman" w:cs="Times New Roman"/>
                <w:color w:val="auto"/>
                <w:sz w:val="21"/>
                <w:szCs w:val="21"/>
                <w:highlight w:val="none"/>
              </w:rPr>
              <w:t>个。</w:t>
            </w:r>
          </w:p>
          <w:p w14:paraId="158E2A95">
            <w:pPr>
              <w:spacing w:line="360" w:lineRule="auto"/>
              <w:ind w:firstLine="422" w:firstLineChars="200"/>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（3）预测模式</w:t>
            </w:r>
          </w:p>
          <w:p w14:paraId="4A8BF2C9">
            <w:pPr>
              <w:spacing w:before="35" w:line="375" w:lineRule="auto"/>
              <w:ind w:left="112" w:right="103" w:firstLine="476"/>
              <w:rPr>
                <w:color w:val="auto"/>
                <w:sz w:val="21"/>
                <w:szCs w:val="21"/>
                <w:highlight w:val="none"/>
              </w:rPr>
            </w:pPr>
            <w:r>
              <w:rPr>
                <w:color w:val="auto"/>
                <w:sz w:val="21"/>
                <w:szCs w:val="21"/>
                <w:highlight w:val="none"/>
              </w:rPr>
              <w:t>本次评价采用《环境影响评价技术导则 声环境》(HJ2.4-2021)中推荐模式进行预测，具体模式如下：</w:t>
            </w:r>
          </w:p>
          <w:p w14:paraId="7CEB89C4">
            <w:pPr>
              <w:numPr>
                <w:ilvl w:val="0"/>
                <w:numId w:val="0"/>
              </w:numPr>
              <w:spacing w:before="35" w:line="375" w:lineRule="auto"/>
              <w:ind w:leftChars="200" w:right="103" w:rightChars="0"/>
              <w:rPr>
                <w:rFonts w:hint="default"/>
                <w:color w:val="auto"/>
                <w:sz w:val="21"/>
                <w:szCs w:val="21"/>
                <w:highlight w:val="none"/>
              </w:rPr>
            </w:pPr>
            <w:r>
              <w:rPr>
                <w:rFonts w:hint="default"/>
                <w:color w:val="auto"/>
                <w:sz w:val="21"/>
                <w:szCs w:val="21"/>
                <w:highlight w:val="none"/>
              </w:rPr>
              <w:t>①预测条件假设</w:t>
            </w:r>
          </w:p>
          <w:p w14:paraId="4A4A1F94">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textAlignment w:val="auto"/>
              <w:rPr>
                <w:rFonts w:hint="default"/>
                <w:color w:val="auto"/>
                <w:sz w:val="21"/>
                <w:szCs w:val="21"/>
                <w:highlight w:val="none"/>
              </w:rPr>
            </w:pPr>
            <w:r>
              <w:rPr>
                <w:rFonts w:hint="default"/>
                <w:color w:val="auto"/>
                <w:sz w:val="21"/>
                <w:szCs w:val="21"/>
                <w:highlight w:val="none"/>
              </w:rPr>
              <w:t>A</w:t>
            </w:r>
            <w:r>
              <w:rPr>
                <w:rFonts w:hint="eastAsia"/>
                <w:color w:val="auto"/>
                <w:sz w:val="21"/>
                <w:szCs w:val="21"/>
                <w:highlight w:val="none"/>
                <w:lang w:eastAsia="zh-CN"/>
              </w:rPr>
              <w:t>、</w:t>
            </w:r>
            <w:r>
              <w:rPr>
                <w:rFonts w:hint="default"/>
                <w:color w:val="auto"/>
                <w:sz w:val="21"/>
                <w:szCs w:val="21"/>
                <w:highlight w:val="none"/>
              </w:rPr>
              <w:t>所有产噪设备均在正常工况条件下运行；</w:t>
            </w:r>
          </w:p>
          <w:p w14:paraId="13C0B4B8">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textAlignment w:val="auto"/>
              <w:rPr>
                <w:rFonts w:hint="default"/>
                <w:color w:val="auto"/>
                <w:sz w:val="21"/>
                <w:szCs w:val="21"/>
                <w:highlight w:val="none"/>
              </w:rPr>
            </w:pPr>
            <w:r>
              <w:rPr>
                <w:rFonts w:hint="default"/>
                <w:color w:val="auto"/>
                <w:sz w:val="21"/>
                <w:szCs w:val="21"/>
                <w:highlight w:val="none"/>
              </w:rPr>
              <w:t>B</w:t>
            </w:r>
            <w:r>
              <w:rPr>
                <w:rFonts w:hint="eastAsia"/>
                <w:color w:val="auto"/>
                <w:sz w:val="21"/>
                <w:szCs w:val="21"/>
                <w:highlight w:val="none"/>
                <w:lang w:eastAsia="zh-CN"/>
              </w:rPr>
              <w:t>、</w:t>
            </w:r>
            <w:r>
              <w:rPr>
                <w:rFonts w:hint="default"/>
                <w:color w:val="auto"/>
                <w:sz w:val="21"/>
                <w:szCs w:val="21"/>
                <w:highlight w:val="none"/>
              </w:rPr>
              <w:t>将所有室内点源叠加概化成一个点源；</w:t>
            </w:r>
          </w:p>
          <w:p w14:paraId="555E604F">
            <w:pPr>
              <w:keepNext w:val="0"/>
              <w:keepLines w:val="0"/>
              <w:pageBreakBefore w:val="0"/>
              <w:widowControl w:val="0"/>
              <w:kinsoku/>
              <w:wordWrap/>
              <w:overflowPunct/>
              <w:topLinePunct w:val="0"/>
              <w:autoSpaceDE/>
              <w:autoSpaceDN/>
              <w:bidi w:val="0"/>
              <w:adjustRightInd/>
              <w:snapToGrid/>
              <w:spacing w:line="360" w:lineRule="auto"/>
              <w:ind w:left="0" w:leftChars="0" w:right="0" w:firstLine="420" w:firstLineChars="200"/>
              <w:textAlignment w:val="auto"/>
              <w:rPr>
                <w:rFonts w:hint="default"/>
                <w:color w:val="auto"/>
                <w:sz w:val="21"/>
                <w:szCs w:val="21"/>
                <w:highlight w:val="none"/>
              </w:rPr>
            </w:pPr>
            <w:r>
              <w:rPr>
                <w:rFonts w:hint="default"/>
                <w:color w:val="auto"/>
                <w:sz w:val="21"/>
                <w:szCs w:val="21"/>
                <w:highlight w:val="none"/>
              </w:rPr>
              <w:t>C</w:t>
            </w:r>
            <w:r>
              <w:rPr>
                <w:rFonts w:hint="eastAsia"/>
                <w:color w:val="auto"/>
                <w:sz w:val="21"/>
                <w:szCs w:val="21"/>
                <w:highlight w:val="none"/>
                <w:lang w:eastAsia="zh-CN"/>
              </w:rPr>
              <w:t>、</w:t>
            </w:r>
            <w:r>
              <w:rPr>
                <w:rFonts w:hint="default"/>
                <w:color w:val="auto"/>
                <w:sz w:val="21"/>
                <w:szCs w:val="21"/>
                <w:highlight w:val="none"/>
              </w:rPr>
              <w:t>室内噪声源考虑声源所在厂房围护结构的隔声作用，转化为室外声源预测；</w:t>
            </w:r>
          </w:p>
          <w:p w14:paraId="7B7F4753">
            <w:pPr>
              <w:keepNext w:val="0"/>
              <w:keepLines w:val="0"/>
              <w:pageBreakBefore w:val="0"/>
              <w:widowControl w:val="0"/>
              <w:kinsoku/>
              <w:wordWrap/>
              <w:overflowPunct/>
              <w:topLinePunct w:val="0"/>
              <w:autoSpaceDE/>
              <w:autoSpaceDN/>
              <w:bidi w:val="0"/>
              <w:adjustRightInd/>
              <w:snapToGrid/>
              <w:spacing w:line="360" w:lineRule="auto"/>
              <w:ind w:left="0" w:leftChars="0" w:right="0" w:firstLine="420" w:firstLineChars="200"/>
              <w:textAlignment w:val="auto"/>
              <w:rPr>
                <w:rFonts w:hint="default"/>
                <w:color w:val="auto"/>
                <w:sz w:val="21"/>
                <w:szCs w:val="21"/>
                <w:highlight w:val="none"/>
              </w:rPr>
            </w:pPr>
            <w:r>
              <w:rPr>
                <w:rFonts w:hint="default"/>
                <w:color w:val="auto"/>
                <w:sz w:val="21"/>
                <w:szCs w:val="21"/>
                <w:highlight w:val="none"/>
              </w:rPr>
              <w:t>D</w:t>
            </w:r>
            <w:r>
              <w:rPr>
                <w:rFonts w:hint="eastAsia"/>
                <w:color w:val="auto"/>
                <w:sz w:val="21"/>
                <w:szCs w:val="21"/>
                <w:highlight w:val="none"/>
                <w:lang w:eastAsia="zh-CN"/>
              </w:rPr>
              <w:t>、</w:t>
            </w:r>
            <w:r>
              <w:rPr>
                <w:rFonts w:hint="default"/>
                <w:color w:val="auto"/>
                <w:sz w:val="21"/>
                <w:szCs w:val="21"/>
                <w:highlight w:val="none"/>
              </w:rPr>
              <w:t>不考虑室外空气吸收、地面效应的衰减影响，只考虑距离衰减；</w:t>
            </w:r>
          </w:p>
          <w:p w14:paraId="1A32C9F6">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textAlignment w:val="auto"/>
              <w:rPr>
                <w:rFonts w:hint="default"/>
                <w:color w:val="auto"/>
                <w:sz w:val="21"/>
                <w:szCs w:val="21"/>
                <w:highlight w:val="none"/>
              </w:rPr>
            </w:pPr>
            <w:r>
              <w:rPr>
                <w:rFonts w:hint="default"/>
                <w:color w:val="auto"/>
                <w:sz w:val="21"/>
                <w:szCs w:val="21"/>
                <w:highlight w:val="none"/>
              </w:rPr>
              <w:t>②预测模式</w:t>
            </w:r>
          </w:p>
          <w:p w14:paraId="4C771F32">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textAlignment w:val="auto"/>
              <w:rPr>
                <w:rFonts w:hint="default"/>
                <w:color w:val="auto"/>
                <w:sz w:val="21"/>
                <w:szCs w:val="21"/>
                <w:highlight w:val="none"/>
              </w:rPr>
            </w:pPr>
            <w:r>
              <w:rPr>
                <w:rFonts w:hint="default"/>
                <w:color w:val="auto"/>
                <w:sz w:val="21"/>
                <w:szCs w:val="21"/>
                <w:highlight w:val="none"/>
              </w:rPr>
              <w:t>项目预测模式如下所述：</w:t>
            </w:r>
          </w:p>
          <w:p w14:paraId="29B0D043">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textAlignment w:val="auto"/>
              <w:rPr>
                <w:rFonts w:hint="default"/>
                <w:color w:val="auto"/>
                <w:sz w:val="21"/>
                <w:szCs w:val="21"/>
                <w:highlight w:val="none"/>
              </w:rPr>
            </w:pPr>
            <w:r>
              <w:rPr>
                <w:rFonts w:hint="default"/>
                <w:color w:val="auto"/>
                <w:sz w:val="21"/>
                <w:szCs w:val="21"/>
                <w:highlight w:val="none"/>
              </w:rPr>
              <w:t>a 、室内声源等效室外声源公式为：</w:t>
            </w:r>
          </w:p>
          <w:p w14:paraId="162C6516">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center"/>
              <w:textAlignment w:val="auto"/>
              <w:rPr>
                <w:rFonts w:hint="eastAsia"/>
                <w:color w:val="auto"/>
                <w:sz w:val="21"/>
                <w:szCs w:val="21"/>
                <w:highlight w:val="none"/>
                <w:lang w:eastAsia="zh-CN"/>
              </w:rPr>
            </w:pPr>
            <w:r>
              <w:rPr>
                <w:rFonts w:hint="eastAsia"/>
                <w:color w:val="auto"/>
                <w:sz w:val="21"/>
                <w:szCs w:val="21"/>
                <w:highlight w:val="none"/>
                <w:lang w:eastAsia="zh-CN"/>
              </w:rPr>
              <w:object>
                <v:shape id="_x0000_i1029" o:spt="75" type="#_x0000_t75" style="height:34pt;width:135pt;" o:ole="t" filled="f" o:preferrelative="t" stroked="f" coordsize="21600,21600">
                  <v:path/>
                  <v:fill on="f" focussize="0,0"/>
                  <v:stroke on="f"/>
                  <v:imagedata r:id="rId22" o:title=""/>
                  <o:lock v:ext="edit" aspectratio="t"/>
                  <w10:wrap type="none"/>
                  <w10:anchorlock/>
                </v:shape>
                <o:OLEObject Type="Embed" ProgID="Equation.KSEE3" ShapeID="_x0000_i1029" DrawAspect="Content" ObjectID="_1468075729" r:id="rId21">
                  <o:LockedField>false</o:LockedField>
                </o:OLEObject>
              </w:object>
            </w:r>
          </w:p>
          <w:p w14:paraId="4B1A726A">
            <w:pPr>
              <w:bidi w:val="0"/>
              <w:rPr>
                <w:color w:val="auto"/>
                <w:sz w:val="21"/>
                <w:szCs w:val="21"/>
                <w:highlight w:val="none"/>
              </w:rPr>
            </w:pPr>
            <w:r>
              <w:rPr>
                <w:color w:val="auto"/>
                <w:sz w:val="21"/>
                <w:szCs w:val="21"/>
                <w:highlight w:val="none"/>
              </w:rPr>
              <w:t>式中：L</w:t>
            </w:r>
            <w:r>
              <w:rPr>
                <w:color w:val="auto"/>
                <w:sz w:val="21"/>
                <w:szCs w:val="21"/>
                <w:highlight w:val="none"/>
                <w:vertAlign w:val="subscript"/>
              </w:rPr>
              <w:t>p1</w:t>
            </w:r>
            <w:r>
              <w:rPr>
                <w:color w:val="auto"/>
                <w:sz w:val="21"/>
                <w:szCs w:val="21"/>
                <w:highlight w:val="none"/>
              </w:rPr>
              <w:t>—靠近开口处(或窗户)室内某倍频带的声压级或A声级，dB；</w:t>
            </w:r>
          </w:p>
          <w:p w14:paraId="28D599F8">
            <w:pPr>
              <w:bidi w:val="0"/>
              <w:ind w:firstLine="1050" w:firstLineChars="500"/>
              <w:rPr>
                <w:color w:val="auto"/>
                <w:sz w:val="21"/>
                <w:szCs w:val="21"/>
                <w:highlight w:val="none"/>
              </w:rPr>
            </w:pPr>
            <w:r>
              <w:rPr>
                <w:color w:val="auto"/>
                <w:sz w:val="21"/>
                <w:szCs w:val="21"/>
                <w:highlight w:val="none"/>
              </w:rPr>
              <w:t>Lw—点声源声功率级(A计权或倍频带)，dB；</w:t>
            </w:r>
          </w:p>
          <w:p w14:paraId="418734BD">
            <w:pPr>
              <w:bidi w:val="0"/>
              <w:ind w:firstLine="1050" w:firstLineChars="500"/>
              <w:rPr>
                <w:color w:val="auto"/>
                <w:sz w:val="21"/>
                <w:szCs w:val="21"/>
                <w:highlight w:val="none"/>
              </w:rPr>
            </w:pPr>
            <w:r>
              <w:rPr>
                <w:color w:val="auto"/>
                <w:sz w:val="21"/>
                <w:szCs w:val="21"/>
                <w:highlight w:val="none"/>
              </w:rPr>
              <w:t>Q—指向性因数；通常对无指向性声源，当声源放在房间中心时，Q=1；当放在一面墙的中心时，Q=2；当放在两面墙夹角处时，Q=4；当放在三面墙夹角处时，Q=8；</w:t>
            </w:r>
          </w:p>
          <w:p w14:paraId="27094965">
            <w:pPr>
              <w:bidi w:val="0"/>
              <w:ind w:firstLine="1050" w:firstLineChars="500"/>
              <w:rPr>
                <w:color w:val="auto"/>
                <w:sz w:val="21"/>
                <w:szCs w:val="21"/>
                <w:highlight w:val="none"/>
              </w:rPr>
            </w:pPr>
            <w:r>
              <w:rPr>
                <w:color w:val="auto"/>
                <w:sz w:val="21"/>
                <w:szCs w:val="21"/>
                <w:highlight w:val="none"/>
              </w:rPr>
              <w:t>R—房间常数；R=Sα/1(1-α)，S为房间内表面面积，m</w:t>
            </w:r>
            <w:r>
              <w:rPr>
                <w:color w:val="auto"/>
                <w:sz w:val="21"/>
                <w:szCs w:val="21"/>
                <w:highlight w:val="none"/>
                <w:vertAlign w:val="superscript"/>
              </w:rPr>
              <w:t>2</w:t>
            </w:r>
            <w:r>
              <w:rPr>
                <w:color w:val="auto"/>
                <w:sz w:val="21"/>
                <w:szCs w:val="21"/>
                <w:highlight w:val="none"/>
              </w:rPr>
              <w:t>；α为平均吸声系数；</w:t>
            </w:r>
          </w:p>
          <w:p w14:paraId="28A79D92">
            <w:pPr>
              <w:bidi w:val="0"/>
              <w:rPr>
                <w:color w:val="auto"/>
                <w:sz w:val="21"/>
                <w:szCs w:val="21"/>
                <w:highlight w:val="none"/>
              </w:rPr>
            </w:pPr>
            <w:r>
              <w:rPr>
                <w:color w:val="auto"/>
                <w:sz w:val="21"/>
                <w:szCs w:val="21"/>
                <w:highlight w:val="none"/>
              </w:rPr>
              <w:t>然后按下式计算出所有室内声源在围护结构处产生的i倍频带叠加声压级：</w:t>
            </w:r>
          </w:p>
          <w:p w14:paraId="7D805948">
            <w:pPr>
              <w:bidi w:val="0"/>
              <w:jc w:val="center"/>
              <w:rPr>
                <w:color w:val="auto"/>
                <w:sz w:val="21"/>
                <w:szCs w:val="21"/>
                <w:highlight w:val="none"/>
              </w:rPr>
            </w:pPr>
            <w:r>
              <w:rPr>
                <w:color w:val="auto"/>
                <w:sz w:val="21"/>
                <w:szCs w:val="21"/>
                <w:highlight w:val="none"/>
              </w:rPr>
              <w:object>
                <v:shape id="_x0000_i1030" o:spt="75" type="#_x0000_t75" style="height:36pt;width:127pt;" o:ole="t" filled="f" o:preferrelative="t" stroked="f" coordsize="21600,21600">
                  <v:path/>
                  <v:fill on="f" focussize="0,0"/>
                  <v:stroke on="f"/>
                  <v:imagedata r:id="rId24" o:title=""/>
                  <o:lock v:ext="edit" aspectratio="t"/>
                  <w10:wrap type="none"/>
                  <w10:anchorlock/>
                </v:shape>
                <o:OLEObject Type="Embed" ProgID="Equation.KSEE3" ShapeID="_x0000_i1030" DrawAspect="Content" ObjectID="_1468075730" r:id="rId23">
                  <o:LockedField>false</o:LockedField>
                </o:OLEObject>
              </w:object>
            </w:r>
          </w:p>
          <w:p w14:paraId="13C136EB">
            <w:pPr>
              <w:bidi w:val="0"/>
              <w:jc w:val="center"/>
              <w:rPr>
                <w:rFonts w:hint="eastAsia"/>
                <w:color w:val="auto"/>
                <w:sz w:val="21"/>
                <w:szCs w:val="21"/>
                <w:highlight w:val="none"/>
                <w:lang w:eastAsia="zh-CN"/>
              </w:rPr>
            </w:pPr>
            <w:r>
              <w:rPr>
                <w:color w:val="auto"/>
                <w:sz w:val="21"/>
                <w:szCs w:val="21"/>
                <w:highlight w:val="none"/>
              </w:rPr>
              <w:t>式中：Lpli (T) —靠近围护结构处室内N 个声源 i 倍频带的叠加声压级，dB</w:t>
            </w:r>
            <w:r>
              <w:rPr>
                <w:rFonts w:hint="eastAsia"/>
                <w:color w:val="auto"/>
                <w:sz w:val="21"/>
                <w:szCs w:val="21"/>
                <w:highlight w:val="none"/>
                <w:lang w:eastAsia="zh-CN"/>
              </w:rPr>
              <w:t>；</w:t>
            </w:r>
          </w:p>
          <w:p w14:paraId="308FC0BC">
            <w:pPr>
              <w:bidi w:val="0"/>
              <w:ind w:firstLine="1050" w:firstLineChars="500"/>
              <w:jc w:val="both"/>
              <w:rPr>
                <w:color w:val="auto"/>
                <w:sz w:val="21"/>
                <w:szCs w:val="21"/>
                <w:highlight w:val="none"/>
              </w:rPr>
            </w:pPr>
            <w:r>
              <w:rPr>
                <w:color w:val="auto"/>
                <w:sz w:val="21"/>
                <w:szCs w:val="21"/>
                <w:highlight w:val="none"/>
              </w:rPr>
              <w:t>Lplij—室内j声源i倍频带的声压级，dB；</w:t>
            </w:r>
          </w:p>
          <w:p w14:paraId="6CF8E24E">
            <w:pPr>
              <w:bidi w:val="0"/>
              <w:ind w:firstLine="1050" w:firstLineChars="500"/>
              <w:jc w:val="both"/>
              <w:rPr>
                <w:color w:val="auto"/>
                <w:sz w:val="21"/>
                <w:szCs w:val="21"/>
                <w:highlight w:val="none"/>
              </w:rPr>
            </w:pPr>
            <w:r>
              <w:rPr>
                <w:color w:val="auto"/>
                <w:sz w:val="21"/>
                <w:szCs w:val="21"/>
                <w:highlight w:val="none"/>
              </w:rPr>
              <w:t>N—室内声源总数。</w:t>
            </w:r>
          </w:p>
          <w:p w14:paraId="30135AA8">
            <w:pPr>
              <w:bidi w:val="0"/>
              <w:jc w:val="both"/>
              <w:rPr>
                <w:rFonts w:hint="eastAsia"/>
                <w:color w:val="auto"/>
                <w:sz w:val="21"/>
                <w:szCs w:val="21"/>
                <w:highlight w:val="none"/>
                <w:lang w:val="en-US" w:eastAsia="zh-CN"/>
              </w:rPr>
            </w:pPr>
            <w:r>
              <w:rPr>
                <w:rFonts w:hint="eastAsia"/>
                <w:color w:val="auto"/>
                <w:sz w:val="21"/>
                <w:szCs w:val="21"/>
                <w:highlight w:val="none"/>
                <w:lang w:val="en-US" w:eastAsia="zh-CN"/>
              </w:rPr>
              <w:t>b、室外声源</w:t>
            </w:r>
          </w:p>
          <w:p w14:paraId="6265023D">
            <w:pPr>
              <w:bidi w:val="0"/>
              <w:jc w:val="both"/>
              <w:rPr>
                <w:color w:val="auto"/>
                <w:sz w:val="21"/>
                <w:szCs w:val="21"/>
                <w:highlight w:val="none"/>
              </w:rPr>
            </w:pPr>
            <w:r>
              <w:rPr>
                <w:color w:val="auto"/>
                <w:sz w:val="21"/>
                <w:szCs w:val="21"/>
                <w:highlight w:val="none"/>
              </w:rPr>
              <w:t>室外点声源对预测点的噪声声压级影响值(dB</w:t>
            </w:r>
            <w:r>
              <w:rPr>
                <w:rFonts w:hint="eastAsia"/>
                <w:color w:val="auto"/>
                <w:sz w:val="21"/>
                <w:szCs w:val="21"/>
                <w:highlight w:val="none"/>
                <w:lang w:eastAsia="zh-CN"/>
              </w:rPr>
              <w:t>（</w:t>
            </w:r>
            <w:r>
              <w:rPr>
                <w:rFonts w:hint="eastAsia"/>
                <w:color w:val="auto"/>
                <w:sz w:val="21"/>
                <w:szCs w:val="21"/>
                <w:highlight w:val="none"/>
                <w:lang w:val="en-US" w:eastAsia="zh-CN"/>
              </w:rPr>
              <w:t>A</w:t>
            </w:r>
            <w:r>
              <w:rPr>
                <w:rFonts w:hint="eastAsia"/>
                <w:color w:val="auto"/>
                <w:sz w:val="21"/>
                <w:szCs w:val="21"/>
                <w:highlight w:val="none"/>
                <w:lang w:eastAsia="zh-CN"/>
              </w:rPr>
              <w:t>）</w:t>
            </w:r>
            <w:r>
              <w:rPr>
                <w:color w:val="auto"/>
                <w:sz w:val="21"/>
                <w:szCs w:val="21"/>
                <w:highlight w:val="none"/>
              </w:rPr>
              <w:t>)为：</w:t>
            </w:r>
          </w:p>
          <w:p w14:paraId="5FA8C28D">
            <w:pPr>
              <w:bidi w:val="0"/>
              <w:jc w:val="center"/>
              <w:rPr>
                <w:color w:val="auto"/>
                <w:sz w:val="21"/>
                <w:szCs w:val="21"/>
                <w:highlight w:val="none"/>
              </w:rPr>
            </w:pPr>
            <w:r>
              <w:rPr>
                <w:color w:val="auto"/>
                <w:sz w:val="21"/>
                <w:szCs w:val="21"/>
                <w:highlight w:val="none"/>
              </w:rPr>
              <w:object>
                <v:shape id="_x0000_i1031" o:spt="75" type="#_x0000_t75" style="height:34pt;width:93pt;" o:ole="t" filled="f" o:preferrelative="t" stroked="f" coordsize="21600,21600">
                  <v:path/>
                  <v:fill on="f" focussize="0,0"/>
                  <v:stroke on="f"/>
                  <v:imagedata r:id="rId26" o:title=""/>
                  <o:lock v:ext="edit" aspectratio="t"/>
                  <w10:wrap type="none"/>
                  <w10:anchorlock/>
                </v:shape>
                <o:OLEObject Type="Embed" ProgID="Equation.KSEE3" ShapeID="_x0000_i1031" DrawAspect="Content" ObjectID="_1468075731" r:id="rId25">
                  <o:LockedField>false</o:LockedField>
                </o:OLEObject>
              </w:object>
            </w:r>
          </w:p>
          <w:p w14:paraId="3437D23D">
            <w:pPr>
              <w:bidi w:val="0"/>
              <w:spacing w:line="360" w:lineRule="auto"/>
              <w:rPr>
                <w:color w:val="auto"/>
                <w:sz w:val="21"/>
                <w:szCs w:val="21"/>
                <w:highlight w:val="none"/>
              </w:rPr>
            </w:pPr>
            <w:r>
              <w:rPr>
                <w:color w:val="auto"/>
                <w:sz w:val="21"/>
                <w:szCs w:val="21"/>
                <w:highlight w:val="none"/>
              </w:rPr>
              <w:t>式中：L(r)为预测点的声压级(dB(A))；</w:t>
            </w:r>
          </w:p>
          <w:p w14:paraId="5ED0B280">
            <w:pPr>
              <w:bidi w:val="0"/>
              <w:spacing w:line="360" w:lineRule="auto"/>
              <w:ind w:firstLine="1050" w:firstLineChars="500"/>
              <w:rPr>
                <w:color w:val="auto"/>
                <w:sz w:val="21"/>
                <w:szCs w:val="21"/>
                <w:highlight w:val="none"/>
              </w:rPr>
            </w:pPr>
            <w:r>
              <w:rPr>
                <w:color w:val="auto"/>
                <w:sz w:val="21"/>
                <w:szCs w:val="21"/>
                <w:highlight w:val="none"/>
              </w:rPr>
              <w:t>L</w:t>
            </w:r>
            <w:r>
              <w:rPr>
                <w:rFonts w:hint="eastAsia"/>
                <w:color w:val="auto"/>
                <w:sz w:val="21"/>
                <w:szCs w:val="21"/>
                <w:highlight w:val="none"/>
                <w:vertAlign w:val="subscript"/>
                <w:lang w:val="en-US" w:eastAsia="zh-CN"/>
              </w:rPr>
              <w:t>p0</w:t>
            </w:r>
            <w:r>
              <w:rPr>
                <w:color w:val="auto"/>
                <w:sz w:val="21"/>
                <w:szCs w:val="21"/>
                <w:highlight w:val="none"/>
              </w:rPr>
              <w:t>为点声源在</w:t>
            </w:r>
            <w:r>
              <w:rPr>
                <w:rFonts w:hint="eastAsia"/>
                <w:color w:val="auto"/>
                <w:sz w:val="21"/>
                <w:szCs w:val="21"/>
                <w:highlight w:val="none"/>
                <w:lang w:val="en-US" w:eastAsia="zh-CN"/>
              </w:rPr>
              <w:t>r0</w:t>
            </w:r>
            <w:r>
              <w:rPr>
                <w:color w:val="auto"/>
                <w:sz w:val="21"/>
                <w:szCs w:val="21"/>
                <w:highlight w:val="none"/>
              </w:rPr>
              <w:t>(m)距离处测定的声压级 (dB (A) ) ；</w:t>
            </w:r>
          </w:p>
          <w:p w14:paraId="3A8504AB">
            <w:pPr>
              <w:bidi w:val="0"/>
              <w:spacing w:line="360" w:lineRule="auto"/>
              <w:ind w:firstLine="840" w:firstLineChars="400"/>
              <w:rPr>
                <w:color w:val="auto"/>
                <w:sz w:val="21"/>
                <w:szCs w:val="21"/>
                <w:highlight w:val="none"/>
              </w:rPr>
            </w:pPr>
            <w:r>
              <w:rPr>
                <w:color w:val="auto"/>
                <w:sz w:val="21"/>
                <w:szCs w:val="21"/>
                <w:highlight w:val="none"/>
              </w:rPr>
              <w:t>r为点声源距预测点的距离(m)。</w:t>
            </w:r>
          </w:p>
          <w:p w14:paraId="4EF38C34">
            <w:pPr>
              <w:bidi w:val="0"/>
              <w:spacing w:line="360" w:lineRule="auto"/>
              <w:rPr>
                <w:color w:val="auto"/>
                <w:sz w:val="21"/>
                <w:szCs w:val="21"/>
                <w:highlight w:val="none"/>
              </w:rPr>
            </w:pPr>
            <w:r>
              <w:rPr>
                <w:color w:val="auto"/>
                <w:sz w:val="21"/>
                <w:szCs w:val="21"/>
                <w:highlight w:val="none"/>
              </w:rPr>
              <w:t>c、合成声压级公式为：</w:t>
            </w:r>
          </w:p>
          <w:p w14:paraId="65FC472C">
            <w:pPr>
              <w:bidi w:val="0"/>
              <w:spacing w:line="360" w:lineRule="auto"/>
              <w:jc w:val="center"/>
              <w:rPr>
                <w:rFonts w:hint="eastAsia"/>
                <w:color w:val="auto"/>
                <w:sz w:val="21"/>
                <w:szCs w:val="21"/>
                <w:highlight w:val="none"/>
                <w:lang w:eastAsia="zh-CN"/>
              </w:rPr>
            </w:pPr>
            <w:r>
              <w:rPr>
                <w:color w:val="auto"/>
                <w:sz w:val="21"/>
                <w:szCs w:val="21"/>
                <w:highlight w:val="none"/>
              </w:rPr>
              <w:object>
                <v:shape id="_x0000_i1032" o:spt="75" type="#_x0000_t75" style="height:40pt;width:206pt;" o:ole="t" filled="f" o:preferrelative="t" stroked="f" coordsize="21600,21600">
                  <v:path/>
                  <v:fill on="f" focussize="0,0"/>
                  <v:stroke on="f"/>
                  <v:imagedata r:id="rId28" o:title=""/>
                  <o:lock v:ext="edit" aspectratio="t"/>
                  <w10:wrap type="none"/>
                  <w10:anchorlock/>
                </v:shape>
                <o:OLEObject Type="Embed" ProgID="Equation.KSEE3" ShapeID="_x0000_i1032" DrawAspect="Content" ObjectID="_1468075732" r:id="rId27">
                  <o:LockedField>false</o:LockedField>
                </o:OLEObject>
              </w:object>
            </w:r>
          </w:p>
          <w:p w14:paraId="123F4DD3">
            <w:pPr>
              <w:keepNext w:val="0"/>
              <w:keepLines w:val="0"/>
              <w:widowControl/>
              <w:suppressLineNumbers w:val="0"/>
              <w:jc w:val="left"/>
              <w:rPr>
                <w:color w:val="auto"/>
                <w:sz w:val="21"/>
                <w:szCs w:val="21"/>
                <w:highlight w:val="none"/>
              </w:rPr>
            </w:pPr>
            <w:r>
              <w:rPr>
                <w:rFonts w:hint="eastAsia"/>
                <w:color w:val="auto"/>
                <w:sz w:val="21"/>
                <w:szCs w:val="21"/>
                <w:highlight w:val="none"/>
                <w:lang w:val="en-US" w:eastAsia="zh-CN"/>
              </w:rPr>
              <w:t>式中：</w:t>
            </w:r>
            <w:r>
              <w:rPr>
                <w:rFonts w:hint="default"/>
                <w:color w:val="auto"/>
                <w:sz w:val="21"/>
                <w:szCs w:val="21"/>
                <w:highlight w:val="none"/>
                <w:lang w:val="en-US" w:eastAsia="zh-CN"/>
              </w:rPr>
              <w:t>Leq</w:t>
            </w:r>
            <w:r>
              <w:rPr>
                <w:color w:val="auto"/>
                <w:sz w:val="21"/>
                <w:szCs w:val="21"/>
                <w:highlight w:val="none"/>
                <w:lang w:val="en-US" w:eastAsia="zh-CN"/>
              </w:rPr>
              <w:t>g</w:t>
            </w:r>
            <w:r>
              <w:rPr>
                <w:rFonts w:hint="default"/>
                <w:color w:val="auto"/>
                <w:sz w:val="21"/>
                <w:szCs w:val="21"/>
                <w:highlight w:val="none"/>
                <w:lang w:val="en-US" w:eastAsia="zh-CN"/>
              </w:rPr>
              <w:t>—</w:t>
            </w:r>
            <w:r>
              <w:rPr>
                <w:rFonts w:hint="eastAsia"/>
                <w:color w:val="auto"/>
                <w:sz w:val="21"/>
                <w:szCs w:val="21"/>
                <w:highlight w:val="none"/>
                <w:lang w:val="en-US" w:eastAsia="zh-CN"/>
              </w:rPr>
              <w:t>建设项目声源在预测点产生的噪声贡献值，</w:t>
            </w:r>
            <w:r>
              <w:rPr>
                <w:rFonts w:hint="default"/>
                <w:color w:val="auto"/>
                <w:sz w:val="21"/>
                <w:szCs w:val="21"/>
                <w:highlight w:val="none"/>
                <w:lang w:val="en-US" w:eastAsia="zh-CN"/>
              </w:rPr>
              <w:t>dB</w:t>
            </w:r>
            <w:r>
              <w:rPr>
                <w:rFonts w:hint="eastAsia"/>
                <w:color w:val="auto"/>
                <w:sz w:val="21"/>
                <w:szCs w:val="21"/>
                <w:highlight w:val="none"/>
                <w:lang w:val="en-US" w:eastAsia="zh-CN"/>
              </w:rPr>
              <w:t>；</w:t>
            </w:r>
          </w:p>
          <w:p w14:paraId="712DBFC8">
            <w:pPr>
              <w:keepNext w:val="0"/>
              <w:keepLines w:val="0"/>
              <w:widowControl/>
              <w:suppressLineNumbers w:val="0"/>
              <w:ind w:firstLine="1050" w:firstLineChars="500"/>
              <w:jc w:val="left"/>
              <w:rPr>
                <w:rFonts w:hint="default"/>
                <w:color w:val="auto"/>
                <w:sz w:val="21"/>
                <w:szCs w:val="21"/>
                <w:highlight w:val="none"/>
              </w:rPr>
            </w:pPr>
            <w:r>
              <w:rPr>
                <w:rFonts w:hint="default"/>
                <w:color w:val="auto"/>
                <w:sz w:val="21"/>
                <w:szCs w:val="21"/>
                <w:highlight w:val="none"/>
                <w:lang w:val="en-US" w:eastAsia="zh-CN"/>
              </w:rPr>
              <w:t>LAi—第i个室外声源在预测点产生的A声级；</w:t>
            </w:r>
          </w:p>
          <w:p w14:paraId="71DE1635">
            <w:pPr>
              <w:keepNext w:val="0"/>
              <w:keepLines w:val="0"/>
              <w:widowControl/>
              <w:suppressLineNumbers w:val="0"/>
              <w:ind w:firstLine="1050" w:firstLineChars="500"/>
              <w:jc w:val="left"/>
              <w:rPr>
                <w:rFonts w:hint="default"/>
                <w:color w:val="auto"/>
                <w:sz w:val="21"/>
                <w:szCs w:val="21"/>
                <w:highlight w:val="none"/>
              </w:rPr>
            </w:pPr>
            <w:r>
              <w:rPr>
                <w:rFonts w:hint="default"/>
                <w:color w:val="auto"/>
                <w:sz w:val="21"/>
                <w:szCs w:val="21"/>
                <w:highlight w:val="none"/>
                <w:lang w:val="en-US" w:eastAsia="zh-CN"/>
              </w:rPr>
              <w:t>LAj—第j个等效室外声源在预测点产生的A声级；</w:t>
            </w:r>
          </w:p>
          <w:p w14:paraId="48C53ACD">
            <w:pPr>
              <w:keepNext w:val="0"/>
              <w:keepLines w:val="0"/>
              <w:widowControl/>
              <w:suppressLineNumbers w:val="0"/>
              <w:ind w:firstLine="1050" w:firstLineChars="500"/>
              <w:jc w:val="left"/>
              <w:rPr>
                <w:rFonts w:hint="default"/>
                <w:color w:val="auto"/>
                <w:sz w:val="21"/>
                <w:szCs w:val="21"/>
                <w:highlight w:val="none"/>
              </w:rPr>
            </w:pPr>
            <w:r>
              <w:rPr>
                <w:rFonts w:hint="default"/>
                <w:color w:val="auto"/>
                <w:sz w:val="21"/>
                <w:szCs w:val="21"/>
                <w:highlight w:val="none"/>
                <w:lang w:val="en-US" w:eastAsia="zh-CN"/>
              </w:rPr>
              <w:t>T—用于计算等效声级的时间，s；</w:t>
            </w:r>
          </w:p>
          <w:p w14:paraId="621C0FBB">
            <w:pPr>
              <w:keepNext w:val="0"/>
              <w:keepLines w:val="0"/>
              <w:widowControl/>
              <w:suppressLineNumbers w:val="0"/>
              <w:ind w:firstLine="1050" w:firstLineChars="500"/>
              <w:jc w:val="left"/>
              <w:rPr>
                <w:rFonts w:hint="default"/>
                <w:color w:val="auto"/>
                <w:sz w:val="21"/>
                <w:szCs w:val="21"/>
                <w:highlight w:val="none"/>
              </w:rPr>
            </w:pPr>
            <w:r>
              <w:rPr>
                <w:rFonts w:hint="default"/>
                <w:color w:val="auto"/>
                <w:sz w:val="21"/>
                <w:szCs w:val="21"/>
                <w:highlight w:val="none"/>
                <w:lang w:val="en-US" w:eastAsia="zh-CN"/>
              </w:rPr>
              <w:t>N—室外声源个数；</w:t>
            </w:r>
          </w:p>
          <w:p w14:paraId="5BCDA51C">
            <w:pPr>
              <w:keepNext w:val="0"/>
              <w:keepLines w:val="0"/>
              <w:widowControl/>
              <w:suppressLineNumbers w:val="0"/>
              <w:ind w:firstLine="1050" w:firstLineChars="500"/>
              <w:jc w:val="left"/>
              <w:rPr>
                <w:rFonts w:hint="default"/>
                <w:color w:val="auto"/>
                <w:sz w:val="21"/>
                <w:szCs w:val="21"/>
                <w:highlight w:val="none"/>
              </w:rPr>
            </w:pPr>
            <w:r>
              <w:rPr>
                <w:rFonts w:hint="default"/>
                <w:color w:val="auto"/>
                <w:sz w:val="21"/>
                <w:szCs w:val="21"/>
                <w:highlight w:val="none"/>
                <w:lang w:val="en-US" w:eastAsia="zh-CN"/>
              </w:rPr>
              <w:t>ti—在T时间内i声源工作时间，s；</w:t>
            </w:r>
          </w:p>
          <w:p w14:paraId="2E5A12AC">
            <w:pPr>
              <w:keepNext w:val="0"/>
              <w:keepLines w:val="0"/>
              <w:widowControl/>
              <w:suppressLineNumbers w:val="0"/>
              <w:ind w:firstLine="1050" w:firstLineChars="500"/>
              <w:jc w:val="left"/>
              <w:rPr>
                <w:rFonts w:hint="default"/>
                <w:color w:val="auto"/>
                <w:sz w:val="21"/>
                <w:szCs w:val="21"/>
                <w:highlight w:val="none"/>
              </w:rPr>
            </w:pPr>
            <w:r>
              <w:rPr>
                <w:rFonts w:hint="default"/>
                <w:color w:val="auto"/>
                <w:sz w:val="21"/>
                <w:szCs w:val="21"/>
                <w:highlight w:val="none"/>
                <w:lang w:val="en-US" w:eastAsia="zh-CN"/>
              </w:rPr>
              <w:t>M—等效室外声源个数；</w:t>
            </w:r>
          </w:p>
          <w:p w14:paraId="2F3CE3B9">
            <w:pPr>
              <w:keepNext w:val="0"/>
              <w:keepLines w:val="0"/>
              <w:widowControl/>
              <w:suppressLineNumbers w:val="0"/>
              <w:ind w:firstLine="1050" w:firstLineChars="500"/>
              <w:jc w:val="left"/>
              <w:rPr>
                <w:rFonts w:hint="default"/>
                <w:color w:val="auto"/>
                <w:sz w:val="21"/>
                <w:szCs w:val="21"/>
                <w:highlight w:val="none"/>
                <w:lang w:val="en-US" w:eastAsia="zh-CN"/>
              </w:rPr>
            </w:pPr>
            <w:r>
              <w:rPr>
                <w:rFonts w:hint="default"/>
                <w:color w:val="auto"/>
                <w:sz w:val="21"/>
                <w:szCs w:val="21"/>
                <w:highlight w:val="none"/>
                <w:lang w:val="en-US" w:eastAsia="zh-CN"/>
              </w:rPr>
              <w:t>tj—在T时间内j声源工作时间，s。</w:t>
            </w:r>
          </w:p>
          <w:p w14:paraId="3E3E01DA">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黑体" w:cs="Times New Roman"/>
                <w:color w:val="auto"/>
                <w:sz w:val="21"/>
                <w:szCs w:val="21"/>
                <w:highlight w:val="none"/>
              </w:rPr>
            </w:pPr>
            <w:r>
              <w:rPr>
                <w:rFonts w:hint="default" w:ascii="Times New Roman" w:hAnsi="Times New Roman" w:cs="Times New Roman"/>
                <w:color w:val="auto"/>
                <w:sz w:val="21"/>
                <w:szCs w:val="21"/>
                <w:highlight w:val="none"/>
                <w:lang w:val="en-US" w:eastAsia="zh-CN"/>
              </w:rPr>
              <w:t>项目</w:t>
            </w:r>
            <w:r>
              <w:rPr>
                <w:rFonts w:hint="eastAsia" w:cs="Times New Roman"/>
                <w:color w:val="auto"/>
                <w:sz w:val="21"/>
                <w:szCs w:val="21"/>
                <w:highlight w:val="none"/>
                <w:lang w:val="en-US" w:eastAsia="zh-CN"/>
              </w:rPr>
              <w:t>仅昼间生产，</w:t>
            </w:r>
            <w:r>
              <w:rPr>
                <w:rFonts w:hint="default" w:ascii="Times New Roman" w:hAnsi="Times New Roman" w:cs="Times New Roman"/>
                <w:color w:val="auto"/>
                <w:sz w:val="21"/>
                <w:szCs w:val="21"/>
                <w:highlight w:val="none"/>
              </w:rPr>
              <w:t>设备同时运转时的最大噪声源强至各个厂界的噪声预测值见下表。</w:t>
            </w:r>
          </w:p>
          <w:p w14:paraId="285DE08F">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
                <w:color w:val="auto"/>
                <w:sz w:val="21"/>
                <w:szCs w:val="21"/>
                <w:highlight w:val="none"/>
                <w:lang w:eastAsia="zh-CN"/>
              </w:rPr>
            </w:pPr>
            <w:r>
              <w:rPr>
                <w:rFonts w:hint="default" w:ascii="Times New Roman" w:hAnsi="Times New Roman" w:eastAsia="宋体" w:cs="Times New Roman"/>
                <w:b/>
                <w:color w:val="auto"/>
                <w:sz w:val="21"/>
                <w:szCs w:val="21"/>
                <w:highlight w:val="none"/>
              </w:rPr>
              <w:t>表</w:t>
            </w:r>
            <w:r>
              <w:rPr>
                <w:rFonts w:hint="eastAsia" w:cs="Times New Roman"/>
                <w:b/>
                <w:color w:val="auto"/>
                <w:sz w:val="21"/>
                <w:szCs w:val="21"/>
                <w:highlight w:val="none"/>
                <w:lang w:val="en-US" w:eastAsia="zh-CN"/>
              </w:rPr>
              <w:t xml:space="preserve">34 </w:t>
            </w:r>
            <w:r>
              <w:rPr>
                <w:rFonts w:hint="default" w:ascii="Times New Roman" w:hAnsi="Times New Roman" w:eastAsia="宋体" w:cs="Times New Roman"/>
                <w:b/>
                <w:color w:val="auto"/>
                <w:sz w:val="21"/>
                <w:szCs w:val="21"/>
                <w:highlight w:val="none"/>
              </w:rPr>
              <w:t xml:space="preserve"> 噪声预测结果  单位：dB</w:t>
            </w:r>
            <w:r>
              <w:rPr>
                <w:rFonts w:hint="default" w:ascii="Times New Roman" w:hAnsi="Times New Roman" w:eastAsia="宋体" w:cs="Times New Roman"/>
                <w:b/>
                <w:color w:val="auto"/>
                <w:sz w:val="21"/>
                <w:szCs w:val="21"/>
                <w:highlight w:val="none"/>
                <w:lang w:eastAsia="zh-CN"/>
              </w:rPr>
              <w:t>(</w:t>
            </w:r>
            <w:r>
              <w:rPr>
                <w:rFonts w:hint="default" w:ascii="Times New Roman" w:hAnsi="Times New Roman" w:eastAsia="宋体" w:cs="Times New Roman"/>
                <w:b/>
                <w:color w:val="auto"/>
                <w:sz w:val="21"/>
                <w:szCs w:val="21"/>
                <w:highlight w:val="none"/>
              </w:rPr>
              <w:t>A</w:t>
            </w:r>
            <w:r>
              <w:rPr>
                <w:rFonts w:hint="default" w:ascii="Times New Roman" w:hAnsi="Times New Roman" w:eastAsia="宋体" w:cs="Times New Roman"/>
                <w:b/>
                <w:color w:val="auto"/>
                <w:sz w:val="21"/>
                <w:szCs w:val="21"/>
                <w:highlight w:val="none"/>
                <w:lang w:eastAsia="zh-CN"/>
              </w:rPr>
              <w:t>)</w:t>
            </w:r>
          </w:p>
          <w:tbl>
            <w:tblPr>
              <w:tblStyle w:val="45"/>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6" w:type="dxa"/>
                <w:left w:w="28" w:type="dxa"/>
                <w:bottom w:w="6" w:type="dxa"/>
                <w:right w:w="28" w:type="dxa"/>
              </w:tblCellMar>
            </w:tblPr>
            <w:tblGrid>
              <w:gridCol w:w="2587"/>
              <w:gridCol w:w="2497"/>
              <w:gridCol w:w="4094"/>
            </w:tblGrid>
            <w:tr w14:paraId="6F8C9FCB">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6" w:type="dxa"/>
                  <w:left w:w="28" w:type="dxa"/>
                  <w:bottom w:w="6" w:type="dxa"/>
                  <w:right w:w="28" w:type="dxa"/>
                </w:tblCellMar>
              </w:tblPrEx>
              <w:trPr>
                <w:cantSplit/>
                <w:trHeight w:val="397" w:hRule="atLeast"/>
                <w:jc w:val="center"/>
              </w:trPr>
              <w:tc>
                <w:tcPr>
                  <w:tcW w:w="1409" w:type="pct"/>
                  <w:tcBorders>
                    <w:tl2br w:val="nil"/>
                    <w:tr2bl w:val="nil"/>
                  </w:tcBorders>
                  <w:vAlign w:val="center"/>
                </w:tcPr>
                <w:p w14:paraId="54D0AF87">
                  <w:pPr>
                    <w:pStyle w:val="20"/>
                    <w:spacing w:line="240" w:lineRule="auto"/>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评价点</w:t>
                  </w:r>
                </w:p>
              </w:tc>
              <w:tc>
                <w:tcPr>
                  <w:tcW w:w="1360" w:type="pct"/>
                  <w:tcBorders>
                    <w:tl2br w:val="nil"/>
                    <w:tr2bl w:val="nil"/>
                  </w:tcBorders>
                  <w:vAlign w:val="center"/>
                </w:tcPr>
                <w:p w14:paraId="457B7281">
                  <w:pPr>
                    <w:pStyle w:val="20"/>
                    <w:spacing w:line="240" w:lineRule="auto"/>
                    <w:jc w:val="center"/>
                    <w:rPr>
                      <w:rFonts w:hint="default" w:ascii="Times New Roman" w:hAnsi="Times New Roman" w:cs="Times New Roman"/>
                      <w:b/>
                      <w:bCs/>
                      <w:color w:val="auto"/>
                      <w:sz w:val="21"/>
                      <w:szCs w:val="21"/>
                      <w:highlight w:val="none"/>
                    </w:rPr>
                  </w:pPr>
                  <w:r>
                    <w:rPr>
                      <w:rFonts w:hint="eastAsia" w:ascii="Times New Roman" w:hAnsi="Times New Roman" w:cs="Times New Roman"/>
                      <w:b/>
                      <w:bCs/>
                      <w:color w:val="auto"/>
                      <w:sz w:val="21"/>
                      <w:szCs w:val="21"/>
                      <w:highlight w:val="none"/>
                      <w:lang w:val="en-US" w:eastAsia="zh-CN"/>
                    </w:rPr>
                    <w:t>昼间</w:t>
                  </w:r>
                  <w:r>
                    <w:rPr>
                      <w:rFonts w:hint="default" w:ascii="Times New Roman" w:hAnsi="Times New Roman" w:cs="Times New Roman"/>
                      <w:b/>
                      <w:bCs/>
                      <w:color w:val="auto"/>
                      <w:sz w:val="21"/>
                      <w:szCs w:val="21"/>
                      <w:highlight w:val="none"/>
                    </w:rPr>
                    <w:t>贡献值</w:t>
                  </w:r>
                </w:p>
              </w:tc>
              <w:tc>
                <w:tcPr>
                  <w:tcW w:w="2230" w:type="pct"/>
                  <w:tcBorders>
                    <w:tl2br w:val="nil"/>
                    <w:tr2bl w:val="nil"/>
                  </w:tcBorders>
                  <w:vAlign w:val="center"/>
                </w:tcPr>
                <w:p w14:paraId="13BD5FB8">
                  <w:pPr>
                    <w:pStyle w:val="20"/>
                    <w:spacing w:line="240" w:lineRule="auto"/>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标准值</w:t>
                  </w:r>
                </w:p>
              </w:tc>
            </w:tr>
            <w:tr w14:paraId="7A78EA25">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6" w:type="dxa"/>
                  <w:left w:w="28" w:type="dxa"/>
                  <w:bottom w:w="6" w:type="dxa"/>
                  <w:right w:w="28" w:type="dxa"/>
                </w:tblCellMar>
              </w:tblPrEx>
              <w:trPr>
                <w:cantSplit/>
                <w:trHeight w:val="397" w:hRule="atLeast"/>
                <w:jc w:val="center"/>
              </w:trPr>
              <w:tc>
                <w:tcPr>
                  <w:tcW w:w="1409" w:type="pct"/>
                  <w:tcBorders>
                    <w:tl2br w:val="nil"/>
                    <w:tr2bl w:val="nil"/>
                  </w:tcBorders>
                  <w:vAlign w:val="center"/>
                </w:tcPr>
                <w:p w14:paraId="6060D31C">
                  <w:pPr>
                    <w:spacing w:line="240" w:lineRule="auto"/>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东厂界</w:t>
                  </w:r>
                </w:p>
              </w:tc>
              <w:tc>
                <w:tcPr>
                  <w:tcW w:w="2478" w:type="dxa"/>
                  <w:tcBorders>
                    <w:tl2br w:val="nil"/>
                    <w:tr2bl w:val="nil"/>
                  </w:tcBorders>
                  <w:vAlign w:val="center"/>
                </w:tcPr>
                <w:p w14:paraId="070585D6">
                  <w:pPr>
                    <w:keepNext w:val="0"/>
                    <w:keepLines w:val="0"/>
                    <w:widowControl/>
                    <w:suppressLineNumbers w:val="0"/>
                    <w:jc w:val="center"/>
                    <w:textAlignment w:val="center"/>
                    <w:rPr>
                      <w:rFonts w:hint="default" w:ascii="Times New Roman" w:hAnsi="Times New Roman" w:eastAsia="宋体" w:cs="Times New Roman"/>
                      <w:color w:val="0000FF"/>
                      <w:sz w:val="21"/>
                      <w:szCs w:val="21"/>
                      <w:highlight w:val="none"/>
                      <w:lang w:val="en-US" w:eastAsia="zh-CN"/>
                    </w:rPr>
                  </w:pPr>
                  <w:r>
                    <w:rPr>
                      <w:rFonts w:hint="eastAsia" w:cs="Times New Roman"/>
                      <w:i w:val="0"/>
                      <w:iCs w:val="0"/>
                      <w:color w:val="auto"/>
                      <w:kern w:val="2"/>
                      <w:sz w:val="21"/>
                      <w:szCs w:val="21"/>
                      <w:highlight w:val="none"/>
                      <w:u w:val="none"/>
                      <w:lang w:val="en-US" w:eastAsia="zh-CN" w:bidi="ar-SA"/>
                    </w:rPr>
                    <w:t>36.1</w:t>
                  </w:r>
                </w:p>
              </w:tc>
              <w:tc>
                <w:tcPr>
                  <w:tcW w:w="2230" w:type="pct"/>
                  <w:vMerge w:val="restart"/>
                  <w:tcBorders>
                    <w:tl2br w:val="nil"/>
                    <w:tr2bl w:val="nil"/>
                  </w:tcBorders>
                  <w:vAlign w:val="center"/>
                </w:tcPr>
                <w:p w14:paraId="3B1B7672">
                  <w:pPr>
                    <w:pStyle w:val="2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《工业企业厂界环境噪声排放标准》</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GB12348-2008</w:t>
                  </w:r>
                  <w:r>
                    <w:rPr>
                      <w:rFonts w:hint="default" w:ascii="Times New Roman" w:hAnsi="Times New Roman" w:cs="Times New Roman"/>
                      <w:color w:val="auto"/>
                      <w:szCs w:val="24"/>
                      <w:highlight w:val="none"/>
                      <w:lang w:eastAsia="zh-CN"/>
                    </w:rPr>
                    <w:t>)</w:t>
                  </w:r>
                  <w:r>
                    <w:rPr>
                      <w:rFonts w:hint="eastAsia" w:ascii="Times New Roman" w:hAnsi="Times New Roman"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类标准</w:t>
                  </w:r>
                  <w:r>
                    <w:rPr>
                      <w:rFonts w:hint="default" w:ascii="Times New Roman" w:hAnsi="Times New Roman" w:eastAsia="宋体" w:cs="Times New Roman"/>
                      <w:color w:val="auto"/>
                      <w:sz w:val="21"/>
                      <w:szCs w:val="21"/>
                      <w:highlight w:val="none"/>
                      <w:lang w:val="en-US" w:eastAsia="zh-CN"/>
                    </w:rPr>
                    <w:t>要求</w:t>
                  </w:r>
                </w:p>
              </w:tc>
            </w:tr>
            <w:tr w14:paraId="6F8E019F">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6" w:type="dxa"/>
                  <w:left w:w="28" w:type="dxa"/>
                  <w:bottom w:w="6" w:type="dxa"/>
                  <w:right w:w="28" w:type="dxa"/>
                </w:tblCellMar>
              </w:tblPrEx>
              <w:trPr>
                <w:cantSplit/>
                <w:trHeight w:val="397" w:hRule="atLeast"/>
                <w:jc w:val="center"/>
              </w:trPr>
              <w:tc>
                <w:tcPr>
                  <w:tcW w:w="1409" w:type="pct"/>
                  <w:tcBorders>
                    <w:tl2br w:val="nil"/>
                    <w:tr2bl w:val="nil"/>
                  </w:tcBorders>
                  <w:vAlign w:val="center"/>
                </w:tcPr>
                <w:p w14:paraId="2164DE74">
                  <w:pPr>
                    <w:spacing w:line="240" w:lineRule="auto"/>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南厂界</w:t>
                  </w:r>
                </w:p>
              </w:tc>
              <w:tc>
                <w:tcPr>
                  <w:tcW w:w="2478" w:type="dxa"/>
                  <w:tcBorders>
                    <w:tl2br w:val="nil"/>
                    <w:tr2bl w:val="nil"/>
                  </w:tcBorders>
                  <w:vAlign w:val="center"/>
                </w:tcPr>
                <w:p w14:paraId="5CB9BEC5">
                  <w:pPr>
                    <w:keepNext w:val="0"/>
                    <w:keepLines w:val="0"/>
                    <w:widowControl/>
                    <w:suppressLineNumbers w:val="0"/>
                    <w:jc w:val="center"/>
                    <w:textAlignment w:val="center"/>
                    <w:rPr>
                      <w:rFonts w:hint="default" w:ascii="Times New Roman" w:hAnsi="Times New Roman" w:eastAsia="宋体" w:cs="Times New Roman"/>
                      <w:color w:val="0000FF"/>
                      <w:sz w:val="21"/>
                      <w:szCs w:val="21"/>
                      <w:highlight w:val="none"/>
                      <w:lang w:val="en-US" w:eastAsia="zh-CN"/>
                    </w:rPr>
                  </w:pPr>
                  <w:r>
                    <w:rPr>
                      <w:rFonts w:hint="eastAsia" w:cs="Times New Roman"/>
                      <w:i w:val="0"/>
                      <w:iCs w:val="0"/>
                      <w:color w:val="auto"/>
                      <w:kern w:val="2"/>
                      <w:sz w:val="21"/>
                      <w:szCs w:val="21"/>
                      <w:highlight w:val="none"/>
                      <w:u w:val="none"/>
                      <w:lang w:val="en-US" w:eastAsia="zh-CN" w:bidi="ar-SA"/>
                    </w:rPr>
                    <w:t>40.6</w:t>
                  </w:r>
                </w:p>
              </w:tc>
              <w:tc>
                <w:tcPr>
                  <w:tcW w:w="2230" w:type="pct"/>
                  <w:vMerge w:val="continue"/>
                  <w:tcBorders>
                    <w:tl2br w:val="nil"/>
                    <w:tr2bl w:val="nil"/>
                  </w:tcBorders>
                  <w:vAlign w:val="center"/>
                </w:tcPr>
                <w:p w14:paraId="28F73565">
                  <w:pPr>
                    <w:pStyle w:val="20"/>
                    <w:spacing w:line="240" w:lineRule="auto"/>
                    <w:jc w:val="center"/>
                    <w:rPr>
                      <w:rFonts w:hint="default" w:ascii="Times New Roman" w:hAnsi="Times New Roman" w:cs="Times New Roman"/>
                      <w:b/>
                      <w:bCs/>
                      <w:color w:val="0000FF"/>
                      <w:sz w:val="21"/>
                      <w:szCs w:val="21"/>
                      <w:highlight w:val="none"/>
                    </w:rPr>
                  </w:pPr>
                </w:p>
              </w:tc>
            </w:tr>
            <w:tr w14:paraId="24AE2054">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6" w:type="dxa"/>
                  <w:left w:w="28" w:type="dxa"/>
                  <w:bottom w:w="6" w:type="dxa"/>
                  <w:right w:w="28" w:type="dxa"/>
                </w:tblCellMar>
              </w:tblPrEx>
              <w:trPr>
                <w:cantSplit/>
                <w:trHeight w:val="397" w:hRule="atLeast"/>
                <w:jc w:val="center"/>
              </w:trPr>
              <w:tc>
                <w:tcPr>
                  <w:tcW w:w="1409" w:type="pct"/>
                  <w:tcBorders>
                    <w:tl2br w:val="nil"/>
                    <w:tr2bl w:val="nil"/>
                  </w:tcBorders>
                  <w:vAlign w:val="center"/>
                </w:tcPr>
                <w:p w14:paraId="14446D41">
                  <w:pPr>
                    <w:spacing w:line="240" w:lineRule="auto"/>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西厂界</w:t>
                  </w:r>
                </w:p>
              </w:tc>
              <w:tc>
                <w:tcPr>
                  <w:tcW w:w="2478" w:type="dxa"/>
                  <w:tcBorders>
                    <w:tl2br w:val="nil"/>
                    <w:tr2bl w:val="nil"/>
                  </w:tcBorders>
                  <w:vAlign w:val="center"/>
                </w:tcPr>
                <w:p w14:paraId="09E1B5A4">
                  <w:pPr>
                    <w:keepNext w:val="0"/>
                    <w:keepLines w:val="0"/>
                    <w:widowControl/>
                    <w:suppressLineNumbers w:val="0"/>
                    <w:jc w:val="center"/>
                    <w:textAlignment w:val="center"/>
                    <w:rPr>
                      <w:rFonts w:hint="default" w:ascii="Times New Roman" w:hAnsi="Times New Roman" w:eastAsia="宋体" w:cs="Times New Roman"/>
                      <w:color w:val="0000FF"/>
                      <w:sz w:val="21"/>
                      <w:szCs w:val="21"/>
                      <w:highlight w:val="none"/>
                      <w:lang w:val="en-US" w:eastAsia="zh-CN"/>
                    </w:rPr>
                  </w:pPr>
                  <w:r>
                    <w:rPr>
                      <w:rFonts w:hint="eastAsia" w:cs="Times New Roman"/>
                      <w:i w:val="0"/>
                      <w:iCs w:val="0"/>
                      <w:color w:val="auto"/>
                      <w:kern w:val="2"/>
                      <w:sz w:val="21"/>
                      <w:szCs w:val="21"/>
                      <w:highlight w:val="none"/>
                      <w:u w:val="none"/>
                      <w:lang w:val="en-US" w:eastAsia="zh-CN" w:bidi="ar-SA"/>
                    </w:rPr>
                    <w:t>43.8</w:t>
                  </w:r>
                </w:p>
              </w:tc>
              <w:tc>
                <w:tcPr>
                  <w:tcW w:w="2230" w:type="pct"/>
                  <w:vMerge w:val="continue"/>
                  <w:tcBorders>
                    <w:tl2br w:val="nil"/>
                    <w:tr2bl w:val="nil"/>
                  </w:tcBorders>
                  <w:vAlign w:val="center"/>
                </w:tcPr>
                <w:p w14:paraId="427B0F70">
                  <w:pPr>
                    <w:pStyle w:val="20"/>
                    <w:spacing w:line="240" w:lineRule="auto"/>
                    <w:jc w:val="center"/>
                    <w:rPr>
                      <w:rFonts w:hint="default" w:ascii="Times New Roman" w:hAnsi="Times New Roman" w:cs="Times New Roman"/>
                      <w:b/>
                      <w:bCs/>
                      <w:color w:val="0000FF"/>
                      <w:sz w:val="21"/>
                      <w:szCs w:val="21"/>
                      <w:highlight w:val="none"/>
                    </w:rPr>
                  </w:pPr>
                </w:p>
              </w:tc>
            </w:tr>
            <w:tr w14:paraId="5C8FCC3A">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6" w:type="dxa"/>
                  <w:left w:w="28" w:type="dxa"/>
                  <w:bottom w:w="6" w:type="dxa"/>
                  <w:right w:w="28" w:type="dxa"/>
                </w:tblCellMar>
              </w:tblPrEx>
              <w:trPr>
                <w:cantSplit/>
                <w:trHeight w:val="397" w:hRule="atLeast"/>
                <w:jc w:val="center"/>
              </w:trPr>
              <w:tc>
                <w:tcPr>
                  <w:tcW w:w="1409" w:type="pct"/>
                  <w:tcBorders>
                    <w:tl2br w:val="nil"/>
                    <w:tr2bl w:val="nil"/>
                  </w:tcBorders>
                  <w:vAlign w:val="center"/>
                </w:tcPr>
                <w:p w14:paraId="31936635">
                  <w:pPr>
                    <w:spacing w:line="240" w:lineRule="auto"/>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北厂界</w:t>
                  </w:r>
                </w:p>
              </w:tc>
              <w:tc>
                <w:tcPr>
                  <w:tcW w:w="2478" w:type="dxa"/>
                  <w:tcBorders>
                    <w:tl2br w:val="nil"/>
                    <w:tr2bl w:val="nil"/>
                  </w:tcBorders>
                  <w:vAlign w:val="center"/>
                </w:tcPr>
                <w:p w14:paraId="40F4E1FB">
                  <w:pPr>
                    <w:keepNext w:val="0"/>
                    <w:keepLines w:val="0"/>
                    <w:widowControl/>
                    <w:suppressLineNumbers w:val="0"/>
                    <w:jc w:val="center"/>
                    <w:textAlignment w:val="center"/>
                    <w:rPr>
                      <w:rFonts w:hint="default" w:ascii="Times New Roman" w:hAnsi="Times New Roman" w:eastAsia="宋体" w:cs="Times New Roman"/>
                      <w:color w:val="0000FF"/>
                      <w:sz w:val="21"/>
                      <w:szCs w:val="21"/>
                      <w:highlight w:val="none"/>
                      <w:lang w:val="en-US" w:eastAsia="zh-CN"/>
                    </w:rPr>
                  </w:pPr>
                  <w:r>
                    <w:rPr>
                      <w:rFonts w:hint="eastAsia" w:cs="Times New Roman"/>
                      <w:i w:val="0"/>
                      <w:iCs w:val="0"/>
                      <w:color w:val="auto"/>
                      <w:kern w:val="2"/>
                      <w:sz w:val="21"/>
                      <w:szCs w:val="21"/>
                      <w:highlight w:val="none"/>
                      <w:u w:val="none"/>
                      <w:lang w:val="en-US" w:eastAsia="zh-CN" w:bidi="ar-SA"/>
                    </w:rPr>
                    <w:t>42.9</w:t>
                  </w:r>
                </w:p>
              </w:tc>
              <w:tc>
                <w:tcPr>
                  <w:tcW w:w="2230" w:type="pct"/>
                  <w:vMerge w:val="continue"/>
                  <w:tcBorders>
                    <w:tl2br w:val="nil"/>
                    <w:tr2bl w:val="nil"/>
                  </w:tcBorders>
                  <w:vAlign w:val="center"/>
                </w:tcPr>
                <w:p w14:paraId="4B55FBC6">
                  <w:pPr>
                    <w:pStyle w:val="20"/>
                    <w:spacing w:line="240" w:lineRule="auto"/>
                    <w:jc w:val="center"/>
                    <w:rPr>
                      <w:rFonts w:hint="default" w:ascii="Times New Roman" w:hAnsi="Times New Roman" w:cs="Times New Roman"/>
                      <w:b/>
                      <w:bCs/>
                      <w:color w:val="0000FF"/>
                      <w:sz w:val="21"/>
                      <w:szCs w:val="21"/>
                      <w:highlight w:val="none"/>
                    </w:rPr>
                  </w:pPr>
                </w:p>
              </w:tc>
            </w:tr>
          </w:tbl>
          <w:p w14:paraId="6C7A97F7">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预测结果表明项目</w:t>
            </w:r>
            <w:r>
              <w:rPr>
                <w:rFonts w:hint="default" w:ascii="Times New Roman" w:hAnsi="Times New Roman" w:eastAsia="宋体" w:cs="Times New Roman"/>
                <w:color w:val="auto"/>
                <w:sz w:val="21"/>
                <w:szCs w:val="21"/>
                <w:highlight w:val="none"/>
                <w:lang w:eastAsia="zh-CN"/>
              </w:rPr>
              <w:t>厂界四周噪声</w:t>
            </w:r>
            <w:r>
              <w:rPr>
                <w:rFonts w:hint="eastAsia" w:cs="Times New Roman"/>
                <w:color w:val="auto"/>
                <w:sz w:val="21"/>
                <w:szCs w:val="21"/>
                <w:highlight w:val="none"/>
                <w:lang w:val="en-US" w:eastAsia="zh-CN"/>
              </w:rPr>
              <w:t>贡献</w:t>
            </w:r>
            <w:r>
              <w:rPr>
                <w:rFonts w:hint="default" w:ascii="Times New Roman" w:hAnsi="Times New Roman" w:eastAsia="宋体" w:cs="Times New Roman"/>
                <w:color w:val="auto"/>
                <w:sz w:val="21"/>
                <w:szCs w:val="21"/>
                <w:highlight w:val="none"/>
                <w:lang w:eastAsia="zh-CN"/>
              </w:rPr>
              <w:t>值均可满足《工业企业厂界环境噪声排放标准》(GB12348-2008)</w:t>
            </w:r>
            <w:r>
              <w:rPr>
                <w:rFonts w:hint="eastAsia"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lang w:eastAsia="zh-CN"/>
              </w:rPr>
              <w:t>类标准</w:t>
            </w:r>
            <w:r>
              <w:rPr>
                <w:rFonts w:hint="default" w:ascii="Times New Roman" w:hAnsi="Times New Roman" w:eastAsia="宋体" w:cs="Times New Roman"/>
                <w:color w:val="auto"/>
                <w:sz w:val="21"/>
                <w:szCs w:val="21"/>
                <w:highlight w:val="none"/>
                <w:lang w:val="en-US" w:eastAsia="zh-CN"/>
              </w:rPr>
              <w:t>要求</w:t>
            </w:r>
            <w:r>
              <w:rPr>
                <w:rFonts w:hint="default" w:ascii="Times New Roman" w:hAnsi="Times New Roman" w:eastAsia="宋体" w:cs="Times New Roman"/>
                <w:color w:val="auto"/>
                <w:sz w:val="21"/>
                <w:szCs w:val="21"/>
                <w:highlight w:val="none"/>
              </w:rPr>
              <w:t>。</w:t>
            </w:r>
          </w:p>
          <w:p w14:paraId="205443EA">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default" w:cs="Times New Roman"/>
                <w:color w:val="auto"/>
                <w:sz w:val="21"/>
                <w:szCs w:val="21"/>
                <w:highlight w:val="none"/>
                <w:lang w:val="en-US" w:eastAsia="zh-CN"/>
              </w:rPr>
            </w:pPr>
            <w:r>
              <w:rPr>
                <w:rFonts w:hint="eastAsia"/>
                <w:color w:val="auto"/>
                <w:sz w:val="21"/>
                <w:szCs w:val="21"/>
                <w:highlight w:val="none"/>
                <w:lang w:val="en-US" w:eastAsia="zh-CN"/>
              </w:rPr>
              <w:t>考虑到本项目最终以西安黄河机电有限公司为厂界对外环境造成影响，因此本项目对</w:t>
            </w:r>
            <w:r>
              <w:rPr>
                <w:rFonts w:hint="eastAsia" w:ascii="Times New Roman" w:hAnsi="Times New Roman" w:eastAsia="宋体" w:cs="Times New Roman"/>
                <w:color w:val="auto"/>
                <w:kern w:val="0"/>
                <w:sz w:val="21"/>
                <w:szCs w:val="21"/>
                <w:highlight w:val="none"/>
                <w:lang w:val="en-US" w:eastAsia="zh-CN"/>
              </w:rPr>
              <w:t>周边5个敏感点进行了监测</w:t>
            </w:r>
            <w:r>
              <w:rPr>
                <w:rFonts w:hint="eastAsia"/>
                <w:color w:val="auto"/>
                <w:sz w:val="21"/>
                <w:szCs w:val="21"/>
                <w:highlight w:val="none"/>
                <w:lang w:val="en-US" w:eastAsia="zh-CN"/>
              </w:rPr>
              <w:t>。</w:t>
            </w:r>
          </w:p>
          <w:p w14:paraId="2F99EDA0">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
                <w:color w:val="auto"/>
                <w:sz w:val="21"/>
                <w:szCs w:val="21"/>
                <w:highlight w:val="none"/>
                <w:lang w:eastAsia="zh-CN"/>
              </w:rPr>
            </w:pPr>
            <w:r>
              <w:rPr>
                <w:rFonts w:hint="default" w:ascii="Times New Roman" w:hAnsi="Times New Roman" w:eastAsia="宋体" w:cs="Times New Roman"/>
                <w:b/>
                <w:color w:val="auto"/>
                <w:sz w:val="21"/>
                <w:szCs w:val="21"/>
                <w:highlight w:val="none"/>
              </w:rPr>
              <w:t>表</w:t>
            </w:r>
            <w:r>
              <w:rPr>
                <w:rFonts w:hint="eastAsia" w:cs="Times New Roman"/>
                <w:b/>
                <w:color w:val="auto"/>
                <w:sz w:val="21"/>
                <w:szCs w:val="21"/>
                <w:highlight w:val="none"/>
                <w:lang w:val="en-US" w:eastAsia="zh-CN"/>
              </w:rPr>
              <w:t xml:space="preserve">35 </w:t>
            </w:r>
            <w:r>
              <w:rPr>
                <w:rFonts w:hint="default" w:ascii="Times New Roman" w:hAnsi="Times New Roman" w:eastAsia="宋体" w:cs="Times New Roman"/>
                <w:b/>
                <w:color w:val="auto"/>
                <w:sz w:val="21"/>
                <w:szCs w:val="21"/>
                <w:highlight w:val="none"/>
              </w:rPr>
              <w:t xml:space="preserve"> 噪声预测结果  单位：dB</w:t>
            </w:r>
            <w:r>
              <w:rPr>
                <w:rFonts w:hint="default" w:ascii="Times New Roman" w:hAnsi="Times New Roman" w:eastAsia="宋体" w:cs="Times New Roman"/>
                <w:b/>
                <w:color w:val="auto"/>
                <w:sz w:val="21"/>
                <w:szCs w:val="21"/>
                <w:highlight w:val="none"/>
                <w:lang w:eastAsia="zh-CN"/>
              </w:rPr>
              <w:t>(</w:t>
            </w:r>
            <w:r>
              <w:rPr>
                <w:rFonts w:hint="default" w:ascii="Times New Roman" w:hAnsi="Times New Roman" w:eastAsia="宋体" w:cs="Times New Roman"/>
                <w:b/>
                <w:color w:val="auto"/>
                <w:sz w:val="21"/>
                <w:szCs w:val="21"/>
                <w:highlight w:val="none"/>
              </w:rPr>
              <w:t>A</w:t>
            </w:r>
            <w:r>
              <w:rPr>
                <w:rFonts w:hint="default" w:ascii="Times New Roman" w:hAnsi="Times New Roman" w:eastAsia="宋体" w:cs="Times New Roman"/>
                <w:b/>
                <w:color w:val="auto"/>
                <w:sz w:val="21"/>
                <w:szCs w:val="21"/>
                <w:highlight w:val="none"/>
                <w:lang w:eastAsia="zh-CN"/>
              </w:rPr>
              <w:t>)</w:t>
            </w:r>
          </w:p>
          <w:tbl>
            <w:tblPr>
              <w:tblStyle w:val="45"/>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6" w:type="dxa"/>
                <w:left w:w="28" w:type="dxa"/>
                <w:bottom w:w="6" w:type="dxa"/>
                <w:right w:w="28" w:type="dxa"/>
              </w:tblCellMar>
            </w:tblPr>
            <w:tblGrid>
              <w:gridCol w:w="2073"/>
              <w:gridCol w:w="1346"/>
              <w:gridCol w:w="1897"/>
              <w:gridCol w:w="1622"/>
              <w:gridCol w:w="2240"/>
            </w:tblGrid>
            <w:tr w14:paraId="14CADCBF">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6" w:type="dxa"/>
                  <w:left w:w="28" w:type="dxa"/>
                  <w:bottom w:w="6" w:type="dxa"/>
                  <w:right w:w="28" w:type="dxa"/>
                </w:tblCellMar>
              </w:tblPrEx>
              <w:trPr>
                <w:cantSplit/>
                <w:trHeight w:val="397" w:hRule="atLeast"/>
                <w:jc w:val="center"/>
              </w:trPr>
              <w:tc>
                <w:tcPr>
                  <w:tcW w:w="1129" w:type="pct"/>
                  <w:tcBorders>
                    <w:tl2br w:val="nil"/>
                    <w:tr2bl w:val="nil"/>
                  </w:tcBorders>
                  <w:vAlign w:val="center"/>
                </w:tcPr>
                <w:p w14:paraId="03DCC254">
                  <w:pPr>
                    <w:pStyle w:val="20"/>
                    <w:spacing w:line="240" w:lineRule="auto"/>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评价点</w:t>
                  </w:r>
                </w:p>
              </w:tc>
              <w:tc>
                <w:tcPr>
                  <w:tcW w:w="733" w:type="pct"/>
                  <w:tcBorders>
                    <w:tl2br w:val="nil"/>
                    <w:tr2bl w:val="nil"/>
                  </w:tcBorders>
                  <w:vAlign w:val="center"/>
                </w:tcPr>
                <w:p w14:paraId="236FB310">
                  <w:pPr>
                    <w:pStyle w:val="20"/>
                    <w:spacing w:line="240" w:lineRule="auto"/>
                    <w:jc w:val="center"/>
                    <w:rPr>
                      <w:rFonts w:hint="eastAsia" w:ascii="Times New Roman" w:hAnsi="Times New Roman" w:eastAsia="宋体"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val="en-US" w:eastAsia="zh-CN"/>
                    </w:rPr>
                    <w:t>昼间背景值</w:t>
                  </w:r>
                </w:p>
              </w:tc>
              <w:tc>
                <w:tcPr>
                  <w:tcW w:w="1033" w:type="pct"/>
                  <w:tcBorders>
                    <w:tl2br w:val="nil"/>
                    <w:tr2bl w:val="nil"/>
                  </w:tcBorders>
                  <w:vAlign w:val="center"/>
                </w:tcPr>
                <w:p w14:paraId="6130E730">
                  <w:pPr>
                    <w:pStyle w:val="20"/>
                    <w:spacing w:line="240" w:lineRule="auto"/>
                    <w:jc w:val="center"/>
                    <w:rPr>
                      <w:rFonts w:hint="default" w:ascii="Times New Roman" w:hAnsi="Times New Roman"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昼间贡献值</w:t>
                  </w:r>
                </w:p>
              </w:tc>
              <w:tc>
                <w:tcPr>
                  <w:tcW w:w="883" w:type="pct"/>
                  <w:tcBorders>
                    <w:tl2br w:val="nil"/>
                    <w:tr2bl w:val="nil"/>
                  </w:tcBorders>
                  <w:vAlign w:val="center"/>
                </w:tcPr>
                <w:p w14:paraId="0DE4FE14">
                  <w:pPr>
                    <w:pStyle w:val="20"/>
                    <w:spacing w:line="240" w:lineRule="auto"/>
                    <w:jc w:val="center"/>
                    <w:rPr>
                      <w:rFonts w:hint="default" w:ascii="Times New Roman" w:hAnsi="Times New Roman"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昼间预测值</w:t>
                  </w:r>
                </w:p>
              </w:tc>
              <w:tc>
                <w:tcPr>
                  <w:tcW w:w="1220" w:type="pct"/>
                  <w:tcBorders>
                    <w:tl2br w:val="nil"/>
                    <w:tr2bl w:val="nil"/>
                  </w:tcBorders>
                  <w:vAlign w:val="center"/>
                </w:tcPr>
                <w:p w14:paraId="6D50FCC7">
                  <w:pPr>
                    <w:pStyle w:val="20"/>
                    <w:spacing w:line="240" w:lineRule="auto"/>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标准值</w:t>
                  </w:r>
                </w:p>
              </w:tc>
            </w:tr>
            <w:tr w14:paraId="787D859D">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6" w:type="dxa"/>
                  <w:left w:w="28" w:type="dxa"/>
                  <w:bottom w:w="6" w:type="dxa"/>
                  <w:right w:w="28" w:type="dxa"/>
                </w:tblCellMar>
              </w:tblPrEx>
              <w:trPr>
                <w:cantSplit/>
                <w:trHeight w:val="397" w:hRule="atLeast"/>
                <w:jc w:val="center"/>
              </w:trPr>
              <w:tc>
                <w:tcPr>
                  <w:tcW w:w="1129" w:type="pct"/>
                  <w:tcBorders>
                    <w:tl2br w:val="nil"/>
                    <w:tr2bl w:val="nil"/>
                  </w:tcBorders>
                  <w:vAlign w:val="center"/>
                </w:tcPr>
                <w:p w14:paraId="06F30957">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default" w:ascii="Times New Roman" w:hAnsi="Times New Roman" w:cs="Times New Roman"/>
                      <w:color w:val="0000FF"/>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黄河200间小区</w:t>
                  </w:r>
                </w:p>
              </w:tc>
              <w:tc>
                <w:tcPr>
                  <w:tcW w:w="733" w:type="pct"/>
                  <w:tcBorders>
                    <w:tl2br w:val="nil"/>
                    <w:tr2bl w:val="nil"/>
                  </w:tcBorders>
                  <w:vAlign w:val="center"/>
                </w:tcPr>
                <w:p w14:paraId="150BFA05">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default" w:ascii="Times New Roman" w:hAnsi="Times New Roman" w:eastAsia="宋体" w:cs="Times New Roman"/>
                      <w:color w:val="0000FF"/>
                      <w:sz w:val="21"/>
                      <w:szCs w:val="21"/>
                      <w:highlight w:val="none"/>
                      <w:lang w:val="en-US" w:eastAsia="zh-CN"/>
                    </w:rPr>
                  </w:pPr>
                  <w:r>
                    <w:rPr>
                      <w:rFonts w:hint="eastAsia" w:ascii="Times New Roman" w:cs="Times New Roman"/>
                      <w:color w:val="auto"/>
                      <w:sz w:val="21"/>
                      <w:szCs w:val="21"/>
                      <w:highlight w:val="none"/>
                      <w:lang w:val="en-US" w:eastAsia="zh-CN"/>
                    </w:rPr>
                    <w:t>47</w:t>
                  </w:r>
                </w:p>
              </w:tc>
              <w:tc>
                <w:tcPr>
                  <w:tcW w:w="1033" w:type="pct"/>
                  <w:tcBorders>
                    <w:tl2br w:val="nil"/>
                    <w:tr2bl w:val="nil"/>
                  </w:tcBorders>
                  <w:vAlign w:val="center"/>
                </w:tcPr>
                <w:p w14:paraId="4C19225F">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8.7</w:t>
                  </w:r>
                </w:p>
              </w:tc>
              <w:tc>
                <w:tcPr>
                  <w:tcW w:w="883" w:type="pct"/>
                  <w:tcBorders>
                    <w:tl2br w:val="nil"/>
                    <w:tr2bl w:val="nil"/>
                  </w:tcBorders>
                  <w:vAlign w:val="center"/>
                </w:tcPr>
                <w:p w14:paraId="558EB3F1">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47</w:t>
                  </w:r>
                </w:p>
              </w:tc>
              <w:tc>
                <w:tcPr>
                  <w:tcW w:w="1220" w:type="pct"/>
                  <w:vMerge w:val="restart"/>
                  <w:tcBorders>
                    <w:tl2br w:val="nil"/>
                    <w:tr2bl w:val="nil"/>
                  </w:tcBorders>
                  <w:vAlign w:val="center"/>
                </w:tcPr>
                <w:p w14:paraId="4C538952">
                  <w:pPr>
                    <w:pStyle w:val="2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《声环境质量标准》（GB3096-2008）</w:t>
                  </w:r>
                  <w:r>
                    <w:rPr>
                      <w:rFonts w:hint="eastAsia" w:ascii="Times New Roman" w:hAnsi="Times New Roman"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类标准</w:t>
                  </w:r>
                  <w:r>
                    <w:rPr>
                      <w:rFonts w:hint="default" w:ascii="Times New Roman" w:hAnsi="Times New Roman" w:eastAsia="宋体" w:cs="Times New Roman"/>
                      <w:color w:val="auto"/>
                      <w:sz w:val="21"/>
                      <w:szCs w:val="21"/>
                      <w:highlight w:val="none"/>
                      <w:lang w:val="en-US" w:eastAsia="zh-CN"/>
                    </w:rPr>
                    <w:t>要求</w:t>
                  </w:r>
                </w:p>
              </w:tc>
            </w:tr>
            <w:tr w14:paraId="28D6F65A">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6" w:type="dxa"/>
                  <w:left w:w="28" w:type="dxa"/>
                  <w:bottom w:w="6" w:type="dxa"/>
                  <w:right w:w="28" w:type="dxa"/>
                </w:tblCellMar>
              </w:tblPrEx>
              <w:trPr>
                <w:cantSplit/>
                <w:trHeight w:val="397" w:hRule="atLeast"/>
                <w:jc w:val="center"/>
              </w:trPr>
              <w:tc>
                <w:tcPr>
                  <w:tcW w:w="1129" w:type="pct"/>
                  <w:tcBorders>
                    <w:tl2br w:val="nil"/>
                    <w:tr2bl w:val="nil"/>
                  </w:tcBorders>
                  <w:vAlign w:val="center"/>
                </w:tcPr>
                <w:p w14:paraId="2C26D561">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default" w:ascii="Times New Roman" w:hAnsi="Times New Roman" w:cs="Times New Roman"/>
                      <w:color w:val="0000FF"/>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紫铭小区北区</w:t>
                  </w:r>
                </w:p>
              </w:tc>
              <w:tc>
                <w:tcPr>
                  <w:tcW w:w="733" w:type="pct"/>
                  <w:tcBorders>
                    <w:tl2br w:val="nil"/>
                    <w:tr2bl w:val="nil"/>
                  </w:tcBorders>
                  <w:vAlign w:val="center"/>
                </w:tcPr>
                <w:p w14:paraId="656EBE18">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default" w:ascii="Times New Roman" w:hAnsi="Times New Roman" w:eastAsia="宋体" w:cs="Times New Roman"/>
                      <w:color w:val="0000FF"/>
                      <w:sz w:val="21"/>
                      <w:szCs w:val="21"/>
                      <w:highlight w:val="none"/>
                      <w:lang w:val="en-US" w:eastAsia="zh-CN"/>
                    </w:rPr>
                  </w:pPr>
                  <w:r>
                    <w:rPr>
                      <w:rFonts w:hint="eastAsia" w:ascii="Times New Roman" w:cs="Times New Roman"/>
                      <w:color w:val="auto"/>
                      <w:sz w:val="21"/>
                      <w:szCs w:val="21"/>
                      <w:highlight w:val="none"/>
                      <w:lang w:val="en-US" w:eastAsia="zh-CN"/>
                    </w:rPr>
                    <w:t>50</w:t>
                  </w:r>
                </w:p>
              </w:tc>
              <w:tc>
                <w:tcPr>
                  <w:tcW w:w="1033" w:type="pct"/>
                  <w:tcBorders>
                    <w:tl2br w:val="nil"/>
                    <w:tr2bl w:val="nil"/>
                  </w:tcBorders>
                  <w:vAlign w:val="center"/>
                </w:tcPr>
                <w:p w14:paraId="4A1387D2">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18.0</w:t>
                  </w:r>
                </w:p>
              </w:tc>
              <w:tc>
                <w:tcPr>
                  <w:tcW w:w="883" w:type="pct"/>
                  <w:tcBorders>
                    <w:tl2br w:val="nil"/>
                    <w:tr2bl w:val="nil"/>
                  </w:tcBorders>
                  <w:vAlign w:val="center"/>
                </w:tcPr>
                <w:p w14:paraId="26FDD912">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50</w:t>
                  </w:r>
                </w:p>
              </w:tc>
              <w:tc>
                <w:tcPr>
                  <w:tcW w:w="1220" w:type="pct"/>
                  <w:vMerge w:val="continue"/>
                  <w:tcBorders>
                    <w:tl2br w:val="nil"/>
                    <w:tr2bl w:val="nil"/>
                  </w:tcBorders>
                  <w:vAlign w:val="center"/>
                </w:tcPr>
                <w:p w14:paraId="03B65F3D">
                  <w:pPr>
                    <w:pStyle w:val="20"/>
                    <w:spacing w:line="240" w:lineRule="auto"/>
                    <w:jc w:val="center"/>
                    <w:rPr>
                      <w:rFonts w:hint="default" w:ascii="Times New Roman" w:hAnsi="Times New Roman" w:cs="Times New Roman"/>
                      <w:b/>
                      <w:bCs/>
                      <w:color w:val="0000FF"/>
                      <w:sz w:val="21"/>
                      <w:szCs w:val="21"/>
                      <w:highlight w:val="none"/>
                    </w:rPr>
                  </w:pPr>
                </w:p>
              </w:tc>
            </w:tr>
            <w:tr w14:paraId="4317C3CB">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6" w:type="dxa"/>
                  <w:left w:w="28" w:type="dxa"/>
                  <w:bottom w:w="6" w:type="dxa"/>
                  <w:right w:w="28" w:type="dxa"/>
                </w:tblCellMar>
              </w:tblPrEx>
              <w:trPr>
                <w:cantSplit/>
                <w:trHeight w:val="397" w:hRule="atLeast"/>
                <w:jc w:val="center"/>
              </w:trPr>
              <w:tc>
                <w:tcPr>
                  <w:tcW w:w="1129" w:type="pct"/>
                  <w:tcBorders>
                    <w:tl2br w:val="nil"/>
                    <w:tr2bl w:val="nil"/>
                  </w:tcBorders>
                  <w:vAlign w:val="center"/>
                </w:tcPr>
                <w:p w14:paraId="384D6401">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default" w:ascii="Times New Roman" w:hAnsi="Times New Roman" w:cs="Times New Roman"/>
                      <w:color w:val="0000FF"/>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黄河文化补习学校</w:t>
                  </w:r>
                </w:p>
              </w:tc>
              <w:tc>
                <w:tcPr>
                  <w:tcW w:w="733" w:type="pct"/>
                  <w:tcBorders>
                    <w:tl2br w:val="nil"/>
                    <w:tr2bl w:val="nil"/>
                  </w:tcBorders>
                  <w:vAlign w:val="center"/>
                </w:tcPr>
                <w:p w14:paraId="10233037">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default" w:ascii="Times New Roman" w:hAnsi="Times New Roman" w:eastAsia="宋体" w:cs="Times New Roman"/>
                      <w:color w:val="0000FF"/>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54</w:t>
                  </w:r>
                </w:p>
              </w:tc>
              <w:tc>
                <w:tcPr>
                  <w:tcW w:w="1033" w:type="pct"/>
                  <w:tcBorders>
                    <w:tl2br w:val="nil"/>
                    <w:tr2bl w:val="nil"/>
                  </w:tcBorders>
                  <w:vAlign w:val="center"/>
                </w:tcPr>
                <w:p w14:paraId="4893E505">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10.9</w:t>
                  </w:r>
                </w:p>
              </w:tc>
              <w:tc>
                <w:tcPr>
                  <w:tcW w:w="883" w:type="pct"/>
                  <w:tcBorders>
                    <w:tl2br w:val="nil"/>
                    <w:tr2bl w:val="nil"/>
                  </w:tcBorders>
                  <w:vAlign w:val="center"/>
                </w:tcPr>
                <w:p w14:paraId="05E2150C">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54</w:t>
                  </w:r>
                </w:p>
              </w:tc>
              <w:tc>
                <w:tcPr>
                  <w:tcW w:w="1220" w:type="pct"/>
                  <w:vMerge w:val="continue"/>
                  <w:tcBorders>
                    <w:tl2br w:val="nil"/>
                    <w:tr2bl w:val="nil"/>
                  </w:tcBorders>
                  <w:vAlign w:val="center"/>
                </w:tcPr>
                <w:p w14:paraId="181AC686">
                  <w:pPr>
                    <w:pStyle w:val="20"/>
                    <w:spacing w:line="240" w:lineRule="auto"/>
                    <w:jc w:val="center"/>
                    <w:rPr>
                      <w:rFonts w:hint="default" w:ascii="Times New Roman" w:hAnsi="Times New Roman" w:cs="Times New Roman"/>
                      <w:b/>
                      <w:bCs/>
                      <w:color w:val="0000FF"/>
                      <w:sz w:val="21"/>
                      <w:szCs w:val="21"/>
                      <w:highlight w:val="none"/>
                    </w:rPr>
                  </w:pPr>
                </w:p>
              </w:tc>
            </w:tr>
            <w:tr w14:paraId="72BA148E">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6" w:type="dxa"/>
                  <w:left w:w="28" w:type="dxa"/>
                  <w:bottom w:w="6" w:type="dxa"/>
                  <w:right w:w="28" w:type="dxa"/>
                </w:tblCellMar>
              </w:tblPrEx>
              <w:trPr>
                <w:cantSplit/>
                <w:trHeight w:val="397" w:hRule="atLeast"/>
                <w:jc w:val="center"/>
              </w:trPr>
              <w:tc>
                <w:tcPr>
                  <w:tcW w:w="1129" w:type="pct"/>
                  <w:tcBorders>
                    <w:tl2br w:val="nil"/>
                    <w:tr2bl w:val="nil"/>
                  </w:tcBorders>
                  <w:vAlign w:val="center"/>
                </w:tcPr>
                <w:p w14:paraId="63BB65D7">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default" w:ascii="Times New Roman" w:hAnsi="Times New Roman" w:cs="Times New Roman"/>
                      <w:color w:val="0000FF"/>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东小寨村</w:t>
                  </w:r>
                </w:p>
              </w:tc>
              <w:tc>
                <w:tcPr>
                  <w:tcW w:w="733" w:type="pct"/>
                  <w:tcBorders>
                    <w:tl2br w:val="nil"/>
                    <w:tr2bl w:val="nil"/>
                  </w:tcBorders>
                  <w:vAlign w:val="center"/>
                </w:tcPr>
                <w:p w14:paraId="7B167514">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default" w:ascii="Times New Roman" w:hAnsi="Times New Roman" w:eastAsia="宋体" w:cs="Times New Roman"/>
                      <w:color w:val="0000FF"/>
                      <w:sz w:val="21"/>
                      <w:szCs w:val="21"/>
                      <w:highlight w:val="none"/>
                      <w:lang w:val="en-US" w:eastAsia="zh-CN"/>
                    </w:rPr>
                  </w:pPr>
                  <w:r>
                    <w:rPr>
                      <w:rFonts w:hint="eastAsia" w:ascii="Times New Roman" w:cs="Times New Roman"/>
                      <w:color w:val="auto"/>
                      <w:sz w:val="21"/>
                      <w:szCs w:val="21"/>
                      <w:highlight w:val="none"/>
                      <w:lang w:val="en-US" w:eastAsia="zh-CN"/>
                    </w:rPr>
                    <w:t>45</w:t>
                  </w:r>
                </w:p>
              </w:tc>
              <w:tc>
                <w:tcPr>
                  <w:tcW w:w="1033" w:type="pct"/>
                  <w:tcBorders>
                    <w:tl2br w:val="nil"/>
                    <w:tr2bl w:val="nil"/>
                  </w:tcBorders>
                  <w:vAlign w:val="center"/>
                </w:tcPr>
                <w:p w14:paraId="3A627D85">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9.1</w:t>
                  </w:r>
                </w:p>
              </w:tc>
              <w:tc>
                <w:tcPr>
                  <w:tcW w:w="883" w:type="pct"/>
                  <w:tcBorders>
                    <w:tl2br w:val="nil"/>
                    <w:tr2bl w:val="nil"/>
                  </w:tcBorders>
                  <w:vAlign w:val="center"/>
                </w:tcPr>
                <w:p w14:paraId="064C5A6B">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45</w:t>
                  </w:r>
                </w:p>
              </w:tc>
              <w:tc>
                <w:tcPr>
                  <w:tcW w:w="1220" w:type="pct"/>
                  <w:vMerge w:val="continue"/>
                  <w:tcBorders>
                    <w:tl2br w:val="nil"/>
                    <w:tr2bl w:val="nil"/>
                  </w:tcBorders>
                  <w:vAlign w:val="center"/>
                </w:tcPr>
                <w:p w14:paraId="77389CDF">
                  <w:pPr>
                    <w:pStyle w:val="20"/>
                    <w:spacing w:line="240" w:lineRule="auto"/>
                    <w:jc w:val="center"/>
                    <w:rPr>
                      <w:rFonts w:hint="default" w:ascii="Times New Roman" w:hAnsi="Times New Roman" w:cs="Times New Roman"/>
                      <w:b/>
                      <w:bCs/>
                      <w:color w:val="0000FF"/>
                      <w:sz w:val="21"/>
                      <w:szCs w:val="21"/>
                      <w:highlight w:val="none"/>
                    </w:rPr>
                  </w:pPr>
                </w:p>
              </w:tc>
            </w:tr>
            <w:tr w14:paraId="39DAF03C">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6" w:type="dxa"/>
                  <w:left w:w="28" w:type="dxa"/>
                  <w:bottom w:w="6" w:type="dxa"/>
                  <w:right w:w="28" w:type="dxa"/>
                </w:tblCellMar>
              </w:tblPrEx>
              <w:trPr>
                <w:cantSplit/>
                <w:trHeight w:val="397" w:hRule="atLeast"/>
                <w:jc w:val="center"/>
              </w:trPr>
              <w:tc>
                <w:tcPr>
                  <w:tcW w:w="1129" w:type="pct"/>
                  <w:tcBorders>
                    <w:tl2br w:val="nil"/>
                    <w:tr2bl w:val="nil"/>
                  </w:tcBorders>
                  <w:vAlign w:val="center"/>
                </w:tcPr>
                <w:p w14:paraId="66FF6DDC">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default" w:ascii="Times New Roman" w:hAnsi="Times New Roman" w:cs="Times New Roman"/>
                      <w:color w:val="0000FF"/>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黄河住宅小区东区</w:t>
                  </w:r>
                </w:p>
              </w:tc>
              <w:tc>
                <w:tcPr>
                  <w:tcW w:w="733" w:type="pct"/>
                  <w:tcBorders>
                    <w:tl2br w:val="nil"/>
                    <w:tr2bl w:val="nil"/>
                  </w:tcBorders>
                  <w:vAlign w:val="center"/>
                </w:tcPr>
                <w:p w14:paraId="50DD0038">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eastAsia" w:cs="Times New Roman"/>
                      <w:i w:val="0"/>
                      <w:iCs w:val="0"/>
                      <w:color w:val="auto"/>
                      <w:kern w:val="2"/>
                      <w:sz w:val="21"/>
                      <w:szCs w:val="21"/>
                      <w:highlight w:val="none"/>
                      <w:u w:val="none"/>
                      <w:lang w:val="en-US" w:eastAsia="zh-CN" w:bidi="ar-SA"/>
                    </w:rPr>
                  </w:pPr>
                  <w:r>
                    <w:rPr>
                      <w:rFonts w:hint="eastAsia" w:ascii="Times New Roman" w:cs="Times New Roman"/>
                      <w:color w:val="auto"/>
                      <w:sz w:val="21"/>
                      <w:szCs w:val="21"/>
                      <w:highlight w:val="none"/>
                      <w:lang w:val="en-US" w:eastAsia="zh-CN"/>
                    </w:rPr>
                    <w:t>48</w:t>
                  </w:r>
                </w:p>
              </w:tc>
              <w:tc>
                <w:tcPr>
                  <w:tcW w:w="1033" w:type="pct"/>
                  <w:tcBorders>
                    <w:tl2br w:val="nil"/>
                    <w:tr2bl w:val="nil"/>
                  </w:tcBorders>
                  <w:vAlign w:val="center"/>
                </w:tcPr>
                <w:p w14:paraId="7E1C23BB">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9.4</w:t>
                  </w:r>
                </w:p>
              </w:tc>
              <w:tc>
                <w:tcPr>
                  <w:tcW w:w="883" w:type="pct"/>
                  <w:tcBorders>
                    <w:tl2br w:val="nil"/>
                    <w:tr2bl w:val="nil"/>
                  </w:tcBorders>
                  <w:vAlign w:val="center"/>
                </w:tcPr>
                <w:p w14:paraId="19263475">
                  <w:pPr>
                    <w:pStyle w:val="196"/>
                    <w:keepNext w:val="0"/>
                    <w:keepLines w:val="0"/>
                    <w:pageBreakBefore w:val="0"/>
                    <w:widowControl w:val="0"/>
                    <w:kinsoku/>
                    <w:wordWrap/>
                    <w:overflowPunct/>
                    <w:topLinePunct w:val="0"/>
                    <w:autoSpaceDE/>
                    <w:autoSpaceDN/>
                    <w:bidi w:val="0"/>
                    <w:adjustRightInd w:val="0"/>
                    <w:snapToGrid w:val="0"/>
                    <w:spacing w:before="31" w:after="31" w:line="320" w:lineRule="exact"/>
                    <w:ind w:firstLine="0" w:firstLineChars="0"/>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48</w:t>
                  </w:r>
                </w:p>
              </w:tc>
              <w:tc>
                <w:tcPr>
                  <w:tcW w:w="1220" w:type="pct"/>
                  <w:vMerge w:val="continue"/>
                  <w:tcBorders>
                    <w:tl2br w:val="nil"/>
                    <w:tr2bl w:val="nil"/>
                  </w:tcBorders>
                  <w:vAlign w:val="center"/>
                </w:tcPr>
                <w:p w14:paraId="6B2CB0EC">
                  <w:pPr>
                    <w:pStyle w:val="20"/>
                    <w:spacing w:line="240" w:lineRule="auto"/>
                    <w:jc w:val="center"/>
                    <w:rPr>
                      <w:rFonts w:hint="default" w:ascii="Times New Roman" w:hAnsi="Times New Roman" w:cs="Times New Roman"/>
                      <w:b/>
                      <w:bCs/>
                      <w:color w:val="0000FF"/>
                      <w:sz w:val="21"/>
                      <w:szCs w:val="21"/>
                      <w:highlight w:val="none"/>
                    </w:rPr>
                  </w:pPr>
                </w:p>
              </w:tc>
            </w:tr>
          </w:tbl>
          <w:p w14:paraId="158BB34D">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预测结果表明项目</w:t>
            </w:r>
            <w:r>
              <w:rPr>
                <w:rFonts w:hint="eastAsia" w:ascii="Times New Roman" w:hAnsi="Times New Roman" w:eastAsia="宋体" w:cs="Times New Roman"/>
                <w:color w:val="auto"/>
                <w:sz w:val="21"/>
                <w:szCs w:val="21"/>
                <w:highlight w:val="none"/>
                <w:lang w:val="en-US" w:eastAsia="zh-CN"/>
              </w:rPr>
              <w:t>建成后，周边敏感点</w:t>
            </w:r>
            <w:r>
              <w:rPr>
                <w:rFonts w:hint="default" w:ascii="Times New Roman" w:hAnsi="Times New Roman" w:eastAsia="宋体" w:cs="Times New Roman"/>
                <w:color w:val="auto"/>
                <w:sz w:val="21"/>
                <w:szCs w:val="21"/>
                <w:highlight w:val="none"/>
                <w:lang w:eastAsia="zh-CN"/>
              </w:rPr>
              <w:t>噪声</w:t>
            </w:r>
            <w:r>
              <w:rPr>
                <w:rFonts w:hint="eastAsia" w:cs="Times New Roman"/>
                <w:color w:val="auto"/>
                <w:sz w:val="21"/>
                <w:szCs w:val="21"/>
                <w:highlight w:val="none"/>
                <w:lang w:val="en-US" w:eastAsia="zh-CN"/>
              </w:rPr>
              <w:t>预测值</w:t>
            </w:r>
            <w:r>
              <w:rPr>
                <w:rFonts w:hint="default" w:ascii="Times New Roman" w:hAnsi="Times New Roman" w:eastAsia="宋体" w:cs="Times New Roman"/>
                <w:color w:val="auto"/>
                <w:sz w:val="21"/>
                <w:szCs w:val="21"/>
                <w:highlight w:val="none"/>
                <w:lang w:eastAsia="zh-CN"/>
              </w:rPr>
              <w:t>值均可满足</w:t>
            </w:r>
            <w:r>
              <w:rPr>
                <w:rFonts w:hint="default" w:ascii="Times New Roman" w:hAnsi="Times New Roman" w:eastAsia="宋体" w:cs="Times New Roman"/>
                <w:color w:val="auto"/>
                <w:sz w:val="21"/>
                <w:szCs w:val="21"/>
                <w:highlight w:val="none"/>
                <w:lang w:val="en-US" w:eastAsia="zh-CN"/>
              </w:rPr>
              <w:t>《声环境质量标准》（GB3096-2008）</w:t>
            </w:r>
            <w:r>
              <w:rPr>
                <w:rFonts w:hint="eastAsia"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lang w:eastAsia="zh-CN"/>
              </w:rPr>
              <w:t>类标准</w:t>
            </w:r>
            <w:r>
              <w:rPr>
                <w:rFonts w:hint="default" w:ascii="Times New Roman" w:hAnsi="Times New Roman" w:eastAsia="宋体" w:cs="Times New Roman"/>
                <w:color w:val="auto"/>
                <w:sz w:val="21"/>
                <w:szCs w:val="21"/>
                <w:highlight w:val="none"/>
                <w:lang w:val="en-US" w:eastAsia="zh-CN"/>
              </w:rPr>
              <w:t>要求</w:t>
            </w:r>
            <w:r>
              <w:rPr>
                <w:rFonts w:hint="default" w:ascii="Times New Roman" w:hAnsi="Times New Roman" w:eastAsia="宋体" w:cs="Times New Roman"/>
                <w:color w:val="auto"/>
                <w:sz w:val="21"/>
                <w:szCs w:val="21"/>
                <w:highlight w:val="none"/>
              </w:rPr>
              <w:t>。</w:t>
            </w:r>
          </w:p>
          <w:p w14:paraId="644CBC83">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val="en-US" w:eastAsia="zh-CN"/>
              </w:rPr>
              <w:t>防治措施</w:t>
            </w:r>
          </w:p>
          <w:p w14:paraId="07DB0127">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以下为本次评价提出的噪声防治对策：</w:t>
            </w:r>
          </w:p>
          <w:p w14:paraId="13D351BA">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auto"/>
                <w:sz w:val="21"/>
                <w:szCs w:val="21"/>
                <w:highlight w:val="none"/>
                <w:lang w:val="zh-CN" w:eastAsia="zh-CN"/>
              </w:rPr>
            </w:pPr>
            <w:r>
              <w:rPr>
                <w:rFonts w:hint="eastAsia" w:eastAsia="宋体" w:cs="Times New Roman"/>
                <w:color w:val="auto"/>
                <w:sz w:val="21"/>
                <w:szCs w:val="21"/>
                <w:highlight w:val="none"/>
                <w:lang w:val="en-US" w:eastAsia="zh-CN"/>
              </w:rPr>
              <w:t>①</w:t>
            </w:r>
            <w:r>
              <w:rPr>
                <w:rFonts w:hint="default" w:ascii="Times New Roman" w:hAnsi="Times New Roman" w:eastAsia="宋体" w:cs="Times New Roman"/>
                <w:color w:val="auto"/>
                <w:sz w:val="21"/>
                <w:szCs w:val="21"/>
                <w:highlight w:val="none"/>
                <w:lang w:val="zh-CN" w:eastAsia="zh-CN"/>
              </w:rPr>
              <w:t>降低声源噪声，尽量选用低噪声设备；</w:t>
            </w:r>
          </w:p>
          <w:p w14:paraId="59DA25DB">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②风机安装减震垫，并通过距离衰减。</w:t>
            </w:r>
          </w:p>
          <w:p w14:paraId="0478AFE2">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auto"/>
                <w:sz w:val="21"/>
                <w:szCs w:val="21"/>
                <w:highlight w:val="none"/>
                <w:lang w:val="zh-CN" w:eastAsia="zh-CN"/>
              </w:rPr>
            </w:pPr>
            <w:r>
              <w:rPr>
                <w:rFonts w:hint="eastAsia" w:cs="Times New Roman"/>
                <w:color w:val="auto"/>
                <w:sz w:val="21"/>
                <w:szCs w:val="21"/>
                <w:highlight w:val="none"/>
                <w:lang w:val="en-US" w:eastAsia="zh-CN"/>
              </w:rPr>
              <w:t>③</w:t>
            </w:r>
            <w:r>
              <w:rPr>
                <w:rFonts w:hint="default" w:ascii="Times New Roman" w:hAnsi="Times New Roman" w:eastAsia="宋体" w:cs="Times New Roman"/>
                <w:color w:val="auto"/>
                <w:sz w:val="21"/>
                <w:szCs w:val="21"/>
                <w:highlight w:val="none"/>
                <w:lang w:val="zh-CN" w:eastAsia="zh-CN"/>
              </w:rPr>
              <w:t>在传播途径上采取隔绝和吸收措施以降低噪声影响。强化建筑隔声，有效降低室内噪声源对室外厂界外环境的影响。</w:t>
            </w:r>
          </w:p>
          <w:p w14:paraId="10B0AF86">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auto"/>
                <w:sz w:val="21"/>
                <w:szCs w:val="21"/>
                <w:highlight w:val="none"/>
                <w:lang w:val="zh-CN" w:eastAsia="zh-CN"/>
              </w:rPr>
            </w:pPr>
            <w:r>
              <w:rPr>
                <w:rFonts w:hint="default" w:ascii="Times New Roman" w:hAnsi="Times New Roman" w:eastAsia="宋体" w:cs="Times New Roman"/>
                <w:color w:val="auto"/>
                <w:sz w:val="21"/>
                <w:szCs w:val="21"/>
                <w:highlight w:val="none"/>
                <w:lang w:val="zh-CN" w:eastAsia="zh-CN"/>
              </w:rPr>
              <w:t>通过以上噪声防治措施，本项目运营期产生的噪声对周围环境影响较小。</w:t>
            </w:r>
          </w:p>
          <w:p w14:paraId="3DD0816B">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lang w:val="en-US" w:eastAsia="zh-CN"/>
              </w:rPr>
              <w:t>噪声监测计划</w:t>
            </w:r>
          </w:p>
          <w:p w14:paraId="5D7A1BD3">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表</w:t>
            </w:r>
            <w:r>
              <w:rPr>
                <w:rFonts w:hint="eastAsia" w:cs="Times New Roman"/>
                <w:b/>
                <w:color w:val="auto"/>
                <w:sz w:val="21"/>
                <w:szCs w:val="21"/>
                <w:highlight w:val="none"/>
                <w:lang w:val="en-US" w:eastAsia="zh-CN"/>
              </w:rPr>
              <w:t>36</w:t>
            </w:r>
            <w:r>
              <w:rPr>
                <w:rFonts w:hint="eastAsia" w:ascii="Times New Roman" w:hAnsi="Times New Roman" w:eastAsia="宋体" w:cs="Times New Roman"/>
                <w:b/>
                <w:color w:val="auto"/>
                <w:sz w:val="21"/>
                <w:szCs w:val="21"/>
                <w:highlight w:val="none"/>
                <w:lang w:val="en-US" w:eastAsia="zh-CN"/>
              </w:rPr>
              <w:t xml:space="preserve"> </w:t>
            </w:r>
            <w:r>
              <w:rPr>
                <w:rFonts w:hint="default" w:ascii="Times New Roman" w:hAnsi="Times New Roman" w:eastAsia="宋体" w:cs="Times New Roman"/>
                <w:b/>
                <w:color w:val="auto"/>
                <w:sz w:val="21"/>
                <w:szCs w:val="21"/>
                <w:highlight w:val="none"/>
                <w:lang w:val="en-US" w:eastAsia="zh-CN"/>
              </w:rPr>
              <w:t xml:space="preserve"> </w:t>
            </w:r>
            <w:r>
              <w:rPr>
                <w:rFonts w:hint="default" w:ascii="Times New Roman" w:hAnsi="Times New Roman" w:eastAsia="宋体" w:cs="Times New Roman"/>
                <w:b/>
                <w:color w:val="auto"/>
                <w:sz w:val="21"/>
                <w:szCs w:val="21"/>
                <w:highlight w:val="none"/>
              </w:rPr>
              <w:t>项目噪声监测计划</w:t>
            </w:r>
          </w:p>
          <w:tbl>
            <w:tblPr>
              <w:tblStyle w:val="46"/>
              <w:tblW w:w="4997"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37"/>
              <w:gridCol w:w="1113"/>
              <w:gridCol w:w="1111"/>
              <w:gridCol w:w="1552"/>
              <w:gridCol w:w="1133"/>
              <w:gridCol w:w="3432"/>
            </w:tblGrid>
            <w:tr w14:paraId="1CDA5A1C">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6" w:type="pct"/>
                  <w:tcBorders>
                    <w:tl2br w:val="nil"/>
                    <w:tr2bl w:val="nil"/>
                  </w:tcBorders>
                  <w:vAlign w:val="center"/>
                </w:tcPr>
                <w:p w14:paraId="1D7FB470">
                  <w:pPr>
                    <w:pStyle w:val="349"/>
                    <w:bidi w:val="0"/>
                    <w:rPr>
                      <w:rFonts w:hint="default"/>
                      <w:color w:val="auto"/>
                      <w:highlight w:val="none"/>
                    </w:rPr>
                  </w:pPr>
                  <w:r>
                    <w:rPr>
                      <w:rFonts w:hint="default"/>
                      <w:color w:val="auto"/>
                      <w:highlight w:val="none"/>
                    </w:rPr>
                    <w:t>项目</w:t>
                  </w:r>
                </w:p>
              </w:tc>
              <w:tc>
                <w:tcPr>
                  <w:tcW w:w="606" w:type="pct"/>
                  <w:tcBorders>
                    <w:tl2br w:val="nil"/>
                    <w:tr2bl w:val="nil"/>
                  </w:tcBorders>
                  <w:vAlign w:val="center"/>
                </w:tcPr>
                <w:p w14:paraId="4A866C55">
                  <w:pPr>
                    <w:pStyle w:val="349"/>
                    <w:bidi w:val="0"/>
                    <w:rPr>
                      <w:rFonts w:hint="default"/>
                      <w:color w:val="auto"/>
                      <w:highlight w:val="none"/>
                    </w:rPr>
                  </w:pPr>
                  <w:r>
                    <w:rPr>
                      <w:rFonts w:hint="default"/>
                      <w:color w:val="auto"/>
                      <w:highlight w:val="none"/>
                    </w:rPr>
                    <w:t>监测项目</w:t>
                  </w:r>
                </w:p>
              </w:tc>
              <w:tc>
                <w:tcPr>
                  <w:tcW w:w="605" w:type="pct"/>
                  <w:tcBorders>
                    <w:tl2br w:val="nil"/>
                    <w:tr2bl w:val="nil"/>
                  </w:tcBorders>
                  <w:vAlign w:val="center"/>
                </w:tcPr>
                <w:p w14:paraId="158ED060">
                  <w:pPr>
                    <w:pStyle w:val="349"/>
                    <w:bidi w:val="0"/>
                    <w:rPr>
                      <w:rFonts w:hint="default"/>
                      <w:color w:val="auto"/>
                      <w:highlight w:val="none"/>
                    </w:rPr>
                  </w:pPr>
                  <w:r>
                    <w:rPr>
                      <w:rFonts w:hint="default"/>
                      <w:color w:val="auto"/>
                      <w:highlight w:val="none"/>
                    </w:rPr>
                    <w:t>监测因子</w:t>
                  </w:r>
                </w:p>
              </w:tc>
              <w:tc>
                <w:tcPr>
                  <w:tcW w:w="845" w:type="pct"/>
                  <w:tcBorders>
                    <w:tl2br w:val="nil"/>
                    <w:tr2bl w:val="nil"/>
                  </w:tcBorders>
                  <w:vAlign w:val="center"/>
                </w:tcPr>
                <w:p w14:paraId="570329B1">
                  <w:pPr>
                    <w:pStyle w:val="349"/>
                    <w:bidi w:val="0"/>
                    <w:rPr>
                      <w:rFonts w:hint="default"/>
                      <w:color w:val="auto"/>
                      <w:highlight w:val="none"/>
                    </w:rPr>
                  </w:pPr>
                  <w:r>
                    <w:rPr>
                      <w:rFonts w:hint="default"/>
                      <w:color w:val="auto"/>
                      <w:highlight w:val="none"/>
                    </w:rPr>
                    <w:t>取样位置</w:t>
                  </w:r>
                </w:p>
              </w:tc>
              <w:tc>
                <w:tcPr>
                  <w:tcW w:w="617" w:type="pct"/>
                  <w:tcBorders>
                    <w:tl2br w:val="nil"/>
                    <w:tr2bl w:val="nil"/>
                  </w:tcBorders>
                  <w:vAlign w:val="center"/>
                </w:tcPr>
                <w:p w14:paraId="3451A27F">
                  <w:pPr>
                    <w:pStyle w:val="349"/>
                    <w:bidi w:val="0"/>
                    <w:rPr>
                      <w:rFonts w:hint="default"/>
                      <w:color w:val="auto"/>
                      <w:highlight w:val="none"/>
                    </w:rPr>
                  </w:pPr>
                  <w:r>
                    <w:rPr>
                      <w:rFonts w:hint="default"/>
                      <w:color w:val="auto"/>
                      <w:highlight w:val="none"/>
                    </w:rPr>
                    <w:t>监测频率</w:t>
                  </w:r>
                </w:p>
              </w:tc>
              <w:tc>
                <w:tcPr>
                  <w:tcW w:w="1869" w:type="pct"/>
                  <w:tcBorders>
                    <w:tl2br w:val="nil"/>
                    <w:tr2bl w:val="nil"/>
                  </w:tcBorders>
                  <w:vAlign w:val="center"/>
                </w:tcPr>
                <w:p w14:paraId="6444E715">
                  <w:pPr>
                    <w:pStyle w:val="349"/>
                    <w:bidi w:val="0"/>
                    <w:rPr>
                      <w:rFonts w:hint="default"/>
                      <w:color w:val="auto"/>
                      <w:highlight w:val="none"/>
                    </w:rPr>
                  </w:pPr>
                  <w:r>
                    <w:rPr>
                      <w:rFonts w:hint="default"/>
                      <w:color w:val="auto"/>
                      <w:highlight w:val="none"/>
                    </w:rPr>
                    <w:t>执行标准</w:t>
                  </w:r>
                </w:p>
              </w:tc>
            </w:tr>
            <w:tr w14:paraId="2BED2805">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6" w:type="pct"/>
                  <w:tcBorders>
                    <w:tl2br w:val="nil"/>
                    <w:tr2bl w:val="nil"/>
                  </w:tcBorders>
                  <w:vAlign w:val="center"/>
                </w:tcPr>
                <w:p w14:paraId="0D17EB79">
                  <w:pPr>
                    <w:pStyle w:val="349"/>
                    <w:bidi w:val="0"/>
                    <w:rPr>
                      <w:rFonts w:hint="default"/>
                      <w:color w:val="auto"/>
                      <w:highlight w:val="none"/>
                    </w:rPr>
                  </w:pPr>
                  <w:r>
                    <w:rPr>
                      <w:rFonts w:hint="default"/>
                      <w:color w:val="auto"/>
                      <w:highlight w:val="none"/>
                    </w:rPr>
                    <w:t>噪声</w:t>
                  </w:r>
                </w:p>
              </w:tc>
              <w:tc>
                <w:tcPr>
                  <w:tcW w:w="606" w:type="pct"/>
                  <w:tcBorders>
                    <w:tl2br w:val="nil"/>
                    <w:tr2bl w:val="nil"/>
                  </w:tcBorders>
                  <w:vAlign w:val="center"/>
                </w:tcPr>
                <w:p w14:paraId="394B5875">
                  <w:pPr>
                    <w:pStyle w:val="349"/>
                    <w:bidi w:val="0"/>
                    <w:rPr>
                      <w:rFonts w:hint="default"/>
                      <w:color w:val="auto"/>
                      <w:highlight w:val="none"/>
                      <w:lang w:val="en-US" w:eastAsia="zh-CN"/>
                    </w:rPr>
                  </w:pPr>
                  <w:r>
                    <w:rPr>
                      <w:rFonts w:hint="default"/>
                      <w:color w:val="auto"/>
                      <w:highlight w:val="none"/>
                      <w:lang w:val="en-US" w:eastAsia="zh-CN"/>
                    </w:rPr>
                    <w:t>厂界</w:t>
                  </w:r>
                </w:p>
              </w:tc>
              <w:tc>
                <w:tcPr>
                  <w:tcW w:w="605" w:type="pct"/>
                  <w:tcBorders>
                    <w:tl2br w:val="nil"/>
                    <w:tr2bl w:val="nil"/>
                  </w:tcBorders>
                  <w:vAlign w:val="center"/>
                </w:tcPr>
                <w:p w14:paraId="52203A54">
                  <w:pPr>
                    <w:pStyle w:val="349"/>
                    <w:bidi w:val="0"/>
                    <w:rPr>
                      <w:rFonts w:hint="default"/>
                      <w:color w:val="auto"/>
                      <w:highlight w:val="none"/>
                    </w:rPr>
                  </w:pPr>
                  <w:r>
                    <w:rPr>
                      <w:rFonts w:hint="default"/>
                      <w:color w:val="auto"/>
                      <w:highlight w:val="none"/>
                    </w:rPr>
                    <w:t>Leq</w:t>
                  </w:r>
                </w:p>
              </w:tc>
              <w:tc>
                <w:tcPr>
                  <w:tcW w:w="845" w:type="pct"/>
                  <w:tcBorders>
                    <w:tl2br w:val="nil"/>
                    <w:tr2bl w:val="nil"/>
                  </w:tcBorders>
                  <w:vAlign w:val="center"/>
                </w:tcPr>
                <w:p w14:paraId="693BF05A">
                  <w:pPr>
                    <w:pStyle w:val="349"/>
                    <w:bidi w:val="0"/>
                    <w:rPr>
                      <w:rFonts w:hint="default"/>
                      <w:color w:val="auto"/>
                      <w:highlight w:val="none"/>
                      <w:lang w:val="en-US" w:eastAsia="zh-CN"/>
                    </w:rPr>
                  </w:pPr>
                  <w:r>
                    <w:rPr>
                      <w:rFonts w:hint="default"/>
                      <w:color w:val="auto"/>
                      <w:highlight w:val="none"/>
                    </w:rPr>
                    <w:t>项目</w:t>
                  </w:r>
                  <w:r>
                    <w:rPr>
                      <w:rFonts w:hint="default"/>
                      <w:color w:val="auto"/>
                      <w:highlight w:val="none"/>
                      <w:lang w:val="en-US" w:eastAsia="zh-CN"/>
                    </w:rPr>
                    <w:t>厂界四周</w:t>
                  </w:r>
                </w:p>
              </w:tc>
              <w:tc>
                <w:tcPr>
                  <w:tcW w:w="617" w:type="pct"/>
                  <w:tcBorders>
                    <w:tl2br w:val="nil"/>
                    <w:tr2bl w:val="nil"/>
                  </w:tcBorders>
                  <w:vAlign w:val="center"/>
                </w:tcPr>
                <w:p w14:paraId="79ACDD3D">
                  <w:pPr>
                    <w:pStyle w:val="349"/>
                    <w:bidi w:val="0"/>
                    <w:rPr>
                      <w:rFonts w:hint="default"/>
                      <w:color w:val="auto"/>
                      <w:highlight w:val="none"/>
                    </w:rPr>
                  </w:pPr>
                  <w:r>
                    <w:rPr>
                      <w:rFonts w:hint="default"/>
                      <w:color w:val="auto"/>
                      <w:highlight w:val="none"/>
                    </w:rPr>
                    <w:t>1次/季度</w:t>
                  </w:r>
                </w:p>
              </w:tc>
              <w:tc>
                <w:tcPr>
                  <w:tcW w:w="1869" w:type="pct"/>
                  <w:tcBorders>
                    <w:tl2br w:val="nil"/>
                    <w:tr2bl w:val="nil"/>
                  </w:tcBorders>
                  <w:vAlign w:val="center"/>
                </w:tcPr>
                <w:p w14:paraId="70F1B40D">
                  <w:pPr>
                    <w:pStyle w:val="349"/>
                    <w:bidi w:val="0"/>
                    <w:rPr>
                      <w:rFonts w:hint="default"/>
                      <w:color w:val="auto"/>
                      <w:highlight w:val="none"/>
                      <w:lang w:val="en-US" w:eastAsia="zh-CN"/>
                    </w:rPr>
                  </w:pPr>
                  <w:r>
                    <w:rPr>
                      <w:rFonts w:hint="default"/>
                      <w:color w:val="auto"/>
                      <w:highlight w:val="none"/>
                      <w:lang w:val="en-US" w:eastAsia="zh-CN"/>
                    </w:rPr>
                    <w:t>《工业企业厂界环境噪声排放标准》(GB12348-2008)</w:t>
                  </w:r>
                  <w:r>
                    <w:rPr>
                      <w:rFonts w:hint="eastAsia"/>
                      <w:color w:val="auto"/>
                      <w:highlight w:val="none"/>
                      <w:lang w:val="en-US" w:eastAsia="zh-CN"/>
                    </w:rPr>
                    <w:t>2</w:t>
                  </w:r>
                  <w:r>
                    <w:rPr>
                      <w:rFonts w:hint="default"/>
                      <w:color w:val="auto"/>
                      <w:highlight w:val="none"/>
                      <w:lang w:val="en-US" w:eastAsia="zh-CN"/>
                    </w:rPr>
                    <w:t>类标准及要求</w:t>
                  </w:r>
                </w:p>
              </w:tc>
            </w:tr>
          </w:tbl>
          <w:p w14:paraId="05B46F91">
            <w:pPr>
              <w:adjustRightInd w:val="0"/>
              <w:snapToGrid w:val="0"/>
              <w:ind w:firstLine="482" w:firstLineChars="200"/>
              <w:jc w:val="both"/>
              <w:rPr>
                <w:rFonts w:hint="default" w:ascii="Times New Roman" w:hAnsi="Times New Roman" w:cs="Times New Roman"/>
                <w:b/>
                <w:color w:val="auto"/>
                <w:kern w:val="0"/>
                <w:szCs w:val="24"/>
                <w:highlight w:val="none"/>
              </w:rPr>
            </w:pPr>
            <w:r>
              <w:rPr>
                <w:rFonts w:hint="default" w:ascii="Times New Roman" w:hAnsi="Times New Roman" w:cs="Times New Roman"/>
                <w:b/>
                <w:color w:val="auto"/>
                <w:kern w:val="0"/>
                <w:szCs w:val="24"/>
                <w:highlight w:val="none"/>
                <w:lang w:eastAsia="zh-CN"/>
              </w:rPr>
              <w:t>四</w:t>
            </w:r>
            <w:r>
              <w:rPr>
                <w:rFonts w:hint="default" w:ascii="Times New Roman" w:hAnsi="Times New Roman" w:cs="Times New Roman"/>
                <w:b/>
                <w:color w:val="auto"/>
                <w:kern w:val="0"/>
                <w:szCs w:val="24"/>
                <w:highlight w:val="none"/>
              </w:rPr>
              <w:t>、固体废物环境影响及治理措施</w:t>
            </w:r>
          </w:p>
          <w:p w14:paraId="75A0BDB2">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zh-CN" w:eastAsia="zh-CN"/>
              </w:rPr>
              <w:t>项目</w:t>
            </w:r>
            <w:r>
              <w:rPr>
                <w:rFonts w:hint="eastAsia" w:ascii="Times New Roman" w:hAnsi="Times New Roman" w:eastAsia="宋体" w:cs="Times New Roman"/>
                <w:color w:val="auto"/>
                <w:sz w:val="21"/>
                <w:szCs w:val="21"/>
                <w:highlight w:val="none"/>
                <w:lang w:val="en-US" w:eastAsia="zh-CN"/>
              </w:rPr>
              <w:t>不新增</w:t>
            </w:r>
            <w:r>
              <w:rPr>
                <w:rFonts w:hint="eastAsia" w:ascii="Times New Roman" w:hAnsi="Times New Roman" w:eastAsia="宋体" w:cs="Times New Roman"/>
                <w:color w:val="auto"/>
                <w:sz w:val="21"/>
                <w:szCs w:val="21"/>
                <w:highlight w:val="none"/>
                <w:lang w:val="zh-CN" w:eastAsia="zh-CN"/>
              </w:rPr>
              <w:t>劳动定员，</w:t>
            </w:r>
            <w:r>
              <w:rPr>
                <w:rFonts w:hint="eastAsia" w:ascii="Times New Roman" w:hAnsi="Times New Roman" w:eastAsia="宋体" w:cs="Times New Roman"/>
                <w:color w:val="auto"/>
                <w:sz w:val="21"/>
                <w:szCs w:val="21"/>
                <w:highlight w:val="none"/>
                <w:lang w:val="en-US" w:eastAsia="zh-CN"/>
              </w:rPr>
              <w:t>均由厂内员工调配。</w:t>
            </w:r>
          </w:p>
          <w:p w14:paraId="5E39D4BC">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本项目的废耗材、实验废液和器皿清洗水、过期试剂、废残留样品、废活性炭等均作为危险废物处置。一般</w:t>
            </w:r>
            <w:r>
              <w:rPr>
                <w:rFonts w:hint="default" w:ascii="Times New Roman" w:hAnsi="Times New Roman" w:eastAsia="宋体" w:cs="Times New Roman"/>
                <w:color w:val="auto"/>
                <w:sz w:val="21"/>
                <w:szCs w:val="21"/>
                <w:highlight w:val="none"/>
                <w:lang w:val="en-US" w:eastAsia="zh-CN"/>
              </w:rPr>
              <w:t>固废主要</w:t>
            </w:r>
            <w:r>
              <w:rPr>
                <w:rFonts w:hint="eastAsia" w:ascii="Times New Roman" w:hAnsi="Times New Roman" w:eastAsia="宋体" w:cs="Times New Roman"/>
                <w:color w:val="auto"/>
                <w:sz w:val="21"/>
                <w:szCs w:val="21"/>
                <w:highlight w:val="none"/>
                <w:lang w:val="en-US" w:eastAsia="zh-CN"/>
              </w:rPr>
              <w:t>包括损坏的器皿</w:t>
            </w:r>
            <w:r>
              <w:rPr>
                <w:rFonts w:hint="default" w:ascii="Times New Roman" w:hAnsi="Times New Roman" w:eastAsia="宋体" w:cs="Times New Roman"/>
                <w:color w:val="auto"/>
                <w:sz w:val="21"/>
                <w:szCs w:val="21"/>
                <w:highlight w:val="none"/>
                <w:lang w:val="en-US" w:eastAsia="zh-CN"/>
              </w:rPr>
              <w:t>。</w:t>
            </w:r>
          </w:p>
          <w:p w14:paraId="4F9CFDC0">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val="en-US" w:eastAsia="zh-CN"/>
              </w:rPr>
              <w:t>实验室产生的一般固废</w:t>
            </w:r>
          </w:p>
          <w:p w14:paraId="51DD69F0">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根据企业提供的资料</w:t>
            </w:r>
            <w:r>
              <w:rPr>
                <w:rFonts w:hint="default" w:ascii="Times New Roman" w:hAnsi="Times New Roman" w:eastAsia="宋体" w:cs="Times New Roman"/>
                <w:color w:val="auto"/>
                <w:sz w:val="21"/>
                <w:szCs w:val="21"/>
                <w:highlight w:val="none"/>
                <w:lang w:val="en-US" w:eastAsia="zh-CN"/>
              </w:rPr>
              <w:t>，</w:t>
            </w:r>
            <w:r>
              <w:rPr>
                <w:rFonts w:hint="eastAsia" w:ascii="Times New Roman" w:hAnsi="Times New Roman" w:eastAsia="宋体" w:cs="Times New Roman"/>
                <w:color w:val="auto"/>
                <w:sz w:val="21"/>
                <w:szCs w:val="21"/>
                <w:highlight w:val="none"/>
                <w:lang w:val="en-US" w:eastAsia="zh-CN"/>
              </w:rPr>
              <w:t>玻璃器皿损坏产生的碎玻璃量约为0.02</w:t>
            </w:r>
            <w:r>
              <w:rPr>
                <w:rFonts w:hint="default" w:ascii="Times New Roman" w:hAnsi="Times New Roman" w:eastAsia="宋体" w:cs="Times New Roman"/>
                <w:color w:val="auto"/>
                <w:sz w:val="21"/>
                <w:szCs w:val="21"/>
                <w:highlight w:val="none"/>
                <w:lang w:val="en-US" w:eastAsia="zh-CN"/>
              </w:rPr>
              <w:t>t/a</w:t>
            </w:r>
            <w:r>
              <w:rPr>
                <w:rFonts w:hint="eastAsia" w:ascii="Times New Roman" w:hAnsi="Times New Roman" w:eastAsia="宋体" w:cs="Times New Roman"/>
                <w:color w:val="auto"/>
                <w:sz w:val="21"/>
                <w:szCs w:val="21"/>
                <w:highlight w:val="none"/>
                <w:lang w:val="en-US" w:eastAsia="zh-CN"/>
              </w:rPr>
              <w:t>，损坏的器皿收集至一般固废间及时外售</w:t>
            </w:r>
            <w:r>
              <w:rPr>
                <w:rFonts w:hint="default" w:ascii="Times New Roman" w:hAnsi="Times New Roman" w:eastAsia="宋体" w:cs="Times New Roman"/>
                <w:color w:val="auto"/>
                <w:sz w:val="21"/>
                <w:szCs w:val="21"/>
                <w:highlight w:val="none"/>
                <w:lang w:val="en-US" w:eastAsia="zh-CN"/>
              </w:rPr>
              <w:t>。</w:t>
            </w:r>
          </w:p>
          <w:p w14:paraId="6ACF324F">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lang w:val="en-US" w:eastAsia="zh-CN"/>
              </w:rPr>
              <w:t>、危险废物</w:t>
            </w:r>
          </w:p>
          <w:p w14:paraId="24E5E8AA">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①实验废液和器皿清洗水</w:t>
            </w:r>
          </w:p>
          <w:p w14:paraId="369D8048">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根据工程分析可知，实验废液和器皿清洗水产生量为8.2t/a，考虑到可能沾染重金属，对照《国家危险废物名录》（2021年版），属于“HW49其他废物”，危废代码为900-047-49，经专用容器收集后，作为危废委托资质单位处置。</w:t>
            </w:r>
          </w:p>
          <w:p w14:paraId="0E89DA3E">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②废耗材</w:t>
            </w:r>
          </w:p>
          <w:p w14:paraId="2C0DD2AA">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实验过程产生的废耗材主要为废滤纸、PH试纸、废手套等，产生量约0.02t/a，考虑到可能沾染重金属，对照《国家危险废物名录》（2021年版），属于“HW49其他废物”，危废代码为900-047-49，分类收集后，作为危废委托资质单位处置。</w:t>
            </w:r>
          </w:p>
          <w:p w14:paraId="7EEF7FBF">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③过期试剂</w:t>
            </w:r>
          </w:p>
          <w:p w14:paraId="4F188981">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项目运行过程中过期试剂产生量约0.05t/a，对照《国家危险废物名录》（2021年版），属于“HW49其他废物”，危废代码为900-047-49，需按照危险废物管理的规定进行处置，设专用容器收集后暂存危废暂存间，交由具有相关资质的单位进行处置。</w:t>
            </w:r>
          </w:p>
          <w:p w14:paraId="37F1EBC2">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④废残留样品</w:t>
            </w:r>
          </w:p>
          <w:p w14:paraId="67272FE8">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项目样品在实验检测过程中沾染腐蚀性、染毒性、反应性试剂或物质，对照《国家危险废物名录》（2021年版），废残留样品属名录列出的“HW49其他废物”，危废代码为900-047-49，检测后废残留样品产生量约为0.3t/a。</w:t>
            </w:r>
          </w:p>
          <w:p w14:paraId="0213442F">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⑤废活性炭</w:t>
            </w:r>
          </w:p>
          <w:p w14:paraId="68BF956C">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项目设置活性炭吸附箱主要对有机废气进行处理，</w:t>
            </w:r>
            <w:r>
              <w:rPr>
                <w:rFonts w:hint="eastAsia" w:ascii="Times New Roman" w:hAnsi="Times New Roman" w:eastAsia="宋体" w:cs="Times New Roman"/>
                <w:color w:val="auto"/>
                <w:sz w:val="21"/>
                <w:szCs w:val="21"/>
                <w:highlight w:val="none"/>
                <w:lang w:val="zh-CN" w:eastAsia="zh-CN"/>
              </w:rPr>
              <w:t>根据《现代涂装手册》（化学工业出版社，2010年出版），活性炭对有机废气等各成分的吸附量约为0.25g废气/1g活性炭。根据工程分析，本项目活性炭吸附装置处理非甲烷总烃为</w:t>
            </w:r>
            <w:r>
              <w:rPr>
                <w:rFonts w:hint="eastAsia" w:ascii="Times New Roman" w:hAnsi="Times New Roman" w:eastAsia="宋体" w:cs="Times New Roman"/>
                <w:color w:val="auto"/>
                <w:sz w:val="21"/>
                <w:szCs w:val="21"/>
                <w:highlight w:val="none"/>
                <w:lang w:val="en-US" w:eastAsia="zh-CN"/>
              </w:rPr>
              <w:t>0.0216</w:t>
            </w:r>
            <w:r>
              <w:rPr>
                <w:rFonts w:hint="eastAsia" w:ascii="Times New Roman" w:hAnsi="Times New Roman" w:eastAsia="宋体" w:cs="Times New Roman"/>
                <w:color w:val="auto"/>
                <w:sz w:val="21"/>
                <w:szCs w:val="21"/>
                <w:highlight w:val="none"/>
                <w:lang w:val="zh-CN" w:eastAsia="zh-CN"/>
              </w:rPr>
              <w:t>kg/a，</w:t>
            </w:r>
            <w:r>
              <w:rPr>
                <w:rFonts w:hint="eastAsia" w:ascii="Times New Roman" w:hAnsi="Times New Roman" w:eastAsia="宋体" w:cs="Times New Roman"/>
                <w:color w:val="auto"/>
                <w:sz w:val="21"/>
                <w:szCs w:val="21"/>
                <w:highlight w:val="none"/>
                <w:lang w:val="en-US" w:eastAsia="zh-CN"/>
              </w:rPr>
              <w:t>根据设计单位提供资料</w:t>
            </w:r>
            <w:r>
              <w:rPr>
                <w:rFonts w:hint="eastAsia" w:ascii="Times New Roman" w:hAnsi="Times New Roman" w:eastAsia="宋体" w:cs="Times New Roman"/>
                <w:color w:val="auto"/>
                <w:sz w:val="21"/>
                <w:szCs w:val="21"/>
                <w:highlight w:val="none"/>
                <w:lang w:val="zh-CN" w:eastAsia="zh-CN"/>
              </w:rPr>
              <w:t>活性炭箱的活性炭</w:t>
            </w:r>
            <w:r>
              <w:rPr>
                <w:rFonts w:hint="eastAsia" w:ascii="Times New Roman" w:hAnsi="Times New Roman" w:eastAsia="宋体" w:cs="Times New Roman"/>
                <w:color w:val="auto"/>
                <w:sz w:val="21"/>
                <w:szCs w:val="21"/>
                <w:highlight w:val="none"/>
                <w:lang w:val="en-US" w:eastAsia="zh-CN"/>
              </w:rPr>
              <w:t>充装量</w:t>
            </w:r>
            <w:r>
              <w:rPr>
                <w:rFonts w:hint="eastAsia" w:ascii="Times New Roman" w:hAnsi="Times New Roman" w:eastAsia="宋体" w:cs="Times New Roman"/>
                <w:color w:val="auto"/>
                <w:sz w:val="21"/>
                <w:szCs w:val="21"/>
                <w:highlight w:val="none"/>
                <w:lang w:val="zh-CN" w:eastAsia="zh-CN"/>
              </w:rPr>
              <w:t>为</w:t>
            </w:r>
            <w:r>
              <w:rPr>
                <w:rFonts w:hint="eastAsia" w:ascii="Times New Roman" w:hAnsi="Times New Roman" w:eastAsia="宋体" w:cs="Times New Roman"/>
                <w:color w:val="auto"/>
                <w:sz w:val="21"/>
                <w:szCs w:val="21"/>
                <w:highlight w:val="none"/>
                <w:lang w:val="en-US" w:eastAsia="zh-CN"/>
              </w:rPr>
              <w:t>50</w:t>
            </w:r>
            <w:r>
              <w:rPr>
                <w:rFonts w:hint="eastAsia" w:ascii="Times New Roman" w:hAnsi="Times New Roman" w:eastAsia="宋体" w:cs="Times New Roman"/>
                <w:color w:val="auto"/>
                <w:sz w:val="21"/>
                <w:szCs w:val="21"/>
                <w:highlight w:val="none"/>
                <w:lang w:val="zh-CN" w:eastAsia="zh-CN"/>
              </w:rPr>
              <w:t>0kg，</w:t>
            </w:r>
            <w:r>
              <w:rPr>
                <w:rFonts w:hint="default" w:ascii="Times New Roman" w:hAnsi="Times New Roman" w:eastAsia="宋体" w:cs="Times New Roman"/>
                <w:color w:val="auto"/>
                <w:sz w:val="21"/>
                <w:szCs w:val="21"/>
                <w:highlight w:val="none"/>
                <w:lang w:val="zh-CN" w:eastAsia="zh-CN"/>
              </w:rPr>
              <w:t>碘值不低于800毫克/克的</w:t>
            </w:r>
            <w:r>
              <w:rPr>
                <w:rFonts w:hint="eastAsia" w:ascii="Times New Roman" w:hAnsi="Times New Roman" w:eastAsia="宋体" w:cs="Times New Roman"/>
                <w:color w:val="auto"/>
                <w:sz w:val="21"/>
                <w:szCs w:val="21"/>
                <w:highlight w:val="none"/>
                <w:lang w:val="zh-CN" w:eastAsia="zh-CN"/>
              </w:rPr>
              <w:t>，</w:t>
            </w:r>
            <w:r>
              <w:rPr>
                <w:rFonts w:hint="eastAsia" w:ascii="Times New Roman" w:hAnsi="Times New Roman" w:eastAsia="宋体" w:cs="Times New Roman"/>
                <w:color w:val="auto"/>
                <w:sz w:val="21"/>
                <w:szCs w:val="21"/>
                <w:highlight w:val="none"/>
                <w:lang w:val="en-US" w:eastAsia="zh-CN"/>
              </w:rPr>
              <w:t>可吸附30kg有机废气，根据现行的有机废气，三个月更换一次，产生的废活性炭量约为2t/a，根据《国家危险废物名录》（2021年版），属于危险废物，危废代码：HW49 900-039-49，暂存危废间内，委托有资质单位处置。</w:t>
            </w:r>
          </w:p>
          <w:p w14:paraId="023EDC66">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项目固体废物核算结果见表</w:t>
            </w:r>
            <w:r>
              <w:rPr>
                <w:rFonts w:hint="eastAsia" w:cs="Times New Roman"/>
                <w:color w:val="auto"/>
                <w:sz w:val="21"/>
                <w:szCs w:val="21"/>
                <w:highlight w:val="none"/>
                <w:lang w:val="en-US" w:eastAsia="zh-CN"/>
              </w:rPr>
              <w:t>37</w:t>
            </w:r>
            <w:r>
              <w:rPr>
                <w:rFonts w:hint="eastAsia" w:ascii="Times New Roman" w:hAnsi="Times New Roman" w:eastAsia="宋体" w:cs="Times New Roman"/>
                <w:color w:val="auto"/>
                <w:sz w:val="21"/>
                <w:szCs w:val="21"/>
                <w:highlight w:val="none"/>
                <w:lang w:val="en-US" w:eastAsia="zh-CN"/>
              </w:rPr>
              <w:t>。</w:t>
            </w:r>
          </w:p>
          <w:p w14:paraId="7E597420">
            <w:pPr>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1"/>
              <w:rPr>
                <w:rFonts w:hint="default" w:ascii="Times New Roman" w:hAnsi="Times New Roman" w:eastAsia="宋体" w:cs="Times New Roman"/>
                <w:b/>
                <w:bCs/>
                <w:color w:val="auto"/>
                <w:kern w:val="2"/>
                <w:sz w:val="21"/>
                <w:szCs w:val="21"/>
                <w:highlight w:val="none"/>
                <w:lang w:val="en-US" w:eastAsia="zh-CN" w:bidi="ar-SA"/>
              </w:rPr>
            </w:pPr>
            <w:r>
              <w:rPr>
                <w:rFonts w:hint="eastAsia" w:ascii="Times New Roman" w:hAnsi="Times New Roman" w:eastAsia="宋体" w:cs="Times New Roman"/>
                <w:b/>
                <w:bCs/>
                <w:color w:val="auto"/>
                <w:kern w:val="2"/>
                <w:sz w:val="21"/>
                <w:szCs w:val="21"/>
                <w:highlight w:val="none"/>
                <w:lang w:val="en-US" w:eastAsia="zh-CN" w:bidi="ar-SA"/>
              </w:rPr>
              <w:t>表</w:t>
            </w:r>
            <w:r>
              <w:rPr>
                <w:rFonts w:hint="eastAsia" w:cs="Times New Roman"/>
                <w:b/>
                <w:bCs/>
                <w:color w:val="auto"/>
                <w:kern w:val="2"/>
                <w:sz w:val="21"/>
                <w:szCs w:val="21"/>
                <w:highlight w:val="none"/>
                <w:lang w:val="en-US" w:eastAsia="zh-CN" w:bidi="ar-SA"/>
              </w:rPr>
              <w:t>37</w:t>
            </w:r>
            <w:r>
              <w:rPr>
                <w:rFonts w:hint="eastAsia" w:ascii="Times New Roman" w:hAnsi="Times New Roman" w:eastAsia="宋体" w:cs="Times New Roman"/>
                <w:b/>
                <w:bCs/>
                <w:color w:val="auto"/>
                <w:kern w:val="2"/>
                <w:sz w:val="21"/>
                <w:szCs w:val="21"/>
                <w:highlight w:val="none"/>
                <w:lang w:val="en-US" w:eastAsia="zh-CN" w:bidi="ar-SA"/>
              </w:rPr>
              <w:t xml:space="preserve"> </w:t>
            </w:r>
            <w:r>
              <w:rPr>
                <w:rFonts w:hint="default" w:ascii="Times New Roman" w:hAnsi="Times New Roman" w:eastAsia="宋体" w:cs="Times New Roman"/>
                <w:b/>
                <w:bCs/>
                <w:color w:val="auto"/>
                <w:kern w:val="2"/>
                <w:sz w:val="21"/>
                <w:szCs w:val="21"/>
                <w:highlight w:val="none"/>
                <w:lang w:val="en-US" w:eastAsia="zh-CN" w:bidi="ar-SA"/>
              </w:rPr>
              <w:t>固废污染源源强核算结果及相关参数一览表</w:t>
            </w:r>
          </w:p>
          <w:tbl>
            <w:tblPr>
              <w:tblStyle w:val="4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923"/>
              <w:gridCol w:w="681"/>
              <w:gridCol w:w="1196"/>
              <w:gridCol w:w="974"/>
              <w:gridCol w:w="635"/>
              <w:gridCol w:w="690"/>
              <w:gridCol w:w="871"/>
              <w:gridCol w:w="851"/>
              <w:gridCol w:w="886"/>
              <w:gridCol w:w="738"/>
            </w:tblGrid>
            <w:tr w14:paraId="1AA13F00">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9" w:type="dxa"/>
                  <w:vMerge w:val="restart"/>
                  <w:tcBorders>
                    <w:tl2br w:val="nil"/>
                    <w:tr2bl w:val="nil"/>
                  </w:tcBorders>
                  <w:noWrap w:val="0"/>
                  <w:vAlign w:val="center"/>
                </w:tcPr>
                <w:p w14:paraId="5F32F8B6">
                  <w:pPr>
                    <w:adjustRightInd w:val="0"/>
                    <w:snapToGrid w:val="0"/>
                    <w:spacing w:line="240" w:lineRule="exact"/>
                    <w:jc w:val="center"/>
                    <w:rPr>
                      <w:rFonts w:hint="default" w:ascii="Times New Roman" w:hAnsi="Times New Roman" w:cs="Times New Roman"/>
                      <w:b/>
                      <w:bCs/>
                      <w:color w:val="auto"/>
                      <w:kern w:val="0"/>
                      <w:sz w:val="21"/>
                      <w:szCs w:val="21"/>
                      <w:highlight w:val="none"/>
                    </w:rPr>
                  </w:pPr>
                  <w:r>
                    <w:rPr>
                      <w:rFonts w:hint="eastAsia" w:cs="Times New Roman"/>
                      <w:b/>
                      <w:bCs/>
                      <w:color w:val="auto"/>
                      <w:kern w:val="0"/>
                      <w:sz w:val="21"/>
                      <w:szCs w:val="21"/>
                      <w:highlight w:val="none"/>
                      <w:lang w:val="en-US" w:eastAsia="zh-CN"/>
                    </w:rPr>
                    <w:t>产生环节</w:t>
                  </w:r>
                </w:p>
              </w:tc>
              <w:tc>
                <w:tcPr>
                  <w:tcW w:w="1018" w:type="dxa"/>
                  <w:vMerge w:val="restart"/>
                  <w:tcBorders>
                    <w:tl2br w:val="nil"/>
                    <w:tr2bl w:val="nil"/>
                  </w:tcBorders>
                  <w:noWrap w:val="0"/>
                  <w:vAlign w:val="center"/>
                </w:tcPr>
                <w:p w14:paraId="6AB208A1">
                  <w:pPr>
                    <w:adjustRightInd w:val="0"/>
                    <w:snapToGrid w:val="0"/>
                    <w:spacing w:line="240" w:lineRule="exact"/>
                    <w:jc w:val="center"/>
                    <w:rPr>
                      <w:rFonts w:hint="default"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固废名称</w:t>
                  </w:r>
                </w:p>
              </w:tc>
              <w:tc>
                <w:tcPr>
                  <w:tcW w:w="729" w:type="dxa"/>
                  <w:vMerge w:val="restart"/>
                  <w:tcBorders>
                    <w:tl2br w:val="nil"/>
                    <w:tr2bl w:val="nil"/>
                  </w:tcBorders>
                  <w:noWrap w:val="0"/>
                  <w:vAlign w:val="center"/>
                </w:tcPr>
                <w:p w14:paraId="19DA7EFD">
                  <w:pPr>
                    <w:adjustRightInd w:val="0"/>
                    <w:snapToGrid w:val="0"/>
                    <w:spacing w:line="240" w:lineRule="exact"/>
                    <w:jc w:val="center"/>
                    <w:rPr>
                      <w:rFonts w:hint="default"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固废属性</w:t>
                  </w:r>
                </w:p>
              </w:tc>
              <w:tc>
                <w:tcPr>
                  <w:tcW w:w="589" w:type="dxa"/>
                  <w:vMerge w:val="restart"/>
                  <w:tcBorders>
                    <w:tl2br w:val="nil"/>
                    <w:tr2bl w:val="nil"/>
                  </w:tcBorders>
                  <w:noWrap w:val="0"/>
                  <w:vAlign w:val="center"/>
                </w:tcPr>
                <w:p w14:paraId="305E0DD5">
                  <w:pPr>
                    <w:adjustRightInd w:val="0"/>
                    <w:snapToGrid w:val="0"/>
                    <w:spacing w:line="240" w:lineRule="exact"/>
                    <w:jc w:val="center"/>
                    <w:rPr>
                      <w:rFonts w:hint="default"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废物代码</w:t>
                  </w:r>
                </w:p>
              </w:tc>
              <w:tc>
                <w:tcPr>
                  <w:tcW w:w="1039" w:type="dxa"/>
                  <w:vMerge w:val="restart"/>
                  <w:tcBorders>
                    <w:tl2br w:val="nil"/>
                    <w:tr2bl w:val="nil"/>
                  </w:tcBorders>
                  <w:noWrap w:val="0"/>
                  <w:vAlign w:val="center"/>
                </w:tcPr>
                <w:p w14:paraId="6DECCF23">
                  <w:pPr>
                    <w:adjustRightInd w:val="0"/>
                    <w:snapToGrid w:val="0"/>
                    <w:spacing w:line="240" w:lineRule="exact"/>
                    <w:jc w:val="center"/>
                    <w:rPr>
                      <w:rFonts w:hint="default" w:ascii="Times New Roman" w:hAnsi="Times New Roman" w:eastAsia="宋体" w:cs="Times New Roman"/>
                      <w:b/>
                      <w:bCs/>
                      <w:color w:val="auto"/>
                      <w:kern w:val="0"/>
                      <w:sz w:val="21"/>
                      <w:szCs w:val="21"/>
                      <w:highlight w:val="none"/>
                      <w:lang w:val="en-US" w:eastAsia="zh-CN"/>
                    </w:rPr>
                  </w:pPr>
                  <w:r>
                    <w:rPr>
                      <w:rFonts w:hint="eastAsia" w:cs="Times New Roman"/>
                      <w:b/>
                      <w:bCs/>
                      <w:color w:val="auto"/>
                      <w:kern w:val="0"/>
                      <w:sz w:val="21"/>
                      <w:szCs w:val="21"/>
                      <w:highlight w:val="none"/>
                      <w:lang w:val="en-US" w:eastAsia="zh-CN"/>
                    </w:rPr>
                    <w:t>有害成分</w:t>
                  </w:r>
                </w:p>
              </w:tc>
              <w:tc>
                <w:tcPr>
                  <w:tcW w:w="675" w:type="dxa"/>
                  <w:vMerge w:val="restart"/>
                  <w:tcBorders>
                    <w:tl2br w:val="nil"/>
                    <w:tr2bl w:val="nil"/>
                  </w:tcBorders>
                  <w:noWrap w:val="0"/>
                  <w:vAlign w:val="center"/>
                </w:tcPr>
                <w:p w14:paraId="40ECA492">
                  <w:pPr>
                    <w:adjustRightInd w:val="0"/>
                    <w:snapToGrid w:val="0"/>
                    <w:spacing w:line="240" w:lineRule="exact"/>
                    <w:jc w:val="center"/>
                    <w:rPr>
                      <w:rFonts w:hint="default" w:cs="Times New Roman"/>
                      <w:b/>
                      <w:bCs/>
                      <w:color w:val="auto"/>
                      <w:kern w:val="0"/>
                      <w:sz w:val="21"/>
                      <w:szCs w:val="21"/>
                      <w:highlight w:val="none"/>
                      <w:lang w:val="en-US" w:eastAsia="zh-CN"/>
                    </w:rPr>
                  </w:pPr>
                  <w:r>
                    <w:rPr>
                      <w:rFonts w:hint="eastAsia" w:cs="Times New Roman"/>
                      <w:b/>
                      <w:bCs/>
                      <w:color w:val="auto"/>
                      <w:kern w:val="0"/>
                      <w:sz w:val="21"/>
                      <w:szCs w:val="21"/>
                      <w:highlight w:val="none"/>
                      <w:lang w:val="en-US" w:eastAsia="zh-CN"/>
                    </w:rPr>
                    <w:t>物理性状</w:t>
                  </w:r>
                </w:p>
              </w:tc>
              <w:tc>
                <w:tcPr>
                  <w:tcW w:w="1554" w:type="dxa"/>
                  <w:gridSpan w:val="2"/>
                  <w:tcBorders>
                    <w:tl2br w:val="nil"/>
                    <w:tr2bl w:val="nil"/>
                  </w:tcBorders>
                  <w:noWrap w:val="0"/>
                  <w:vAlign w:val="center"/>
                </w:tcPr>
                <w:p w14:paraId="324FE237">
                  <w:pPr>
                    <w:adjustRightInd w:val="0"/>
                    <w:snapToGrid w:val="0"/>
                    <w:spacing w:line="240" w:lineRule="exact"/>
                    <w:jc w:val="center"/>
                    <w:rPr>
                      <w:rFonts w:hint="default"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产生量</w:t>
                  </w:r>
                </w:p>
              </w:tc>
              <w:tc>
                <w:tcPr>
                  <w:tcW w:w="1821" w:type="dxa"/>
                  <w:gridSpan w:val="2"/>
                  <w:tcBorders>
                    <w:tl2br w:val="nil"/>
                    <w:tr2bl w:val="nil"/>
                  </w:tcBorders>
                  <w:noWrap w:val="0"/>
                  <w:vAlign w:val="center"/>
                </w:tcPr>
                <w:p w14:paraId="0BBF5B4E">
                  <w:pPr>
                    <w:adjustRightInd w:val="0"/>
                    <w:snapToGrid w:val="0"/>
                    <w:spacing w:line="240" w:lineRule="exact"/>
                    <w:jc w:val="center"/>
                    <w:rPr>
                      <w:rFonts w:hint="default"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处置措施</w:t>
                  </w:r>
                </w:p>
              </w:tc>
              <w:tc>
                <w:tcPr>
                  <w:tcW w:w="797" w:type="dxa"/>
                  <w:vMerge w:val="restart"/>
                  <w:tcBorders>
                    <w:tl2br w:val="nil"/>
                    <w:tr2bl w:val="nil"/>
                  </w:tcBorders>
                  <w:noWrap w:val="0"/>
                  <w:vAlign w:val="center"/>
                </w:tcPr>
                <w:p w14:paraId="03DBC0A7">
                  <w:pPr>
                    <w:adjustRightInd w:val="0"/>
                    <w:snapToGrid w:val="0"/>
                    <w:spacing w:line="240" w:lineRule="exact"/>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b/>
                      <w:bCs/>
                      <w:color w:val="auto"/>
                      <w:kern w:val="0"/>
                      <w:sz w:val="21"/>
                      <w:szCs w:val="21"/>
                      <w:highlight w:val="none"/>
                    </w:rPr>
                    <w:t>最终去向</w:t>
                  </w:r>
                </w:p>
              </w:tc>
            </w:tr>
            <w:tr w14:paraId="4D7B56CD">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799" w:type="dxa"/>
                  <w:vMerge w:val="continue"/>
                  <w:tcBorders>
                    <w:tl2br w:val="nil"/>
                    <w:tr2bl w:val="nil"/>
                  </w:tcBorders>
                  <w:noWrap w:val="0"/>
                  <w:vAlign w:val="center"/>
                </w:tcPr>
                <w:p w14:paraId="53C648DD">
                  <w:pPr>
                    <w:widowControl/>
                    <w:spacing w:line="240" w:lineRule="exact"/>
                    <w:jc w:val="left"/>
                    <w:rPr>
                      <w:rFonts w:hint="default" w:ascii="Times New Roman" w:hAnsi="Times New Roman" w:cs="Times New Roman"/>
                      <w:b/>
                      <w:bCs/>
                      <w:color w:val="auto"/>
                      <w:kern w:val="0"/>
                      <w:sz w:val="21"/>
                      <w:szCs w:val="21"/>
                      <w:highlight w:val="none"/>
                    </w:rPr>
                  </w:pPr>
                </w:p>
              </w:tc>
              <w:tc>
                <w:tcPr>
                  <w:tcW w:w="1018" w:type="dxa"/>
                  <w:vMerge w:val="continue"/>
                  <w:tcBorders>
                    <w:tl2br w:val="nil"/>
                    <w:tr2bl w:val="nil"/>
                  </w:tcBorders>
                  <w:noWrap w:val="0"/>
                  <w:vAlign w:val="center"/>
                </w:tcPr>
                <w:p w14:paraId="282FC853">
                  <w:pPr>
                    <w:widowControl/>
                    <w:spacing w:line="240" w:lineRule="exact"/>
                    <w:jc w:val="left"/>
                    <w:rPr>
                      <w:rFonts w:hint="default" w:ascii="Times New Roman" w:hAnsi="Times New Roman" w:cs="Times New Roman"/>
                      <w:b/>
                      <w:bCs/>
                      <w:color w:val="auto"/>
                      <w:kern w:val="0"/>
                      <w:sz w:val="21"/>
                      <w:szCs w:val="21"/>
                      <w:highlight w:val="none"/>
                    </w:rPr>
                  </w:pPr>
                </w:p>
              </w:tc>
              <w:tc>
                <w:tcPr>
                  <w:tcW w:w="729" w:type="dxa"/>
                  <w:vMerge w:val="continue"/>
                  <w:tcBorders>
                    <w:tl2br w:val="nil"/>
                    <w:tr2bl w:val="nil"/>
                  </w:tcBorders>
                  <w:noWrap w:val="0"/>
                  <w:vAlign w:val="center"/>
                </w:tcPr>
                <w:p w14:paraId="4D5387EB">
                  <w:pPr>
                    <w:widowControl/>
                    <w:spacing w:line="240" w:lineRule="exact"/>
                    <w:jc w:val="left"/>
                    <w:rPr>
                      <w:rFonts w:hint="default" w:ascii="Times New Roman" w:hAnsi="Times New Roman" w:cs="Times New Roman"/>
                      <w:b/>
                      <w:bCs/>
                      <w:color w:val="auto"/>
                      <w:kern w:val="0"/>
                      <w:sz w:val="21"/>
                      <w:szCs w:val="21"/>
                      <w:highlight w:val="none"/>
                    </w:rPr>
                  </w:pPr>
                </w:p>
              </w:tc>
              <w:tc>
                <w:tcPr>
                  <w:tcW w:w="589" w:type="dxa"/>
                  <w:vMerge w:val="continue"/>
                  <w:tcBorders>
                    <w:tl2br w:val="nil"/>
                    <w:tr2bl w:val="nil"/>
                  </w:tcBorders>
                  <w:noWrap w:val="0"/>
                  <w:vAlign w:val="center"/>
                </w:tcPr>
                <w:p w14:paraId="1E0D71BD">
                  <w:pPr>
                    <w:widowControl/>
                    <w:spacing w:line="240" w:lineRule="exact"/>
                    <w:jc w:val="left"/>
                    <w:rPr>
                      <w:rFonts w:hint="default" w:ascii="Times New Roman" w:hAnsi="Times New Roman" w:cs="Times New Roman"/>
                      <w:b/>
                      <w:bCs/>
                      <w:color w:val="auto"/>
                      <w:kern w:val="0"/>
                      <w:sz w:val="21"/>
                      <w:szCs w:val="21"/>
                      <w:highlight w:val="none"/>
                    </w:rPr>
                  </w:pPr>
                </w:p>
              </w:tc>
              <w:tc>
                <w:tcPr>
                  <w:tcW w:w="1039" w:type="dxa"/>
                  <w:vMerge w:val="continue"/>
                  <w:tcBorders>
                    <w:tl2br w:val="nil"/>
                    <w:tr2bl w:val="nil"/>
                  </w:tcBorders>
                  <w:noWrap w:val="0"/>
                  <w:vAlign w:val="center"/>
                </w:tcPr>
                <w:p w14:paraId="5630C8E2">
                  <w:pPr>
                    <w:widowControl/>
                    <w:spacing w:line="240" w:lineRule="exact"/>
                    <w:jc w:val="left"/>
                    <w:rPr>
                      <w:rFonts w:hint="default" w:ascii="Times New Roman" w:hAnsi="Times New Roman" w:cs="Times New Roman"/>
                      <w:b/>
                      <w:bCs/>
                      <w:color w:val="auto"/>
                      <w:kern w:val="0"/>
                      <w:sz w:val="21"/>
                      <w:szCs w:val="21"/>
                      <w:highlight w:val="none"/>
                    </w:rPr>
                  </w:pPr>
                </w:p>
              </w:tc>
              <w:tc>
                <w:tcPr>
                  <w:tcW w:w="675" w:type="dxa"/>
                  <w:vMerge w:val="continue"/>
                  <w:tcBorders>
                    <w:tl2br w:val="nil"/>
                    <w:tr2bl w:val="nil"/>
                  </w:tcBorders>
                  <w:noWrap w:val="0"/>
                  <w:vAlign w:val="center"/>
                </w:tcPr>
                <w:p w14:paraId="4846D34A">
                  <w:pPr>
                    <w:widowControl/>
                    <w:spacing w:line="240" w:lineRule="exact"/>
                    <w:jc w:val="left"/>
                    <w:rPr>
                      <w:rFonts w:hint="default" w:ascii="Times New Roman" w:hAnsi="Times New Roman" w:cs="Times New Roman"/>
                      <w:b/>
                      <w:bCs/>
                      <w:color w:val="auto"/>
                      <w:kern w:val="0"/>
                      <w:sz w:val="21"/>
                      <w:szCs w:val="21"/>
                      <w:highlight w:val="none"/>
                    </w:rPr>
                  </w:pPr>
                </w:p>
              </w:tc>
              <w:tc>
                <w:tcPr>
                  <w:tcW w:w="740" w:type="dxa"/>
                  <w:tcBorders>
                    <w:tl2br w:val="nil"/>
                    <w:tr2bl w:val="nil"/>
                  </w:tcBorders>
                  <w:noWrap w:val="0"/>
                  <w:vAlign w:val="center"/>
                </w:tcPr>
                <w:p w14:paraId="49096AB6">
                  <w:pPr>
                    <w:adjustRightInd w:val="0"/>
                    <w:snapToGrid w:val="0"/>
                    <w:spacing w:line="240" w:lineRule="exact"/>
                    <w:jc w:val="center"/>
                    <w:rPr>
                      <w:rFonts w:hint="default"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核算方法</w:t>
                  </w:r>
                </w:p>
              </w:tc>
              <w:tc>
                <w:tcPr>
                  <w:tcW w:w="814" w:type="dxa"/>
                  <w:tcBorders>
                    <w:tl2br w:val="nil"/>
                    <w:tr2bl w:val="nil"/>
                  </w:tcBorders>
                  <w:noWrap w:val="0"/>
                  <w:vAlign w:val="center"/>
                </w:tcPr>
                <w:p w14:paraId="089F310C">
                  <w:pPr>
                    <w:adjustRightInd w:val="0"/>
                    <w:snapToGrid w:val="0"/>
                    <w:spacing w:line="240" w:lineRule="exact"/>
                    <w:jc w:val="center"/>
                    <w:rPr>
                      <w:rFonts w:hint="default"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产生量（t/a）</w:t>
                  </w:r>
                </w:p>
              </w:tc>
              <w:tc>
                <w:tcPr>
                  <w:tcW w:w="932" w:type="dxa"/>
                  <w:tcBorders>
                    <w:tl2br w:val="nil"/>
                    <w:tr2bl w:val="nil"/>
                  </w:tcBorders>
                  <w:noWrap w:val="0"/>
                  <w:vAlign w:val="center"/>
                </w:tcPr>
                <w:p w14:paraId="458F4A0E">
                  <w:pPr>
                    <w:adjustRightInd w:val="0"/>
                    <w:snapToGrid w:val="0"/>
                    <w:spacing w:line="240" w:lineRule="exact"/>
                    <w:jc w:val="center"/>
                    <w:rPr>
                      <w:rFonts w:hint="eastAsia" w:ascii="Times New Roman" w:hAnsi="Times New Roman" w:eastAsia="宋体" w:cs="Times New Roman"/>
                      <w:b/>
                      <w:bCs/>
                      <w:color w:val="auto"/>
                      <w:kern w:val="0"/>
                      <w:sz w:val="21"/>
                      <w:szCs w:val="21"/>
                      <w:highlight w:val="none"/>
                      <w:lang w:eastAsia="zh-CN"/>
                    </w:rPr>
                  </w:pPr>
                  <w:r>
                    <w:rPr>
                      <w:rFonts w:hint="eastAsia" w:ascii="Times New Roman" w:hAnsi="Times New Roman" w:cs="Times New Roman"/>
                      <w:b/>
                      <w:bCs/>
                      <w:color w:val="auto"/>
                      <w:kern w:val="0"/>
                      <w:sz w:val="21"/>
                      <w:szCs w:val="21"/>
                      <w:highlight w:val="none"/>
                      <w:lang w:val="en-US" w:eastAsia="zh-CN"/>
                    </w:rPr>
                    <w:t>储存位置</w:t>
                  </w:r>
                </w:p>
              </w:tc>
              <w:tc>
                <w:tcPr>
                  <w:tcW w:w="889" w:type="dxa"/>
                  <w:tcBorders>
                    <w:tl2br w:val="nil"/>
                    <w:tr2bl w:val="nil"/>
                  </w:tcBorders>
                  <w:noWrap w:val="0"/>
                  <w:vAlign w:val="center"/>
                </w:tcPr>
                <w:p w14:paraId="0989F583">
                  <w:pPr>
                    <w:adjustRightInd w:val="0"/>
                    <w:snapToGrid w:val="0"/>
                    <w:spacing w:line="240" w:lineRule="exact"/>
                    <w:jc w:val="center"/>
                    <w:rPr>
                      <w:rFonts w:hint="default"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处置量（t/a）</w:t>
                  </w:r>
                </w:p>
              </w:tc>
              <w:tc>
                <w:tcPr>
                  <w:tcW w:w="797" w:type="dxa"/>
                  <w:vMerge w:val="continue"/>
                  <w:tcBorders>
                    <w:tl2br w:val="nil"/>
                    <w:tr2bl w:val="nil"/>
                  </w:tcBorders>
                  <w:noWrap w:val="0"/>
                  <w:vAlign w:val="center"/>
                </w:tcPr>
                <w:p w14:paraId="3D3BC4AB">
                  <w:pPr>
                    <w:widowControl/>
                    <w:spacing w:line="240" w:lineRule="exact"/>
                    <w:jc w:val="left"/>
                    <w:rPr>
                      <w:rFonts w:hint="default" w:ascii="Times New Roman" w:hAnsi="Times New Roman" w:cs="Times New Roman"/>
                      <w:color w:val="auto"/>
                      <w:kern w:val="0"/>
                      <w:sz w:val="21"/>
                      <w:szCs w:val="21"/>
                      <w:highlight w:val="none"/>
                    </w:rPr>
                  </w:pPr>
                </w:p>
              </w:tc>
            </w:tr>
            <w:tr w14:paraId="493CBE03">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9" w:type="dxa"/>
                  <w:tcBorders>
                    <w:tl2br w:val="nil"/>
                    <w:tr2bl w:val="nil"/>
                  </w:tcBorders>
                  <w:noWrap w:val="0"/>
                  <w:vAlign w:val="center"/>
                </w:tcPr>
                <w:p w14:paraId="15367859">
                  <w:pPr>
                    <w:adjustRightInd w:val="0"/>
                    <w:snapToGrid w:val="0"/>
                    <w:spacing w:line="240" w:lineRule="exact"/>
                    <w:jc w:val="center"/>
                    <w:rPr>
                      <w:rFonts w:hint="default" w:ascii="Times New Roman" w:hAnsi="Times New Roman" w:eastAsia="宋体" w:cs="Times New Roman"/>
                      <w:color w:val="auto"/>
                      <w:kern w:val="0"/>
                      <w:sz w:val="21"/>
                      <w:szCs w:val="21"/>
                      <w:highlight w:val="none"/>
                      <w:lang w:val="en-US" w:eastAsia="zh-CN" w:bidi="ar-SA"/>
                    </w:rPr>
                  </w:pPr>
                  <w:r>
                    <w:rPr>
                      <w:rFonts w:hint="eastAsia" w:cs="Times New Roman"/>
                      <w:color w:val="auto"/>
                      <w:kern w:val="0"/>
                      <w:sz w:val="21"/>
                      <w:szCs w:val="21"/>
                      <w:highlight w:val="none"/>
                      <w:lang w:val="en-US" w:eastAsia="zh-CN"/>
                    </w:rPr>
                    <w:t>实验室仪器</w:t>
                  </w:r>
                </w:p>
              </w:tc>
              <w:tc>
                <w:tcPr>
                  <w:tcW w:w="1018" w:type="dxa"/>
                  <w:tcBorders>
                    <w:tl2br w:val="nil"/>
                    <w:tr2bl w:val="nil"/>
                  </w:tcBorders>
                  <w:noWrap w:val="0"/>
                  <w:vAlign w:val="center"/>
                </w:tcPr>
                <w:p w14:paraId="0267C2EC">
                  <w:pPr>
                    <w:pStyle w:val="87"/>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损坏的器皿</w:t>
                  </w:r>
                </w:p>
              </w:tc>
              <w:tc>
                <w:tcPr>
                  <w:tcW w:w="729" w:type="dxa"/>
                  <w:tcBorders>
                    <w:tl2br w:val="nil"/>
                    <w:tr2bl w:val="nil"/>
                  </w:tcBorders>
                  <w:noWrap w:val="0"/>
                  <w:vAlign w:val="center"/>
                </w:tcPr>
                <w:p w14:paraId="3E0C6000">
                  <w:pPr>
                    <w:adjustRightInd w:val="0"/>
                    <w:snapToGrid w:val="0"/>
                    <w:spacing w:line="240" w:lineRule="exact"/>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cs="Times New Roman"/>
                      <w:color w:val="auto"/>
                      <w:kern w:val="0"/>
                      <w:sz w:val="21"/>
                      <w:szCs w:val="21"/>
                      <w:highlight w:val="none"/>
                      <w:lang w:val="en-US" w:eastAsia="zh-CN"/>
                    </w:rPr>
                    <w:t>一般固废</w:t>
                  </w:r>
                </w:p>
              </w:tc>
              <w:tc>
                <w:tcPr>
                  <w:tcW w:w="589" w:type="dxa"/>
                  <w:tcBorders>
                    <w:tl2br w:val="nil"/>
                    <w:tr2bl w:val="nil"/>
                  </w:tcBorders>
                  <w:noWrap w:val="0"/>
                  <w:vAlign w:val="center"/>
                </w:tcPr>
                <w:p w14:paraId="06CFC61F">
                  <w:pPr>
                    <w:adjustRightInd w:val="0"/>
                    <w:snapToGrid w:val="0"/>
                    <w:spacing w:line="240" w:lineRule="exact"/>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w:t>
                  </w:r>
                </w:p>
              </w:tc>
              <w:tc>
                <w:tcPr>
                  <w:tcW w:w="1039" w:type="dxa"/>
                  <w:tcBorders>
                    <w:tl2br w:val="nil"/>
                    <w:tr2bl w:val="nil"/>
                  </w:tcBorders>
                  <w:noWrap w:val="0"/>
                  <w:vAlign w:val="center"/>
                </w:tcPr>
                <w:p w14:paraId="3BDDFA29">
                  <w:pPr>
                    <w:adjustRightInd w:val="0"/>
                    <w:snapToGrid w:val="0"/>
                    <w:spacing w:line="240" w:lineRule="exact"/>
                    <w:jc w:val="center"/>
                    <w:rPr>
                      <w:rFonts w:hint="default" w:ascii="Times New Roman" w:hAnsi="Times New Roman"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w:t>
                  </w:r>
                </w:p>
              </w:tc>
              <w:tc>
                <w:tcPr>
                  <w:tcW w:w="675" w:type="dxa"/>
                  <w:tcBorders>
                    <w:tl2br w:val="nil"/>
                    <w:tr2bl w:val="nil"/>
                  </w:tcBorders>
                  <w:noWrap w:val="0"/>
                  <w:vAlign w:val="center"/>
                </w:tcPr>
                <w:p w14:paraId="356489D6">
                  <w:pPr>
                    <w:adjustRightInd w:val="0"/>
                    <w:snapToGrid w:val="0"/>
                    <w:spacing w:line="240" w:lineRule="exact"/>
                    <w:jc w:val="center"/>
                    <w:rPr>
                      <w:rFonts w:hint="default" w:ascii="Times New Roman" w:hAnsi="Times New Roman"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固体</w:t>
                  </w:r>
                </w:p>
              </w:tc>
              <w:tc>
                <w:tcPr>
                  <w:tcW w:w="740" w:type="dxa"/>
                  <w:tcBorders>
                    <w:tl2br w:val="nil"/>
                    <w:tr2bl w:val="nil"/>
                  </w:tcBorders>
                  <w:noWrap w:val="0"/>
                  <w:vAlign w:val="center"/>
                </w:tcPr>
                <w:p w14:paraId="1E2555E8">
                  <w:pPr>
                    <w:adjustRightInd w:val="0"/>
                    <w:snapToGrid w:val="0"/>
                    <w:spacing w:line="240" w:lineRule="exact"/>
                    <w:jc w:val="center"/>
                    <w:rPr>
                      <w:rFonts w:hint="default" w:ascii="Times New Roman" w:hAnsi="Times New Roman" w:eastAsia="宋体" w:cs="Times New Roman"/>
                      <w:color w:val="auto"/>
                      <w:kern w:val="0"/>
                      <w:sz w:val="21"/>
                      <w:szCs w:val="21"/>
                      <w:highlight w:val="none"/>
                      <w:lang w:val="en-US" w:eastAsia="zh-CN" w:bidi="ar-SA"/>
                    </w:rPr>
                  </w:pPr>
                  <w:r>
                    <w:rPr>
                      <w:rFonts w:hint="eastAsia" w:cs="Times New Roman"/>
                      <w:color w:val="auto"/>
                      <w:kern w:val="0"/>
                      <w:sz w:val="21"/>
                      <w:szCs w:val="21"/>
                      <w:highlight w:val="none"/>
                      <w:lang w:val="en-US" w:eastAsia="zh-CN"/>
                    </w:rPr>
                    <w:t>类比法</w:t>
                  </w:r>
                </w:p>
              </w:tc>
              <w:tc>
                <w:tcPr>
                  <w:tcW w:w="814" w:type="dxa"/>
                  <w:tcBorders>
                    <w:tl2br w:val="nil"/>
                    <w:tr2bl w:val="nil"/>
                  </w:tcBorders>
                  <w:noWrap w:val="0"/>
                  <w:vAlign w:val="center"/>
                </w:tcPr>
                <w:p w14:paraId="674E32FB">
                  <w:pPr>
                    <w:pStyle w:val="87"/>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0.02</w:t>
                  </w:r>
                </w:p>
              </w:tc>
              <w:tc>
                <w:tcPr>
                  <w:tcW w:w="932" w:type="dxa"/>
                  <w:tcBorders>
                    <w:tl2br w:val="nil"/>
                    <w:tr2bl w:val="nil"/>
                  </w:tcBorders>
                  <w:noWrap w:val="0"/>
                  <w:vAlign w:val="center"/>
                </w:tcPr>
                <w:p w14:paraId="2134CE77">
                  <w:pPr>
                    <w:pStyle w:val="87"/>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一般固废暂存间</w:t>
                  </w:r>
                </w:p>
              </w:tc>
              <w:tc>
                <w:tcPr>
                  <w:tcW w:w="889" w:type="dxa"/>
                  <w:tcBorders>
                    <w:tl2br w:val="nil"/>
                    <w:tr2bl w:val="nil"/>
                  </w:tcBorders>
                  <w:noWrap w:val="0"/>
                  <w:vAlign w:val="center"/>
                </w:tcPr>
                <w:p w14:paraId="0337CB73">
                  <w:pPr>
                    <w:pStyle w:val="87"/>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0.02</w:t>
                  </w:r>
                </w:p>
              </w:tc>
              <w:tc>
                <w:tcPr>
                  <w:tcW w:w="797" w:type="dxa"/>
                  <w:tcBorders>
                    <w:tl2br w:val="nil"/>
                    <w:tr2bl w:val="nil"/>
                  </w:tcBorders>
                  <w:noWrap w:val="0"/>
                  <w:vAlign w:val="center"/>
                </w:tcPr>
                <w:p w14:paraId="4EA10C78">
                  <w:pPr>
                    <w:adjustRightInd w:val="0"/>
                    <w:snapToGrid w:val="0"/>
                    <w:spacing w:line="240" w:lineRule="exact"/>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cs="Times New Roman"/>
                      <w:color w:val="auto"/>
                      <w:kern w:val="0"/>
                      <w:sz w:val="21"/>
                      <w:szCs w:val="21"/>
                      <w:highlight w:val="none"/>
                      <w:lang w:val="en-US" w:eastAsia="zh-CN"/>
                    </w:rPr>
                    <w:t>外售</w:t>
                  </w:r>
                </w:p>
              </w:tc>
            </w:tr>
            <w:tr w14:paraId="2B117E32">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9" w:type="dxa"/>
                  <w:tcBorders>
                    <w:tl2br w:val="nil"/>
                    <w:tr2bl w:val="nil"/>
                  </w:tcBorders>
                  <w:noWrap w:val="0"/>
                  <w:vAlign w:val="center"/>
                </w:tcPr>
                <w:p w14:paraId="04C615EF">
                  <w:pPr>
                    <w:adjustRightInd w:val="0"/>
                    <w:snapToGrid w:val="0"/>
                    <w:spacing w:line="240" w:lineRule="exact"/>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实验及器皿清洗</w:t>
                  </w:r>
                </w:p>
              </w:tc>
              <w:tc>
                <w:tcPr>
                  <w:tcW w:w="1018" w:type="dxa"/>
                  <w:tcBorders>
                    <w:tl2br w:val="nil"/>
                    <w:tr2bl w:val="nil"/>
                  </w:tcBorders>
                  <w:noWrap w:val="0"/>
                  <w:vAlign w:val="center"/>
                </w:tcPr>
                <w:p w14:paraId="0061263B">
                  <w:pPr>
                    <w:pStyle w:val="87"/>
                    <w:spacing w:line="240" w:lineRule="auto"/>
                    <w:ind w:firstLine="0" w:firstLineChars="0"/>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实验废液和器皿清洗水</w:t>
                  </w:r>
                </w:p>
              </w:tc>
              <w:tc>
                <w:tcPr>
                  <w:tcW w:w="729" w:type="dxa"/>
                  <w:tcBorders>
                    <w:tl2br w:val="nil"/>
                    <w:tr2bl w:val="nil"/>
                  </w:tcBorders>
                  <w:noWrap w:val="0"/>
                  <w:vAlign w:val="center"/>
                </w:tcPr>
                <w:p w14:paraId="21A3FE3D">
                  <w:pPr>
                    <w:adjustRightInd w:val="0"/>
                    <w:snapToGrid w:val="0"/>
                    <w:spacing w:line="240" w:lineRule="exact"/>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危险废物</w:t>
                  </w:r>
                </w:p>
              </w:tc>
              <w:tc>
                <w:tcPr>
                  <w:tcW w:w="589" w:type="dxa"/>
                  <w:vMerge w:val="restart"/>
                  <w:tcBorders>
                    <w:tl2br w:val="nil"/>
                    <w:tr2bl w:val="nil"/>
                  </w:tcBorders>
                  <w:noWrap w:val="0"/>
                  <w:vAlign w:val="center"/>
                </w:tcPr>
                <w:p w14:paraId="4C3B481C">
                  <w:pPr>
                    <w:adjustRightInd w:val="0"/>
                    <w:snapToGrid w:val="0"/>
                    <w:spacing w:line="240" w:lineRule="exact"/>
                    <w:jc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HW49，900-047-49</w:t>
                  </w:r>
                </w:p>
              </w:tc>
              <w:tc>
                <w:tcPr>
                  <w:tcW w:w="1039" w:type="dxa"/>
                  <w:tcBorders>
                    <w:tl2br w:val="nil"/>
                    <w:tr2bl w:val="nil"/>
                  </w:tcBorders>
                  <w:noWrap w:val="0"/>
                  <w:vAlign w:val="center"/>
                </w:tcPr>
                <w:p w14:paraId="407EA823">
                  <w:pPr>
                    <w:adjustRightInd w:val="0"/>
                    <w:snapToGrid w:val="0"/>
                    <w:spacing w:line="240" w:lineRule="exact"/>
                    <w:jc w:val="center"/>
                    <w:rPr>
                      <w:rFonts w:hint="eastAsia" w:cs="Times New Roman"/>
                      <w:color w:val="auto"/>
                      <w:kern w:val="0"/>
                      <w:sz w:val="21"/>
                      <w:szCs w:val="21"/>
                      <w:highlight w:val="none"/>
                      <w:lang w:val="en-US" w:eastAsia="zh-CN"/>
                    </w:rPr>
                  </w:pPr>
                  <w:r>
                    <w:rPr>
                      <w:rFonts w:hint="eastAsia" w:ascii="Times New Roman" w:hAnsi="Times New Roman" w:cs="Times New Roman"/>
                      <w:color w:val="auto"/>
                      <w:sz w:val="21"/>
                      <w:szCs w:val="21"/>
                      <w:highlight w:val="none"/>
                      <w:lang w:val="en-US" w:eastAsia="zh-CN"/>
                    </w:rPr>
                    <w:t>重金属、有机物等</w:t>
                  </w:r>
                </w:p>
              </w:tc>
              <w:tc>
                <w:tcPr>
                  <w:tcW w:w="675" w:type="dxa"/>
                  <w:tcBorders>
                    <w:tl2br w:val="nil"/>
                    <w:tr2bl w:val="nil"/>
                  </w:tcBorders>
                  <w:noWrap w:val="0"/>
                  <w:vAlign w:val="center"/>
                </w:tcPr>
                <w:p w14:paraId="3C15AC40">
                  <w:pPr>
                    <w:adjustRightInd w:val="0"/>
                    <w:snapToGrid w:val="0"/>
                    <w:spacing w:line="240" w:lineRule="exact"/>
                    <w:jc w:val="center"/>
                    <w:rPr>
                      <w:rFonts w:hint="eastAsia" w:cs="Times New Roman"/>
                      <w:color w:val="auto"/>
                      <w:kern w:val="0"/>
                      <w:sz w:val="21"/>
                      <w:szCs w:val="21"/>
                      <w:highlight w:val="none"/>
                      <w:lang w:val="en-US" w:eastAsia="zh-CN"/>
                    </w:rPr>
                  </w:pPr>
                  <w:r>
                    <w:rPr>
                      <w:rFonts w:hint="eastAsia" w:ascii="Times New Roman" w:hAnsi="Times New Roman" w:cs="Times New Roman"/>
                      <w:color w:val="auto"/>
                      <w:sz w:val="21"/>
                      <w:szCs w:val="21"/>
                      <w:highlight w:val="none"/>
                      <w:lang w:val="en-US" w:eastAsia="zh-CN"/>
                    </w:rPr>
                    <w:t>液体</w:t>
                  </w:r>
                </w:p>
              </w:tc>
              <w:tc>
                <w:tcPr>
                  <w:tcW w:w="740" w:type="dxa"/>
                  <w:tcBorders>
                    <w:tl2br w:val="nil"/>
                    <w:tr2bl w:val="nil"/>
                  </w:tcBorders>
                  <w:noWrap w:val="0"/>
                  <w:vAlign w:val="center"/>
                </w:tcPr>
                <w:p w14:paraId="7C09A4A2">
                  <w:pPr>
                    <w:adjustRightInd w:val="0"/>
                    <w:snapToGrid w:val="0"/>
                    <w:spacing w:line="240" w:lineRule="exact"/>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类比法</w:t>
                  </w:r>
                </w:p>
              </w:tc>
              <w:tc>
                <w:tcPr>
                  <w:tcW w:w="814" w:type="dxa"/>
                  <w:tcBorders>
                    <w:tl2br w:val="nil"/>
                    <w:tr2bl w:val="nil"/>
                  </w:tcBorders>
                  <w:noWrap w:val="0"/>
                  <w:vAlign w:val="center"/>
                </w:tcPr>
                <w:p w14:paraId="22195B85">
                  <w:pPr>
                    <w:pStyle w:val="87"/>
                    <w:spacing w:line="240" w:lineRule="auto"/>
                    <w:ind w:firstLine="0" w:firstLineChars="0"/>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8.2</w:t>
                  </w:r>
                </w:p>
              </w:tc>
              <w:tc>
                <w:tcPr>
                  <w:tcW w:w="932" w:type="dxa"/>
                  <w:tcBorders>
                    <w:tl2br w:val="nil"/>
                    <w:tr2bl w:val="nil"/>
                  </w:tcBorders>
                  <w:noWrap w:val="0"/>
                  <w:vAlign w:val="center"/>
                </w:tcPr>
                <w:p w14:paraId="67D1A6DC">
                  <w:pPr>
                    <w:pStyle w:val="87"/>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危废暂存间</w:t>
                  </w:r>
                </w:p>
              </w:tc>
              <w:tc>
                <w:tcPr>
                  <w:tcW w:w="889" w:type="dxa"/>
                  <w:tcBorders>
                    <w:tl2br w:val="nil"/>
                    <w:tr2bl w:val="nil"/>
                  </w:tcBorders>
                  <w:noWrap w:val="0"/>
                  <w:vAlign w:val="center"/>
                </w:tcPr>
                <w:p w14:paraId="01466B2B">
                  <w:pPr>
                    <w:pStyle w:val="87"/>
                    <w:spacing w:line="240" w:lineRule="auto"/>
                    <w:ind w:firstLine="0" w:firstLineChars="0"/>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8.2</w:t>
                  </w:r>
                </w:p>
              </w:tc>
              <w:tc>
                <w:tcPr>
                  <w:tcW w:w="797" w:type="dxa"/>
                  <w:vMerge w:val="restart"/>
                  <w:tcBorders>
                    <w:tl2br w:val="nil"/>
                    <w:tr2bl w:val="nil"/>
                  </w:tcBorders>
                  <w:noWrap w:val="0"/>
                  <w:vAlign w:val="center"/>
                </w:tcPr>
                <w:p w14:paraId="562B2C9A">
                  <w:pPr>
                    <w:adjustRightInd w:val="0"/>
                    <w:snapToGrid w:val="0"/>
                    <w:spacing w:line="240" w:lineRule="exact"/>
                    <w:jc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作为危废委托资质单位处置</w:t>
                  </w:r>
                </w:p>
              </w:tc>
            </w:tr>
            <w:tr w14:paraId="5E6EBB3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9" w:type="dxa"/>
                  <w:tcBorders>
                    <w:tl2br w:val="nil"/>
                    <w:tr2bl w:val="nil"/>
                  </w:tcBorders>
                  <w:noWrap w:val="0"/>
                  <w:vAlign w:val="center"/>
                </w:tcPr>
                <w:p w14:paraId="1D2E7BAD">
                  <w:pPr>
                    <w:adjustRightInd w:val="0"/>
                    <w:snapToGrid w:val="0"/>
                    <w:spacing w:line="240" w:lineRule="exact"/>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实验过程</w:t>
                  </w:r>
                </w:p>
              </w:tc>
              <w:tc>
                <w:tcPr>
                  <w:tcW w:w="1018" w:type="dxa"/>
                  <w:tcBorders>
                    <w:tl2br w:val="nil"/>
                    <w:tr2bl w:val="nil"/>
                  </w:tcBorders>
                  <w:noWrap w:val="0"/>
                  <w:vAlign w:val="center"/>
                </w:tcPr>
                <w:p w14:paraId="49B9F200">
                  <w:pPr>
                    <w:pStyle w:val="87"/>
                    <w:spacing w:line="240" w:lineRule="auto"/>
                    <w:ind w:firstLine="0" w:firstLine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废耗材</w:t>
                  </w:r>
                </w:p>
              </w:tc>
              <w:tc>
                <w:tcPr>
                  <w:tcW w:w="729" w:type="dxa"/>
                  <w:tcBorders>
                    <w:tl2br w:val="nil"/>
                    <w:tr2bl w:val="nil"/>
                  </w:tcBorders>
                  <w:noWrap w:val="0"/>
                  <w:vAlign w:val="center"/>
                </w:tcPr>
                <w:p w14:paraId="5F82F1AB">
                  <w:pPr>
                    <w:adjustRightInd w:val="0"/>
                    <w:snapToGrid w:val="0"/>
                    <w:spacing w:line="240" w:lineRule="exact"/>
                    <w:jc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危险废物</w:t>
                  </w:r>
                </w:p>
              </w:tc>
              <w:tc>
                <w:tcPr>
                  <w:tcW w:w="589" w:type="dxa"/>
                  <w:vMerge w:val="continue"/>
                  <w:tcBorders>
                    <w:tl2br w:val="nil"/>
                    <w:tr2bl w:val="nil"/>
                  </w:tcBorders>
                  <w:noWrap w:val="0"/>
                  <w:vAlign w:val="center"/>
                </w:tcPr>
                <w:p w14:paraId="5081B606">
                  <w:pPr>
                    <w:adjustRightInd w:val="0"/>
                    <w:snapToGrid w:val="0"/>
                    <w:spacing w:line="240" w:lineRule="exact"/>
                    <w:jc w:val="center"/>
                    <w:rPr>
                      <w:rFonts w:hint="eastAsia" w:ascii="Times New Roman" w:hAnsi="Times New Roman" w:cs="Times New Roman"/>
                      <w:color w:val="auto"/>
                      <w:kern w:val="0"/>
                      <w:sz w:val="21"/>
                      <w:szCs w:val="21"/>
                      <w:highlight w:val="none"/>
                      <w:lang w:val="en-US" w:eastAsia="zh-CN"/>
                    </w:rPr>
                  </w:pPr>
                </w:p>
              </w:tc>
              <w:tc>
                <w:tcPr>
                  <w:tcW w:w="1039" w:type="dxa"/>
                  <w:tcBorders>
                    <w:tl2br w:val="nil"/>
                    <w:tr2bl w:val="nil"/>
                  </w:tcBorders>
                  <w:noWrap w:val="0"/>
                  <w:vAlign w:val="center"/>
                </w:tcPr>
                <w:p w14:paraId="1AC1FBCF">
                  <w:pPr>
                    <w:adjustRightInd w:val="0"/>
                    <w:snapToGrid w:val="0"/>
                    <w:spacing w:line="240" w:lineRule="exact"/>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重金属、有机物等</w:t>
                  </w:r>
                </w:p>
              </w:tc>
              <w:tc>
                <w:tcPr>
                  <w:tcW w:w="675" w:type="dxa"/>
                  <w:tcBorders>
                    <w:tl2br w:val="nil"/>
                    <w:tr2bl w:val="nil"/>
                  </w:tcBorders>
                  <w:noWrap w:val="0"/>
                  <w:vAlign w:val="center"/>
                </w:tcPr>
                <w:p w14:paraId="713011C0">
                  <w:pPr>
                    <w:adjustRightInd w:val="0"/>
                    <w:snapToGrid w:val="0"/>
                    <w:spacing w:line="240" w:lineRule="exact"/>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固体</w:t>
                  </w:r>
                </w:p>
              </w:tc>
              <w:tc>
                <w:tcPr>
                  <w:tcW w:w="740" w:type="dxa"/>
                  <w:tcBorders>
                    <w:tl2br w:val="nil"/>
                    <w:tr2bl w:val="nil"/>
                  </w:tcBorders>
                  <w:noWrap w:val="0"/>
                  <w:vAlign w:val="center"/>
                </w:tcPr>
                <w:p w14:paraId="165A7798">
                  <w:pPr>
                    <w:adjustRightInd w:val="0"/>
                    <w:snapToGrid w:val="0"/>
                    <w:spacing w:line="240" w:lineRule="exact"/>
                    <w:jc w:val="center"/>
                    <w:rPr>
                      <w:rFonts w:hint="eastAsia"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类比法</w:t>
                  </w:r>
                </w:p>
              </w:tc>
              <w:tc>
                <w:tcPr>
                  <w:tcW w:w="814" w:type="dxa"/>
                  <w:tcBorders>
                    <w:tl2br w:val="nil"/>
                    <w:tr2bl w:val="nil"/>
                  </w:tcBorders>
                  <w:noWrap w:val="0"/>
                  <w:vAlign w:val="center"/>
                </w:tcPr>
                <w:p w14:paraId="2DBB5196">
                  <w:pPr>
                    <w:pStyle w:val="87"/>
                    <w:spacing w:line="240" w:lineRule="auto"/>
                    <w:ind w:firstLine="0" w:firstLineChars="0"/>
                    <w:jc w:val="center"/>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0.02</w:t>
                  </w:r>
                </w:p>
              </w:tc>
              <w:tc>
                <w:tcPr>
                  <w:tcW w:w="932" w:type="dxa"/>
                  <w:tcBorders>
                    <w:tl2br w:val="nil"/>
                    <w:tr2bl w:val="nil"/>
                  </w:tcBorders>
                  <w:noWrap w:val="0"/>
                  <w:vAlign w:val="center"/>
                </w:tcPr>
                <w:p w14:paraId="3264FFB6">
                  <w:pPr>
                    <w:pStyle w:val="87"/>
                    <w:spacing w:line="240" w:lineRule="auto"/>
                    <w:ind w:firstLine="0" w:firstLineChars="0"/>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危废暂存间</w:t>
                  </w:r>
                </w:p>
              </w:tc>
              <w:tc>
                <w:tcPr>
                  <w:tcW w:w="889" w:type="dxa"/>
                  <w:tcBorders>
                    <w:tl2br w:val="nil"/>
                    <w:tr2bl w:val="nil"/>
                  </w:tcBorders>
                  <w:noWrap w:val="0"/>
                  <w:vAlign w:val="center"/>
                </w:tcPr>
                <w:p w14:paraId="0DA05BE5">
                  <w:pPr>
                    <w:pStyle w:val="87"/>
                    <w:spacing w:line="240" w:lineRule="auto"/>
                    <w:ind w:firstLine="0" w:firstLineChars="0"/>
                    <w:jc w:val="center"/>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0.02</w:t>
                  </w:r>
                </w:p>
              </w:tc>
              <w:tc>
                <w:tcPr>
                  <w:tcW w:w="797" w:type="dxa"/>
                  <w:vMerge w:val="continue"/>
                  <w:tcBorders>
                    <w:tl2br w:val="nil"/>
                    <w:tr2bl w:val="nil"/>
                  </w:tcBorders>
                  <w:noWrap w:val="0"/>
                  <w:vAlign w:val="center"/>
                </w:tcPr>
                <w:p w14:paraId="3BED26CB">
                  <w:pPr>
                    <w:adjustRightInd w:val="0"/>
                    <w:snapToGrid w:val="0"/>
                    <w:spacing w:line="240" w:lineRule="exact"/>
                    <w:jc w:val="center"/>
                    <w:rPr>
                      <w:rFonts w:hint="eastAsia" w:ascii="Times New Roman" w:hAnsi="Times New Roman" w:eastAsia="宋体" w:cs="Times New Roman"/>
                      <w:color w:val="auto"/>
                      <w:sz w:val="21"/>
                      <w:szCs w:val="21"/>
                      <w:highlight w:val="none"/>
                      <w:lang w:val="en-US" w:eastAsia="zh-CN"/>
                    </w:rPr>
                  </w:pPr>
                </w:p>
              </w:tc>
            </w:tr>
            <w:tr w14:paraId="34827B85">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9" w:type="dxa"/>
                  <w:tcBorders>
                    <w:tl2br w:val="nil"/>
                    <w:tr2bl w:val="nil"/>
                  </w:tcBorders>
                  <w:noWrap w:val="0"/>
                  <w:vAlign w:val="center"/>
                </w:tcPr>
                <w:p w14:paraId="17107AE4">
                  <w:pPr>
                    <w:adjustRightInd w:val="0"/>
                    <w:snapToGrid w:val="0"/>
                    <w:spacing w:line="240" w:lineRule="exact"/>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试剂储存</w:t>
                  </w:r>
                </w:p>
              </w:tc>
              <w:tc>
                <w:tcPr>
                  <w:tcW w:w="1018" w:type="dxa"/>
                  <w:tcBorders>
                    <w:tl2br w:val="nil"/>
                    <w:tr2bl w:val="nil"/>
                  </w:tcBorders>
                  <w:noWrap w:val="0"/>
                  <w:vAlign w:val="center"/>
                </w:tcPr>
                <w:p w14:paraId="49C93440">
                  <w:pPr>
                    <w:pStyle w:val="87"/>
                    <w:spacing w:line="240" w:lineRule="auto"/>
                    <w:ind w:firstLine="0" w:firstLine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过期试剂</w:t>
                  </w:r>
                </w:p>
              </w:tc>
              <w:tc>
                <w:tcPr>
                  <w:tcW w:w="729" w:type="dxa"/>
                  <w:tcBorders>
                    <w:tl2br w:val="nil"/>
                    <w:tr2bl w:val="nil"/>
                  </w:tcBorders>
                  <w:noWrap w:val="0"/>
                  <w:vAlign w:val="center"/>
                </w:tcPr>
                <w:p w14:paraId="0F601CD4">
                  <w:pPr>
                    <w:adjustRightInd w:val="0"/>
                    <w:snapToGrid w:val="0"/>
                    <w:spacing w:line="240" w:lineRule="exact"/>
                    <w:jc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危险废物</w:t>
                  </w:r>
                </w:p>
              </w:tc>
              <w:tc>
                <w:tcPr>
                  <w:tcW w:w="589" w:type="dxa"/>
                  <w:vMerge w:val="continue"/>
                  <w:tcBorders>
                    <w:tl2br w:val="nil"/>
                    <w:tr2bl w:val="nil"/>
                  </w:tcBorders>
                  <w:noWrap w:val="0"/>
                  <w:vAlign w:val="center"/>
                </w:tcPr>
                <w:p w14:paraId="66236D7D">
                  <w:pPr>
                    <w:adjustRightInd w:val="0"/>
                    <w:snapToGrid w:val="0"/>
                    <w:spacing w:line="240" w:lineRule="exact"/>
                    <w:jc w:val="center"/>
                    <w:rPr>
                      <w:rFonts w:hint="eastAsia" w:ascii="Times New Roman" w:hAnsi="Times New Roman" w:cs="Times New Roman"/>
                      <w:color w:val="auto"/>
                      <w:kern w:val="0"/>
                      <w:sz w:val="21"/>
                      <w:szCs w:val="21"/>
                      <w:highlight w:val="none"/>
                      <w:lang w:val="en-US" w:eastAsia="zh-CN"/>
                    </w:rPr>
                  </w:pPr>
                </w:p>
              </w:tc>
              <w:tc>
                <w:tcPr>
                  <w:tcW w:w="1039" w:type="dxa"/>
                  <w:tcBorders>
                    <w:tl2br w:val="nil"/>
                    <w:tr2bl w:val="nil"/>
                  </w:tcBorders>
                  <w:noWrap w:val="0"/>
                  <w:vAlign w:val="center"/>
                </w:tcPr>
                <w:p w14:paraId="5B17E368">
                  <w:pPr>
                    <w:adjustRightInd w:val="0"/>
                    <w:snapToGrid w:val="0"/>
                    <w:spacing w:line="240" w:lineRule="exact"/>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有机物</w:t>
                  </w:r>
                </w:p>
              </w:tc>
              <w:tc>
                <w:tcPr>
                  <w:tcW w:w="675" w:type="dxa"/>
                  <w:tcBorders>
                    <w:tl2br w:val="nil"/>
                    <w:tr2bl w:val="nil"/>
                  </w:tcBorders>
                  <w:noWrap w:val="0"/>
                  <w:vAlign w:val="center"/>
                </w:tcPr>
                <w:p w14:paraId="4DB129FE">
                  <w:pPr>
                    <w:adjustRightInd w:val="0"/>
                    <w:snapToGrid w:val="0"/>
                    <w:spacing w:line="240" w:lineRule="exact"/>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固体</w:t>
                  </w:r>
                </w:p>
              </w:tc>
              <w:tc>
                <w:tcPr>
                  <w:tcW w:w="740" w:type="dxa"/>
                  <w:tcBorders>
                    <w:tl2br w:val="nil"/>
                    <w:tr2bl w:val="nil"/>
                  </w:tcBorders>
                  <w:noWrap w:val="0"/>
                  <w:vAlign w:val="center"/>
                </w:tcPr>
                <w:p w14:paraId="72DF2E2F">
                  <w:pPr>
                    <w:adjustRightInd w:val="0"/>
                    <w:snapToGrid w:val="0"/>
                    <w:spacing w:line="240" w:lineRule="exact"/>
                    <w:jc w:val="center"/>
                    <w:rPr>
                      <w:rFonts w:hint="eastAsia"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类比法</w:t>
                  </w:r>
                </w:p>
              </w:tc>
              <w:tc>
                <w:tcPr>
                  <w:tcW w:w="814" w:type="dxa"/>
                  <w:tcBorders>
                    <w:tl2br w:val="nil"/>
                    <w:tr2bl w:val="nil"/>
                  </w:tcBorders>
                  <w:noWrap w:val="0"/>
                  <w:vAlign w:val="center"/>
                </w:tcPr>
                <w:p w14:paraId="5F63DA65">
                  <w:pPr>
                    <w:pStyle w:val="87"/>
                    <w:spacing w:line="240" w:lineRule="auto"/>
                    <w:ind w:firstLine="0" w:firstLineChars="0"/>
                    <w:jc w:val="center"/>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0.05</w:t>
                  </w:r>
                </w:p>
              </w:tc>
              <w:tc>
                <w:tcPr>
                  <w:tcW w:w="932" w:type="dxa"/>
                  <w:tcBorders>
                    <w:tl2br w:val="nil"/>
                    <w:tr2bl w:val="nil"/>
                  </w:tcBorders>
                  <w:noWrap w:val="0"/>
                  <w:vAlign w:val="center"/>
                </w:tcPr>
                <w:p w14:paraId="2C44EBDB">
                  <w:pPr>
                    <w:pStyle w:val="87"/>
                    <w:spacing w:line="240" w:lineRule="auto"/>
                    <w:ind w:firstLine="0" w:firstLineChars="0"/>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危废暂存间</w:t>
                  </w:r>
                </w:p>
              </w:tc>
              <w:tc>
                <w:tcPr>
                  <w:tcW w:w="889" w:type="dxa"/>
                  <w:tcBorders>
                    <w:tl2br w:val="nil"/>
                    <w:tr2bl w:val="nil"/>
                  </w:tcBorders>
                  <w:noWrap w:val="0"/>
                  <w:vAlign w:val="center"/>
                </w:tcPr>
                <w:p w14:paraId="468828D8">
                  <w:pPr>
                    <w:pStyle w:val="87"/>
                    <w:spacing w:line="240" w:lineRule="auto"/>
                    <w:ind w:firstLine="0" w:firstLineChars="0"/>
                    <w:jc w:val="center"/>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0.05</w:t>
                  </w:r>
                </w:p>
              </w:tc>
              <w:tc>
                <w:tcPr>
                  <w:tcW w:w="797" w:type="dxa"/>
                  <w:vMerge w:val="continue"/>
                  <w:tcBorders>
                    <w:tl2br w:val="nil"/>
                    <w:tr2bl w:val="nil"/>
                  </w:tcBorders>
                  <w:noWrap w:val="0"/>
                  <w:vAlign w:val="center"/>
                </w:tcPr>
                <w:p w14:paraId="563B340C">
                  <w:pPr>
                    <w:adjustRightInd w:val="0"/>
                    <w:snapToGrid w:val="0"/>
                    <w:spacing w:line="240" w:lineRule="exact"/>
                    <w:jc w:val="center"/>
                    <w:rPr>
                      <w:rFonts w:hint="eastAsia" w:ascii="Times New Roman" w:hAnsi="Times New Roman" w:eastAsia="宋体" w:cs="Times New Roman"/>
                      <w:color w:val="auto"/>
                      <w:sz w:val="21"/>
                      <w:szCs w:val="21"/>
                      <w:highlight w:val="none"/>
                      <w:lang w:val="en-US" w:eastAsia="zh-CN"/>
                    </w:rPr>
                  </w:pPr>
                </w:p>
              </w:tc>
            </w:tr>
            <w:tr w14:paraId="638111EE">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9" w:type="dxa"/>
                  <w:tcBorders>
                    <w:tl2br w:val="nil"/>
                    <w:tr2bl w:val="nil"/>
                  </w:tcBorders>
                  <w:noWrap w:val="0"/>
                  <w:vAlign w:val="center"/>
                </w:tcPr>
                <w:p w14:paraId="57FFA2BC">
                  <w:pPr>
                    <w:adjustRightInd w:val="0"/>
                    <w:snapToGrid w:val="0"/>
                    <w:spacing w:line="240" w:lineRule="exact"/>
                    <w:jc w:val="center"/>
                    <w:rPr>
                      <w:rFonts w:hint="eastAsia"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实验过程</w:t>
                  </w:r>
                </w:p>
              </w:tc>
              <w:tc>
                <w:tcPr>
                  <w:tcW w:w="1018" w:type="dxa"/>
                  <w:tcBorders>
                    <w:tl2br w:val="nil"/>
                    <w:tr2bl w:val="nil"/>
                  </w:tcBorders>
                  <w:noWrap w:val="0"/>
                  <w:vAlign w:val="center"/>
                </w:tcPr>
                <w:p w14:paraId="700C9D17">
                  <w:pPr>
                    <w:pStyle w:val="87"/>
                    <w:spacing w:line="240" w:lineRule="auto"/>
                    <w:ind w:firstLine="0" w:firstLine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废残留样品</w:t>
                  </w:r>
                </w:p>
              </w:tc>
              <w:tc>
                <w:tcPr>
                  <w:tcW w:w="729" w:type="dxa"/>
                  <w:tcBorders>
                    <w:tl2br w:val="nil"/>
                    <w:tr2bl w:val="nil"/>
                  </w:tcBorders>
                  <w:noWrap w:val="0"/>
                  <w:vAlign w:val="center"/>
                </w:tcPr>
                <w:p w14:paraId="793DA4AE">
                  <w:pPr>
                    <w:adjustRightInd w:val="0"/>
                    <w:snapToGrid w:val="0"/>
                    <w:spacing w:line="240" w:lineRule="exact"/>
                    <w:jc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危险废物</w:t>
                  </w:r>
                </w:p>
              </w:tc>
              <w:tc>
                <w:tcPr>
                  <w:tcW w:w="589" w:type="dxa"/>
                  <w:vMerge w:val="continue"/>
                  <w:tcBorders>
                    <w:tl2br w:val="nil"/>
                    <w:tr2bl w:val="nil"/>
                  </w:tcBorders>
                  <w:noWrap w:val="0"/>
                  <w:vAlign w:val="center"/>
                </w:tcPr>
                <w:p w14:paraId="3B6A9618">
                  <w:pPr>
                    <w:adjustRightInd w:val="0"/>
                    <w:snapToGrid w:val="0"/>
                    <w:spacing w:line="240" w:lineRule="exact"/>
                    <w:jc w:val="center"/>
                    <w:rPr>
                      <w:rFonts w:hint="eastAsia" w:ascii="Times New Roman" w:hAnsi="Times New Roman" w:cs="Times New Roman"/>
                      <w:color w:val="auto"/>
                      <w:kern w:val="0"/>
                      <w:sz w:val="21"/>
                      <w:szCs w:val="21"/>
                      <w:highlight w:val="none"/>
                      <w:lang w:val="en-US" w:eastAsia="zh-CN"/>
                    </w:rPr>
                  </w:pPr>
                </w:p>
              </w:tc>
              <w:tc>
                <w:tcPr>
                  <w:tcW w:w="1039" w:type="dxa"/>
                  <w:tcBorders>
                    <w:tl2br w:val="nil"/>
                    <w:tr2bl w:val="nil"/>
                  </w:tcBorders>
                  <w:noWrap w:val="0"/>
                  <w:vAlign w:val="center"/>
                </w:tcPr>
                <w:p w14:paraId="73BE207E">
                  <w:pPr>
                    <w:adjustRightInd w:val="0"/>
                    <w:snapToGrid w:val="0"/>
                    <w:spacing w:line="240" w:lineRule="exact"/>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重金属、有机物等</w:t>
                  </w:r>
                </w:p>
              </w:tc>
              <w:tc>
                <w:tcPr>
                  <w:tcW w:w="675" w:type="dxa"/>
                  <w:tcBorders>
                    <w:tl2br w:val="nil"/>
                    <w:tr2bl w:val="nil"/>
                  </w:tcBorders>
                  <w:noWrap w:val="0"/>
                  <w:vAlign w:val="center"/>
                </w:tcPr>
                <w:p w14:paraId="2DF855B7">
                  <w:pPr>
                    <w:adjustRightInd w:val="0"/>
                    <w:snapToGrid w:val="0"/>
                    <w:spacing w:line="240" w:lineRule="exact"/>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液态</w:t>
                  </w:r>
                </w:p>
              </w:tc>
              <w:tc>
                <w:tcPr>
                  <w:tcW w:w="740" w:type="dxa"/>
                  <w:tcBorders>
                    <w:tl2br w:val="nil"/>
                    <w:tr2bl w:val="nil"/>
                  </w:tcBorders>
                  <w:noWrap w:val="0"/>
                  <w:vAlign w:val="center"/>
                </w:tcPr>
                <w:p w14:paraId="01B99291">
                  <w:pPr>
                    <w:adjustRightInd w:val="0"/>
                    <w:snapToGrid w:val="0"/>
                    <w:spacing w:line="240" w:lineRule="exact"/>
                    <w:jc w:val="center"/>
                    <w:rPr>
                      <w:rFonts w:hint="eastAsia"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类比法</w:t>
                  </w:r>
                </w:p>
              </w:tc>
              <w:tc>
                <w:tcPr>
                  <w:tcW w:w="814" w:type="dxa"/>
                  <w:tcBorders>
                    <w:tl2br w:val="nil"/>
                    <w:tr2bl w:val="nil"/>
                  </w:tcBorders>
                  <w:noWrap w:val="0"/>
                  <w:vAlign w:val="center"/>
                </w:tcPr>
                <w:p w14:paraId="7229E5C1">
                  <w:pPr>
                    <w:pStyle w:val="87"/>
                    <w:spacing w:line="240" w:lineRule="auto"/>
                    <w:ind w:firstLine="0" w:firstLineChars="0"/>
                    <w:jc w:val="center"/>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0.3</w:t>
                  </w:r>
                </w:p>
              </w:tc>
              <w:tc>
                <w:tcPr>
                  <w:tcW w:w="932" w:type="dxa"/>
                  <w:tcBorders>
                    <w:tl2br w:val="nil"/>
                    <w:tr2bl w:val="nil"/>
                  </w:tcBorders>
                  <w:noWrap w:val="0"/>
                  <w:vAlign w:val="center"/>
                </w:tcPr>
                <w:p w14:paraId="17A20114">
                  <w:pPr>
                    <w:pStyle w:val="87"/>
                    <w:spacing w:line="240" w:lineRule="auto"/>
                    <w:ind w:firstLine="0" w:firstLineChars="0"/>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危废暂存间</w:t>
                  </w:r>
                </w:p>
              </w:tc>
              <w:tc>
                <w:tcPr>
                  <w:tcW w:w="889" w:type="dxa"/>
                  <w:tcBorders>
                    <w:tl2br w:val="nil"/>
                    <w:tr2bl w:val="nil"/>
                  </w:tcBorders>
                  <w:noWrap w:val="0"/>
                  <w:vAlign w:val="center"/>
                </w:tcPr>
                <w:p w14:paraId="4EFDD976">
                  <w:pPr>
                    <w:pStyle w:val="87"/>
                    <w:spacing w:line="240" w:lineRule="auto"/>
                    <w:ind w:firstLine="0" w:firstLineChars="0"/>
                    <w:jc w:val="center"/>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0.3</w:t>
                  </w:r>
                </w:p>
              </w:tc>
              <w:tc>
                <w:tcPr>
                  <w:tcW w:w="797" w:type="dxa"/>
                  <w:vMerge w:val="continue"/>
                  <w:tcBorders>
                    <w:tl2br w:val="nil"/>
                    <w:tr2bl w:val="nil"/>
                  </w:tcBorders>
                  <w:noWrap w:val="0"/>
                  <w:vAlign w:val="center"/>
                </w:tcPr>
                <w:p w14:paraId="6FFB3656">
                  <w:pPr>
                    <w:adjustRightInd w:val="0"/>
                    <w:snapToGrid w:val="0"/>
                    <w:spacing w:line="240" w:lineRule="exact"/>
                    <w:jc w:val="center"/>
                    <w:rPr>
                      <w:rFonts w:hint="eastAsia" w:ascii="Times New Roman" w:hAnsi="Times New Roman" w:eastAsia="宋体" w:cs="Times New Roman"/>
                      <w:color w:val="auto"/>
                      <w:sz w:val="21"/>
                      <w:szCs w:val="21"/>
                      <w:highlight w:val="none"/>
                      <w:lang w:val="en-US" w:eastAsia="zh-CN"/>
                    </w:rPr>
                  </w:pPr>
                </w:p>
              </w:tc>
            </w:tr>
            <w:tr w14:paraId="20B7603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99" w:type="dxa"/>
                  <w:tcBorders>
                    <w:tl2br w:val="nil"/>
                    <w:tr2bl w:val="nil"/>
                  </w:tcBorders>
                  <w:noWrap w:val="0"/>
                  <w:vAlign w:val="center"/>
                </w:tcPr>
                <w:p w14:paraId="003E494F">
                  <w:pPr>
                    <w:adjustRightInd w:val="0"/>
                    <w:snapToGrid w:val="0"/>
                    <w:spacing w:line="240" w:lineRule="exact"/>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废气治理</w:t>
                  </w:r>
                </w:p>
              </w:tc>
              <w:tc>
                <w:tcPr>
                  <w:tcW w:w="1018" w:type="dxa"/>
                  <w:tcBorders>
                    <w:tl2br w:val="nil"/>
                    <w:tr2bl w:val="nil"/>
                  </w:tcBorders>
                  <w:noWrap w:val="0"/>
                  <w:vAlign w:val="center"/>
                </w:tcPr>
                <w:p w14:paraId="1EA8DCC7">
                  <w:pPr>
                    <w:pStyle w:val="87"/>
                    <w:spacing w:line="240" w:lineRule="auto"/>
                    <w:ind w:firstLine="0" w:firstLine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废活性炭</w:t>
                  </w:r>
                </w:p>
              </w:tc>
              <w:tc>
                <w:tcPr>
                  <w:tcW w:w="729" w:type="dxa"/>
                  <w:tcBorders>
                    <w:tl2br w:val="nil"/>
                    <w:tr2bl w:val="nil"/>
                  </w:tcBorders>
                  <w:noWrap w:val="0"/>
                  <w:vAlign w:val="center"/>
                </w:tcPr>
                <w:p w14:paraId="3884E689">
                  <w:pPr>
                    <w:adjustRightInd w:val="0"/>
                    <w:snapToGrid w:val="0"/>
                    <w:spacing w:line="240" w:lineRule="exact"/>
                    <w:jc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危险废物</w:t>
                  </w:r>
                </w:p>
              </w:tc>
              <w:tc>
                <w:tcPr>
                  <w:tcW w:w="589" w:type="dxa"/>
                  <w:vMerge w:val="continue"/>
                  <w:tcBorders>
                    <w:tl2br w:val="nil"/>
                    <w:tr2bl w:val="nil"/>
                  </w:tcBorders>
                  <w:noWrap w:val="0"/>
                  <w:vAlign w:val="center"/>
                </w:tcPr>
                <w:p w14:paraId="2668A6D2">
                  <w:pPr>
                    <w:adjustRightInd w:val="0"/>
                    <w:snapToGrid w:val="0"/>
                    <w:spacing w:line="240" w:lineRule="exact"/>
                    <w:jc w:val="center"/>
                    <w:rPr>
                      <w:rFonts w:hint="eastAsia" w:ascii="Times New Roman" w:hAnsi="Times New Roman" w:cs="Times New Roman"/>
                      <w:color w:val="auto"/>
                      <w:kern w:val="0"/>
                      <w:sz w:val="21"/>
                      <w:szCs w:val="21"/>
                      <w:highlight w:val="none"/>
                      <w:lang w:val="en-US" w:eastAsia="zh-CN"/>
                    </w:rPr>
                  </w:pPr>
                </w:p>
              </w:tc>
              <w:tc>
                <w:tcPr>
                  <w:tcW w:w="1039" w:type="dxa"/>
                  <w:tcBorders>
                    <w:tl2br w:val="nil"/>
                    <w:tr2bl w:val="nil"/>
                  </w:tcBorders>
                  <w:noWrap w:val="0"/>
                  <w:vAlign w:val="center"/>
                </w:tcPr>
                <w:p w14:paraId="13A6FE9B">
                  <w:pPr>
                    <w:adjustRightInd w:val="0"/>
                    <w:snapToGrid w:val="0"/>
                    <w:spacing w:line="240" w:lineRule="exact"/>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有机物</w:t>
                  </w:r>
                </w:p>
              </w:tc>
              <w:tc>
                <w:tcPr>
                  <w:tcW w:w="675" w:type="dxa"/>
                  <w:tcBorders>
                    <w:tl2br w:val="nil"/>
                    <w:tr2bl w:val="nil"/>
                  </w:tcBorders>
                  <w:noWrap w:val="0"/>
                  <w:vAlign w:val="center"/>
                </w:tcPr>
                <w:p w14:paraId="6BA0043A">
                  <w:pPr>
                    <w:adjustRightInd w:val="0"/>
                    <w:snapToGrid w:val="0"/>
                    <w:spacing w:line="240" w:lineRule="exact"/>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固体</w:t>
                  </w:r>
                </w:p>
              </w:tc>
              <w:tc>
                <w:tcPr>
                  <w:tcW w:w="740" w:type="dxa"/>
                  <w:tcBorders>
                    <w:tl2br w:val="nil"/>
                    <w:tr2bl w:val="nil"/>
                  </w:tcBorders>
                  <w:noWrap w:val="0"/>
                  <w:vAlign w:val="center"/>
                </w:tcPr>
                <w:p w14:paraId="0E8ECF04">
                  <w:pPr>
                    <w:adjustRightInd w:val="0"/>
                    <w:snapToGrid w:val="0"/>
                    <w:spacing w:line="240" w:lineRule="exact"/>
                    <w:jc w:val="center"/>
                    <w:rPr>
                      <w:rFonts w:hint="eastAsia"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类比法</w:t>
                  </w:r>
                </w:p>
              </w:tc>
              <w:tc>
                <w:tcPr>
                  <w:tcW w:w="814" w:type="dxa"/>
                  <w:tcBorders>
                    <w:tl2br w:val="nil"/>
                    <w:tr2bl w:val="nil"/>
                  </w:tcBorders>
                  <w:noWrap w:val="0"/>
                  <w:vAlign w:val="center"/>
                </w:tcPr>
                <w:p w14:paraId="79C22C8E">
                  <w:pPr>
                    <w:pStyle w:val="87"/>
                    <w:spacing w:line="240" w:lineRule="auto"/>
                    <w:ind w:firstLine="0" w:firstLineChars="0"/>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2</w:t>
                  </w:r>
                </w:p>
              </w:tc>
              <w:tc>
                <w:tcPr>
                  <w:tcW w:w="932" w:type="dxa"/>
                  <w:tcBorders>
                    <w:tl2br w:val="nil"/>
                    <w:tr2bl w:val="nil"/>
                  </w:tcBorders>
                  <w:noWrap w:val="0"/>
                  <w:vAlign w:val="center"/>
                </w:tcPr>
                <w:p w14:paraId="6AEFB5F2">
                  <w:pPr>
                    <w:pStyle w:val="87"/>
                    <w:spacing w:line="240" w:lineRule="auto"/>
                    <w:ind w:firstLine="0" w:firstLineChars="0"/>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危废暂存间</w:t>
                  </w:r>
                </w:p>
              </w:tc>
              <w:tc>
                <w:tcPr>
                  <w:tcW w:w="889" w:type="dxa"/>
                  <w:tcBorders>
                    <w:tl2br w:val="nil"/>
                    <w:tr2bl w:val="nil"/>
                  </w:tcBorders>
                  <w:noWrap w:val="0"/>
                  <w:vAlign w:val="center"/>
                </w:tcPr>
                <w:p w14:paraId="29B0B133">
                  <w:pPr>
                    <w:pStyle w:val="87"/>
                    <w:spacing w:line="240" w:lineRule="auto"/>
                    <w:ind w:firstLine="0" w:firstLineChars="0"/>
                    <w:jc w:val="center"/>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2</w:t>
                  </w:r>
                </w:p>
              </w:tc>
              <w:tc>
                <w:tcPr>
                  <w:tcW w:w="797" w:type="dxa"/>
                  <w:vMerge w:val="continue"/>
                  <w:tcBorders>
                    <w:tl2br w:val="nil"/>
                    <w:tr2bl w:val="nil"/>
                  </w:tcBorders>
                  <w:noWrap w:val="0"/>
                  <w:vAlign w:val="center"/>
                </w:tcPr>
                <w:p w14:paraId="5B13F18A">
                  <w:pPr>
                    <w:adjustRightInd w:val="0"/>
                    <w:snapToGrid w:val="0"/>
                    <w:spacing w:line="240" w:lineRule="exact"/>
                    <w:jc w:val="center"/>
                    <w:rPr>
                      <w:rFonts w:hint="eastAsia" w:ascii="Times New Roman" w:hAnsi="Times New Roman" w:eastAsia="宋体" w:cs="Times New Roman"/>
                      <w:color w:val="auto"/>
                      <w:sz w:val="21"/>
                      <w:szCs w:val="21"/>
                      <w:highlight w:val="none"/>
                      <w:lang w:val="en-US" w:eastAsia="zh-CN"/>
                    </w:rPr>
                  </w:pPr>
                </w:p>
              </w:tc>
            </w:tr>
          </w:tbl>
          <w:p w14:paraId="161157A5">
            <w:pPr>
              <w:ind w:firstLine="480"/>
              <w:jc w:val="both"/>
              <w:rPr>
                <w:rFonts w:hint="eastAsia" w:ascii="Times New Roman" w:hAnsi="Times New Roman" w:eastAsia="宋体" w:cs="Times New Roman"/>
                <w:bCs/>
                <w:color w:val="auto"/>
                <w:kern w:val="2"/>
                <w:sz w:val="21"/>
                <w:szCs w:val="21"/>
                <w:highlight w:val="none"/>
                <w:lang w:val="en-US" w:eastAsia="zh-CN" w:bidi="ar"/>
              </w:rPr>
            </w:pPr>
            <w:r>
              <w:rPr>
                <w:rFonts w:hint="eastAsia"/>
                <w:color w:val="auto"/>
                <w:sz w:val="21"/>
                <w:szCs w:val="21"/>
                <w:highlight w:val="none"/>
                <w:lang w:val="en-US" w:eastAsia="zh-CN"/>
              </w:rPr>
              <w:t>企业目前</w:t>
            </w:r>
            <w:r>
              <w:rPr>
                <w:rFonts w:hint="eastAsia"/>
                <w:color w:val="auto"/>
                <w:sz w:val="21"/>
                <w:szCs w:val="21"/>
                <w:highlight w:val="none"/>
              </w:rPr>
              <w:t>设</w:t>
            </w:r>
            <w:r>
              <w:rPr>
                <w:color w:val="auto"/>
                <w:sz w:val="21"/>
                <w:szCs w:val="21"/>
                <w:highlight w:val="none"/>
              </w:rPr>
              <w:t>1</w:t>
            </w:r>
            <w:r>
              <w:rPr>
                <w:rFonts w:hint="eastAsia"/>
                <w:color w:val="auto"/>
                <w:sz w:val="21"/>
                <w:szCs w:val="21"/>
                <w:highlight w:val="none"/>
              </w:rPr>
              <w:t>个面积为</w:t>
            </w:r>
            <w:r>
              <w:rPr>
                <w:rFonts w:hint="eastAsia"/>
                <w:color w:val="auto"/>
                <w:sz w:val="21"/>
                <w:szCs w:val="21"/>
                <w:highlight w:val="none"/>
                <w:lang w:val="en-US" w:eastAsia="zh-CN"/>
              </w:rPr>
              <w:t>300</w:t>
            </w:r>
            <w:r>
              <w:rPr>
                <w:color w:val="auto"/>
                <w:sz w:val="21"/>
                <w:szCs w:val="21"/>
                <w:highlight w:val="none"/>
              </w:rPr>
              <w:t>m</w:t>
            </w:r>
            <w:r>
              <w:rPr>
                <w:color w:val="auto"/>
                <w:sz w:val="21"/>
                <w:szCs w:val="21"/>
                <w:highlight w:val="none"/>
                <w:vertAlign w:val="superscript"/>
              </w:rPr>
              <w:t>2</w:t>
            </w:r>
            <w:r>
              <w:rPr>
                <w:rFonts w:hint="eastAsia"/>
                <w:color w:val="auto"/>
                <w:sz w:val="21"/>
                <w:szCs w:val="21"/>
                <w:highlight w:val="none"/>
              </w:rPr>
              <w:t>的危废暂存间，</w:t>
            </w:r>
            <w:r>
              <w:rPr>
                <w:rFonts w:hint="eastAsia" w:ascii="Times New Roman" w:hAnsi="Times New Roman" w:eastAsia="宋体" w:cs="Times New Roman"/>
                <w:bCs/>
                <w:color w:val="auto"/>
                <w:kern w:val="2"/>
                <w:sz w:val="21"/>
                <w:szCs w:val="21"/>
                <w:highlight w:val="none"/>
                <w:lang w:val="en-US" w:eastAsia="zh-CN" w:bidi="ar"/>
              </w:rPr>
              <w:t>位于厂区东南侧，用于存储生产过程中产生的危险废物，根据建设单位提供资料，目前危废暂存间内各危险废物分区存放，主要为废乳化液（</w:t>
            </w:r>
            <w:r>
              <w:rPr>
                <w:rFonts w:hint="eastAsia" w:ascii="Times New Roman" w:hAnsi="Times New Roman" w:eastAsia="宋体" w:cs="Times New Roman"/>
                <w:bCs/>
                <w:color w:val="auto"/>
                <w:kern w:val="2"/>
                <w:sz w:val="21"/>
                <w:szCs w:val="21"/>
                <w:highlight w:val="none"/>
                <w:lang w:val="zh-CN" w:eastAsia="zh-CN" w:bidi="ar"/>
              </w:rPr>
              <w:t>危废类别HW</w:t>
            </w:r>
            <w:r>
              <w:rPr>
                <w:rFonts w:hint="eastAsia" w:ascii="Times New Roman" w:hAnsi="Times New Roman" w:eastAsia="宋体" w:cs="Times New Roman"/>
                <w:bCs/>
                <w:color w:val="auto"/>
                <w:kern w:val="2"/>
                <w:sz w:val="21"/>
                <w:szCs w:val="21"/>
                <w:highlight w:val="none"/>
                <w:lang w:val="en-US" w:eastAsia="zh-CN" w:bidi="ar"/>
              </w:rPr>
              <w:t>0</w:t>
            </w:r>
            <w:r>
              <w:rPr>
                <w:rFonts w:hint="eastAsia" w:ascii="Times New Roman" w:hAnsi="Times New Roman" w:eastAsia="宋体" w:cs="Times New Roman"/>
                <w:bCs/>
                <w:color w:val="auto"/>
                <w:kern w:val="2"/>
                <w:sz w:val="21"/>
                <w:szCs w:val="21"/>
                <w:highlight w:val="none"/>
                <w:lang w:val="zh-CN" w:eastAsia="zh-CN" w:bidi="ar"/>
              </w:rPr>
              <w:t>9，危废代码900-0</w:t>
            </w:r>
            <w:r>
              <w:rPr>
                <w:rFonts w:hint="eastAsia" w:ascii="Times New Roman" w:hAnsi="Times New Roman" w:eastAsia="宋体" w:cs="Times New Roman"/>
                <w:bCs/>
                <w:color w:val="auto"/>
                <w:kern w:val="2"/>
                <w:sz w:val="21"/>
                <w:szCs w:val="21"/>
                <w:highlight w:val="none"/>
                <w:lang w:val="en-US" w:eastAsia="zh-CN" w:bidi="ar"/>
              </w:rPr>
              <w:t>07</w:t>
            </w:r>
            <w:r>
              <w:rPr>
                <w:rFonts w:hint="eastAsia" w:ascii="Times New Roman" w:hAnsi="Times New Roman" w:eastAsia="宋体" w:cs="Times New Roman"/>
                <w:bCs/>
                <w:color w:val="auto"/>
                <w:kern w:val="2"/>
                <w:sz w:val="21"/>
                <w:szCs w:val="21"/>
                <w:highlight w:val="none"/>
                <w:lang w:val="zh-CN" w:eastAsia="zh-CN" w:bidi="ar"/>
              </w:rPr>
              <w:t>-</w:t>
            </w:r>
            <w:r>
              <w:rPr>
                <w:rFonts w:hint="eastAsia" w:ascii="Times New Roman" w:hAnsi="Times New Roman" w:eastAsia="宋体" w:cs="Times New Roman"/>
                <w:bCs/>
                <w:color w:val="auto"/>
                <w:kern w:val="2"/>
                <w:sz w:val="21"/>
                <w:szCs w:val="21"/>
                <w:highlight w:val="none"/>
                <w:lang w:val="en-US" w:eastAsia="zh-CN" w:bidi="ar"/>
              </w:rPr>
              <w:t>0</w:t>
            </w:r>
            <w:r>
              <w:rPr>
                <w:rFonts w:hint="eastAsia" w:ascii="Times New Roman" w:hAnsi="Times New Roman" w:eastAsia="宋体" w:cs="Times New Roman"/>
                <w:bCs/>
                <w:color w:val="auto"/>
                <w:kern w:val="2"/>
                <w:sz w:val="21"/>
                <w:szCs w:val="21"/>
                <w:highlight w:val="none"/>
                <w:lang w:val="zh-CN" w:eastAsia="zh-CN" w:bidi="ar"/>
              </w:rPr>
              <w:t>9</w:t>
            </w:r>
            <w:r>
              <w:rPr>
                <w:rFonts w:hint="eastAsia" w:ascii="Times New Roman" w:hAnsi="Times New Roman" w:eastAsia="宋体" w:cs="Times New Roman"/>
                <w:bCs/>
                <w:color w:val="auto"/>
                <w:kern w:val="2"/>
                <w:sz w:val="21"/>
                <w:szCs w:val="21"/>
                <w:highlight w:val="none"/>
                <w:lang w:val="en-US" w:eastAsia="zh-CN" w:bidi="ar"/>
              </w:rPr>
              <w:t>）、废树脂砂（</w:t>
            </w:r>
            <w:r>
              <w:rPr>
                <w:rFonts w:hint="eastAsia" w:ascii="Times New Roman" w:hAnsi="Times New Roman" w:eastAsia="宋体" w:cs="Times New Roman"/>
                <w:bCs/>
                <w:color w:val="auto"/>
                <w:kern w:val="2"/>
                <w:sz w:val="21"/>
                <w:szCs w:val="21"/>
                <w:highlight w:val="none"/>
                <w:lang w:val="zh-CN" w:eastAsia="zh-CN" w:bidi="ar"/>
              </w:rPr>
              <w:t>危废类别HW</w:t>
            </w:r>
            <w:r>
              <w:rPr>
                <w:rFonts w:hint="eastAsia" w:ascii="Times New Roman" w:hAnsi="Times New Roman" w:eastAsia="宋体" w:cs="Times New Roman"/>
                <w:bCs/>
                <w:color w:val="auto"/>
                <w:kern w:val="2"/>
                <w:sz w:val="21"/>
                <w:szCs w:val="21"/>
                <w:highlight w:val="none"/>
                <w:lang w:val="en-US" w:eastAsia="zh-CN" w:bidi="ar"/>
              </w:rPr>
              <w:t>13</w:t>
            </w:r>
            <w:r>
              <w:rPr>
                <w:rFonts w:hint="eastAsia" w:ascii="Times New Roman" w:hAnsi="Times New Roman" w:eastAsia="宋体" w:cs="Times New Roman"/>
                <w:bCs/>
                <w:color w:val="auto"/>
                <w:kern w:val="2"/>
                <w:sz w:val="21"/>
                <w:szCs w:val="21"/>
                <w:highlight w:val="none"/>
                <w:lang w:val="zh-CN" w:eastAsia="zh-CN" w:bidi="ar"/>
              </w:rPr>
              <w:t>，危废代码</w:t>
            </w:r>
            <w:r>
              <w:rPr>
                <w:rFonts w:hint="eastAsia" w:ascii="Times New Roman" w:hAnsi="Times New Roman" w:eastAsia="宋体" w:cs="Times New Roman"/>
                <w:bCs/>
                <w:color w:val="auto"/>
                <w:kern w:val="2"/>
                <w:sz w:val="21"/>
                <w:szCs w:val="21"/>
                <w:highlight w:val="none"/>
                <w:lang w:val="en-US" w:eastAsia="zh-CN" w:bidi="ar"/>
              </w:rPr>
              <w:t>265</w:t>
            </w:r>
            <w:r>
              <w:rPr>
                <w:rFonts w:hint="eastAsia" w:ascii="Times New Roman" w:hAnsi="Times New Roman" w:eastAsia="宋体" w:cs="Times New Roman"/>
                <w:bCs/>
                <w:color w:val="auto"/>
                <w:kern w:val="2"/>
                <w:sz w:val="21"/>
                <w:szCs w:val="21"/>
                <w:highlight w:val="none"/>
                <w:lang w:val="zh-CN" w:eastAsia="zh-CN" w:bidi="ar"/>
              </w:rPr>
              <w:t>-</w:t>
            </w:r>
            <w:r>
              <w:rPr>
                <w:rFonts w:hint="eastAsia" w:ascii="Times New Roman" w:hAnsi="Times New Roman" w:eastAsia="宋体" w:cs="Times New Roman"/>
                <w:bCs/>
                <w:color w:val="auto"/>
                <w:kern w:val="2"/>
                <w:sz w:val="21"/>
                <w:szCs w:val="21"/>
                <w:highlight w:val="none"/>
                <w:lang w:val="en-US" w:eastAsia="zh-CN" w:bidi="ar"/>
              </w:rPr>
              <w:t>101</w:t>
            </w:r>
            <w:r>
              <w:rPr>
                <w:rFonts w:hint="eastAsia" w:ascii="Times New Roman" w:hAnsi="Times New Roman" w:eastAsia="宋体" w:cs="Times New Roman"/>
                <w:bCs/>
                <w:color w:val="auto"/>
                <w:kern w:val="2"/>
                <w:sz w:val="21"/>
                <w:szCs w:val="21"/>
                <w:highlight w:val="none"/>
                <w:lang w:val="zh-CN" w:eastAsia="zh-CN" w:bidi="ar"/>
              </w:rPr>
              <w:t>-</w:t>
            </w:r>
            <w:r>
              <w:rPr>
                <w:rFonts w:hint="eastAsia" w:ascii="Times New Roman" w:hAnsi="Times New Roman" w:eastAsia="宋体" w:cs="Times New Roman"/>
                <w:bCs/>
                <w:color w:val="auto"/>
                <w:kern w:val="2"/>
                <w:sz w:val="21"/>
                <w:szCs w:val="21"/>
                <w:highlight w:val="none"/>
                <w:lang w:val="en-US" w:eastAsia="zh-CN" w:bidi="ar"/>
              </w:rPr>
              <w:t>13）、电镀污泥（</w:t>
            </w:r>
            <w:r>
              <w:rPr>
                <w:rFonts w:hint="eastAsia" w:ascii="Times New Roman" w:hAnsi="Times New Roman" w:eastAsia="宋体" w:cs="Times New Roman"/>
                <w:bCs/>
                <w:color w:val="auto"/>
                <w:kern w:val="2"/>
                <w:sz w:val="21"/>
                <w:szCs w:val="21"/>
                <w:highlight w:val="none"/>
                <w:lang w:val="zh-CN" w:eastAsia="zh-CN" w:bidi="ar"/>
              </w:rPr>
              <w:t>危废类别HW</w:t>
            </w:r>
            <w:r>
              <w:rPr>
                <w:rFonts w:hint="eastAsia" w:ascii="Times New Roman" w:hAnsi="Times New Roman" w:eastAsia="宋体" w:cs="Times New Roman"/>
                <w:bCs/>
                <w:color w:val="auto"/>
                <w:kern w:val="2"/>
                <w:sz w:val="21"/>
                <w:szCs w:val="21"/>
                <w:highlight w:val="none"/>
                <w:lang w:val="en-US" w:eastAsia="zh-CN" w:bidi="ar"/>
              </w:rPr>
              <w:t>13</w:t>
            </w:r>
            <w:r>
              <w:rPr>
                <w:rFonts w:hint="eastAsia" w:ascii="Times New Roman" w:hAnsi="Times New Roman" w:eastAsia="宋体" w:cs="Times New Roman"/>
                <w:bCs/>
                <w:color w:val="auto"/>
                <w:kern w:val="2"/>
                <w:sz w:val="21"/>
                <w:szCs w:val="21"/>
                <w:highlight w:val="none"/>
                <w:lang w:val="zh-CN" w:eastAsia="zh-CN" w:bidi="ar"/>
              </w:rPr>
              <w:t>，危废代码</w:t>
            </w:r>
            <w:r>
              <w:rPr>
                <w:rFonts w:hint="eastAsia" w:ascii="Times New Roman" w:hAnsi="Times New Roman" w:eastAsia="宋体" w:cs="Times New Roman"/>
                <w:bCs/>
                <w:color w:val="auto"/>
                <w:kern w:val="2"/>
                <w:sz w:val="21"/>
                <w:szCs w:val="21"/>
                <w:highlight w:val="none"/>
                <w:lang w:val="en-US" w:eastAsia="zh-CN" w:bidi="ar"/>
              </w:rPr>
              <w:t>265</w:t>
            </w:r>
            <w:r>
              <w:rPr>
                <w:rFonts w:hint="eastAsia" w:ascii="Times New Roman" w:hAnsi="Times New Roman" w:eastAsia="宋体" w:cs="Times New Roman"/>
                <w:bCs/>
                <w:color w:val="auto"/>
                <w:kern w:val="2"/>
                <w:sz w:val="21"/>
                <w:szCs w:val="21"/>
                <w:highlight w:val="none"/>
                <w:lang w:val="zh-CN" w:eastAsia="zh-CN" w:bidi="ar"/>
              </w:rPr>
              <w:t>-</w:t>
            </w:r>
            <w:r>
              <w:rPr>
                <w:rFonts w:hint="eastAsia" w:ascii="Times New Roman" w:hAnsi="Times New Roman" w:eastAsia="宋体" w:cs="Times New Roman"/>
                <w:bCs/>
                <w:color w:val="auto"/>
                <w:kern w:val="2"/>
                <w:sz w:val="21"/>
                <w:szCs w:val="21"/>
                <w:highlight w:val="none"/>
                <w:lang w:val="en-US" w:eastAsia="zh-CN" w:bidi="ar"/>
              </w:rPr>
              <w:t>101</w:t>
            </w:r>
            <w:r>
              <w:rPr>
                <w:rFonts w:hint="eastAsia" w:ascii="Times New Roman" w:hAnsi="Times New Roman" w:eastAsia="宋体" w:cs="Times New Roman"/>
                <w:bCs/>
                <w:color w:val="auto"/>
                <w:kern w:val="2"/>
                <w:sz w:val="21"/>
                <w:szCs w:val="21"/>
                <w:highlight w:val="none"/>
                <w:lang w:val="zh-CN" w:eastAsia="zh-CN" w:bidi="ar"/>
              </w:rPr>
              <w:t>-</w:t>
            </w:r>
            <w:r>
              <w:rPr>
                <w:rFonts w:hint="eastAsia" w:ascii="Times New Roman" w:hAnsi="Times New Roman" w:eastAsia="宋体" w:cs="Times New Roman"/>
                <w:bCs/>
                <w:color w:val="auto"/>
                <w:kern w:val="2"/>
                <w:sz w:val="21"/>
                <w:szCs w:val="21"/>
                <w:highlight w:val="none"/>
                <w:lang w:val="en-US" w:eastAsia="zh-CN" w:bidi="ar"/>
              </w:rPr>
              <w:t>13）、废机油（</w:t>
            </w:r>
            <w:r>
              <w:rPr>
                <w:rFonts w:hint="eastAsia" w:ascii="Times New Roman" w:hAnsi="Times New Roman" w:eastAsia="宋体" w:cs="Times New Roman"/>
                <w:bCs/>
                <w:color w:val="auto"/>
                <w:kern w:val="2"/>
                <w:sz w:val="21"/>
                <w:szCs w:val="21"/>
                <w:highlight w:val="none"/>
                <w:lang w:val="zh-CN" w:eastAsia="zh-CN" w:bidi="ar"/>
              </w:rPr>
              <w:t>危废类别</w:t>
            </w:r>
            <w:r>
              <w:rPr>
                <w:rFonts w:hint="default" w:ascii="Times New Roman" w:hAnsi="Times New Roman" w:eastAsia="宋体" w:cs="Times New Roman"/>
                <w:bCs/>
                <w:color w:val="auto"/>
                <w:kern w:val="2"/>
                <w:sz w:val="21"/>
                <w:szCs w:val="21"/>
                <w:highlight w:val="none"/>
                <w:lang w:val="en-US" w:eastAsia="zh-CN" w:bidi="ar"/>
              </w:rPr>
              <w:t>HW08</w:t>
            </w:r>
            <w:r>
              <w:rPr>
                <w:rFonts w:hint="eastAsia" w:ascii="Times New Roman" w:hAnsi="Times New Roman" w:eastAsia="宋体" w:cs="Times New Roman"/>
                <w:bCs/>
                <w:color w:val="auto"/>
                <w:kern w:val="2"/>
                <w:sz w:val="21"/>
                <w:szCs w:val="21"/>
                <w:highlight w:val="none"/>
                <w:lang w:val="zh-CN" w:eastAsia="zh-CN" w:bidi="ar"/>
              </w:rPr>
              <w:t>，危废代码</w:t>
            </w:r>
            <w:r>
              <w:rPr>
                <w:rFonts w:hint="default" w:ascii="Times New Roman" w:hAnsi="Times New Roman" w:eastAsia="宋体" w:cs="Times New Roman"/>
                <w:bCs/>
                <w:color w:val="auto"/>
                <w:kern w:val="2"/>
                <w:sz w:val="21"/>
                <w:szCs w:val="21"/>
                <w:highlight w:val="none"/>
                <w:lang w:val="en-US" w:eastAsia="zh-CN" w:bidi="ar"/>
              </w:rPr>
              <w:t>900-214-08</w:t>
            </w:r>
            <w:r>
              <w:rPr>
                <w:rFonts w:hint="eastAsia" w:ascii="Times New Roman" w:hAnsi="Times New Roman" w:eastAsia="宋体" w:cs="Times New Roman"/>
                <w:bCs/>
                <w:color w:val="auto"/>
                <w:kern w:val="2"/>
                <w:sz w:val="21"/>
                <w:szCs w:val="21"/>
                <w:highlight w:val="none"/>
                <w:lang w:val="en-US" w:eastAsia="zh-CN" w:bidi="ar"/>
              </w:rPr>
              <w:t>）和废含油棉纱手套（</w:t>
            </w:r>
            <w:r>
              <w:rPr>
                <w:rFonts w:hint="eastAsia" w:ascii="Times New Roman" w:hAnsi="Times New Roman" w:eastAsia="宋体" w:cs="Times New Roman"/>
                <w:bCs/>
                <w:color w:val="auto"/>
                <w:kern w:val="2"/>
                <w:sz w:val="21"/>
                <w:szCs w:val="21"/>
                <w:highlight w:val="none"/>
                <w:lang w:val="zh-CN" w:eastAsia="zh-CN" w:bidi="ar"/>
              </w:rPr>
              <w:t>危废类别HW49，危废代码900-041-49</w:t>
            </w:r>
            <w:r>
              <w:rPr>
                <w:rFonts w:hint="eastAsia" w:ascii="Times New Roman" w:hAnsi="Times New Roman" w:eastAsia="宋体" w:cs="Times New Roman"/>
                <w:bCs/>
                <w:color w:val="auto"/>
                <w:kern w:val="2"/>
                <w:sz w:val="21"/>
                <w:szCs w:val="21"/>
                <w:highlight w:val="none"/>
                <w:lang w:val="en-US" w:eastAsia="zh-CN" w:bidi="ar"/>
              </w:rPr>
              <w:t>）、废活性炭（</w:t>
            </w:r>
            <w:r>
              <w:rPr>
                <w:rFonts w:hint="eastAsia" w:ascii="Times New Roman" w:hAnsi="Times New Roman" w:eastAsia="宋体" w:cs="Times New Roman"/>
                <w:bCs/>
                <w:color w:val="auto"/>
                <w:kern w:val="2"/>
                <w:sz w:val="21"/>
                <w:szCs w:val="21"/>
                <w:highlight w:val="none"/>
                <w:lang w:val="zh-CN" w:eastAsia="zh-CN" w:bidi="ar"/>
              </w:rPr>
              <w:t>危废类别HW49，危废代码</w:t>
            </w:r>
            <w:r>
              <w:rPr>
                <w:rFonts w:hint="eastAsia" w:ascii="Times New Roman" w:hAnsi="Times New Roman" w:eastAsia="宋体" w:cs="Times New Roman"/>
                <w:bCs/>
                <w:color w:val="auto"/>
                <w:kern w:val="2"/>
                <w:sz w:val="21"/>
                <w:szCs w:val="21"/>
                <w:highlight w:val="none"/>
                <w:lang w:val="en-US" w:eastAsia="zh-CN" w:bidi="ar"/>
              </w:rPr>
              <w:t>900-039-49），由</w:t>
            </w:r>
            <w:r>
              <w:rPr>
                <w:rFonts w:hint="eastAsia" w:cs="Times New Roman"/>
                <w:bCs/>
                <w:color w:val="auto"/>
                <w:kern w:val="2"/>
                <w:sz w:val="21"/>
                <w:szCs w:val="21"/>
                <w:highlight w:val="none"/>
                <w:lang w:val="en-US" w:eastAsia="zh-CN" w:bidi="ar"/>
              </w:rPr>
              <w:t>铜川海创环保科技有限责任公司</w:t>
            </w:r>
            <w:r>
              <w:rPr>
                <w:rFonts w:hint="eastAsia" w:ascii="Times New Roman" w:hAnsi="Times New Roman" w:eastAsia="宋体" w:cs="Times New Roman"/>
                <w:bCs/>
                <w:color w:val="auto"/>
                <w:kern w:val="2"/>
                <w:sz w:val="21"/>
                <w:szCs w:val="21"/>
                <w:highlight w:val="none"/>
                <w:lang w:val="en-US" w:eastAsia="zh-CN" w:bidi="ar"/>
              </w:rPr>
              <w:t>定期拉运处置。本项目运行后产生的危险废物为</w:t>
            </w:r>
            <w:r>
              <w:rPr>
                <w:rFonts w:hint="eastAsia" w:ascii="Times New Roman" w:hAnsi="Times New Roman" w:eastAsia="宋体" w:cs="Times New Roman"/>
                <w:color w:val="auto"/>
                <w:sz w:val="21"/>
                <w:szCs w:val="21"/>
                <w:highlight w:val="none"/>
                <w:lang w:val="en-US" w:eastAsia="zh-CN"/>
              </w:rPr>
              <w:t>废耗材、实验废液和器皿清洗水、过期试剂、废残留样品、废活性炭</w:t>
            </w:r>
            <w:r>
              <w:rPr>
                <w:rFonts w:hint="eastAsia" w:ascii="Times New Roman" w:hAnsi="Times New Roman" w:eastAsia="宋体" w:cs="Times New Roman"/>
                <w:bCs/>
                <w:color w:val="auto"/>
                <w:kern w:val="2"/>
                <w:sz w:val="21"/>
                <w:szCs w:val="21"/>
                <w:highlight w:val="none"/>
                <w:lang w:val="en-US" w:eastAsia="zh-CN" w:bidi="ar"/>
              </w:rPr>
              <w:t>，</w:t>
            </w:r>
            <w:r>
              <w:rPr>
                <w:rFonts w:hint="eastAsia" w:eastAsia="宋体" w:cs="Times New Roman"/>
                <w:bCs/>
                <w:color w:val="auto"/>
                <w:kern w:val="2"/>
                <w:sz w:val="21"/>
                <w:szCs w:val="21"/>
                <w:highlight w:val="none"/>
                <w:lang w:val="en-US" w:eastAsia="zh-CN" w:bidi="ar"/>
              </w:rPr>
              <w:t>分类</w:t>
            </w:r>
            <w:r>
              <w:rPr>
                <w:rFonts w:hint="eastAsia" w:ascii="Times New Roman" w:hAnsi="Times New Roman" w:eastAsia="宋体" w:cs="Times New Roman"/>
                <w:bCs/>
                <w:color w:val="auto"/>
                <w:kern w:val="2"/>
                <w:sz w:val="21"/>
                <w:szCs w:val="21"/>
                <w:highlight w:val="none"/>
                <w:lang w:val="en-US" w:eastAsia="zh-CN" w:bidi="ar"/>
              </w:rPr>
              <w:t>暂存于专用容器中，</w:t>
            </w:r>
            <w:r>
              <w:rPr>
                <w:rFonts w:hint="eastAsia" w:eastAsia="宋体" w:cs="Times New Roman"/>
                <w:bCs/>
                <w:color w:val="auto"/>
                <w:kern w:val="2"/>
                <w:sz w:val="21"/>
                <w:szCs w:val="21"/>
                <w:highlight w:val="none"/>
                <w:lang w:val="en-US" w:eastAsia="zh-CN" w:bidi="ar"/>
              </w:rPr>
              <w:t>根据现场踏勘</w:t>
            </w:r>
            <w:r>
              <w:rPr>
                <w:rFonts w:hint="eastAsia" w:ascii="Times New Roman" w:hAnsi="Times New Roman" w:eastAsia="宋体" w:cs="Times New Roman"/>
                <w:bCs/>
                <w:color w:val="auto"/>
                <w:kern w:val="2"/>
                <w:sz w:val="21"/>
                <w:szCs w:val="21"/>
                <w:highlight w:val="none"/>
                <w:lang w:val="en-US" w:eastAsia="zh-CN" w:bidi="ar"/>
              </w:rPr>
              <w:t>目前危废暂存间</w:t>
            </w:r>
            <w:r>
              <w:rPr>
                <w:rFonts w:hint="eastAsia" w:eastAsia="宋体" w:cs="Times New Roman"/>
                <w:bCs/>
                <w:color w:val="auto"/>
                <w:kern w:val="2"/>
                <w:sz w:val="21"/>
                <w:szCs w:val="21"/>
                <w:highlight w:val="none"/>
                <w:lang w:val="en-US" w:eastAsia="zh-CN" w:bidi="ar"/>
              </w:rPr>
              <w:t>尚有闲置区域</w:t>
            </w:r>
            <w:r>
              <w:rPr>
                <w:rFonts w:hint="eastAsia" w:ascii="Times New Roman" w:hAnsi="Times New Roman" w:eastAsia="宋体" w:cs="Times New Roman"/>
                <w:bCs/>
                <w:color w:val="auto"/>
                <w:kern w:val="2"/>
                <w:sz w:val="21"/>
                <w:szCs w:val="21"/>
                <w:highlight w:val="none"/>
                <w:lang w:val="en-US" w:eastAsia="zh-CN" w:bidi="ar"/>
              </w:rPr>
              <w:t>，且企业已与</w:t>
            </w:r>
            <w:r>
              <w:rPr>
                <w:rFonts w:hint="eastAsia" w:cs="Times New Roman"/>
                <w:bCs/>
                <w:color w:val="auto"/>
                <w:kern w:val="2"/>
                <w:sz w:val="21"/>
                <w:szCs w:val="21"/>
                <w:highlight w:val="none"/>
                <w:lang w:val="en-US" w:eastAsia="zh-CN" w:bidi="ar"/>
              </w:rPr>
              <w:t>铜川海创环保科技有限责任公司</w:t>
            </w:r>
            <w:r>
              <w:rPr>
                <w:rFonts w:hint="eastAsia" w:ascii="Times New Roman" w:hAnsi="Times New Roman" w:eastAsia="宋体" w:cs="Times New Roman"/>
                <w:bCs/>
                <w:color w:val="auto"/>
                <w:kern w:val="2"/>
                <w:sz w:val="21"/>
                <w:szCs w:val="21"/>
                <w:highlight w:val="none"/>
                <w:lang w:val="en-US" w:eastAsia="zh-CN" w:bidi="ar"/>
              </w:rPr>
              <w:t>签订危废处置协议，由</w:t>
            </w:r>
            <w:r>
              <w:rPr>
                <w:rFonts w:hint="eastAsia" w:cs="Times New Roman"/>
                <w:bCs/>
                <w:color w:val="auto"/>
                <w:kern w:val="2"/>
                <w:sz w:val="21"/>
                <w:szCs w:val="21"/>
                <w:highlight w:val="none"/>
                <w:lang w:val="en-US" w:eastAsia="zh-CN" w:bidi="ar"/>
              </w:rPr>
              <w:t>铜川海创公司</w:t>
            </w:r>
            <w:r>
              <w:rPr>
                <w:rFonts w:hint="eastAsia" w:ascii="Times New Roman" w:hAnsi="Times New Roman" w:eastAsia="宋体" w:cs="Times New Roman"/>
                <w:bCs/>
                <w:color w:val="auto"/>
                <w:kern w:val="2"/>
                <w:sz w:val="21"/>
                <w:szCs w:val="21"/>
                <w:highlight w:val="none"/>
                <w:lang w:val="en-US" w:eastAsia="zh-CN" w:bidi="ar"/>
              </w:rPr>
              <w:t>对企业生产过程中产生的危险废物定期清运，因此，本项目依托原有危废暂存间可行，企业危废暂存间按照《危险废物贮存污染控制标准》（GB18597-2001）修改单相关规定，配置专门的危废贮存容器，并设置显目的危废标识牌。此外，按照《危险废物转移联单管理办法》的相关要求对运输危险废物的设施和设备定期管理和维护，保证其正常运行和使用，转移危险废物时，按照规定填危险废物转移联单。存储时使用符合标准的容器盛装，不相容的危险废物分开存放，同时记录危险废物的名称、来源、数量、特性和包装容器的类别、入库日期、废物出库日期等。</w:t>
            </w:r>
          </w:p>
          <w:tbl>
            <w:tblPr>
              <w:tblStyle w:val="4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7"/>
              <w:gridCol w:w="4587"/>
            </w:tblGrid>
            <w:tr w14:paraId="593036F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14:paraId="405DB457">
                  <w:pPr>
                    <w:jc w:val="both"/>
                    <w:rPr>
                      <w:rFonts w:hint="eastAsia"/>
                      <w:color w:val="auto"/>
                      <w:highlight w:val="none"/>
                      <w:vertAlign w:val="baseline"/>
                      <w:lang w:val="en-US" w:eastAsia="zh-CN"/>
                    </w:rPr>
                  </w:pPr>
                  <w:r>
                    <w:rPr>
                      <w:rFonts w:hint="eastAsia"/>
                      <w:color w:val="auto"/>
                      <w:highlight w:val="none"/>
                      <w:vertAlign w:val="baseline"/>
                      <w:lang w:val="en-US" w:eastAsia="zh-CN"/>
                    </w:rPr>
                    <w:drawing>
                      <wp:inline distT="0" distB="0" distL="114300" distR="114300">
                        <wp:extent cx="2418715" cy="1814195"/>
                        <wp:effectExtent l="0" t="0" r="635" b="14605"/>
                        <wp:docPr id="2" name="图片 15" descr="73c92042598c55b4e78490f7f5bc4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5" descr="73c92042598c55b4e78490f7f5bc4f4"/>
                                <pic:cNvPicPr>
                                  <a:picLocks noChangeAspect="1"/>
                                </pic:cNvPicPr>
                              </pic:nvPicPr>
                              <pic:blipFill>
                                <a:blip r:embed="rId29"/>
                                <a:stretch>
                                  <a:fillRect/>
                                </a:stretch>
                              </pic:blipFill>
                              <pic:spPr>
                                <a:xfrm>
                                  <a:off x="0" y="0"/>
                                  <a:ext cx="2418715" cy="1814195"/>
                                </a:xfrm>
                                <a:prstGeom prst="rect">
                                  <a:avLst/>
                                </a:prstGeom>
                                <a:noFill/>
                                <a:ln>
                                  <a:noFill/>
                                </a:ln>
                              </pic:spPr>
                            </pic:pic>
                          </a:graphicData>
                        </a:graphic>
                      </wp:inline>
                    </w:drawing>
                  </w:r>
                </w:p>
              </w:tc>
              <w:tc>
                <w:tcPr>
                  <w:tcW w:w="2500" w:type="pct"/>
                  <w:noWrap w:val="0"/>
                  <w:vAlign w:val="top"/>
                </w:tcPr>
                <w:p w14:paraId="3E18C18D">
                  <w:pPr>
                    <w:jc w:val="both"/>
                    <w:rPr>
                      <w:rFonts w:hint="eastAsia"/>
                      <w:color w:val="auto"/>
                      <w:highlight w:val="none"/>
                      <w:vertAlign w:val="baseline"/>
                      <w:lang w:val="en-US" w:eastAsia="zh-CN"/>
                    </w:rPr>
                  </w:pPr>
                  <w:r>
                    <w:rPr>
                      <w:rFonts w:hint="eastAsia"/>
                      <w:color w:val="auto"/>
                      <w:highlight w:val="none"/>
                      <w:vertAlign w:val="baseline"/>
                      <w:lang w:val="en-US" w:eastAsia="zh-CN"/>
                    </w:rPr>
                    <w:drawing>
                      <wp:inline distT="0" distB="0" distL="114300" distR="114300">
                        <wp:extent cx="2418715" cy="1814195"/>
                        <wp:effectExtent l="0" t="0" r="635" b="14605"/>
                        <wp:docPr id="3" name="图片 16" descr="447fed7ca7d48810e6afac78af3d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6" descr="447fed7ca7d48810e6afac78af3d706"/>
                                <pic:cNvPicPr>
                                  <a:picLocks noChangeAspect="1"/>
                                </pic:cNvPicPr>
                              </pic:nvPicPr>
                              <pic:blipFill>
                                <a:blip r:embed="rId30"/>
                                <a:stretch>
                                  <a:fillRect/>
                                </a:stretch>
                              </pic:blipFill>
                              <pic:spPr>
                                <a:xfrm>
                                  <a:off x="0" y="0"/>
                                  <a:ext cx="2418715" cy="1814195"/>
                                </a:xfrm>
                                <a:prstGeom prst="rect">
                                  <a:avLst/>
                                </a:prstGeom>
                                <a:noFill/>
                                <a:ln>
                                  <a:noFill/>
                                </a:ln>
                              </pic:spPr>
                            </pic:pic>
                          </a:graphicData>
                        </a:graphic>
                      </wp:inline>
                    </w:drawing>
                  </w:r>
                </w:p>
              </w:tc>
            </w:tr>
            <w:tr w14:paraId="0A3E54A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noWrap w:val="0"/>
                  <w:vAlign w:val="top"/>
                </w:tcPr>
                <w:p w14:paraId="1145596C">
                  <w:pPr>
                    <w:jc w:val="center"/>
                    <w:rPr>
                      <w:rFonts w:hint="eastAsia"/>
                      <w:color w:val="auto"/>
                      <w:highlight w:val="none"/>
                      <w:vertAlign w:val="baseline"/>
                      <w:lang w:val="en-US" w:eastAsia="zh-CN"/>
                    </w:rPr>
                  </w:pPr>
                  <w:r>
                    <w:rPr>
                      <w:rFonts w:hint="eastAsia"/>
                      <w:color w:val="auto"/>
                      <w:highlight w:val="none"/>
                      <w:vertAlign w:val="baseline"/>
                      <w:lang w:val="en-US" w:eastAsia="zh-CN"/>
                    </w:rPr>
                    <w:drawing>
                      <wp:inline distT="0" distB="0" distL="114300" distR="114300">
                        <wp:extent cx="2418715" cy="1814195"/>
                        <wp:effectExtent l="0" t="0" r="635" b="14605"/>
                        <wp:docPr id="4" name="图片 17" descr="4844dacb7573c6a7f6006f7096494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7" descr="4844dacb7573c6a7f6006f70964949e"/>
                                <pic:cNvPicPr>
                                  <a:picLocks noChangeAspect="1"/>
                                </pic:cNvPicPr>
                              </pic:nvPicPr>
                              <pic:blipFill>
                                <a:blip r:embed="rId31"/>
                                <a:stretch>
                                  <a:fillRect/>
                                </a:stretch>
                              </pic:blipFill>
                              <pic:spPr>
                                <a:xfrm>
                                  <a:off x="0" y="0"/>
                                  <a:ext cx="2418715" cy="1814195"/>
                                </a:xfrm>
                                <a:prstGeom prst="rect">
                                  <a:avLst/>
                                </a:prstGeom>
                                <a:noFill/>
                                <a:ln>
                                  <a:noFill/>
                                </a:ln>
                              </pic:spPr>
                            </pic:pic>
                          </a:graphicData>
                        </a:graphic>
                      </wp:inline>
                    </w:drawing>
                  </w:r>
                </w:p>
              </w:tc>
            </w:tr>
            <w:tr w14:paraId="6A2A30C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noWrap w:val="0"/>
                  <w:vAlign w:val="top"/>
                </w:tcPr>
                <w:p w14:paraId="782D407F">
                  <w:pPr>
                    <w:spacing w:line="240" w:lineRule="auto"/>
                    <w:jc w:val="center"/>
                    <w:rPr>
                      <w:rFonts w:hint="default"/>
                      <w:color w:val="auto"/>
                      <w:highlight w:val="none"/>
                      <w:vertAlign w:val="baseline"/>
                      <w:lang w:val="en-US" w:eastAsia="zh-CN"/>
                    </w:rPr>
                  </w:pPr>
                  <w:r>
                    <w:rPr>
                      <w:rFonts w:hint="eastAsia"/>
                      <w:color w:val="auto"/>
                      <w:sz w:val="21"/>
                      <w:szCs w:val="21"/>
                      <w:highlight w:val="none"/>
                      <w:vertAlign w:val="baseline"/>
                      <w:lang w:val="en-US" w:eastAsia="zh-CN"/>
                    </w:rPr>
                    <w:t>危废暂存间照片</w:t>
                  </w:r>
                </w:p>
              </w:tc>
            </w:tr>
          </w:tbl>
          <w:p w14:paraId="27171FAD">
            <w:pPr>
              <w:ind w:firstLine="480"/>
              <w:jc w:val="both"/>
              <w:rPr>
                <w:rFonts w:hint="eastAsia" w:ascii="Times New Roman" w:hAnsi="Times New Roman" w:eastAsia="宋体" w:cs="Times New Roman"/>
                <w:bCs/>
                <w:color w:val="auto"/>
                <w:kern w:val="2"/>
                <w:sz w:val="21"/>
                <w:szCs w:val="21"/>
                <w:highlight w:val="none"/>
                <w:lang w:val="en-US" w:eastAsia="zh-CN" w:bidi="ar"/>
              </w:rPr>
            </w:pPr>
            <w:r>
              <w:rPr>
                <w:rFonts w:hint="eastAsia" w:ascii="Times New Roman" w:hAnsi="Times New Roman" w:eastAsia="宋体" w:cs="Times New Roman"/>
                <w:bCs/>
                <w:color w:val="auto"/>
                <w:kern w:val="2"/>
                <w:sz w:val="21"/>
                <w:szCs w:val="21"/>
                <w:highlight w:val="none"/>
                <w:lang w:val="en-US" w:eastAsia="zh-CN" w:bidi="ar"/>
              </w:rPr>
              <w:t>在采取环评提出的各项措施后，项目固废均得到合理处置，对周围环境影响较小。</w:t>
            </w:r>
          </w:p>
          <w:p w14:paraId="3D362E1C">
            <w:pPr>
              <w:pStyle w:val="24"/>
              <w:keepNext w:val="0"/>
              <w:keepLines w:val="0"/>
              <w:pageBreakBefore w:val="0"/>
              <w:widowControl w:val="0"/>
              <w:kinsoku/>
              <w:wordWrap/>
              <w:overflowPunct/>
              <w:topLinePunct w:val="0"/>
              <w:autoSpaceDE/>
              <w:autoSpaceDN/>
              <w:bidi w:val="0"/>
              <w:adjustRightInd/>
              <w:snapToGrid/>
              <w:ind w:left="0" w:leftChars="0" w:firstLine="396" w:firstLineChars="200"/>
              <w:jc w:val="left"/>
              <w:textAlignment w:val="auto"/>
              <w:rPr>
                <w:rFonts w:hint="default" w:ascii="Times New Roman" w:hAnsi="Times New Roman" w:eastAsia="宋体" w:cs="Times New Roman"/>
                <w:b/>
                <w:bCs/>
                <w:color w:val="auto"/>
                <w:kern w:val="2"/>
                <w:sz w:val="21"/>
                <w:szCs w:val="21"/>
                <w:highlight w:val="none"/>
                <w:lang w:val="en-US" w:eastAsia="zh-CN" w:bidi="ar-SA"/>
              </w:rPr>
            </w:pPr>
            <w:r>
              <w:rPr>
                <w:rFonts w:hint="eastAsia" w:ascii="Times New Roman" w:hAnsi="Times New Roman" w:eastAsia="宋体" w:cs="Times New Roman"/>
                <w:b/>
                <w:bCs/>
                <w:color w:val="auto"/>
                <w:kern w:val="2"/>
                <w:sz w:val="21"/>
                <w:szCs w:val="21"/>
                <w:highlight w:val="none"/>
                <w:lang w:val="en-US" w:eastAsia="zh-CN" w:bidi="ar-SA"/>
              </w:rPr>
              <w:t>（3）环境管理要求</w:t>
            </w:r>
          </w:p>
          <w:p w14:paraId="544421C1">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①一般固废贮存要求如下：</w:t>
            </w:r>
          </w:p>
          <w:p w14:paraId="02DA7FF3">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A、要按照《一般工业固体废物贮存和填埋污染控制标准》（GB18599-2020）中的有关要求中相关规定执行，设置暂存场所。</w:t>
            </w:r>
          </w:p>
          <w:p w14:paraId="53C7F32D">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B、不得露天堆放，防止雨水进入产生二次污染。</w:t>
            </w:r>
          </w:p>
          <w:p w14:paraId="6569727E">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C、生活垃圾和一般固废分类收集暂存。</w:t>
            </w:r>
          </w:p>
          <w:p w14:paraId="1D8EE4F8">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default"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②危险废物</w:t>
            </w:r>
            <w:r>
              <w:rPr>
                <w:rFonts w:hint="eastAsia" w:ascii="Times New Roman" w:hAnsi="Times New Roman" w:eastAsia="宋体" w:cs="Times New Roman"/>
                <w:color w:val="auto"/>
                <w:kern w:val="0"/>
                <w:sz w:val="21"/>
                <w:szCs w:val="21"/>
                <w:highlight w:val="none"/>
                <w:lang w:val="en-US" w:eastAsia="zh-CN"/>
              </w:rPr>
              <w:t>贮存要求如下：</w:t>
            </w:r>
          </w:p>
          <w:p w14:paraId="2EE731FD">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A、要按照《危险废物贮存污染控制标准》（GB18597-2023）相关要求建设危险废物专用暂存库房。</w:t>
            </w:r>
          </w:p>
          <w:p w14:paraId="13CA960F">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B、危险废物专用暂存库房做好防雨、防渗、防跑、冒、漏、滴措施，避免不必要的环境污染事故发生。</w:t>
            </w:r>
          </w:p>
          <w:p w14:paraId="66332614">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C、危险废物要做好标识，按类别摆放，定期转交给专业危险废物处理公司进行处置。</w:t>
            </w:r>
          </w:p>
          <w:p w14:paraId="3F7E49E2">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D、不得将不相容的废物混合或合并存放。</w:t>
            </w:r>
          </w:p>
          <w:p w14:paraId="4815EC2E">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E、危险废物暂存间必须有耐腐蚀的硬化地面，且表面无裂隙。</w:t>
            </w:r>
          </w:p>
          <w:p w14:paraId="1CB0C910">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F、危险废物要放入符合标准的容器内，加上标签，容器放入坚固的柜或箱中，柜或箱应设多个直径不少于30毫米的排气孔。</w:t>
            </w:r>
          </w:p>
          <w:p w14:paraId="48CAA478">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G、按规范记录台账，做好日常管理。</w:t>
            </w:r>
          </w:p>
          <w:p w14:paraId="14273E7D">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zh-CN" w:eastAsia="zh-CN"/>
              </w:rPr>
            </w:pPr>
            <w:r>
              <w:rPr>
                <w:rFonts w:hint="eastAsia" w:ascii="Times New Roman" w:hAnsi="Times New Roman" w:eastAsia="宋体" w:cs="Times New Roman"/>
                <w:color w:val="auto"/>
                <w:kern w:val="0"/>
                <w:sz w:val="21"/>
                <w:szCs w:val="21"/>
                <w:highlight w:val="none"/>
                <w:lang w:val="zh-CN" w:eastAsia="zh-CN"/>
              </w:rPr>
              <w:t>综上，在采取上述固体废物污染防治措施后，本项目产生的固体废物均得到妥善处置，对外环境影响较小。</w:t>
            </w:r>
          </w:p>
          <w:p w14:paraId="45CDD722">
            <w:pPr>
              <w:adjustRightInd w:val="0"/>
              <w:snapToGrid w:val="0"/>
              <w:ind w:firstLine="482" w:firstLineChars="200"/>
              <w:jc w:val="both"/>
              <w:rPr>
                <w:rFonts w:hint="default" w:ascii="Times New Roman" w:hAnsi="Times New Roman" w:eastAsia="宋体" w:cs="Times New Roman"/>
                <w:b/>
                <w:color w:val="auto"/>
                <w:kern w:val="0"/>
                <w:szCs w:val="24"/>
                <w:highlight w:val="none"/>
                <w:lang w:val="en-US" w:eastAsia="zh-CN"/>
              </w:rPr>
            </w:pPr>
            <w:r>
              <w:rPr>
                <w:rFonts w:hint="eastAsia" w:ascii="Times New Roman" w:hAnsi="Times New Roman" w:eastAsia="宋体" w:cs="Times New Roman"/>
                <w:b/>
                <w:color w:val="auto"/>
                <w:kern w:val="0"/>
                <w:szCs w:val="24"/>
                <w:highlight w:val="none"/>
                <w:lang w:val="en-US" w:eastAsia="zh-CN"/>
              </w:rPr>
              <w:t>五</w:t>
            </w:r>
            <w:r>
              <w:rPr>
                <w:rFonts w:hint="default" w:ascii="Times New Roman" w:hAnsi="Times New Roman" w:eastAsia="宋体" w:cs="Times New Roman"/>
                <w:b/>
                <w:color w:val="auto"/>
                <w:kern w:val="0"/>
                <w:szCs w:val="24"/>
                <w:highlight w:val="none"/>
                <w:lang w:val="en-US" w:eastAsia="zh-CN"/>
              </w:rPr>
              <w:t>、地下水、土壤</w:t>
            </w:r>
          </w:p>
          <w:p w14:paraId="3D9523C9">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zh-CN" w:eastAsia="zh-CN"/>
              </w:rPr>
            </w:pPr>
            <w:r>
              <w:rPr>
                <w:rFonts w:hint="eastAsia" w:ascii="Times New Roman" w:hAnsi="Times New Roman" w:eastAsia="宋体" w:cs="Times New Roman"/>
                <w:color w:val="auto"/>
                <w:kern w:val="0"/>
                <w:sz w:val="21"/>
                <w:szCs w:val="21"/>
                <w:highlight w:val="none"/>
                <w:lang w:val="en-US" w:eastAsia="zh-CN"/>
              </w:rPr>
              <w:t>项目产生的</w:t>
            </w:r>
            <w:r>
              <w:rPr>
                <w:rFonts w:hint="eastAsia" w:ascii="Times New Roman" w:hAnsi="Times New Roman" w:eastAsia="宋体" w:cs="Times New Roman"/>
                <w:color w:val="auto"/>
                <w:kern w:val="0"/>
                <w:sz w:val="21"/>
                <w:szCs w:val="21"/>
                <w:highlight w:val="none"/>
                <w:lang w:val="zh-CN" w:eastAsia="zh-CN"/>
              </w:rPr>
              <w:t>危险废物暂存于危废贮存</w:t>
            </w:r>
            <w:r>
              <w:rPr>
                <w:rFonts w:hint="eastAsia" w:ascii="Times New Roman" w:hAnsi="Times New Roman" w:eastAsia="宋体" w:cs="Times New Roman"/>
                <w:color w:val="auto"/>
                <w:kern w:val="0"/>
                <w:sz w:val="21"/>
                <w:szCs w:val="21"/>
                <w:highlight w:val="none"/>
                <w:lang w:val="en-US" w:eastAsia="zh-CN"/>
              </w:rPr>
              <w:t>库</w:t>
            </w:r>
            <w:r>
              <w:rPr>
                <w:rFonts w:hint="eastAsia" w:ascii="Times New Roman" w:hAnsi="Times New Roman" w:eastAsia="宋体" w:cs="Times New Roman"/>
                <w:color w:val="auto"/>
                <w:kern w:val="0"/>
                <w:sz w:val="21"/>
                <w:szCs w:val="21"/>
                <w:highlight w:val="none"/>
                <w:lang w:val="zh-CN" w:eastAsia="zh-CN"/>
              </w:rPr>
              <w:t>，</w:t>
            </w:r>
            <w:r>
              <w:rPr>
                <w:rFonts w:hint="eastAsia" w:ascii="Times New Roman" w:hAnsi="Times New Roman" w:eastAsia="宋体" w:cs="Times New Roman"/>
                <w:color w:val="auto"/>
                <w:kern w:val="0"/>
                <w:sz w:val="21"/>
                <w:szCs w:val="21"/>
                <w:highlight w:val="none"/>
                <w:lang w:val="en-US" w:eastAsia="zh-CN"/>
              </w:rPr>
              <w:t>目前，现有</w:t>
            </w:r>
            <w:r>
              <w:rPr>
                <w:rFonts w:hint="eastAsia" w:ascii="Times New Roman" w:hAnsi="Times New Roman" w:eastAsia="宋体" w:cs="Times New Roman"/>
                <w:color w:val="auto"/>
                <w:kern w:val="0"/>
                <w:sz w:val="21"/>
                <w:szCs w:val="21"/>
                <w:highlight w:val="none"/>
                <w:lang w:val="zh-CN" w:eastAsia="zh-CN"/>
              </w:rPr>
              <w:t>危废贮存</w:t>
            </w:r>
            <w:r>
              <w:rPr>
                <w:rFonts w:hint="eastAsia" w:ascii="Times New Roman" w:hAnsi="Times New Roman" w:eastAsia="宋体" w:cs="Times New Roman"/>
                <w:color w:val="auto"/>
                <w:kern w:val="0"/>
                <w:sz w:val="21"/>
                <w:szCs w:val="21"/>
                <w:highlight w:val="none"/>
                <w:lang w:val="en-US" w:eastAsia="zh-CN"/>
              </w:rPr>
              <w:t>库已</w:t>
            </w:r>
            <w:r>
              <w:rPr>
                <w:rFonts w:hint="eastAsia" w:ascii="Times New Roman" w:hAnsi="Times New Roman" w:eastAsia="宋体" w:cs="Times New Roman"/>
                <w:color w:val="auto"/>
                <w:kern w:val="0"/>
                <w:sz w:val="21"/>
                <w:szCs w:val="21"/>
                <w:highlight w:val="none"/>
                <w:lang w:val="zh-CN" w:eastAsia="zh-CN"/>
              </w:rPr>
              <w:t>按《危险废物贮存污染控制标准》（GB18597-2023）要求做好防渗防漏措施，并定期交由有资质单位处置。</w:t>
            </w:r>
            <w:r>
              <w:rPr>
                <w:rFonts w:hint="eastAsia" w:ascii="Times New Roman" w:hAnsi="Times New Roman" w:eastAsia="宋体" w:cs="Times New Roman"/>
                <w:color w:val="auto"/>
                <w:kern w:val="0"/>
                <w:sz w:val="21"/>
                <w:szCs w:val="21"/>
                <w:highlight w:val="none"/>
                <w:lang w:val="en-US" w:eastAsia="zh-CN"/>
              </w:rPr>
              <w:t>实验室地面全部进行硬化处理，其中药剂暂存区防渗层采用不小于2mm厚高密度聚乙烯膜，防渗系数不大于1.0×10-10cm/s，或其他防渗性能等效的材料。</w:t>
            </w:r>
          </w:p>
          <w:p w14:paraId="122F98F3">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zh-CN" w:eastAsia="zh-CN"/>
              </w:rPr>
              <w:t>采取</w:t>
            </w:r>
            <w:r>
              <w:rPr>
                <w:rFonts w:hint="eastAsia" w:ascii="Times New Roman" w:hAnsi="Times New Roman" w:eastAsia="宋体" w:cs="Times New Roman"/>
                <w:color w:val="auto"/>
                <w:kern w:val="0"/>
                <w:sz w:val="21"/>
                <w:szCs w:val="21"/>
                <w:highlight w:val="none"/>
                <w:lang w:val="en-US" w:eastAsia="zh-CN"/>
              </w:rPr>
              <w:t>上述</w:t>
            </w:r>
            <w:r>
              <w:rPr>
                <w:rFonts w:hint="eastAsia" w:ascii="Times New Roman" w:hAnsi="Times New Roman" w:eastAsia="宋体" w:cs="Times New Roman"/>
                <w:color w:val="auto"/>
                <w:kern w:val="0"/>
                <w:sz w:val="21"/>
                <w:szCs w:val="21"/>
                <w:highlight w:val="none"/>
                <w:lang w:val="zh-CN" w:eastAsia="zh-CN"/>
              </w:rPr>
              <w:t>措施后</w:t>
            </w:r>
            <w:r>
              <w:rPr>
                <w:rFonts w:hint="eastAsia" w:ascii="Times New Roman" w:hAnsi="Times New Roman" w:eastAsia="宋体" w:cs="Times New Roman"/>
                <w:color w:val="auto"/>
                <w:kern w:val="0"/>
                <w:sz w:val="21"/>
                <w:szCs w:val="21"/>
                <w:highlight w:val="none"/>
                <w:lang w:val="en-US" w:eastAsia="zh-CN"/>
              </w:rPr>
              <w:t>项目</w:t>
            </w:r>
            <w:r>
              <w:rPr>
                <w:rFonts w:hint="eastAsia" w:ascii="Times New Roman" w:hAnsi="Times New Roman" w:eastAsia="宋体" w:cs="Times New Roman"/>
                <w:color w:val="auto"/>
                <w:kern w:val="0"/>
                <w:sz w:val="21"/>
                <w:szCs w:val="21"/>
                <w:highlight w:val="none"/>
                <w:lang w:val="zh-CN" w:eastAsia="zh-CN"/>
              </w:rPr>
              <w:t>对地下水和土壤产生影响很小。</w:t>
            </w:r>
          </w:p>
          <w:p w14:paraId="38FE03A4">
            <w:pPr>
              <w:adjustRightInd w:val="0"/>
              <w:snapToGrid w:val="0"/>
              <w:ind w:firstLine="482" w:firstLineChars="200"/>
              <w:jc w:val="both"/>
              <w:rPr>
                <w:rFonts w:hint="eastAsia" w:ascii="Times New Roman" w:hAnsi="Times New Roman" w:eastAsia="宋体" w:cs="Times New Roman"/>
                <w:b/>
                <w:color w:val="auto"/>
                <w:kern w:val="0"/>
                <w:szCs w:val="24"/>
                <w:highlight w:val="none"/>
                <w:lang w:val="en-US" w:eastAsia="zh-CN"/>
              </w:rPr>
            </w:pPr>
            <w:r>
              <w:rPr>
                <w:rFonts w:hint="eastAsia" w:ascii="Times New Roman" w:hAnsi="Times New Roman" w:eastAsia="宋体" w:cs="Times New Roman"/>
                <w:b/>
                <w:color w:val="auto"/>
                <w:kern w:val="0"/>
                <w:szCs w:val="24"/>
                <w:highlight w:val="none"/>
                <w:lang w:val="en-US" w:eastAsia="zh-CN"/>
              </w:rPr>
              <w:t>六、生态</w:t>
            </w:r>
          </w:p>
          <w:p w14:paraId="2C1D33EC">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zh-CN" w:eastAsia="zh-CN"/>
              </w:rPr>
              <w:t>项目不涉及土建工程，其建设不会对区域生态环境产生较大影响。</w:t>
            </w:r>
          </w:p>
          <w:p w14:paraId="25669FA4">
            <w:pPr>
              <w:adjustRightInd w:val="0"/>
              <w:snapToGrid w:val="0"/>
              <w:ind w:firstLine="482" w:firstLineChars="200"/>
              <w:jc w:val="both"/>
              <w:rPr>
                <w:rFonts w:hint="default" w:ascii="Times New Roman" w:hAnsi="Times New Roman" w:eastAsia="宋体" w:cs="Times New Roman"/>
                <w:b/>
                <w:color w:val="auto"/>
                <w:kern w:val="0"/>
                <w:szCs w:val="24"/>
                <w:highlight w:val="none"/>
                <w:lang w:val="en-US" w:eastAsia="zh-CN"/>
              </w:rPr>
            </w:pPr>
            <w:r>
              <w:rPr>
                <w:rFonts w:hint="eastAsia" w:ascii="Times New Roman" w:hAnsi="Times New Roman" w:eastAsia="宋体" w:cs="Times New Roman"/>
                <w:b/>
                <w:color w:val="auto"/>
                <w:kern w:val="0"/>
                <w:szCs w:val="24"/>
                <w:highlight w:val="none"/>
                <w:lang w:val="en-US" w:eastAsia="zh-CN"/>
              </w:rPr>
              <w:t>七、环境风险</w:t>
            </w:r>
          </w:p>
          <w:p w14:paraId="14873D27">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zh-CN" w:eastAsia="zh-CN"/>
              </w:rPr>
            </w:pPr>
            <w:r>
              <w:rPr>
                <w:rFonts w:hint="eastAsia" w:ascii="Times New Roman" w:hAnsi="Times New Roman" w:eastAsia="宋体" w:cs="Times New Roman"/>
                <w:color w:val="auto"/>
                <w:kern w:val="0"/>
                <w:sz w:val="21"/>
                <w:szCs w:val="21"/>
                <w:highlight w:val="none"/>
                <w:lang w:val="en-US" w:eastAsia="zh-CN"/>
              </w:rPr>
              <w:t>1、</w:t>
            </w:r>
            <w:r>
              <w:rPr>
                <w:rFonts w:hint="eastAsia" w:ascii="Times New Roman" w:hAnsi="Times New Roman" w:eastAsia="宋体" w:cs="Times New Roman"/>
                <w:color w:val="auto"/>
                <w:kern w:val="0"/>
                <w:sz w:val="21"/>
                <w:szCs w:val="21"/>
                <w:highlight w:val="none"/>
                <w:lang w:val="zh-CN" w:eastAsia="zh-CN"/>
              </w:rPr>
              <w:t>危险物质和风险源分布</w:t>
            </w:r>
          </w:p>
          <w:p w14:paraId="08AB2B67">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0000FF"/>
                <w:kern w:val="0"/>
                <w:sz w:val="21"/>
                <w:szCs w:val="21"/>
                <w:highlight w:val="none"/>
                <w:lang w:val="zh-CN" w:eastAsia="zh-CN"/>
              </w:rPr>
            </w:pPr>
            <w:r>
              <w:rPr>
                <w:rFonts w:hint="eastAsia" w:ascii="Times New Roman" w:hAnsi="Times New Roman" w:eastAsia="宋体" w:cs="Times New Roman"/>
                <w:color w:val="auto"/>
                <w:kern w:val="0"/>
                <w:sz w:val="21"/>
                <w:szCs w:val="21"/>
                <w:highlight w:val="none"/>
                <w:lang w:val="zh-CN" w:eastAsia="zh-CN"/>
              </w:rPr>
              <w:t>根据《建设项目环境风险评价技术导则》（HJ169-2018）中附录C的规定：计算项目所涉及的每种危险物质在厂界内的最大存在总量与其在附录B中对应临界量的比值Q。本项目危险物质主要包括常规化学品，如硫酸、盐酸、</w:t>
            </w:r>
            <w:r>
              <w:rPr>
                <w:rFonts w:hint="eastAsia" w:ascii="Times New Roman" w:hAnsi="Times New Roman" w:eastAsia="宋体" w:cs="Times New Roman"/>
                <w:color w:val="auto"/>
                <w:kern w:val="0"/>
                <w:sz w:val="21"/>
                <w:szCs w:val="21"/>
                <w:highlight w:val="none"/>
                <w:lang w:val="en-US" w:eastAsia="zh-CN"/>
              </w:rPr>
              <w:t>硝酸</w:t>
            </w:r>
            <w:r>
              <w:rPr>
                <w:rFonts w:hint="eastAsia" w:cs="Times New Roman"/>
                <w:color w:val="auto"/>
                <w:kern w:val="0"/>
                <w:sz w:val="21"/>
                <w:szCs w:val="21"/>
                <w:highlight w:val="none"/>
                <w:lang w:val="en-US" w:eastAsia="zh-CN"/>
              </w:rPr>
              <w:t>、磷酸、氨水</w:t>
            </w:r>
            <w:r>
              <w:rPr>
                <w:rFonts w:hint="eastAsia" w:ascii="Times New Roman" w:hAnsi="Times New Roman" w:eastAsia="宋体" w:cs="Times New Roman"/>
                <w:color w:val="auto"/>
                <w:kern w:val="0"/>
                <w:sz w:val="21"/>
                <w:szCs w:val="21"/>
                <w:highlight w:val="none"/>
                <w:lang w:val="zh-CN" w:eastAsia="zh-CN"/>
              </w:rPr>
              <w:t>，均位于</w:t>
            </w:r>
            <w:r>
              <w:rPr>
                <w:rFonts w:hint="eastAsia" w:cs="Times New Roman"/>
                <w:color w:val="auto"/>
                <w:kern w:val="0"/>
                <w:sz w:val="21"/>
                <w:szCs w:val="21"/>
                <w:highlight w:val="none"/>
                <w:lang w:val="en-US" w:eastAsia="zh-CN"/>
              </w:rPr>
              <w:t>实验室内试剂柜</w:t>
            </w:r>
            <w:r>
              <w:rPr>
                <w:rFonts w:hint="eastAsia" w:ascii="Times New Roman" w:hAnsi="Times New Roman" w:eastAsia="宋体" w:cs="Times New Roman"/>
                <w:color w:val="auto"/>
                <w:kern w:val="0"/>
                <w:sz w:val="21"/>
                <w:szCs w:val="21"/>
                <w:highlight w:val="none"/>
                <w:lang w:val="en-US" w:eastAsia="zh-CN"/>
              </w:rPr>
              <w:t>中</w:t>
            </w:r>
            <w:r>
              <w:rPr>
                <w:rFonts w:hint="eastAsia" w:ascii="Times New Roman" w:hAnsi="Times New Roman" w:eastAsia="宋体" w:cs="Times New Roman"/>
                <w:color w:val="auto"/>
                <w:kern w:val="0"/>
                <w:sz w:val="21"/>
                <w:szCs w:val="21"/>
                <w:highlight w:val="none"/>
                <w:lang w:val="zh-CN" w:eastAsia="zh-CN"/>
              </w:rPr>
              <w:t>。</w:t>
            </w:r>
          </w:p>
          <w:p w14:paraId="3163A8D9">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zh-CN" w:eastAsia="zh-CN"/>
              </w:rPr>
            </w:pPr>
            <w:r>
              <w:rPr>
                <w:rFonts w:hint="eastAsia" w:ascii="Times New Roman" w:hAnsi="Times New Roman" w:eastAsia="宋体" w:cs="Times New Roman"/>
                <w:color w:val="auto"/>
                <w:kern w:val="0"/>
                <w:sz w:val="21"/>
                <w:szCs w:val="21"/>
                <w:highlight w:val="none"/>
                <w:lang w:val="zh-CN" w:eastAsia="zh-CN"/>
              </w:rPr>
              <w:t>项目实验室用药剂的使用有阶段性和周期性，对化学品的使用会采取使用时随时采购的原则，实验室储存量较小，远小于临界值，根据《建设项目环境风险评价技术导则》(HJ 169-2018)附录附录C中Q值公式</w:t>
            </w:r>
            <w:r>
              <w:rPr>
                <w:rFonts w:hint="eastAsia" w:cs="Times New Roman"/>
                <w:color w:val="auto"/>
                <w:kern w:val="0"/>
                <w:sz w:val="21"/>
                <w:szCs w:val="21"/>
                <w:highlight w:val="none"/>
                <w:lang w:val="zh-CN" w:eastAsia="zh-CN"/>
              </w:rPr>
              <w:t>：</w:t>
            </w:r>
          </w:p>
          <w:p w14:paraId="58790E22">
            <w:pPr>
              <w:keepNext w:val="0"/>
              <w:keepLines w:val="0"/>
              <w:pageBreakBefore w:val="0"/>
              <w:widowControl w:val="0"/>
              <w:kinsoku/>
              <w:wordWrap/>
              <w:overflowPunct/>
              <w:topLinePunct w:val="0"/>
              <w:autoSpaceDE/>
              <w:bidi w:val="0"/>
              <w:adjustRightInd/>
              <w:snapToGrid/>
              <w:spacing w:line="360" w:lineRule="auto"/>
              <w:jc w:val="center"/>
              <w:textAlignment w:val="auto"/>
              <w:rPr>
                <w:rFonts w:hint="eastAsia" w:ascii="Times New Roman" w:hAnsi="Times New Roman" w:eastAsia="宋体" w:cs="Times New Roman"/>
                <w:color w:val="0000FF"/>
                <w:kern w:val="0"/>
                <w:sz w:val="21"/>
                <w:szCs w:val="21"/>
                <w:highlight w:val="none"/>
                <w:lang w:val="zh-CN" w:eastAsia="zh-CN"/>
              </w:rPr>
            </w:pPr>
            <w:r>
              <w:rPr>
                <w:rFonts w:hint="default" w:ascii="Times New Roman" w:hAnsi="Times New Roman" w:cs="Times New Roman"/>
                <w:color w:val="0000FF"/>
                <w:position w:val="-30"/>
                <w:sz w:val="24"/>
                <w:szCs w:val="24"/>
                <w:highlight w:val="none"/>
                <w:lang w:val="en-US" w:eastAsia="zh-CN"/>
              </w:rPr>
              <w:object>
                <v:shape id="_x0000_i1033" o:spt="75" type="#_x0000_t75" style="height:36.1pt;width:106.15pt;" o:ole="t" filled="f" o:preferrelative="t" stroked="f" coordsize="21600,21600">
                  <v:path/>
                  <v:fill on="f" focussize="0,0"/>
                  <v:stroke on="f"/>
                  <v:imagedata r:id="rId33" o:title=""/>
                  <o:lock v:ext="edit" aspectratio="t"/>
                  <w10:wrap type="none"/>
                  <w10:anchorlock/>
                </v:shape>
                <o:OLEObject Type="Embed" ProgID="Equation.KSEE3" ShapeID="_x0000_i1033" DrawAspect="Content" ObjectID="_1468075733" r:id="rId32">
                  <o:LockedField>false</o:LockedField>
                </o:OLEObject>
              </w:object>
            </w:r>
          </w:p>
          <w:p w14:paraId="4A55CC8C">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zh-CN" w:eastAsia="zh-CN"/>
              </w:rPr>
            </w:pPr>
            <w:r>
              <w:rPr>
                <w:rFonts w:hint="eastAsia" w:ascii="Times New Roman" w:hAnsi="Times New Roman" w:eastAsia="宋体" w:cs="Times New Roman"/>
                <w:color w:val="auto"/>
                <w:kern w:val="0"/>
                <w:sz w:val="21"/>
                <w:szCs w:val="21"/>
                <w:highlight w:val="none"/>
                <w:lang w:val="zh-CN" w:eastAsia="zh-CN"/>
              </w:rPr>
              <w:t>式中：q1，q2……qn——每种危险物质的最大存在总量，t；</w:t>
            </w:r>
          </w:p>
          <w:p w14:paraId="1F4A3630">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zh-CN" w:eastAsia="zh-CN"/>
              </w:rPr>
            </w:pPr>
            <w:r>
              <w:rPr>
                <w:rFonts w:hint="eastAsia" w:ascii="Times New Roman" w:hAnsi="Times New Roman" w:eastAsia="宋体" w:cs="Times New Roman"/>
                <w:color w:val="auto"/>
                <w:kern w:val="0"/>
                <w:sz w:val="21"/>
                <w:szCs w:val="21"/>
                <w:highlight w:val="none"/>
                <w:lang w:val="zh-CN" w:eastAsia="zh-CN"/>
              </w:rPr>
              <w:t xml:space="preserve">      Q1，Q2……Qn——各种危险物质的临界量，t</w:t>
            </w:r>
          </w:p>
          <w:p w14:paraId="40950AE3">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zh-CN" w:eastAsia="zh-CN"/>
              </w:rPr>
            </w:pPr>
            <w:r>
              <w:rPr>
                <w:rFonts w:hint="eastAsia" w:ascii="Times New Roman" w:hAnsi="Times New Roman" w:eastAsia="宋体" w:cs="Times New Roman"/>
                <w:color w:val="auto"/>
                <w:kern w:val="0"/>
                <w:sz w:val="21"/>
                <w:szCs w:val="21"/>
                <w:highlight w:val="none"/>
                <w:lang w:val="zh-CN" w:eastAsia="zh-CN"/>
              </w:rPr>
              <w:t>当Q&lt;1时，该项目环境风险潜势为I。</w:t>
            </w:r>
          </w:p>
          <w:p w14:paraId="32D6CABF">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zh-CN" w:eastAsia="zh-CN"/>
              </w:rPr>
            </w:pPr>
            <w:r>
              <w:rPr>
                <w:rFonts w:hint="eastAsia" w:ascii="Times New Roman" w:hAnsi="Times New Roman" w:eastAsia="宋体" w:cs="Times New Roman"/>
                <w:color w:val="auto"/>
                <w:kern w:val="0"/>
                <w:sz w:val="21"/>
                <w:szCs w:val="21"/>
                <w:highlight w:val="none"/>
                <w:lang w:val="zh-CN" w:eastAsia="zh-CN"/>
              </w:rPr>
              <w:t>当Q≥1时，将Q值划分为：⑴1≤Q&lt;10；⑵10≤Q&lt;100；⑶Q≥100。</w:t>
            </w:r>
          </w:p>
          <w:p w14:paraId="059132C5">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zh-CN" w:eastAsia="zh-CN"/>
              </w:rPr>
            </w:pPr>
            <w:r>
              <w:rPr>
                <w:rFonts w:hint="eastAsia" w:ascii="Times New Roman" w:hAnsi="Times New Roman" w:eastAsia="宋体" w:cs="Times New Roman"/>
                <w:color w:val="auto"/>
                <w:kern w:val="0"/>
                <w:sz w:val="21"/>
                <w:szCs w:val="21"/>
                <w:highlight w:val="none"/>
                <w:lang w:val="zh-CN" w:eastAsia="zh-CN"/>
              </w:rPr>
              <w:t>本项目Q值计算一览表见表</w:t>
            </w:r>
            <w:r>
              <w:rPr>
                <w:rFonts w:hint="eastAsia" w:cs="Times New Roman"/>
                <w:color w:val="auto"/>
                <w:kern w:val="0"/>
                <w:sz w:val="21"/>
                <w:szCs w:val="21"/>
                <w:highlight w:val="none"/>
                <w:lang w:val="en-US" w:eastAsia="zh-CN"/>
              </w:rPr>
              <w:t>38</w:t>
            </w:r>
            <w:r>
              <w:rPr>
                <w:rFonts w:hint="eastAsia" w:ascii="Times New Roman" w:hAnsi="Times New Roman" w:eastAsia="宋体" w:cs="Times New Roman"/>
                <w:color w:val="auto"/>
                <w:kern w:val="0"/>
                <w:sz w:val="21"/>
                <w:szCs w:val="21"/>
                <w:highlight w:val="none"/>
                <w:lang w:val="zh-CN" w:eastAsia="zh-CN"/>
              </w:rPr>
              <w:t>。</w:t>
            </w:r>
          </w:p>
          <w:p w14:paraId="019631E5">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Times New Roman" w:hAnsi="Times New Roman" w:eastAsia="宋体" w:cs="Times New Roman"/>
                <w:b/>
                <w:color w:val="auto"/>
                <w:sz w:val="21"/>
                <w:szCs w:val="21"/>
                <w:highlight w:val="none"/>
                <w:lang w:val="zh-CN" w:eastAsia="zh-CN"/>
              </w:rPr>
            </w:pPr>
            <w:r>
              <w:rPr>
                <w:rFonts w:hint="eastAsia" w:ascii="Times New Roman" w:hAnsi="Times New Roman" w:eastAsia="宋体" w:cs="Times New Roman"/>
                <w:b/>
                <w:color w:val="auto"/>
                <w:sz w:val="21"/>
                <w:szCs w:val="21"/>
                <w:highlight w:val="none"/>
                <w:lang w:val="zh-CN" w:eastAsia="zh-CN"/>
              </w:rPr>
              <w:t>表</w:t>
            </w:r>
            <w:r>
              <w:rPr>
                <w:rFonts w:hint="eastAsia" w:ascii="Times New Roman" w:hAnsi="Times New Roman" w:eastAsia="宋体" w:cs="Times New Roman"/>
                <w:b/>
                <w:color w:val="auto"/>
                <w:sz w:val="21"/>
                <w:szCs w:val="21"/>
                <w:highlight w:val="none"/>
                <w:lang w:val="en-US" w:eastAsia="zh-CN"/>
              </w:rPr>
              <w:t>3</w:t>
            </w:r>
            <w:r>
              <w:rPr>
                <w:rFonts w:hint="eastAsia" w:cs="Times New Roman"/>
                <w:b/>
                <w:color w:val="auto"/>
                <w:sz w:val="21"/>
                <w:szCs w:val="21"/>
                <w:highlight w:val="none"/>
                <w:lang w:val="en-US" w:eastAsia="zh-CN"/>
              </w:rPr>
              <w:t xml:space="preserve">8 </w:t>
            </w:r>
            <w:r>
              <w:rPr>
                <w:rFonts w:hint="eastAsia" w:ascii="Times New Roman" w:hAnsi="Times New Roman" w:eastAsia="宋体" w:cs="Times New Roman"/>
                <w:b/>
                <w:color w:val="auto"/>
                <w:sz w:val="21"/>
                <w:szCs w:val="21"/>
                <w:highlight w:val="none"/>
                <w:lang w:val="zh-CN" w:eastAsia="zh-CN"/>
              </w:rPr>
              <w:t xml:space="preserve"> Q值计算一览表</w:t>
            </w:r>
          </w:p>
          <w:tbl>
            <w:tblPr>
              <w:tblStyle w:val="45"/>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2251"/>
              <w:gridCol w:w="2650"/>
              <w:gridCol w:w="1936"/>
            </w:tblGrid>
            <w:tr w14:paraId="7B932FB9">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275" w:type="pct"/>
                  <w:tcBorders>
                    <w:tl2br w:val="nil"/>
                    <w:tr2bl w:val="nil"/>
                  </w:tcBorders>
                  <w:noWrap w:val="0"/>
                  <w:vAlign w:val="center"/>
                </w:tcPr>
                <w:p w14:paraId="691CFE53">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rPr>
                    <w:t>危险物质名称</w:t>
                  </w:r>
                </w:p>
              </w:tc>
              <w:tc>
                <w:tcPr>
                  <w:tcW w:w="1226" w:type="pct"/>
                  <w:tcBorders>
                    <w:tl2br w:val="nil"/>
                    <w:tr2bl w:val="nil"/>
                  </w:tcBorders>
                  <w:noWrap w:val="0"/>
                  <w:vAlign w:val="center"/>
                </w:tcPr>
                <w:p w14:paraId="1D8B1E65">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rPr>
                    <w:t>临界量（t）</w:t>
                  </w:r>
                </w:p>
              </w:tc>
              <w:tc>
                <w:tcPr>
                  <w:tcW w:w="1443" w:type="pct"/>
                  <w:tcBorders>
                    <w:tl2br w:val="nil"/>
                    <w:tr2bl w:val="nil"/>
                  </w:tcBorders>
                  <w:noWrap w:val="0"/>
                  <w:vAlign w:val="center"/>
                </w:tcPr>
                <w:p w14:paraId="7F45311E">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rPr>
                    <w:t>项目</w:t>
                  </w:r>
                  <w:r>
                    <w:rPr>
                      <w:rFonts w:hint="eastAsia" w:ascii="Times New Roman" w:hAnsi="Times New Roman" w:eastAsia="宋体" w:cs="Times New Roman"/>
                      <w:color w:val="auto"/>
                      <w:kern w:val="2"/>
                      <w:sz w:val="21"/>
                      <w:szCs w:val="21"/>
                      <w:highlight w:val="none"/>
                      <w:lang w:val="en-US" w:eastAsia="zh-CN"/>
                    </w:rPr>
                    <w:t>最大</w:t>
                  </w:r>
                  <w:r>
                    <w:rPr>
                      <w:rFonts w:hint="default" w:ascii="Times New Roman" w:hAnsi="Times New Roman" w:eastAsia="宋体" w:cs="Times New Roman"/>
                      <w:color w:val="auto"/>
                      <w:kern w:val="2"/>
                      <w:sz w:val="21"/>
                      <w:szCs w:val="21"/>
                      <w:highlight w:val="none"/>
                    </w:rPr>
                    <w:t>存在量</w:t>
                  </w:r>
                </w:p>
              </w:tc>
              <w:tc>
                <w:tcPr>
                  <w:tcW w:w="1054" w:type="pct"/>
                  <w:tcBorders>
                    <w:tl2br w:val="nil"/>
                    <w:tr2bl w:val="nil"/>
                  </w:tcBorders>
                  <w:noWrap w:val="0"/>
                  <w:vAlign w:val="center"/>
                </w:tcPr>
                <w:p w14:paraId="32E67E57">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rPr>
                    <w:t>Q</w:t>
                  </w:r>
                </w:p>
              </w:tc>
            </w:tr>
            <w:tr w14:paraId="21203935">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pct"/>
                  <w:tcBorders>
                    <w:tl2br w:val="nil"/>
                    <w:tr2bl w:val="nil"/>
                  </w:tcBorders>
                  <w:noWrap w:val="0"/>
                  <w:vAlign w:val="center"/>
                </w:tcPr>
                <w:p w14:paraId="41068190">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硝酸</w:t>
                  </w:r>
                </w:p>
              </w:tc>
              <w:tc>
                <w:tcPr>
                  <w:tcW w:w="1226" w:type="pct"/>
                  <w:tcBorders>
                    <w:tl2br w:val="nil"/>
                    <w:tr2bl w:val="nil"/>
                  </w:tcBorders>
                  <w:noWrap w:val="0"/>
                  <w:vAlign w:val="center"/>
                </w:tcPr>
                <w:p w14:paraId="01538870">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cs="Times New Roman"/>
                      <w:color w:val="auto"/>
                      <w:kern w:val="2"/>
                      <w:sz w:val="21"/>
                      <w:szCs w:val="21"/>
                      <w:highlight w:val="none"/>
                      <w:lang w:val="en-US" w:eastAsia="zh-CN"/>
                    </w:rPr>
                    <w:t>7.5</w:t>
                  </w:r>
                </w:p>
              </w:tc>
              <w:tc>
                <w:tcPr>
                  <w:tcW w:w="2629" w:type="dxa"/>
                  <w:tcBorders>
                    <w:tl2br w:val="nil"/>
                    <w:tr2bl w:val="nil"/>
                  </w:tcBorders>
                  <w:noWrap w:val="0"/>
                  <w:vAlign w:val="center"/>
                </w:tcPr>
                <w:p w14:paraId="57EA9200">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rPr>
                    <w:t>0.00075</w:t>
                  </w:r>
                </w:p>
              </w:tc>
              <w:tc>
                <w:tcPr>
                  <w:tcW w:w="1921" w:type="dxa"/>
                  <w:tcBorders>
                    <w:tl2br w:val="nil"/>
                    <w:tr2bl w:val="nil"/>
                  </w:tcBorders>
                  <w:noWrap w:val="0"/>
                  <w:vAlign w:val="center"/>
                </w:tcPr>
                <w:p w14:paraId="7B0E3DE7">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rPr>
                    <w:t>0.0001</w:t>
                  </w:r>
                </w:p>
              </w:tc>
            </w:tr>
            <w:tr w14:paraId="499E6190">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pct"/>
                  <w:tcBorders>
                    <w:tl2br w:val="nil"/>
                    <w:tr2bl w:val="nil"/>
                  </w:tcBorders>
                  <w:noWrap w:val="0"/>
                  <w:vAlign w:val="center"/>
                </w:tcPr>
                <w:p w14:paraId="6E54B4FF">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盐酸</w:t>
                  </w:r>
                </w:p>
              </w:tc>
              <w:tc>
                <w:tcPr>
                  <w:tcW w:w="1226" w:type="pct"/>
                  <w:tcBorders>
                    <w:tl2br w:val="nil"/>
                    <w:tr2bl w:val="nil"/>
                  </w:tcBorders>
                  <w:noWrap w:val="0"/>
                  <w:vAlign w:val="center"/>
                </w:tcPr>
                <w:p w14:paraId="0B71981E">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cs="Times New Roman"/>
                      <w:color w:val="auto"/>
                      <w:kern w:val="2"/>
                      <w:sz w:val="21"/>
                      <w:szCs w:val="21"/>
                      <w:highlight w:val="none"/>
                      <w:lang w:val="en-US" w:eastAsia="zh-CN"/>
                    </w:rPr>
                    <w:t>7.5</w:t>
                  </w:r>
                </w:p>
              </w:tc>
              <w:tc>
                <w:tcPr>
                  <w:tcW w:w="2629" w:type="dxa"/>
                  <w:tcBorders>
                    <w:tl2br w:val="nil"/>
                    <w:tr2bl w:val="nil"/>
                  </w:tcBorders>
                  <w:noWrap w:val="0"/>
                  <w:vAlign w:val="center"/>
                </w:tcPr>
                <w:p w14:paraId="2DD84433">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rPr>
                    <w:t>0.00059</w:t>
                  </w:r>
                </w:p>
              </w:tc>
              <w:tc>
                <w:tcPr>
                  <w:tcW w:w="1921" w:type="dxa"/>
                  <w:tcBorders>
                    <w:tl2br w:val="nil"/>
                    <w:tr2bl w:val="nil"/>
                  </w:tcBorders>
                  <w:noWrap w:val="0"/>
                  <w:vAlign w:val="center"/>
                </w:tcPr>
                <w:p w14:paraId="2002CB82">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rPr>
                    <w:t>0.0000</w:t>
                  </w:r>
                  <w:r>
                    <w:rPr>
                      <w:rFonts w:hint="default" w:ascii="Times New Roman" w:hAnsi="Times New Roman" w:eastAsia="宋体" w:cs="Times New Roman"/>
                      <w:color w:val="auto"/>
                      <w:kern w:val="2"/>
                      <w:sz w:val="21"/>
                      <w:szCs w:val="21"/>
                      <w:highlight w:val="none"/>
                      <w:lang w:val="en-US" w:eastAsia="zh-CN"/>
                    </w:rPr>
                    <w:t>7</w:t>
                  </w:r>
                  <w:r>
                    <w:rPr>
                      <w:rFonts w:hint="eastAsia" w:ascii="Times New Roman" w:hAnsi="Times New Roman" w:eastAsia="宋体" w:cs="Times New Roman"/>
                      <w:color w:val="auto"/>
                      <w:kern w:val="2"/>
                      <w:sz w:val="21"/>
                      <w:szCs w:val="21"/>
                      <w:highlight w:val="none"/>
                      <w:lang w:val="en-US" w:eastAsia="zh-CN"/>
                    </w:rPr>
                    <w:t>9</w:t>
                  </w:r>
                </w:p>
              </w:tc>
            </w:tr>
            <w:tr w14:paraId="3A848402">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pct"/>
                  <w:tcBorders>
                    <w:tl2br w:val="nil"/>
                    <w:tr2bl w:val="nil"/>
                  </w:tcBorders>
                  <w:noWrap w:val="0"/>
                  <w:vAlign w:val="center"/>
                </w:tcPr>
                <w:p w14:paraId="71F630BC">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硫酸</w:t>
                  </w:r>
                </w:p>
              </w:tc>
              <w:tc>
                <w:tcPr>
                  <w:tcW w:w="1226" w:type="pct"/>
                  <w:tcBorders>
                    <w:tl2br w:val="nil"/>
                    <w:tr2bl w:val="nil"/>
                  </w:tcBorders>
                  <w:noWrap w:val="0"/>
                  <w:vAlign w:val="center"/>
                </w:tcPr>
                <w:p w14:paraId="289C5E7D">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rPr>
                    <w:t>10</w:t>
                  </w:r>
                </w:p>
              </w:tc>
              <w:tc>
                <w:tcPr>
                  <w:tcW w:w="2629" w:type="dxa"/>
                  <w:tcBorders>
                    <w:tl2br w:val="nil"/>
                    <w:tr2bl w:val="nil"/>
                  </w:tcBorders>
                  <w:noWrap w:val="0"/>
                  <w:vAlign w:val="center"/>
                </w:tcPr>
                <w:p w14:paraId="64C8E109">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rPr>
                    <w:t>0.00092</w:t>
                  </w:r>
                </w:p>
              </w:tc>
              <w:tc>
                <w:tcPr>
                  <w:tcW w:w="1921" w:type="dxa"/>
                  <w:tcBorders>
                    <w:tl2br w:val="nil"/>
                    <w:tr2bl w:val="nil"/>
                  </w:tcBorders>
                  <w:noWrap w:val="0"/>
                  <w:vAlign w:val="center"/>
                </w:tcPr>
                <w:p w14:paraId="6F755347">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rPr>
                    <w:t>0.000092</w:t>
                  </w:r>
                </w:p>
              </w:tc>
            </w:tr>
            <w:tr w14:paraId="3B81F6A8">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pct"/>
                  <w:tcBorders>
                    <w:tl2br w:val="nil"/>
                    <w:tr2bl w:val="nil"/>
                  </w:tcBorders>
                  <w:noWrap w:val="0"/>
                  <w:vAlign w:val="center"/>
                </w:tcPr>
                <w:p w14:paraId="7B10AF9F">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cs="Times New Roman"/>
                      <w:color w:val="auto"/>
                      <w:kern w:val="2"/>
                      <w:sz w:val="21"/>
                      <w:szCs w:val="21"/>
                      <w:highlight w:val="none"/>
                      <w:lang w:val="en-US" w:eastAsia="zh-CN"/>
                    </w:rPr>
                    <w:t>磷酸</w:t>
                  </w:r>
                </w:p>
              </w:tc>
              <w:tc>
                <w:tcPr>
                  <w:tcW w:w="1226" w:type="pct"/>
                  <w:tcBorders>
                    <w:tl2br w:val="nil"/>
                    <w:tr2bl w:val="nil"/>
                  </w:tcBorders>
                  <w:noWrap w:val="0"/>
                  <w:vAlign w:val="center"/>
                </w:tcPr>
                <w:p w14:paraId="27A34735">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cs="Times New Roman"/>
                      <w:color w:val="auto"/>
                      <w:kern w:val="2"/>
                      <w:sz w:val="21"/>
                      <w:szCs w:val="21"/>
                      <w:highlight w:val="none"/>
                      <w:lang w:val="en-US" w:eastAsia="zh-CN"/>
                    </w:rPr>
                    <w:t>10</w:t>
                  </w:r>
                </w:p>
              </w:tc>
              <w:tc>
                <w:tcPr>
                  <w:tcW w:w="2629" w:type="dxa"/>
                  <w:tcBorders>
                    <w:tl2br w:val="nil"/>
                    <w:tr2bl w:val="nil"/>
                  </w:tcBorders>
                  <w:noWrap w:val="0"/>
                  <w:vAlign w:val="center"/>
                </w:tcPr>
                <w:p w14:paraId="4A56E9CD">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rPr>
                    <w:t>0.00094</w:t>
                  </w:r>
                </w:p>
              </w:tc>
              <w:tc>
                <w:tcPr>
                  <w:tcW w:w="1921" w:type="dxa"/>
                  <w:tcBorders>
                    <w:tl2br w:val="nil"/>
                    <w:tr2bl w:val="nil"/>
                  </w:tcBorders>
                  <w:noWrap w:val="0"/>
                  <w:vAlign w:val="center"/>
                </w:tcPr>
                <w:p w14:paraId="19420AA3">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rPr>
                    <w:t>0.000094</w:t>
                  </w:r>
                </w:p>
              </w:tc>
            </w:tr>
            <w:tr w14:paraId="630260E9">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pct"/>
                  <w:tcBorders>
                    <w:tl2br w:val="nil"/>
                    <w:tr2bl w:val="nil"/>
                  </w:tcBorders>
                  <w:noWrap w:val="0"/>
                  <w:vAlign w:val="center"/>
                </w:tcPr>
                <w:p w14:paraId="4647C87C">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cs="Times New Roman"/>
                      <w:color w:val="auto"/>
                      <w:kern w:val="2"/>
                      <w:sz w:val="21"/>
                      <w:szCs w:val="21"/>
                      <w:highlight w:val="none"/>
                      <w:lang w:val="en-US" w:eastAsia="zh-CN"/>
                    </w:rPr>
                    <w:t>氨水</w:t>
                  </w:r>
                </w:p>
              </w:tc>
              <w:tc>
                <w:tcPr>
                  <w:tcW w:w="1226" w:type="pct"/>
                  <w:tcBorders>
                    <w:tl2br w:val="nil"/>
                    <w:tr2bl w:val="nil"/>
                  </w:tcBorders>
                  <w:noWrap w:val="0"/>
                  <w:vAlign w:val="center"/>
                </w:tcPr>
                <w:p w14:paraId="5D431EB3">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cs="Times New Roman"/>
                      <w:color w:val="auto"/>
                      <w:kern w:val="2"/>
                      <w:sz w:val="21"/>
                      <w:szCs w:val="21"/>
                      <w:highlight w:val="none"/>
                      <w:lang w:val="en-US" w:eastAsia="zh-CN"/>
                    </w:rPr>
                    <w:t>10</w:t>
                  </w:r>
                </w:p>
              </w:tc>
              <w:tc>
                <w:tcPr>
                  <w:tcW w:w="2629" w:type="dxa"/>
                  <w:tcBorders>
                    <w:tl2br w:val="nil"/>
                    <w:tr2bl w:val="nil"/>
                  </w:tcBorders>
                  <w:noWrap w:val="0"/>
                  <w:vAlign w:val="center"/>
                </w:tcPr>
                <w:p w14:paraId="6CF3CB28">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rPr>
                    <w:t>0.00046</w:t>
                  </w:r>
                </w:p>
              </w:tc>
              <w:tc>
                <w:tcPr>
                  <w:tcW w:w="1921" w:type="dxa"/>
                  <w:tcBorders>
                    <w:tl2br w:val="nil"/>
                    <w:tr2bl w:val="nil"/>
                  </w:tcBorders>
                  <w:noWrap w:val="0"/>
                  <w:vAlign w:val="center"/>
                </w:tcPr>
                <w:p w14:paraId="20B61086">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rPr>
                    <w:t>0.000046</w:t>
                  </w:r>
                </w:p>
              </w:tc>
            </w:tr>
            <w:tr w14:paraId="0A34977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5" w:type="pct"/>
                  <w:tcBorders>
                    <w:tl2br w:val="nil"/>
                    <w:tr2bl w:val="nil"/>
                  </w:tcBorders>
                  <w:noWrap w:val="0"/>
                  <w:vAlign w:val="center"/>
                </w:tcPr>
                <w:p w14:paraId="5A465474">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rPr>
                    <w:t>合计</w:t>
                  </w:r>
                </w:p>
              </w:tc>
              <w:tc>
                <w:tcPr>
                  <w:tcW w:w="1226" w:type="pct"/>
                  <w:tcBorders>
                    <w:tl2br w:val="nil"/>
                    <w:tr2bl w:val="nil"/>
                  </w:tcBorders>
                  <w:noWrap w:val="0"/>
                  <w:vAlign w:val="center"/>
                </w:tcPr>
                <w:p w14:paraId="17B59F37">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rPr>
                    <w:t>/</w:t>
                  </w:r>
                </w:p>
              </w:tc>
              <w:tc>
                <w:tcPr>
                  <w:tcW w:w="2629" w:type="dxa"/>
                  <w:tcBorders>
                    <w:tl2br w:val="nil"/>
                    <w:tr2bl w:val="nil"/>
                  </w:tcBorders>
                  <w:noWrap w:val="0"/>
                  <w:vAlign w:val="center"/>
                </w:tcPr>
                <w:p w14:paraId="745E4AD2">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rPr>
                    <w:t>/</w:t>
                  </w:r>
                </w:p>
              </w:tc>
              <w:tc>
                <w:tcPr>
                  <w:tcW w:w="1921" w:type="dxa"/>
                  <w:tcBorders>
                    <w:tl2br w:val="nil"/>
                    <w:tr2bl w:val="nil"/>
                  </w:tcBorders>
                  <w:noWrap w:val="0"/>
                  <w:vAlign w:val="center"/>
                </w:tcPr>
                <w:p w14:paraId="2FE49931">
                  <w:pPr>
                    <w:keepNext w:val="0"/>
                    <w:keepLines w:val="0"/>
                    <w:pageBreakBefore w:val="0"/>
                    <w:widowControl w:val="0"/>
                    <w:tabs>
                      <w:tab w:val="left" w:pos="2745"/>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rPr>
                    <w:t>0.000411</w:t>
                  </w:r>
                </w:p>
              </w:tc>
            </w:tr>
          </w:tbl>
          <w:p w14:paraId="1FB7CE91">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zh-CN" w:eastAsia="zh-CN"/>
              </w:rPr>
            </w:pPr>
            <w:r>
              <w:rPr>
                <w:rFonts w:hint="eastAsia" w:cs="Times New Roman"/>
                <w:color w:val="auto"/>
                <w:kern w:val="0"/>
                <w:sz w:val="21"/>
                <w:szCs w:val="21"/>
                <w:highlight w:val="none"/>
                <w:lang w:val="en-US" w:eastAsia="zh-CN"/>
              </w:rPr>
              <w:t>经计算，项目</w:t>
            </w:r>
            <w:r>
              <w:rPr>
                <w:rFonts w:hint="eastAsia" w:ascii="Times New Roman" w:hAnsi="Times New Roman" w:eastAsia="宋体" w:cs="Times New Roman"/>
                <w:color w:val="auto"/>
                <w:kern w:val="0"/>
                <w:sz w:val="21"/>
                <w:szCs w:val="21"/>
                <w:highlight w:val="none"/>
                <w:lang w:val="zh-CN" w:eastAsia="zh-CN"/>
              </w:rPr>
              <w:t>危险物质与临界值的比值Q&lt;1，项目环境风险潜势划分为I级。</w:t>
            </w:r>
          </w:p>
          <w:p w14:paraId="2DAF80BC">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zh-CN" w:eastAsia="zh-CN"/>
              </w:rPr>
            </w:pPr>
            <w:r>
              <w:rPr>
                <w:rFonts w:hint="eastAsia" w:ascii="Times New Roman" w:hAnsi="Times New Roman" w:eastAsia="宋体" w:cs="Times New Roman"/>
                <w:color w:val="auto"/>
                <w:kern w:val="0"/>
                <w:sz w:val="21"/>
                <w:szCs w:val="21"/>
                <w:highlight w:val="none"/>
                <w:lang w:val="en-US" w:eastAsia="zh-CN"/>
              </w:rPr>
              <w:t>2、</w:t>
            </w:r>
            <w:r>
              <w:rPr>
                <w:rFonts w:hint="eastAsia" w:ascii="Times New Roman" w:hAnsi="Times New Roman" w:eastAsia="宋体" w:cs="Times New Roman"/>
                <w:color w:val="auto"/>
                <w:kern w:val="0"/>
                <w:sz w:val="21"/>
                <w:szCs w:val="21"/>
                <w:highlight w:val="none"/>
                <w:lang w:val="zh-CN" w:eastAsia="zh-CN"/>
              </w:rPr>
              <w:t>影响途径</w:t>
            </w:r>
          </w:p>
          <w:p w14:paraId="32ECF985">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zh-CN" w:eastAsia="zh-CN"/>
              </w:rPr>
            </w:pPr>
            <w:r>
              <w:rPr>
                <w:rFonts w:hint="eastAsia" w:ascii="Times New Roman" w:hAnsi="Times New Roman" w:eastAsia="宋体" w:cs="Times New Roman"/>
                <w:color w:val="auto"/>
                <w:kern w:val="0"/>
                <w:sz w:val="21"/>
                <w:szCs w:val="21"/>
                <w:highlight w:val="none"/>
                <w:lang w:val="zh-CN" w:eastAsia="zh-CN"/>
              </w:rPr>
              <w:t>本项目涉及的危险化学品主要为腐蚀物品。这些化学品在储存和使用过程中可能导致液体逸散、洒落、倾倒，如果储存或实验过程中操作不当，可能会引土壤、地下水等风险事故；试剂药品遇到明火，可导致火灾发生造成次生环境灾害。</w:t>
            </w:r>
          </w:p>
          <w:p w14:paraId="2C51AF5F">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3、风险识别</w:t>
            </w:r>
          </w:p>
          <w:p w14:paraId="5FDB00EB">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zh-CN" w:eastAsia="zh-CN"/>
              </w:rPr>
            </w:pPr>
            <w:r>
              <w:rPr>
                <w:rFonts w:hint="eastAsia" w:ascii="Times New Roman" w:hAnsi="Times New Roman" w:eastAsia="宋体" w:cs="Times New Roman"/>
                <w:color w:val="auto"/>
                <w:kern w:val="0"/>
                <w:sz w:val="21"/>
                <w:szCs w:val="21"/>
                <w:highlight w:val="none"/>
                <w:lang w:val="en-US" w:eastAsia="zh-CN"/>
              </w:rPr>
              <w:t>（1）物质危险性识别</w:t>
            </w:r>
          </w:p>
          <w:p w14:paraId="04363AF0">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zh-CN" w:eastAsia="zh-CN"/>
              </w:rPr>
            </w:pPr>
            <w:r>
              <w:rPr>
                <w:rFonts w:hint="eastAsia" w:ascii="Times New Roman" w:hAnsi="Times New Roman" w:eastAsia="宋体" w:cs="Times New Roman"/>
                <w:color w:val="auto"/>
                <w:kern w:val="0"/>
                <w:sz w:val="21"/>
                <w:szCs w:val="21"/>
                <w:highlight w:val="none"/>
                <w:lang w:val="en-US" w:eastAsia="zh-CN"/>
              </w:rPr>
              <w:t>项目运营过程中涉及的物质主要为</w:t>
            </w:r>
            <w:r>
              <w:rPr>
                <w:rFonts w:hint="eastAsia" w:ascii="Times New Roman" w:hAnsi="Times New Roman" w:eastAsia="宋体" w:cs="Times New Roman"/>
                <w:color w:val="auto"/>
                <w:kern w:val="0"/>
                <w:sz w:val="21"/>
                <w:szCs w:val="21"/>
                <w:highlight w:val="none"/>
                <w:lang w:val="zh-CN" w:eastAsia="zh-CN"/>
              </w:rPr>
              <w:t>硫酸、盐酸、</w:t>
            </w:r>
            <w:r>
              <w:rPr>
                <w:rFonts w:hint="eastAsia" w:ascii="Times New Roman" w:hAnsi="Times New Roman" w:eastAsia="宋体" w:cs="Times New Roman"/>
                <w:color w:val="auto"/>
                <w:kern w:val="0"/>
                <w:sz w:val="21"/>
                <w:szCs w:val="21"/>
                <w:highlight w:val="none"/>
                <w:lang w:val="en-US" w:eastAsia="zh-CN"/>
              </w:rPr>
              <w:t>硝酸</w:t>
            </w:r>
            <w:r>
              <w:rPr>
                <w:rFonts w:hint="eastAsia" w:cs="Times New Roman"/>
                <w:color w:val="auto"/>
                <w:kern w:val="0"/>
                <w:sz w:val="21"/>
                <w:szCs w:val="21"/>
                <w:highlight w:val="none"/>
                <w:lang w:val="en-US" w:eastAsia="zh-CN"/>
              </w:rPr>
              <w:t>、磷酸、氨水</w:t>
            </w:r>
            <w:r>
              <w:rPr>
                <w:rFonts w:hint="eastAsia" w:ascii="Times New Roman" w:hAnsi="Times New Roman" w:eastAsia="宋体" w:cs="Times New Roman"/>
                <w:color w:val="auto"/>
                <w:kern w:val="0"/>
                <w:sz w:val="21"/>
                <w:szCs w:val="21"/>
                <w:highlight w:val="none"/>
                <w:lang w:val="en-US" w:eastAsia="zh-CN"/>
              </w:rPr>
              <w:t>，</w:t>
            </w:r>
            <w:r>
              <w:rPr>
                <w:rFonts w:hint="eastAsia" w:ascii="Times New Roman" w:hAnsi="Times New Roman" w:eastAsia="宋体" w:cs="Times New Roman"/>
                <w:color w:val="auto"/>
                <w:kern w:val="0"/>
                <w:sz w:val="21"/>
                <w:szCs w:val="21"/>
                <w:highlight w:val="none"/>
                <w:lang w:val="zh-CN" w:eastAsia="zh-CN"/>
              </w:rPr>
              <w:t>硫酸、盐酸、</w:t>
            </w:r>
            <w:r>
              <w:rPr>
                <w:rFonts w:hint="eastAsia" w:ascii="Times New Roman" w:hAnsi="Times New Roman" w:eastAsia="宋体" w:cs="Times New Roman"/>
                <w:color w:val="auto"/>
                <w:kern w:val="0"/>
                <w:sz w:val="21"/>
                <w:szCs w:val="21"/>
                <w:highlight w:val="none"/>
                <w:lang w:val="en-US" w:eastAsia="zh-CN"/>
              </w:rPr>
              <w:t>硝酸</w:t>
            </w:r>
            <w:r>
              <w:rPr>
                <w:rFonts w:hint="eastAsia" w:cs="Times New Roman"/>
                <w:color w:val="auto"/>
                <w:kern w:val="0"/>
                <w:sz w:val="21"/>
                <w:szCs w:val="21"/>
                <w:highlight w:val="none"/>
                <w:lang w:val="en-US" w:eastAsia="zh-CN"/>
              </w:rPr>
              <w:t>、磷酸、氨水均</w:t>
            </w:r>
            <w:r>
              <w:rPr>
                <w:rFonts w:hint="eastAsia" w:ascii="Times New Roman" w:hAnsi="Times New Roman" w:eastAsia="宋体" w:cs="Times New Roman"/>
                <w:color w:val="auto"/>
                <w:kern w:val="0"/>
                <w:sz w:val="21"/>
                <w:szCs w:val="21"/>
                <w:highlight w:val="none"/>
                <w:lang w:val="en-US" w:eastAsia="zh-CN"/>
              </w:rPr>
              <w:t>具有腐蚀性和低毒性，项目</w:t>
            </w:r>
            <w:r>
              <w:rPr>
                <w:rFonts w:hint="eastAsia" w:cs="Times New Roman"/>
                <w:color w:val="auto"/>
                <w:kern w:val="0"/>
                <w:sz w:val="21"/>
                <w:szCs w:val="21"/>
                <w:highlight w:val="none"/>
                <w:lang w:val="en-US" w:eastAsia="zh-CN"/>
              </w:rPr>
              <w:t>实验试剂</w:t>
            </w:r>
            <w:r>
              <w:rPr>
                <w:rFonts w:hint="eastAsia" w:ascii="Times New Roman" w:hAnsi="Times New Roman" w:eastAsia="宋体" w:cs="Times New Roman"/>
                <w:color w:val="auto"/>
                <w:kern w:val="0"/>
                <w:sz w:val="21"/>
                <w:szCs w:val="21"/>
                <w:highlight w:val="none"/>
                <w:lang w:val="en-US" w:eastAsia="zh-CN"/>
              </w:rPr>
              <w:t>使用量较少，</w:t>
            </w:r>
            <w:r>
              <w:rPr>
                <w:rFonts w:hint="eastAsia" w:cs="Times New Roman"/>
                <w:color w:val="auto"/>
                <w:kern w:val="0"/>
                <w:sz w:val="21"/>
                <w:szCs w:val="21"/>
                <w:highlight w:val="none"/>
                <w:lang w:val="en-US" w:eastAsia="zh-CN"/>
              </w:rPr>
              <w:t>且放置于试剂柜中，</w:t>
            </w:r>
            <w:r>
              <w:rPr>
                <w:rFonts w:hint="eastAsia" w:ascii="Times New Roman" w:hAnsi="Times New Roman" w:eastAsia="宋体" w:cs="Times New Roman"/>
                <w:color w:val="auto"/>
                <w:kern w:val="0"/>
                <w:sz w:val="21"/>
                <w:szCs w:val="21"/>
                <w:highlight w:val="none"/>
                <w:lang w:val="en-US" w:eastAsia="zh-CN"/>
              </w:rPr>
              <w:t>不构成危险源。</w:t>
            </w:r>
          </w:p>
          <w:p w14:paraId="46C1C26D">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zh-CN" w:eastAsia="zh-CN"/>
              </w:rPr>
            </w:pPr>
            <w:r>
              <w:rPr>
                <w:rFonts w:hint="eastAsia" w:ascii="Times New Roman" w:hAnsi="Times New Roman" w:eastAsia="宋体" w:cs="Times New Roman"/>
                <w:color w:val="auto"/>
                <w:kern w:val="0"/>
                <w:sz w:val="21"/>
                <w:szCs w:val="21"/>
                <w:highlight w:val="none"/>
                <w:lang w:val="en-US" w:eastAsia="zh-CN"/>
              </w:rPr>
              <w:t>（2）生产系统危险性识别</w:t>
            </w:r>
          </w:p>
          <w:p w14:paraId="34F5AF17">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zh-CN" w:eastAsia="zh-CN"/>
              </w:rPr>
            </w:pPr>
            <w:r>
              <w:rPr>
                <w:rFonts w:hint="eastAsia" w:ascii="Times New Roman" w:hAnsi="Times New Roman" w:eastAsia="宋体" w:cs="Times New Roman"/>
                <w:color w:val="auto"/>
                <w:kern w:val="0"/>
                <w:sz w:val="21"/>
                <w:szCs w:val="21"/>
                <w:highlight w:val="none"/>
                <w:lang w:val="en-US" w:eastAsia="zh-CN"/>
              </w:rPr>
              <w:t>根据《建设项目环境风险评价技术导则》（</w:t>
            </w:r>
            <w:r>
              <w:rPr>
                <w:rFonts w:hint="default" w:ascii="Times New Roman" w:hAnsi="Times New Roman" w:eastAsia="宋体" w:cs="Times New Roman"/>
                <w:color w:val="auto"/>
                <w:kern w:val="0"/>
                <w:sz w:val="21"/>
                <w:szCs w:val="21"/>
                <w:highlight w:val="none"/>
                <w:lang w:val="en-US" w:eastAsia="zh-CN"/>
              </w:rPr>
              <w:t>HJ169-2018</w:t>
            </w:r>
            <w:r>
              <w:rPr>
                <w:rFonts w:hint="eastAsia" w:ascii="Times New Roman" w:hAnsi="Times New Roman" w:eastAsia="宋体" w:cs="Times New Roman"/>
                <w:color w:val="auto"/>
                <w:kern w:val="0"/>
                <w:sz w:val="21"/>
                <w:szCs w:val="21"/>
                <w:highlight w:val="none"/>
                <w:lang w:val="en-US" w:eastAsia="zh-CN"/>
              </w:rPr>
              <w:t>），按工艺流程和平面布置功能区划，结合物质危险性识别，按生产工艺流程分析危险单元内潜在的风险源</w:t>
            </w:r>
            <w:r>
              <w:rPr>
                <w:rFonts w:hint="eastAsia" w:cs="Times New Roman"/>
                <w:color w:val="auto"/>
                <w:kern w:val="0"/>
                <w:sz w:val="21"/>
                <w:szCs w:val="21"/>
                <w:highlight w:val="none"/>
                <w:lang w:val="en-US" w:eastAsia="zh-CN"/>
              </w:rPr>
              <w:t>，</w:t>
            </w:r>
            <w:r>
              <w:rPr>
                <w:rFonts w:hint="eastAsia" w:ascii="Times New Roman" w:hAnsi="Times New Roman" w:eastAsia="宋体" w:cs="Times New Roman"/>
                <w:color w:val="auto"/>
                <w:kern w:val="0"/>
                <w:sz w:val="21"/>
                <w:szCs w:val="21"/>
                <w:highlight w:val="none"/>
                <w:lang w:val="en-US" w:eastAsia="zh-CN"/>
              </w:rPr>
              <w:t>项目生产系统不存在风险源。</w:t>
            </w:r>
          </w:p>
          <w:p w14:paraId="5FBC4707">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zh-CN" w:eastAsia="zh-CN"/>
              </w:rPr>
            </w:pPr>
            <w:r>
              <w:rPr>
                <w:rFonts w:hint="eastAsia" w:ascii="Times New Roman" w:hAnsi="Times New Roman" w:eastAsia="宋体" w:cs="Times New Roman"/>
                <w:color w:val="auto"/>
                <w:kern w:val="0"/>
                <w:sz w:val="21"/>
                <w:szCs w:val="21"/>
                <w:highlight w:val="none"/>
                <w:lang w:val="en-US" w:eastAsia="zh-CN"/>
              </w:rPr>
              <w:t>4、</w:t>
            </w:r>
            <w:r>
              <w:rPr>
                <w:rFonts w:hint="eastAsia" w:ascii="Times New Roman" w:hAnsi="Times New Roman" w:eastAsia="宋体" w:cs="Times New Roman"/>
                <w:color w:val="auto"/>
                <w:kern w:val="0"/>
                <w:sz w:val="21"/>
                <w:szCs w:val="21"/>
                <w:highlight w:val="none"/>
                <w:lang w:val="zh-CN" w:eastAsia="zh-CN"/>
              </w:rPr>
              <w:t>环境风险防范措施及应急要求</w:t>
            </w:r>
          </w:p>
          <w:p w14:paraId="290375C3">
            <w:pPr>
              <w:keepNext w:val="0"/>
              <w:keepLines w:val="0"/>
              <w:pageBreakBefore w:val="0"/>
              <w:widowControl w:val="0"/>
              <w:kinsoku/>
              <w:wordWrap/>
              <w:overflowPunct/>
              <w:topLinePunct w:val="0"/>
              <w:autoSpaceDE/>
              <w:autoSpaceDN/>
              <w:bidi w:val="0"/>
              <w:adjustRightInd/>
              <w:snapToGrid/>
              <w:spacing w:line="348" w:lineRule="auto"/>
              <w:ind w:firstLine="420" w:firstLineChars="200"/>
              <w:jc w:val="both"/>
              <w:textAlignment w:val="auto"/>
              <w:rPr>
                <w:rFonts w:hint="eastAsia" w:ascii="Times New Roman" w:hAnsi="Times New Roman" w:eastAsia="宋体" w:cs="Times New Roman"/>
                <w:color w:val="auto"/>
                <w:kern w:val="0"/>
                <w:sz w:val="21"/>
                <w:szCs w:val="21"/>
                <w:highlight w:val="none"/>
                <w:lang w:val="zh-CN" w:eastAsia="zh-CN"/>
              </w:rPr>
            </w:pPr>
            <w:r>
              <w:rPr>
                <w:rFonts w:hint="eastAsia" w:ascii="Times New Roman" w:hAnsi="Times New Roman" w:eastAsia="宋体" w:cs="Times New Roman"/>
                <w:color w:val="auto"/>
                <w:kern w:val="0"/>
                <w:sz w:val="21"/>
                <w:szCs w:val="21"/>
                <w:highlight w:val="none"/>
                <w:lang w:val="zh-CN" w:eastAsia="zh-CN"/>
              </w:rPr>
              <w:t>实验室管理与风险防范措施：</w:t>
            </w:r>
          </w:p>
          <w:p w14:paraId="3A04E887">
            <w:pPr>
              <w:keepNext w:val="0"/>
              <w:keepLines w:val="0"/>
              <w:pageBreakBefore w:val="0"/>
              <w:widowControl w:val="0"/>
              <w:kinsoku/>
              <w:wordWrap/>
              <w:overflowPunct/>
              <w:topLinePunct w:val="0"/>
              <w:autoSpaceDE/>
              <w:autoSpaceDN/>
              <w:bidi w:val="0"/>
              <w:adjustRightInd/>
              <w:snapToGrid/>
              <w:spacing w:line="348"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①实验室要建立一套领导监督负责、员工值日的安全检查制度。落实事故风险负责人，配备专职实验室安全员，每个实验室都要落实到人，检查排除事故风险隐患。</w:t>
            </w:r>
          </w:p>
          <w:p w14:paraId="1ADBD1E8">
            <w:pPr>
              <w:keepNext w:val="0"/>
              <w:keepLines w:val="0"/>
              <w:pageBreakBefore w:val="0"/>
              <w:widowControl w:val="0"/>
              <w:kinsoku/>
              <w:wordWrap/>
              <w:overflowPunct/>
              <w:topLinePunct w:val="0"/>
              <w:autoSpaceDE/>
              <w:autoSpaceDN/>
              <w:bidi w:val="0"/>
              <w:adjustRightInd/>
              <w:snapToGrid/>
              <w:spacing w:line="348"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②实验室安全运行组织管理标准化。主要是要制订以实验室安全运行为目标的实验室安全管理全过程的各项详细的、可操作的管理标准，并在管理中严格贯彻和执行。</w:t>
            </w:r>
          </w:p>
          <w:p w14:paraId="4E5603C6">
            <w:pPr>
              <w:keepNext w:val="0"/>
              <w:keepLines w:val="0"/>
              <w:pageBreakBefore w:val="0"/>
              <w:widowControl w:val="0"/>
              <w:kinsoku/>
              <w:wordWrap/>
              <w:overflowPunct/>
              <w:topLinePunct w:val="0"/>
              <w:autoSpaceDE/>
              <w:autoSpaceDN/>
              <w:bidi w:val="0"/>
              <w:adjustRightInd/>
              <w:snapToGrid/>
              <w:spacing w:line="348"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③实验室安全条件标准化。主要是保证实验室房屋及水、电、气等管线设施规范、完善，实验室设备及各种附件完好，实验室现场布置合理、通道畅通、整洁卫生，实验室安全标志齐全、醒目直观，实验室安全防护设施与报警装置齐全可靠，安全事故抢救设施齐全、性能良好，并要依此制订相应的各项标准，以作建设和检查的依据。</w:t>
            </w:r>
          </w:p>
          <w:p w14:paraId="1E5E991B">
            <w:pPr>
              <w:keepNext w:val="0"/>
              <w:keepLines w:val="0"/>
              <w:pageBreakBefore w:val="0"/>
              <w:widowControl w:val="0"/>
              <w:kinsoku/>
              <w:wordWrap/>
              <w:overflowPunct/>
              <w:topLinePunct w:val="0"/>
              <w:autoSpaceDE/>
              <w:autoSpaceDN/>
              <w:bidi w:val="0"/>
              <w:adjustRightInd/>
              <w:snapToGrid/>
              <w:spacing w:line="348"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④实验室安全操作标准化。主要针对各实验室的每个实验制订操作程序和动作标准，实现标准化操作。</w:t>
            </w:r>
          </w:p>
          <w:p w14:paraId="30453A94">
            <w:pPr>
              <w:keepNext w:val="0"/>
              <w:keepLines w:val="0"/>
              <w:pageBreakBefore w:val="0"/>
              <w:widowControl w:val="0"/>
              <w:kinsoku/>
              <w:wordWrap/>
              <w:overflowPunct/>
              <w:topLinePunct w:val="0"/>
              <w:autoSpaceDE/>
              <w:autoSpaceDN/>
              <w:bidi w:val="0"/>
              <w:adjustRightInd/>
              <w:snapToGrid/>
              <w:spacing w:line="348"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⑤规范有毒试剂的使用，实验室加强通风，防止中毒事件发生。</w:t>
            </w:r>
          </w:p>
          <w:p w14:paraId="5C9474F9">
            <w:pPr>
              <w:keepNext w:val="0"/>
              <w:keepLines w:val="0"/>
              <w:pageBreakBefore w:val="0"/>
              <w:widowControl w:val="0"/>
              <w:kinsoku/>
              <w:wordWrap/>
              <w:overflowPunct/>
              <w:topLinePunct w:val="0"/>
              <w:autoSpaceDE/>
              <w:autoSpaceDN/>
              <w:bidi w:val="0"/>
              <w:adjustRightInd/>
              <w:snapToGrid/>
              <w:spacing w:line="348"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试剂管理与风险防范措施：</w:t>
            </w:r>
          </w:p>
          <w:p w14:paraId="0AAED14F">
            <w:pPr>
              <w:keepNext w:val="0"/>
              <w:keepLines w:val="0"/>
              <w:pageBreakBefore w:val="0"/>
              <w:widowControl w:val="0"/>
              <w:kinsoku/>
              <w:wordWrap/>
              <w:overflowPunct/>
              <w:topLinePunct w:val="0"/>
              <w:autoSpaceDE/>
              <w:autoSpaceDN/>
              <w:bidi w:val="0"/>
              <w:adjustRightInd/>
              <w:snapToGrid/>
              <w:spacing w:line="348"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①化学试剂由专业生产厂家购买，由厂家派专用车辆负责运送。用于危险化学品运输的工具及容器，必须经检测、检验合格，方可使用。输送有毒有害物料，应采取防止泄漏、渗漏的措施。</w:t>
            </w:r>
          </w:p>
          <w:p w14:paraId="78A2F122">
            <w:pPr>
              <w:keepNext w:val="0"/>
              <w:keepLines w:val="0"/>
              <w:pageBreakBefore w:val="0"/>
              <w:widowControl w:val="0"/>
              <w:kinsoku/>
              <w:wordWrap/>
              <w:overflowPunct/>
              <w:topLinePunct w:val="0"/>
              <w:autoSpaceDE/>
              <w:autoSpaceDN/>
              <w:bidi w:val="0"/>
              <w:adjustRightInd/>
              <w:snapToGrid/>
              <w:spacing w:line="348"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②化学试剂购买后直接交专业管理员接收并入库。管理员先检查包装的完好性，封口是否严密，试剂无泄漏，标签是否粘贴牢固无破损，内容清晰，贮存条件明确。瓶签已部分脱胶的，应及时用胶水粘贴。无标签的试剂不得入库，应及时予销毁。</w:t>
            </w:r>
          </w:p>
          <w:p w14:paraId="2E426827">
            <w:pPr>
              <w:keepNext w:val="0"/>
              <w:keepLines w:val="0"/>
              <w:pageBreakBefore w:val="0"/>
              <w:widowControl w:val="0"/>
              <w:kinsoku/>
              <w:wordWrap/>
              <w:overflowPunct/>
              <w:topLinePunct w:val="0"/>
              <w:autoSpaceDE/>
              <w:autoSpaceDN/>
              <w:bidi w:val="0"/>
              <w:adjustRightInd/>
              <w:snapToGrid/>
              <w:spacing w:line="348"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③化学试剂须严格按其性质如剧毒、易燃、易挥发、强腐蚀品等和贮存要求分类存放，并控制化学试剂贮存量。</w:t>
            </w:r>
          </w:p>
          <w:p w14:paraId="6D6C080C">
            <w:pPr>
              <w:keepNext w:val="0"/>
              <w:keepLines w:val="0"/>
              <w:pageBreakBefore w:val="0"/>
              <w:widowControl w:val="0"/>
              <w:kinsoku/>
              <w:wordWrap/>
              <w:overflowPunct/>
              <w:topLinePunct w:val="0"/>
              <w:autoSpaceDE/>
              <w:autoSpaceDN/>
              <w:bidi w:val="0"/>
              <w:adjustRightInd/>
              <w:snapToGrid/>
              <w:spacing w:line="348"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④化学试剂保管员必须每周检查一次温湿度表并记录。超出规定范围的应及时调整。</w:t>
            </w:r>
          </w:p>
          <w:p w14:paraId="4F7A1A03">
            <w:pPr>
              <w:keepNext w:val="0"/>
              <w:keepLines w:val="0"/>
              <w:pageBreakBefore w:val="0"/>
              <w:widowControl w:val="0"/>
              <w:kinsoku/>
              <w:wordWrap/>
              <w:overflowPunct/>
              <w:topLinePunct w:val="0"/>
              <w:autoSpaceDE/>
              <w:autoSpaceDN/>
              <w:bidi w:val="0"/>
              <w:adjustRightInd/>
              <w:snapToGrid/>
              <w:spacing w:line="348"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⑤化学试剂贮藏于专用试剂</w:t>
            </w:r>
            <w:r>
              <w:rPr>
                <w:rFonts w:hint="eastAsia" w:cs="Times New Roman"/>
                <w:color w:val="auto"/>
                <w:kern w:val="0"/>
                <w:sz w:val="21"/>
                <w:szCs w:val="21"/>
                <w:highlight w:val="none"/>
                <w:lang w:val="en-US" w:eastAsia="zh-CN"/>
              </w:rPr>
              <w:t>柜</w:t>
            </w:r>
            <w:r>
              <w:rPr>
                <w:rFonts w:hint="eastAsia" w:ascii="Times New Roman" w:hAnsi="Times New Roman" w:eastAsia="宋体" w:cs="Times New Roman"/>
                <w:color w:val="auto"/>
                <w:kern w:val="0"/>
                <w:sz w:val="21"/>
                <w:szCs w:val="21"/>
                <w:highlight w:val="none"/>
                <w:lang w:val="en-US" w:eastAsia="zh-CN"/>
              </w:rPr>
              <w:t>内，由专人保管。</w:t>
            </w:r>
          </w:p>
          <w:p w14:paraId="3FDFDDD0">
            <w:pPr>
              <w:keepNext w:val="0"/>
              <w:keepLines w:val="0"/>
              <w:pageBreakBefore w:val="0"/>
              <w:widowControl w:val="0"/>
              <w:kinsoku/>
              <w:wordWrap/>
              <w:overflowPunct/>
              <w:topLinePunct w:val="0"/>
              <w:autoSpaceDE/>
              <w:autoSpaceDN/>
              <w:bidi w:val="0"/>
              <w:adjustRightInd/>
              <w:snapToGrid/>
              <w:spacing w:line="348"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⑥试剂存放处应通风、阴凉、避光，室内严禁明火，消防灭火设施器材完备。</w:t>
            </w:r>
          </w:p>
          <w:p w14:paraId="1C8E8E57">
            <w:pPr>
              <w:keepNext w:val="0"/>
              <w:keepLines w:val="0"/>
              <w:pageBreakBefore w:val="0"/>
              <w:widowControl w:val="0"/>
              <w:kinsoku/>
              <w:wordWrap/>
              <w:overflowPunct/>
              <w:topLinePunct w:val="0"/>
              <w:autoSpaceDE/>
              <w:autoSpaceDN/>
              <w:bidi w:val="0"/>
              <w:adjustRightInd/>
              <w:snapToGrid/>
              <w:spacing w:line="348"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⑦盛放化学试剂的贮存柜需用防尘、耐腐蚀、避光的材料制成。</w:t>
            </w:r>
          </w:p>
          <w:p w14:paraId="788F9343">
            <w:pPr>
              <w:keepNext w:val="0"/>
              <w:keepLines w:val="0"/>
              <w:pageBreakBefore w:val="0"/>
              <w:widowControl w:val="0"/>
              <w:kinsoku/>
              <w:wordWrap/>
              <w:overflowPunct/>
              <w:topLinePunct w:val="0"/>
              <w:autoSpaceDE/>
              <w:autoSpaceDN/>
              <w:bidi w:val="0"/>
              <w:adjustRightInd/>
              <w:snapToGrid/>
              <w:spacing w:line="348"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⑧化学性质或防护、灭火方法相互抵触的化学危险品，不得在同一柜或同一储存室内存放。如氧化剂与还原剂应分开存放，液态试剂与固态试剂分开存放，有机试剂与无机试剂分开存放。</w:t>
            </w:r>
          </w:p>
          <w:p w14:paraId="128F0059">
            <w:pPr>
              <w:keepNext w:val="0"/>
              <w:keepLines w:val="0"/>
              <w:pageBreakBefore w:val="0"/>
              <w:widowControl w:val="0"/>
              <w:kinsoku/>
              <w:wordWrap/>
              <w:overflowPunct/>
              <w:topLinePunct w:val="0"/>
              <w:autoSpaceDE/>
              <w:autoSpaceDN/>
              <w:bidi w:val="0"/>
              <w:adjustRightInd/>
              <w:snapToGrid/>
              <w:spacing w:line="348"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⑨易潮解、易失水风化、易挥发、易吸收二氧化碳、易氧化、易吸水变质化学试剂，需密闭保存或蜡封保存，应存放试剂柜下部柜中，平时应关门上锁。</w:t>
            </w:r>
          </w:p>
          <w:p w14:paraId="39686CC6">
            <w:pPr>
              <w:keepNext w:val="0"/>
              <w:keepLines w:val="0"/>
              <w:pageBreakBefore w:val="0"/>
              <w:widowControl w:val="0"/>
              <w:kinsoku/>
              <w:wordWrap/>
              <w:overflowPunct/>
              <w:topLinePunct w:val="0"/>
              <w:autoSpaceDE/>
              <w:autoSpaceDN/>
              <w:bidi w:val="0"/>
              <w:adjustRightInd/>
              <w:snapToGrid/>
              <w:spacing w:line="348"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⑩易爆炸品、易燃品、腐蚀品应单独存放，平时应关门上锁，某些高活性试剂应低温干燥贮放。危废贮存区、危废盛装容器等有关设施、场所和设备上，均牢固粘贴有关的危废标签、提示性危险用语、安全用语。</w:t>
            </w:r>
          </w:p>
          <w:p w14:paraId="61C8EBCE">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5、风险结论</w:t>
            </w:r>
          </w:p>
          <w:p w14:paraId="2E8D3FF3">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本项目涉及的危险化学品，在实验室运营过程中，只要加强管理，对各类危险化学品严格管控，实验操作过程标准化要求，一般不会导致火灾、爆炸、泄露等事故的发生，环境风险程度较小，是可以接受的。</w:t>
            </w:r>
          </w:p>
          <w:p w14:paraId="61FAF733">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Times New Roman" w:hAnsi="Times New Roman" w:eastAsia="宋体" w:cs="Times New Roman"/>
                <w:b/>
                <w:color w:val="auto"/>
                <w:sz w:val="21"/>
                <w:szCs w:val="21"/>
                <w:highlight w:val="none"/>
                <w:lang w:val="en-US" w:eastAsia="zh-CN"/>
              </w:rPr>
            </w:pPr>
            <w:r>
              <w:rPr>
                <w:rFonts w:hint="eastAsia" w:ascii="Times New Roman" w:hAnsi="Times New Roman" w:eastAsia="宋体" w:cs="Times New Roman"/>
                <w:b/>
                <w:color w:val="auto"/>
                <w:sz w:val="21"/>
                <w:szCs w:val="21"/>
                <w:highlight w:val="none"/>
                <w:lang w:val="en-US" w:eastAsia="zh-CN"/>
              </w:rPr>
              <w:t>表3</w:t>
            </w:r>
            <w:r>
              <w:rPr>
                <w:rFonts w:hint="eastAsia" w:cs="Times New Roman"/>
                <w:b/>
                <w:color w:val="auto"/>
                <w:sz w:val="21"/>
                <w:szCs w:val="21"/>
                <w:highlight w:val="none"/>
                <w:lang w:val="en-US" w:eastAsia="zh-CN"/>
              </w:rPr>
              <w:t>9</w:t>
            </w:r>
            <w:r>
              <w:rPr>
                <w:rFonts w:hint="eastAsia" w:ascii="Times New Roman" w:hAnsi="Times New Roman" w:eastAsia="宋体" w:cs="Times New Roman"/>
                <w:b/>
                <w:color w:val="auto"/>
                <w:sz w:val="21"/>
                <w:szCs w:val="21"/>
                <w:highlight w:val="none"/>
                <w:lang w:val="en-US" w:eastAsia="zh-CN"/>
              </w:rPr>
              <w:t xml:space="preserve">  </w:t>
            </w:r>
            <w:r>
              <w:rPr>
                <w:rFonts w:hint="eastAsia" w:ascii="Times New Roman" w:hAnsi="Times New Roman" w:eastAsia="宋体" w:cs="Times New Roman"/>
                <w:b/>
                <w:color w:val="auto"/>
                <w:sz w:val="21"/>
                <w:szCs w:val="21"/>
                <w:highlight w:val="none"/>
                <w:lang w:val="zh-CN" w:eastAsia="zh-CN"/>
              </w:rPr>
              <w:t>建设项目环境风险简单分析内容表</w:t>
            </w:r>
          </w:p>
          <w:tbl>
            <w:tblPr>
              <w:tblStyle w:val="4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2126"/>
              <w:gridCol w:w="1028"/>
              <w:gridCol w:w="184"/>
              <w:gridCol w:w="1614"/>
              <w:gridCol w:w="296"/>
              <w:gridCol w:w="1081"/>
              <w:gridCol w:w="222"/>
              <w:gridCol w:w="2629"/>
            </w:tblGrid>
            <w:tr w14:paraId="5CCE7788">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60" w:hRule="atLeast"/>
                <w:jc w:val="center"/>
              </w:trPr>
              <w:tc>
                <w:tcPr>
                  <w:tcW w:w="1158" w:type="pct"/>
                  <w:tcBorders>
                    <w:tl2br w:val="nil"/>
                    <w:tr2bl w:val="nil"/>
                  </w:tcBorders>
                  <w:noWrap w:val="0"/>
                  <w:vAlign w:val="center"/>
                </w:tcPr>
                <w:p w14:paraId="178A9E14">
                  <w:pPr>
                    <w:widowControl/>
                    <w:spacing w:line="240" w:lineRule="auto"/>
                    <w:ind w:firstLine="0" w:firstLineChars="0"/>
                    <w:jc w:val="center"/>
                    <w:rPr>
                      <w:color w:val="auto"/>
                      <w:kern w:val="0"/>
                      <w:sz w:val="21"/>
                      <w:szCs w:val="21"/>
                      <w:highlight w:val="none"/>
                      <w:lang w:val="zh-CN"/>
                    </w:rPr>
                  </w:pPr>
                  <w:r>
                    <w:rPr>
                      <w:color w:val="auto"/>
                      <w:kern w:val="0"/>
                      <w:sz w:val="21"/>
                      <w:szCs w:val="21"/>
                      <w:highlight w:val="none"/>
                      <w:lang w:val="zh-CN"/>
                    </w:rPr>
                    <w:t>建设项目名称</w:t>
                  </w:r>
                </w:p>
              </w:tc>
              <w:tc>
                <w:tcPr>
                  <w:tcW w:w="3841" w:type="pct"/>
                  <w:gridSpan w:val="7"/>
                  <w:tcBorders>
                    <w:tl2br w:val="nil"/>
                    <w:tr2bl w:val="nil"/>
                  </w:tcBorders>
                  <w:noWrap w:val="0"/>
                  <w:vAlign w:val="center"/>
                </w:tcPr>
                <w:p w14:paraId="2900F892">
                  <w:pPr>
                    <w:widowControl/>
                    <w:spacing w:line="240" w:lineRule="auto"/>
                    <w:ind w:firstLine="0" w:firstLineChars="0"/>
                    <w:jc w:val="center"/>
                    <w:rPr>
                      <w:color w:val="auto"/>
                      <w:kern w:val="0"/>
                      <w:sz w:val="21"/>
                      <w:szCs w:val="21"/>
                      <w:highlight w:val="none"/>
                      <w:lang w:val="zh-CN"/>
                    </w:rPr>
                  </w:pPr>
                  <w:r>
                    <w:rPr>
                      <w:rFonts w:hint="eastAsia" w:cs="Times New Roman"/>
                      <w:color w:val="auto"/>
                      <w:kern w:val="0"/>
                      <w:sz w:val="21"/>
                      <w:szCs w:val="21"/>
                      <w:highlight w:val="none"/>
                      <w:lang w:val="en-US" w:eastAsia="zh-CN"/>
                    </w:rPr>
                    <w:t>西安黄河机电有限公司环境实验室建设项目</w:t>
                  </w:r>
                </w:p>
              </w:tc>
            </w:tr>
            <w:tr w14:paraId="59DB1420">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60" w:hRule="atLeast"/>
                <w:jc w:val="center"/>
              </w:trPr>
              <w:tc>
                <w:tcPr>
                  <w:tcW w:w="1158" w:type="pct"/>
                  <w:tcBorders>
                    <w:tl2br w:val="nil"/>
                    <w:tr2bl w:val="nil"/>
                  </w:tcBorders>
                  <w:noWrap w:val="0"/>
                  <w:vAlign w:val="center"/>
                </w:tcPr>
                <w:p w14:paraId="376793CB">
                  <w:pPr>
                    <w:widowControl/>
                    <w:spacing w:line="240" w:lineRule="auto"/>
                    <w:ind w:firstLine="0" w:firstLineChars="0"/>
                    <w:jc w:val="center"/>
                    <w:rPr>
                      <w:color w:val="auto"/>
                      <w:kern w:val="0"/>
                      <w:sz w:val="21"/>
                      <w:szCs w:val="21"/>
                      <w:highlight w:val="none"/>
                      <w:lang w:val="zh-CN"/>
                    </w:rPr>
                  </w:pPr>
                  <w:r>
                    <w:rPr>
                      <w:color w:val="auto"/>
                      <w:kern w:val="0"/>
                      <w:sz w:val="21"/>
                      <w:szCs w:val="21"/>
                      <w:highlight w:val="none"/>
                      <w:lang w:val="zh-CN"/>
                    </w:rPr>
                    <w:t>建设地点</w:t>
                  </w:r>
                </w:p>
              </w:tc>
              <w:tc>
                <w:tcPr>
                  <w:tcW w:w="660" w:type="pct"/>
                  <w:gridSpan w:val="2"/>
                  <w:tcBorders>
                    <w:tl2br w:val="nil"/>
                    <w:tr2bl w:val="nil"/>
                  </w:tcBorders>
                  <w:noWrap w:val="0"/>
                  <w:vAlign w:val="center"/>
                </w:tcPr>
                <w:p w14:paraId="08C6F002">
                  <w:pPr>
                    <w:widowControl/>
                    <w:spacing w:line="240" w:lineRule="auto"/>
                    <w:ind w:firstLine="0" w:firstLineChars="0"/>
                    <w:jc w:val="center"/>
                    <w:rPr>
                      <w:color w:val="auto"/>
                      <w:kern w:val="0"/>
                      <w:sz w:val="21"/>
                      <w:szCs w:val="21"/>
                      <w:highlight w:val="none"/>
                      <w:lang w:val="zh-CN"/>
                    </w:rPr>
                  </w:pPr>
                  <w:r>
                    <w:rPr>
                      <w:color w:val="auto"/>
                      <w:kern w:val="0"/>
                      <w:sz w:val="21"/>
                      <w:szCs w:val="21"/>
                      <w:highlight w:val="none"/>
                      <w:lang w:val="zh-CN"/>
                    </w:rPr>
                    <w:t>陕西省</w:t>
                  </w:r>
                </w:p>
              </w:tc>
              <w:tc>
                <w:tcPr>
                  <w:tcW w:w="879" w:type="pct"/>
                  <w:tcBorders>
                    <w:tl2br w:val="nil"/>
                    <w:tr2bl w:val="nil"/>
                  </w:tcBorders>
                  <w:noWrap w:val="0"/>
                  <w:vAlign w:val="center"/>
                </w:tcPr>
                <w:p w14:paraId="39AC82F9">
                  <w:pPr>
                    <w:widowControl/>
                    <w:spacing w:line="240" w:lineRule="auto"/>
                    <w:ind w:firstLine="0" w:firstLineChars="0"/>
                    <w:jc w:val="center"/>
                    <w:rPr>
                      <w:rFonts w:hint="eastAsia" w:eastAsia="宋体"/>
                      <w:color w:val="auto"/>
                      <w:kern w:val="0"/>
                      <w:sz w:val="21"/>
                      <w:szCs w:val="21"/>
                      <w:highlight w:val="none"/>
                      <w:lang w:val="zh-CN" w:eastAsia="zh-CN"/>
                    </w:rPr>
                  </w:pPr>
                  <w:r>
                    <w:rPr>
                      <w:rFonts w:hint="eastAsia"/>
                      <w:color w:val="auto"/>
                      <w:kern w:val="0"/>
                      <w:sz w:val="21"/>
                      <w:szCs w:val="21"/>
                      <w:highlight w:val="none"/>
                      <w:lang w:val="en-US" w:eastAsia="zh-CN"/>
                    </w:rPr>
                    <w:t>西安市</w:t>
                  </w:r>
                </w:p>
              </w:tc>
              <w:tc>
                <w:tcPr>
                  <w:tcW w:w="871" w:type="pct"/>
                  <w:gridSpan w:val="3"/>
                  <w:tcBorders>
                    <w:tl2br w:val="nil"/>
                    <w:tr2bl w:val="nil"/>
                  </w:tcBorders>
                  <w:noWrap w:val="0"/>
                  <w:vAlign w:val="center"/>
                </w:tcPr>
                <w:p w14:paraId="7D59422C">
                  <w:pPr>
                    <w:widowControl/>
                    <w:spacing w:line="240" w:lineRule="auto"/>
                    <w:ind w:firstLine="0" w:firstLineChars="0"/>
                    <w:jc w:val="center"/>
                    <w:rPr>
                      <w:rFonts w:hint="eastAsia" w:ascii="Times New Roman" w:hAnsi="Times New Roman" w:eastAsia="宋体" w:cs="Times New Roman"/>
                      <w:color w:val="auto"/>
                      <w:kern w:val="0"/>
                      <w:sz w:val="21"/>
                      <w:szCs w:val="21"/>
                      <w:highlight w:val="none"/>
                      <w:lang w:val="zh-CN" w:eastAsia="zh-CN"/>
                    </w:rPr>
                  </w:pPr>
                  <w:r>
                    <w:rPr>
                      <w:rFonts w:hint="eastAsia" w:cs="Times New Roman"/>
                      <w:color w:val="auto"/>
                      <w:kern w:val="0"/>
                      <w:sz w:val="21"/>
                      <w:szCs w:val="21"/>
                      <w:highlight w:val="none"/>
                      <w:lang w:val="en-US" w:eastAsia="zh-CN"/>
                    </w:rPr>
                    <w:t>新城区</w:t>
                  </w:r>
                </w:p>
              </w:tc>
              <w:tc>
                <w:tcPr>
                  <w:tcW w:w="1430" w:type="pct"/>
                  <w:tcBorders>
                    <w:tl2br w:val="nil"/>
                    <w:tr2bl w:val="nil"/>
                  </w:tcBorders>
                  <w:noWrap w:val="0"/>
                  <w:vAlign w:val="center"/>
                </w:tcPr>
                <w:p w14:paraId="4B21BC01">
                  <w:pPr>
                    <w:widowControl/>
                    <w:spacing w:line="240" w:lineRule="auto"/>
                    <w:ind w:firstLine="0" w:firstLineChars="0"/>
                    <w:jc w:val="center"/>
                    <w:rPr>
                      <w:rFonts w:hint="eastAsia" w:ascii="Times New Roman" w:hAnsi="Times New Roman" w:eastAsia="宋体" w:cs="Times New Roman"/>
                      <w:color w:val="0000FF"/>
                      <w:kern w:val="0"/>
                      <w:sz w:val="21"/>
                      <w:szCs w:val="21"/>
                      <w:highlight w:val="none"/>
                      <w:lang w:val="zh-CN" w:eastAsia="zh-CN"/>
                    </w:rPr>
                  </w:pPr>
                  <w:r>
                    <w:rPr>
                      <w:rFonts w:hint="eastAsia" w:cs="Times New Roman"/>
                      <w:color w:val="auto"/>
                      <w:sz w:val="21"/>
                      <w:szCs w:val="21"/>
                      <w:highlight w:val="none"/>
                      <w:lang w:val="en-US" w:eastAsia="zh-CN"/>
                    </w:rPr>
                    <w:t>***</w:t>
                  </w:r>
                </w:p>
              </w:tc>
            </w:tr>
            <w:tr w14:paraId="33F35788">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60" w:hRule="atLeast"/>
                <w:jc w:val="center"/>
              </w:trPr>
              <w:tc>
                <w:tcPr>
                  <w:tcW w:w="1158" w:type="pct"/>
                  <w:tcBorders>
                    <w:tl2br w:val="nil"/>
                    <w:tr2bl w:val="nil"/>
                  </w:tcBorders>
                  <w:noWrap w:val="0"/>
                  <w:vAlign w:val="center"/>
                </w:tcPr>
                <w:p w14:paraId="171219A6">
                  <w:pPr>
                    <w:widowControl/>
                    <w:spacing w:line="240" w:lineRule="auto"/>
                    <w:ind w:firstLine="0" w:firstLineChars="0"/>
                    <w:jc w:val="center"/>
                    <w:rPr>
                      <w:color w:val="auto"/>
                      <w:kern w:val="0"/>
                      <w:sz w:val="21"/>
                      <w:szCs w:val="21"/>
                      <w:highlight w:val="none"/>
                      <w:lang w:val="zh-CN"/>
                    </w:rPr>
                  </w:pPr>
                  <w:r>
                    <w:rPr>
                      <w:color w:val="auto"/>
                      <w:kern w:val="0"/>
                      <w:sz w:val="21"/>
                      <w:szCs w:val="21"/>
                      <w:highlight w:val="none"/>
                      <w:lang w:val="zh-CN"/>
                    </w:rPr>
                    <w:t>中心地理坐标</w:t>
                  </w:r>
                </w:p>
              </w:tc>
              <w:tc>
                <w:tcPr>
                  <w:tcW w:w="560" w:type="pct"/>
                  <w:tcBorders>
                    <w:tl2br w:val="nil"/>
                    <w:tr2bl w:val="nil"/>
                  </w:tcBorders>
                  <w:noWrap w:val="0"/>
                  <w:vAlign w:val="center"/>
                </w:tcPr>
                <w:p w14:paraId="4AB5CD2D">
                  <w:pPr>
                    <w:widowControl/>
                    <w:spacing w:line="240" w:lineRule="auto"/>
                    <w:ind w:firstLine="0" w:firstLineChars="0"/>
                    <w:jc w:val="center"/>
                    <w:rPr>
                      <w:color w:val="auto"/>
                      <w:kern w:val="0"/>
                      <w:sz w:val="21"/>
                      <w:szCs w:val="21"/>
                      <w:highlight w:val="none"/>
                      <w:lang w:val="zh-CN"/>
                    </w:rPr>
                  </w:pPr>
                  <w:r>
                    <w:rPr>
                      <w:color w:val="auto"/>
                      <w:kern w:val="0"/>
                      <w:sz w:val="21"/>
                      <w:szCs w:val="21"/>
                      <w:highlight w:val="none"/>
                      <w:lang w:val="zh-CN"/>
                    </w:rPr>
                    <w:t>经度</w:t>
                  </w:r>
                </w:p>
              </w:tc>
              <w:tc>
                <w:tcPr>
                  <w:tcW w:w="1140" w:type="pct"/>
                  <w:gridSpan w:val="3"/>
                  <w:tcBorders>
                    <w:tl2br w:val="nil"/>
                    <w:tr2bl w:val="nil"/>
                  </w:tcBorders>
                  <w:noWrap w:val="0"/>
                  <w:vAlign w:val="center"/>
                </w:tcPr>
                <w:p w14:paraId="4FC5507E">
                  <w:pPr>
                    <w:widowControl/>
                    <w:spacing w:line="240" w:lineRule="auto"/>
                    <w:ind w:firstLine="0" w:firstLineChars="0"/>
                    <w:jc w:val="center"/>
                    <w:rPr>
                      <w:rFonts w:hint="default"/>
                      <w:color w:val="auto"/>
                      <w:kern w:val="0"/>
                      <w:sz w:val="21"/>
                      <w:szCs w:val="21"/>
                      <w:highlight w:val="none"/>
                      <w:lang w:val="en-US"/>
                    </w:rPr>
                  </w:pPr>
                  <w:r>
                    <w:rPr>
                      <w:rFonts w:hint="eastAsia" w:cs="Times New Roman"/>
                      <w:color w:val="auto"/>
                      <w:sz w:val="21"/>
                      <w:szCs w:val="21"/>
                      <w:highlight w:val="none"/>
                      <w:lang w:val="en-US" w:eastAsia="zh-CN"/>
                    </w:rPr>
                    <w:t>***</w:t>
                  </w:r>
                </w:p>
              </w:tc>
              <w:tc>
                <w:tcPr>
                  <w:tcW w:w="589" w:type="pct"/>
                  <w:tcBorders>
                    <w:tl2br w:val="nil"/>
                    <w:tr2bl w:val="nil"/>
                  </w:tcBorders>
                  <w:noWrap w:val="0"/>
                  <w:vAlign w:val="center"/>
                </w:tcPr>
                <w:p w14:paraId="314A6819">
                  <w:pPr>
                    <w:widowControl/>
                    <w:spacing w:line="240" w:lineRule="auto"/>
                    <w:ind w:firstLine="0" w:firstLineChars="0"/>
                    <w:jc w:val="center"/>
                    <w:rPr>
                      <w:color w:val="auto"/>
                      <w:kern w:val="0"/>
                      <w:sz w:val="21"/>
                      <w:szCs w:val="21"/>
                      <w:highlight w:val="none"/>
                      <w:lang w:val="zh-CN"/>
                    </w:rPr>
                  </w:pPr>
                  <w:r>
                    <w:rPr>
                      <w:color w:val="auto"/>
                      <w:kern w:val="0"/>
                      <w:sz w:val="21"/>
                      <w:szCs w:val="21"/>
                      <w:highlight w:val="none"/>
                      <w:lang w:val="zh-CN"/>
                    </w:rPr>
                    <w:t>纬度</w:t>
                  </w:r>
                </w:p>
              </w:tc>
              <w:tc>
                <w:tcPr>
                  <w:tcW w:w="1550" w:type="pct"/>
                  <w:gridSpan w:val="2"/>
                  <w:tcBorders>
                    <w:tl2br w:val="nil"/>
                    <w:tr2bl w:val="nil"/>
                  </w:tcBorders>
                  <w:noWrap w:val="0"/>
                  <w:vAlign w:val="center"/>
                </w:tcPr>
                <w:p w14:paraId="1E887F40">
                  <w:pPr>
                    <w:widowControl/>
                    <w:spacing w:line="240" w:lineRule="auto"/>
                    <w:ind w:firstLine="0" w:firstLineChars="0"/>
                    <w:jc w:val="center"/>
                    <w:rPr>
                      <w:color w:val="auto"/>
                      <w:kern w:val="0"/>
                      <w:sz w:val="21"/>
                      <w:szCs w:val="21"/>
                      <w:highlight w:val="none"/>
                      <w:lang w:val="zh-CN"/>
                    </w:rPr>
                  </w:pPr>
                  <w:r>
                    <w:rPr>
                      <w:rFonts w:hint="eastAsia" w:cs="Times New Roman"/>
                      <w:color w:val="auto"/>
                      <w:sz w:val="21"/>
                      <w:szCs w:val="21"/>
                      <w:highlight w:val="none"/>
                      <w:lang w:val="en-US" w:eastAsia="zh-CN"/>
                    </w:rPr>
                    <w:t>***</w:t>
                  </w:r>
                </w:p>
              </w:tc>
            </w:tr>
            <w:tr w14:paraId="5A1D976F">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158" w:type="pct"/>
                  <w:tcBorders>
                    <w:tl2br w:val="nil"/>
                    <w:tr2bl w:val="nil"/>
                  </w:tcBorders>
                  <w:noWrap w:val="0"/>
                  <w:vAlign w:val="center"/>
                </w:tcPr>
                <w:p w14:paraId="59B54BC9">
                  <w:pPr>
                    <w:widowControl/>
                    <w:spacing w:line="240" w:lineRule="auto"/>
                    <w:ind w:firstLine="0" w:firstLineChars="0"/>
                    <w:jc w:val="center"/>
                    <w:rPr>
                      <w:color w:val="auto"/>
                      <w:kern w:val="0"/>
                      <w:sz w:val="21"/>
                      <w:szCs w:val="21"/>
                      <w:highlight w:val="none"/>
                      <w:lang w:val="zh-CN"/>
                    </w:rPr>
                  </w:pPr>
                  <w:r>
                    <w:rPr>
                      <w:color w:val="auto"/>
                      <w:kern w:val="0"/>
                      <w:sz w:val="21"/>
                      <w:szCs w:val="21"/>
                      <w:highlight w:val="none"/>
                      <w:lang w:val="zh-CN"/>
                    </w:rPr>
                    <w:t>主要危险物质及分布</w:t>
                  </w:r>
                </w:p>
              </w:tc>
              <w:tc>
                <w:tcPr>
                  <w:tcW w:w="3841" w:type="pct"/>
                  <w:gridSpan w:val="7"/>
                  <w:tcBorders>
                    <w:tl2br w:val="nil"/>
                    <w:tr2bl w:val="nil"/>
                  </w:tcBorders>
                  <w:noWrap w:val="0"/>
                  <w:vAlign w:val="center"/>
                </w:tcPr>
                <w:p w14:paraId="1411DB7C">
                  <w:pPr>
                    <w:widowControl/>
                    <w:spacing w:line="240" w:lineRule="auto"/>
                    <w:ind w:firstLine="0" w:firstLineChars="0"/>
                    <w:rPr>
                      <w:rFonts w:hint="default"/>
                      <w:color w:val="auto"/>
                      <w:kern w:val="0"/>
                      <w:sz w:val="21"/>
                      <w:szCs w:val="21"/>
                      <w:highlight w:val="none"/>
                      <w:lang w:val="en-US"/>
                    </w:rPr>
                  </w:pPr>
                  <w:r>
                    <w:rPr>
                      <w:color w:val="auto"/>
                      <w:kern w:val="0"/>
                      <w:sz w:val="21"/>
                      <w:szCs w:val="21"/>
                      <w:highlight w:val="none"/>
                      <w:lang w:val="zh-CN"/>
                    </w:rPr>
                    <w:t>主要危险物质：</w:t>
                  </w:r>
                  <w:r>
                    <w:rPr>
                      <w:rFonts w:hint="eastAsia" w:ascii="Times New Roman" w:hAnsi="Times New Roman" w:eastAsia="宋体" w:cs="Times New Roman"/>
                      <w:color w:val="auto"/>
                      <w:kern w:val="0"/>
                      <w:sz w:val="21"/>
                      <w:szCs w:val="21"/>
                      <w:highlight w:val="none"/>
                      <w:lang w:val="zh-CN" w:eastAsia="zh-CN"/>
                    </w:rPr>
                    <w:t>硫酸、盐酸、</w:t>
                  </w:r>
                  <w:r>
                    <w:rPr>
                      <w:rFonts w:hint="eastAsia" w:ascii="Times New Roman" w:hAnsi="Times New Roman" w:eastAsia="宋体" w:cs="Times New Roman"/>
                      <w:color w:val="auto"/>
                      <w:kern w:val="0"/>
                      <w:sz w:val="21"/>
                      <w:szCs w:val="21"/>
                      <w:highlight w:val="none"/>
                      <w:lang w:val="en-US" w:eastAsia="zh-CN"/>
                    </w:rPr>
                    <w:t>硝酸</w:t>
                  </w:r>
                  <w:r>
                    <w:rPr>
                      <w:rFonts w:hint="eastAsia" w:cs="Times New Roman"/>
                      <w:color w:val="auto"/>
                      <w:kern w:val="0"/>
                      <w:sz w:val="21"/>
                      <w:szCs w:val="21"/>
                      <w:highlight w:val="none"/>
                      <w:lang w:val="en-US" w:eastAsia="zh-CN"/>
                    </w:rPr>
                    <w:t>、磷酸、氨水</w:t>
                  </w:r>
                </w:p>
                <w:p w14:paraId="5FD45628">
                  <w:pPr>
                    <w:widowControl/>
                    <w:spacing w:line="240" w:lineRule="auto"/>
                    <w:ind w:firstLine="0" w:firstLineChars="0"/>
                    <w:rPr>
                      <w:rFonts w:hint="default" w:eastAsia="宋体"/>
                      <w:color w:val="auto"/>
                      <w:kern w:val="0"/>
                      <w:sz w:val="21"/>
                      <w:szCs w:val="21"/>
                      <w:highlight w:val="none"/>
                      <w:lang w:val="en-US" w:eastAsia="zh-CN"/>
                    </w:rPr>
                  </w:pPr>
                  <w:r>
                    <w:rPr>
                      <w:color w:val="auto"/>
                      <w:kern w:val="28"/>
                      <w:sz w:val="21"/>
                      <w:szCs w:val="21"/>
                      <w:highlight w:val="none"/>
                      <w:lang w:val="zh-CN"/>
                    </w:rPr>
                    <w:t>主要分布在：</w:t>
                  </w:r>
                  <w:r>
                    <w:rPr>
                      <w:rFonts w:hint="eastAsia"/>
                      <w:color w:val="auto"/>
                      <w:kern w:val="28"/>
                      <w:sz w:val="21"/>
                      <w:szCs w:val="21"/>
                      <w:highlight w:val="none"/>
                      <w:lang w:val="en-US" w:eastAsia="zh-CN"/>
                    </w:rPr>
                    <w:t>试剂库</w:t>
                  </w:r>
                </w:p>
              </w:tc>
            </w:tr>
            <w:tr w14:paraId="4410D300">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1158" w:type="pct"/>
                  <w:tcBorders>
                    <w:tl2br w:val="nil"/>
                    <w:tr2bl w:val="nil"/>
                  </w:tcBorders>
                  <w:noWrap w:val="0"/>
                  <w:vAlign w:val="center"/>
                </w:tcPr>
                <w:p w14:paraId="693B79CD">
                  <w:pPr>
                    <w:widowControl/>
                    <w:spacing w:line="240" w:lineRule="auto"/>
                    <w:ind w:firstLine="0" w:firstLineChars="0"/>
                    <w:jc w:val="center"/>
                    <w:rPr>
                      <w:color w:val="auto"/>
                      <w:kern w:val="0"/>
                      <w:sz w:val="21"/>
                      <w:szCs w:val="21"/>
                      <w:highlight w:val="none"/>
                      <w:lang w:val="zh-CN"/>
                    </w:rPr>
                  </w:pPr>
                  <w:r>
                    <w:rPr>
                      <w:color w:val="auto"/>
                      <w:kern w:val="0"/>
                      <w:sz w:val="21"/>
                      <w:szCs w:val="21"/>
                      <w:highlight w:val="none"/>
                      <w:lang w:val="zh-CN"/>
                    </w:rPr>
                    <w:t>环境影响途径及危险后果（大气、地表水、地下水等）</w:t>
                  </w:r>
                </w:p>
              </w:tc>
              <w:tc>
                <w:tcPr>
                  <w:tcW w:w="3841" w:type="pct"/>
                  <w:gridSpan w:val="7"/>
                  <w:tcBorders>
                    <w:tl2br w:val="nil"/>
                    <w:tr2bl w:val="nil"/>
                  </w:tcBorders>
                  <w:noWrap w:val="0"/>
                  <w:vAlign w:val="center"/>
                </w:tcPr>
                <w:p w14:paraId="4A467DA1">
                  <w:pPr>
                    <w:widowControl/>
                    <w:spacing w:line="240" w:lineRule="auto"/>
                    <w:ind w:firstLine="0" w:firstLineChars="0"/>
                    <w:rPr>
                      <w:color w:val="auto"/>
                      <w:kern w:val="0"/>
                      <w:sz w:val="21"/>
                      <w:szCs w:val="21"/>
                      <w:highlight w:val="none"/>
                      <w:lang w:val="zh-CN"/>
                    </w:rPr>
                  </w:pPr>
                  <w:r>
                    <w:rPr>
                      <w:color w:val="auto"/>
                      <w:kern w:val="0"/>
                      <w:sz w:val="21"/>
                      <w:szCs w:val="21"/>
                      <w:highlight w:val="none"/>
                      <w:lang w:val="zh-CN"/>
                    </w:rPr>
                    <w:t>环境影响途径：</w:t>
                  </w:r>
                  <w:r>
                    <w:rPr>
                      <w:color w:val="auto"/>
                      <w:spacing w:val="-4"/>
                      <w:sz w:val="21"/>
                      <w:szCs w:val="21"/>
                      <w:highlight w:val="none"/>
                    </w:rPr>
                    <w:t>泄漏、火灾以及泄漏、火灾造成的次生环境问题</w:t>
                  </w:r>
                </w:p>
                <w:p w14:paraId="73095D8F">
                  <w:pPr>
                    <w:widowControl/>
                    <w:spacing w:line="240" w:lineRule="auto"/>
                    <w:ind w:firstLine="0" w:firstLineChars="0"/>
                    <w:rPr>
                      <w:color w:val="auto"/>
                      <w:kern w:val="0"/>
                      <w:sz w:val="21"/>
                      <w:szCs w:val="21"/>
                      <w:highlight w:val="none"/>
                      <w:lang w:val="zh-CN"/>
                    </w:rPr>
                  </w:pPr>
                  <w:r>
                    <w:rPr>
                      <w:color w:val="auto"/>
                      <w:kern w:val="0"/>
                      <w:sz w:val="21"/>
                      <w:szCs w:val="21"/>
                      <w:highlight w:val="none"/>
                      <w:lang w:val="zh-CN"/>
                    </w:rPr>
                    <w:t>危险后果：</w:t>
                  </w:r>
                  <w:r>
                    <w:rPr>
                      <w:color w:val="auto"/>
                      <w:sz w:val="21"/>
                      <w:szCs w:val="21"/>
                      <w:highlight w:val="none"/>
                    </w:rPr>
                    <w:t>威胁人身安全，对地下水、土壤、环境空气造成影响</w:t>
                  </w:r>
                </w:p>
              </w:tc>
            </w:tr>
            <w:tr w14:paraId="268DD1B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60" w:hRule="atLeast"/>
                <w:jc w:val="center"/>
              </w:trPr>
              <w:tc>
                <w:tcPr>
                  <w:tcW w:w="1158" w:type="pct"/>
                  <w:tcBorders>
                    <w:tl2br w:val="nil"/>
                    <w:tr2bl w:val="nil"/>
                  </w:tcBorders>
                  <w:noWrap w:val="0"/>
                  <w:vAlign w:val="center"/>
                </w:tcPr>
                <w:p w14:paraId="2B1A5C9D">
                  <w:pPr>
                    <w:widowControl/>
                    <w:spacing w:line="240" w:lineRule="auto"/>
                    <w:ind w:firstLine="0" w:firstLineChars="0"/>
                    <w:jc w:val="center"/>
                    <w:rPr>
                      <w:color w:val="auto"/>
                      <w:kern w:val="0"/>
                      <w:sz w:val="21"/>
                      <w:szCs w:val="21"/>
                      <w:highlight w:val="none"/>
                      <w:lang w:val="zh-CN"/>
                    </w:rPr>
                  </w:pPr>
                  <w:r>
                    <w:rPr>
                      <w:color w:val="auto"/>
                      <w:kern w:val="0"/>
                      <w:sz w:val="21"/>
                      <w:szCs w:val="21"/>
                      <w:highlight w:val="none"/>
                      <w:lang w:val="zh-CN"/>
                    </w:rPr>
                    <w:t>风险防范措施</w:t>
                  </w:r>
                </w:p>
              </w:tc>
              <w:tc>
                <w:tcPr>
                  <w:tcW w:w="3841" w:type="pct"/>
                  <w:gridSpan w:val="7"/>
                  <w:tcBorders>
                    <w:tl2br w:val="nil"/>
                    <w:tr2bl w:val="nil"/>
                  </w:tcBorders>
                  <w:noWrap w:val="0"/>
                  <w:vAlign w:val="center"/>
                </w:tcPr>
                <w:p w14:paraId="636B1352">
                  <w:pPr>
                    <w:widowControl/>
                    <w:spacing w:line="240" w:lineRule="auto"/>
                    <w:ind w:firstLine="0" w:firstLineChars="0"/>
                    <w:rPr>
                      <w:color w:val="auto"/>
                      <w:kern w:val="0"/>
                      <w:sz w:val="21"/>
                      <w:szCs w:val="21"/>
                      <w:highlight w:val="none"/>
                      <w:lang w:val="zh-CN"/>
                    </w:rPr>
                  </w:pPr>
                  <w:r>
                    <w:rPr>
                      <w:color w:val="auto"/>
                      <w:sz w:val="21"/>
                      <w:szCs w:val="21"/>
                      <w:highlight w:val="none"/>
                    </w:rPr>
                    <w:t>具体详见“风险防范措施章节”。</w:t>
                  </w:r>
                </w:p>
              </w:tc>
            </w:tr>
            <w:tr w14:paraId="4FAEF772">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95" w:hRule="atLeast"/>
                <w:jc w:val="center"/>
              </w:trPr>
              <w:tc>
                <w:tcPr>
                  <w:tcW w:w="5000" w:type="pct"/>
                  <w:gridSpan w:val="8"/>
                  <w:tcBorders>
                    <w:tl2br w:val="nil"/>
                    <w:tr2bl w:val="nil"/>
                  </w:tcBorders>
                  <w:noWrap w:val="0"/>
                  <w:vAlign w:val="center"/>
                </w:tcPr>
                <w:p w14:paraId="796CBAA7">
                  <w:pPr>
                    <w:widowControl/>
                    <w:spacing w:line="240" w:lineRule="auto"/>
                    <w:ind w:firstLine="0" w:firstLineChars="0"/>
                    <w:rPr>
                      <w:color w:val="auto"/>
                      <w:kern w:val="0"/>
                      <w:sz w:val="21"/>
                      <w:szCs w:val="21"/>
                      <w:highlight w:val="none"/>
                      <w:lang w:val="zh-CN"/>
                    </w:rPr>
                  </w:pPr>
                  <w:r>
                    <w:rPr>
                      <w:color w:val="auto"/>
                      <w:kern w:val="0"/>
                      <w:sz w:val="21"/>
                      <w:szCs w:val="21"/>
                      <w:highlight w:val="none"/>
                      <w:lang w:val="zh-CN"/>
                    </w:rPr>
                    <w:t>填表说明（列出项目相关信息及评价说明）：</w:t>
                  </w:r>
                </w:p>
                <w:p w14:paraId="35F21312">
                  <w:pPr>
                    <w:widowControl/>
                    <w:spacing w:line="240" w:lineRule="auto"/>
                    <w:ind w:firstLine="0" w:firstLineChars="0"/>
                    <w:rPr>
                      <w:color w:val="auto"/>
                      <w:kern w:val="0"/>
                      <w:sz w:val="21"/>
                      <w:szCs w:val="21"/>
                      <w:highlight w:val="none"/>
                      <w:lang w:val="zh-CN"/>
                    </w:rPr>
                  </w:pPr>
                  <w:r>
                    <w:rPr>
                      <w:color w:val="auto"/>
                      <w:kern w:val="0"/>
                      <w:sz w:val="21"/>
                      <w:szCs w:val="21"/>
                      <w:highlight w:val="none"/>
                      <w:lang w:val="zh-CN"/>
                    </w:rPr>
                    <w:t xml:space="preserve">    </w:t>
                  </w:r>
                  <w:r>
                    <w:rPr>
                      <w:snapToGrid w:val="0"/>
                      <w:color w:val="auto"/>
                      <w:kern w:val="0"/>
                      <w:sz w:val="21"/>
                      <w:szCs w:val="21"/>
                      <w:highlight w:val="none"/>
                    </w:rPr>
                    <w:t>根据《建设项目环境风险评价技术导则》（HJ 169-2018）判定，项目环境风险潜势为Ⅰ，本项目环境风险评价等级为“简单分析”。</w:t>
                  </w:r>
                </w:p>
              </w:tc>
            </w:tr>
          </w:tbl>
          <w:p w14:paraId="785EE42B">
            <w:pPr>
              <w:adjustRightInd w:val="0"/>
              <w:snapToGrid w:val="0"/>
              <w:spacing w:line="360" w:lineRule="auto"/>
              <w:ind w:firstLine="482" w:firstLineChars="200"/>
              <w:rPr>
                <w:b/>
                <w:bCs/>
                <w:color w:val="auto"/>
                <w:sz w:val="24"/>
                <w:highlight w:val="none"/>
              </w:rPr>
            </w:pPr>
            <w:r>
              <w:rPr>
                <w:rFonts w:hint="eastAsia"/>
                <w:b/>
                <w:bCs/>
                <w:color w:val="auto"/>
                <w:sz w:val="24"/>
                <w:highlight w:val="none"/>
              </w:rPr>
              <w:t>8、环保投资</w:t>
            </w:r>
          </w:p>
          <w:p w14:paraId="199C015A">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0000FF"/>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本项目企业总投资额</w:t>
            </w:r>
            <w:r>
              <w:rPr>
                <w:rFonts w:hint="eastAsia"/>
                <w:color w:val="auto"/>
                <w:szCs w:val="24"/>
                <w:highlight w:val="none"/>
                <w:lang w:val="en-US" w:eastAsia="zh-CN"/>
              </w:rPr>
              <w:t>60</w:t>
            </w:r>
            <w:r>
              <w:rPr>
                <w:rFonts w:hint="eastAsia" w:ascii="Times New Roman" w:hAnsi="Times New Roman" w:eastAsia="宋体" w:cs="Times New Roman"/>
                <w:color w:val="auto"/>
                <w:kern w:val="0"/>
                <w:sz w:val="21"/>
                <w:szCs w:val="21"/>
                <w:highlight w:val="none"/>
                <w:lang w:val="en-US" w:eastAsia="zh-CN"/>
              </w:rPr>
              <w:t>万元，其中环保投资共</w:t>
            </w:r>
            <w:r>
              <w:rPr>
                <w:rFonts w:hint="eastAsia" w:cs="Times New Roman"/>
                <w:color w:val="auto"/>
                <w:kern w:val="0"/>
                <w:sz w:val="21"/>
                <w:szCs w:val="21"/>
                <w:highlight w:val="none"/>
                <w:lang w:val="en-US" w:eastAsia="zh-CN"/>
              </w:rPr>
              <w:t>7.2</w:t>
            </w:r>
            <w:r>
              <w:rPr>
                <w:rFonts w:hint="eastAsia" w:ascii="Times New Roman" w:hAnsi="Times New Roman" w:eastAsia="宋体" w:cs="Times New Roman"/>
                <w:color w:val="auto"/>
                <w:kern w:val="0"/>
                <w:sz w:val="21"/>
                <w:szCs w:val="21"/>
                <w:highlight w:val="none"/>
                <w:lang w:val="en-US" w:eastAsia="zh-CN"/>
              </w:rPr>
              <w:t>万元，占总投资额</w:t>
            </w:r>
            <w:r>
              <w:rPr>
                <w:rFonts w:hint="eastAsia" w:cs="Times New Roman"/>
                <w:color w:val="auto"/>
                <w:kern w:val="0"/>
                <w:sz w:val="21"/>
                <w:szCs w:val="21"/>
                <w:highlight w:val="none"/>
                <w:lang w:val="en-US" w:eastAsia="zh-CN"/>
              </w:rPr>
              <w:t>12.0</w:t>
            </w:r>
            <w:r>
              <w:rPr>
                <w:rFonts w:hint="eastAsia" w:ascii="Times New Roman" w:hAnsi="Times New Roman" w:eastAsia="宋体" w:cs="Times New Roman"/>
                <w:color w:val="auto"/>
                <w:kern w:val="0"/>
                <w:sz w:val="21"/>
                <w:szCs w:val="21"/>
                <w:highlight w:val="none"/>
                <w:lang w:val="en-US" w:eastAsia="zh-CN"/>
              </w:rPr>
              <w:t>%，具体环保投资内容见下表。</w:t>
            </w:r>
          </w:p>
          <w:p w14:paraId="31C797DD">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Times New Roman" w:hAnsi="Times New Roman" w:eastAsia="宋体" w:cs="Times New Roman"/>
                <w:b/>
                <w:color w:val="auto"/>
                <w:sz w:val="21"/>
                <w:szCs w:val="21"/>
                <w:highlight w:val="none"/>
                <w:lang w:val="zh-CN" w:eastAsia="zh-CN"/>
              </w:rPr>
            </w:pPr>
          </w:p>
          <w:p w14:paraId="401C685E">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Times New Roman" w:hAnsi="Times New Roman" w:eastAsia="宋体" w:cs="Times New Roman"/>
                <w:b/>
                <w:color w:val="auto"/>
                <w:sz w:val="21"/>
                <w:szCs w:val="21"/>
                <w:highlight w:val="none"/>
                <w:lang w:val="zh-CN" w:eastAsia="zh-CN"/>
              </w:rPr>
            </w:pPr>
            <w:r>
              <w:rPr>
                <w:rFonts w:hint="eastAsia" w:ascii="Times New Roman" w:hAnsi="Times New Roman" w:eastAsia="宋体" w:cs="Times New Roman"/>
                <w:b/>
                <w:color w:val="auto"/>
                <w:sz w:val="21"/>
                <w:szCs w:val="21"/>
                <w:highlight w:val="none"/>
                <w:lang w:val="zh-CN" w:eastAsia="zh-CN"/>
              </w:rPr>
              <w:t>表</w:t>
            </w:r>
            <w:r>
              <w:rPr>
                <w:rFonts w:hint="eastAsia" w:cs="Times New Roman"/>
                <w:b/>
                <w:color w:val="auto"/>
                <w:sz w:val="21"/>
                <w:szCs w:val="21"/>
                <w:highlight w:val="none"/>
                <w:lang w:val="en-US" w:eastAsia="zh-CN"/>
              </w:rPr>
              <w:t>40</w:t>
            </w:r>
            <w:r>
              <w:rPr>
                <w:rFonts w:hint="eastAsia" w:ascii="Times New Roman" w:hAnsi="Times New Roman" w:eastAsia="宋体" w:cs="Times New Roman"/>
                <w:b/>
                <w:color w:val="auto"/>
                <w:sz w:val="21"/>
                <w:szCs w:val="21"/>
                <w:highlight w:val="none"/>
                <w:lang w:val="zh-CN" w:eastAsia="zh-CN"/>
              </w:rPr>
              <w:t xml:space="preserve">  项目环保措施及投资一览表</w:t>
            </w:r>
          </w:p>
          <w:tbl>
            <w:tblPr>
              <w:tblStyle w:val="45"/>
              <w:tblW w:w="5041"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04"/>
              <w:gridCol w:w="956"/>
              <w:gridCol w:w="1585"/>
              <w:gridCol w:w="1587"/>
              <w:gridCol w:w="3321"/>
              <w:gridCol w:w="1306"/>
            </w:tblGrid>
            <w:tr w14:paraId="6B1D3C3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501" w:type="pct"/>
                  <w:gridSpan w:val="4"/>
                  <w:tcBorders>
                    <w:tl2br w:val="nil"/>
                    <w:tr2bl w:val="nil"/>
                  </w:tcBorders>
                  <w:noWrap w:val="0"/>
                  <w:vAlign w:val="center"/>
                </w:tcPr>
                <w:p w14:paraId="5F34278E">
                  <w:pPr>
                    <w:spacing w:line="276" w:lineRule="auto"/>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项目</w:t>
                  </w:r>
                </w:p>
              </w:tc>
              <w:tc>
                <w:tcPr>
                  <w:tcW w:w="1793" w:type="pct"/>
                  <w:tcBorders>
                    <w:tl2br w:val="nil"/>
                    <w:tr2bl w:val="nil"/>
                  </w:tcBorders>
                  <w:noWrap w:val="0"/>
                  <w:vAlign w:val="center"/>
                </w:tcPr>
                <w:p w14:paraId="546D40FA">
                  <w:pPr>
                    <w:spacing w:line="276" w:lineRule="auto"/>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环保设施</w:t>
                  </w:r>
                </w:p>
              </w:tc>
              <w:tc>
                <w:tcPr>
                  <w:tcW w:w="705" w:type="pct"/>
                  <w:tcBorders>
                    <w:tl2br w:val="nil"/>
                    <w:tr2bl w:val="nil"/>
                  </w:tcBorders>
                  <w:noWrap w:val="0"/>
                  <w:vAlign w:val="center"/>
                </w:tcPr>
                <w:p w14:paraId="0E61405B">
                  <w:pPr>
                    <w:spacing w:line="276" w:lineRule="auto"/>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环保投资（万元）</w:t>
                  </w:r>
                </w:p>
              </w:tc>
            </w:tr>
            <w:tr w14:paraId="6F86F7DE">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272" w:type="pct"/>
                  <w:vMerge w:val="restart"/>
                  <w:tcBorders>
                    <w:tl2br w:val="nil"/>
                    <w:tr2bl w:val="nil"/>
                  </w:tcBorders>
                  <w:noWrap w:val="0"/>
                  <w:vAlign w:val="center"/>
                </w:tcPr>
                <w:p w14:paraId="32E1C68D">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废气</w:t>
                  </w:r>
                </w:p>
              </w:tc>
              <w:tc>
                <w:tcPr>
                  <w:tcW w:w="516" w:type="pct"/>
                  <w:vMerge w:val="restart"/>
                  <w:tcBorders>
                    <w:tl2br w:val="nil"/>
                    <w:tr2bl w:val="nil"/>
                  </w:tcBorders>
                  <w:noWrap w:val="0"/>
                  <w:vAlign w:val="center"/>
                </w:tcPr>
                <w:p w14:paraId="2F5FE97A">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有组织</w:t>
                  </w:r>
                </w:p>
              </w:tc>
              <w:tc>
                <w:tcPr>
                  <w:tcW w:w="856" w:type="pct"/>
                  <w:tcBorders>
                    <w:tl2br w:val="nil"/>
                    <w:tr2bl w:val="nil"/>
                  </w:tcBorders>
                  <w:noWrap w:val="0"/>
                  <w:vAlign w:val="center"/>
                </w:tcPr>
                <w:p w14:paraId="4B8EFFE5">
                  <w:pPr>
                    <w:pStyle w:val="63"/>
                    <w:keepNext w:val="0"/>
                    <w:keepLines w:val="0"/>
                    <w:pageBreakBefore w:val="0"/>
                    <w:widowControl w:val="0"/>
                    <w:kinsoku/>
                    <w:wordWrap/>
                    <w:overflowPunct/>
                    <w:topLinePunct w:val="0"/>
                    <w:bidi w:val="0"/>
                    <w:spacing w:line="240" w:lineRule="auto"/>
                    <w:ind w:left="0" w:leftChars="0"/>
                    <w:jc w:val="center"/>
                    <w:textAlignment w:val="auto"/>
                    <w:rPr>
                      <w:rStyle w:val="287"/>
                      <w:rFonts w:hint="default" w:ascii="Times New Roman" w:hAnsi="Times New Roman" w:cs="Times New Roman"/>
                      <w:bCs w:val="0"/>
                      <w:color w:val="auto"/>
                      <w:sz w:val="21"/>
                      <w:szCs w:val="21"/>
                      <w:highlight w:val="none"/>
                    </w:rPr>
                  </w:pPr>
                  <w:r>
                    <w:rPr>
                      <w:rStyle w:val="287"/>
                      <w:rFonts w:hint="default" w:ascii="Times New Roman" w:hAnsi="Times New Roman" w:cs="Times New Roman"/>
                      <w:bCs w:val="0"/>
                      <w:color w:val="auto"/>
                      <w:sz w:val="21"/>
                      <w:szCs w:val="21"/>
                      <w:highlight w:val="none"/>
                    </w:rPr>
                    <w:t>硫酸</w:t>
                  </w:r>
                  <w:r>
                    <w:rPr>
                      <w:rStyle w:val="287"/>
                      <w:rFonts w:hint="default" w:ascii="Times New Roman" w:hAnsi="Times New Roman" w:cs="Times New Roman"/>
                      <w:bCs w:val="0"/>
                      <w:color w:val="auto"/>
                      <w:sz w:val="21"/>
                      <w:szCs w:val="21"/>
                      <w:highlight w:val="none"/>
                      <w:lang w:val="en-US" w:eastAsia="zh-CN"/>
                    </w:rPr>
                    <w:t>使用</w:t>
                  </w:r>
                </w:p>
              </w:tc>
              <w:tc>
                <w:tcPr>
                  <w:tcW w:w="856" w:type="pct"/>
                  <w:tcBorders>
                    <w:tl2br w:val="nil"/>
                    <w:tr2bl w:val="nil"/>
                  </w:tcBorders>
                  <w:noWrap w:val="0"/>
                  <w:vAlign w:val="center"/>
                </w:tcPr>
                <w:p w14:paraId="4C92A0F7">
                  <w:pPr>
                    <w:pStyle w:val="63"/>
                    <w:keepNext w:val="0"/>
                    <w:keepLines w:val="0"/>
                    <w:pageBreakBefore w:val="0"/>
                    <w:widowControl w:val="0"/>
                    <w:kinsoku/>
                    <w:wordWrap/>
                    <w:overflowPunct/>
                    <w:topLinePunct w:val="0"/>
                    <w:bidi w:val="0"/>
                    <w:spacing w:line="240" w:lineRule="auto"/>
                    <w:ind w:left="0" w:leftChars="0"/>
                    <w:jc w:val="center"/>
                    <w:textAlignment w:val="auto"/>
                    <w:rPr>
                      <w:rStyle w:val="287"/>
                      <w:rFonts w:hint="default" w:ascii="Times New Roman" w:hAnsi="Times New Roman" w:cs="Times New Roman"/>
                      <w:bCs w:val="0"/>
                      <w:color w:val="auto"/>
                      <w:sz w:val="21"/>
                      <w:szCs w:val="21"/>
                      <w:highlight w:val="none"/>
                    </w:rPr>
                  </w:pPr>
                  <w:r>
                    <w:rPr>
                      <w:rFonts w:hint="default" w:ascii="Times New Roman" w:hAnsi="Times New Roman" w:cs="Times New Roman"/>
                      <w:color w:val="auto"/>
                      <w:sz w:val="21"/>
                      <w:szCs w:val="21"/>
                      <w:highlight w:val="none"/>
                      <w:lang w:val="en-US" w:eastAsia="zh-CN"/>
                    </w:rPr>
                    <w:t>硫酸雾</w:t>
                  </w:r>
                </w:p>
              </w:tc>
              <w:tc>
                <w:tcPr>
                  <w:tcW w:w="1793" w:type="pct"/>
                  <w:vMerge w:val="restart"/>
                  <w:tcBorders>
                    <w:tl2br w:val="nil"/>
                    <w:tr2bl w:val="nil"/>
                  </w:tcBorders>
                  <w:noWrap w:val="0"/>
                  <w:vAlign w:val="center"/>
                </w:tcPr>
                <w:p w14:paraId="5C31550A">
                  <w:pPr>
                    <w:spacing w:line="276" w:lineRule="auto"/>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二级活性炭吸附装置+15m</w:t>
                  </w:r>
                  <w:r>
                    <w:rPr>
                      <w:rStyle w:val="361"/>
                      <w:rFonts w:hint="default" w:ascii="Times New Roman" w:hAnsi="Times New Roman" w:cs="Times New Roman"/>
                      <w:color w:val="auto"/>
                      <w:lang w:val="en-US" w:eastAsia="zh-CN" w:bidi="ar"/>
                    </w:rPr>
                    <w:t>高排气筒排放</w:t>
                  </w:r>
                </w:p>
              </w:tc>
              <w:tc>
                <w:tcPr>
                  <w:tcW w:w="705" w:type="pct"/>
                  <w:vMerge w:val="restart"/>
                  <w:tcBorders>
                    <w:tl2br w:val="nil"/>
                    <w:tr2bl w:val="nil"/>
                  </w:tcBorders>
                  <w:noWrap w:val="0"/>
                  <w:vAlign w:val="center"/>
                </w:tcPr>
                <w:p w14:paraId="170DEC93">
                  <w:pPr>
                    <w:spacing w:line="276" w:lineRule="auto"/>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5</w:t>
                  </w:r>
                </w:p>
              </w:tc>
            </w:tr>
            <w:tr w14:paraId="6AC898BF">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72" w:type="pct"/>
                  <w:vMerge w:val="continue"/>
                  <w:tcBorders>
                    <w:tl2br w:val="nil"/>
                    <w:tr2bl w:val="nil"/>
                  </w:tcBorders>
                  <w:noWrap w:val="0"/>
                  <w:vAlign w:val="center"/>
                </w:tcPr>
                <w:p w14:paraId="5E372DFC">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i w:val="0"/>
                      <w:iCs w:val="0"/>
                      <w:color w:val="auto"/>
                      <w:kern w:val="0"/>
                      <w:sz w:val="21"/>
                      <w:szCs w:val="21"/>
                      <w:highlight w:val="none"/>
                      <w:u w:val="none"/>
                      <w:lang w:val="en-US" w:eastAsia="zh-CN" w:bidi="ar"/>
                    </w:rPr>
                  </w:pPr>
                </w:p>
              </w:tc>
              <w:tc>
                <w:tcPr>
                  <w:tcW w:w="516" w:type="pct"/>
                  <w:vMerge w:val="continue"/>
                  <w:tcBorders>
                    <w:tl2br w:val="nil"/>
                    <w:tr2bl w:val="nil"/>
                  </w:tcBorders>
                  <w:noWrap w:val="0"/>
                  <w:vAlign w:val="center"/>
                </w:tcPr>
                <w:p w14:paraId="79671E8D">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i w:val="0"/>
                      <w:iCs w:val="0"/>
                      <w:color w:val="auto"/>
                      <w:kern w:val="0"/>
                      <w:sz w:val="21"/>
                      <w:szCs w:val="21"/>
                      <w:highlight w:val="none"/>
                      <w:u w:val="none"/>
                      <w:lang w:val="en-US" w:eastAsia="zh-CN" w:bidi="ar"/>
                    </w:rPr>
                  </w:pPr>
                </w:p>
              </w:tc>
              <w:tc>
                <w:tcPr>
                  <w:tcW w:w="856" w:type="pct"/>
                  <w:tcBorders>
                    <w:tl2br w:val="nil"/>
                    <w:tr2bl w:val="nil"/>
                  </w:tcBorders>
                  <w:noWrap w:val="0"/>
                  <w:vAlign w:val="center"/>
                </w:tcPr>
                <w:p w14:paraId="38C17D65">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硝酸使用</w:t>
                  </w:r>
                </w:p>
              </w:tc>
              <w:tc>
                <w:tcPr>
                  <w:tcW w:w="856" w:type="pct"/>
                  <w:tcBorders>
                    <w:tl2br w:val="nil"/>
                    <w:tr2bl w:val="nil"/>
                  </w:tcBorders>
                  <w:noWrap w:val="0"/>
                  <w:vAlign w:val="center"/>
                </w:tcPr>
                <w:p w14:paraId="1DDAC292">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氮氧化物</w:t>
                  </w:r>
                </w:p>
              </w:tc>
              <w:tc>
                <w:tcPr>
                  <w:tcW w:w="1793" w:type="pct"/>
                  <w:vMerge w:val="continue"/>
                  <w:tcBorders>
                    <w:tl2br w:val="nil"/>
                    <w:tr2bl w:val="nil"/>
                  </w:tcBorders>
                  <w:noWrap w:val="0"/>
                  <w:vAlign w:val="center"/>
                </w:tcPr>
                <w:p w14:paraId="32CA66B4">
                  <w:pPr>
                    <w:spacing w:line="276" w:lineRule="auto"/>
                    <w:jc w:val="center"/>
                    <w:rPr>
                      <w:rFonts w:hint="default" w:ascii="Times New Roman" w:hAnsi="Times New Roman" w:eastAsia="宋体" w:cs="Times New Roman"/>
                      <w:color w:val="0000FF"/>
                      <w:sz w:val="21"/>
                      <w:szCs w:val="21"/>
                      <w:highlight w:val="none"/>
                      <w:lang w:val="en-US" w:eastAsia="zh-CN"/>
                    </w:rPr>
                  </w:pPr>
                </w:p>
              </w:tc>
              <w:tc>
                <w:tcPr>
                  <w:tcW w:w="705" w:type="pct"/>
                  <w:vMerge w:val="continue"/>
                  <w:tcBorders>
                    <w:tl2br w:val="nil"/>
                    <w:tr2bl w:val="nil"/>
                  </w:tcBorders>
                  <w:noWrap w:val="0"/>
                  <w:vAlign w:val="center"/>
                </w:tcPr>
                <w:p w14:paraId="4856FC8E">
                  <w:pPr>
                    <w:spacing w:line="276" w:lineRule="auto"/>
                    <w:jc w:val="center"/>
                    <w:rPr>
                      <w:rFonts w:hint="default" w:ascii="Times New Roman" w:hAnsi="Times New Roman" w:eastAsia="宋体" w:cs="Times New Roman"/>
                      <w:color w:val="0000FF"/>
                      <w:sz w:val="21"/>
                      <w:szCs w:val="21"/>
                      <w:highlight w:val="none"/>
                      <w:lang w:val="en-US" w:eastAsia="zh-CN"/>
                    </w:rPr>
                  </w:pPr>
                </w:p>
              </w:tc>
            </w:tr>
            <w:tr w14:paraId="221AAC3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72" w:type="pct"/>
                  <w:vMerge w:val="continue"/>
                  <w:tcBorders>
                    <w:tl2br w:val="nil"/>
                    <w:tr2bl w:val="nil"/>
                  </w:tcBorders>
                  <w:noWrap w:val="0"/>
                  <w:vAlign w:val="center"/>
                </w:tcPr>
                <w:p w14:paraId="19C66417">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i w:val="0"/>
                      <w:iCs w:val="0"/>
                      <w:color w:val="auto"/>
                      <w:kern w:val="0"/>
                      <w:sz w:val="21"/>
                      <w:szCs w:val="21"/>
                      <w:highlight w:val="none"/>
                      <w:u w:val="none"/>
                      <w:lang w:val="en-US" w:eastAsia="zh-CN" w:bidi="ar"/>
                    </w:rPr>
                  </w:pPr>
                </w:p>
              </w:tc>
              <w:tc>
                <w:tcPr>
                  <w:tcW w:w="516" w:type="pct"/>
                  <w:vMerge w:val="continue"/>
                  <w:tcBorders>
                    <w:tl2br w:val="nil"/>
                    <w:tr2bl w:val="nil"/>
                  </w:tcBorders>
                  <w:noWrap w:val="0"/>
                  <w:vAlign w:val="center"/>
                </w:tcPr>
                <w:p w14:paraId="06D9ABD9">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i w:val="0"/>
                      <w:iCs w:val="0"/>
                      <w:color w:val="auto"/>
                      <w:kern w:val="0"/>
                      <w:sz w:val="21"/>
                      <w:szCs w:val="21"/>
                      <w:highlight w:val="none"/>
                      <w:u w:val="none"/>
                      <w:lang w:val="en-US" w:eastAsia="zh-CN" w:bidi="ar"/>
                    </w:rPr>
                  </w:pPr>
                </w:p>
              </w:tc>
              <w:tc>
                <w:tcPr>
                  <w:tcW w:w="856" w:type="pct"/>
                  <w:tcBorders>
                    <w:tl2br w:val="nil"/>
                    <w:tr2bl w:val="nil"/>
                  </w:tcBorders>
                  <w:noWrap w:val="0"/>
                  <w:vAlign w:val="center"/>
                </w:tcPr>
                <w:p w14:paraId="029C22D5">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盐酸使用</w:t>
                  </w:r>
                </w:p>
              </w:tc>
              <w:tc>
                <w:tcPr>
                  <w:tcW w:w="856" w:type="pct"/>
                  <w:tcBorders>
                    <w:tl2br w:val="nil"/>
                    <w:tr2bl w:val="nil"/>
                  </w:tcBorders>
                  <w:noWrap w:val="0"/>
                  <w:vAlign w:val="center"/>
                </w:tcPr>
                <w:p w14:paraId="10173D40">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氯化氢</w:t>
                  </w:r>
                </w:p>
              </w:tc>
              <w:tc>
                <w:tcPr>
                  <w:tcW w:w="1793" w:type="pct"/>
                  <w:vMerge w:val="continue"/>
                  <w:tcBorders>
                    <w:tl2br w:val="nil"/>
                    <w:tr2bl w:val="nil"/>
                  </w:tcBorders>
                  <w:noWrap w:val="0"/>
                  <w:vAlign w:val="center"/>
                </w:tcPr>
                <w:p w14:paraId="1FE03F45">
                  <w:pPr>
                    <w:spacing w:line="276" w:lineRule="auto"/>
                    <w:jc w:val="center"/>
                    <w:rPr>
                      <w:rFonts w:hint="default" w:ascii="Times New Roman" w:hAnsi="Times New Roman" w:cs="Times New Roman"/>
                      <w:color w:val="0000FF"/>
                      <w:sz w:val="21"/>
                      <w:szCs w:val="21"/>
                      <w:highlight w:val="none"/>
                    </w:rPr>
                  </w:pPr>
                </w:p>
              </w:tc>
              <w:tc>
                <w:tcPr>
                  <w:tcW w:w="705" w:type="pct"/>
                  <w:vMerge w:val="continue"/>
                  <w:tcBorders>
                    <w:tl2br w:val="nil"/>
                    <w:tr2bl w:val="nil"/>
                  </w:tcBorders>
                  <w:noWrap w:val="0"/>
                  <w:vAlign w:val="center"/>
                </w:tcPr>
                <w:p w14:paraId="73F9976C">
                  <w:pPr>
                    <w:spacing w:line="276" w:lineRule="auto"/>
                    <w:jc w:val="center"/>
                    <w:rPr>
                      <w:rFonts w:hint="default" w:ascii="Times New Roman" w:hAnsi="Times New Roman" w:eastAsia="宋体" w:cs="Times New Roman"/>
                      <w:color w:val="0000FF"/>
                      <w:sz w:val="21"/>
                      <w:szCs w:val="21"/>
                      <w:highlight w:val="none"/>
                      <w:lang w:val="en-US" w:eastAsia="zh-CN"/>
                    </w:rPr>
                  </w:pPr>
                </w:p>
              </w:tc>
            </w:tr>
            <w:tr w14:paraId="3BF6CE8E">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72" w:type="pct"/>
                  <w:vMerge w:val="continue"/>
                  <w:tcBorders>
                    <w:tl2br w:val="nil"/>
                    <w:tr2bl w:val="nil"/>
                  </w:tcBorders>
                  <w:noWrap w:val="0"/>
                  <w:vAlign w:val="center"/>
                </w:tcPr>
                <w:p w14:paraId="0E09F2AB">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i w:val="0"/>
                      <w:iCs w:val="0"/>
                      <w:color w:val="0000FF"/>
                      <w:kern w:val="0"/>
                      <w:sz w:val="21"/>
                      <w:szCs w:val="21"/>
                      <w:highlight w:val="none"/>
                      <w:u w:val="none"/>
                      <w:lang w:val="en-US" w:eastAsia="zh-CN" w:bidi="ar"/>
                    </w:rPr>
                  </w:pPr>
                </w:p>
              </w:tc>
              <w:tc>
                <w:tcPr>
                  <w:tcW w:w="516" w:type="pct"/>
                  <w:vMerge w:val="continue"/>
                  <w:tcBorders>
                    <w:tl2br w:val="nil"/>
                    <w:tr2bl w:val="nil"/>
                  </w:tcBorders>
                  <w:noWrap w:val="0"/>
                  <w:vAlign w:val="center"/>
                </w:tcPr>
                <w:p w14:paraId="1667AE8E">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i w:val="0"/>
                      <w:iCs w:val="0"/>
                      <w:color w:val="0000FF"/>
                      <w:kern w:val="0"/>
                      <w:sz w:val="21"/>
                      <w:szCs w:val="21"/>
                      <w:highlight w:val="none"/>
                      <w:u w:val="none"/>
                      <w:lang w:val="en-US" w:eastAsia="zh-CN" w:bidi="ar"/>
                    </w:rPr>
                  </w:pPr>
                </w:p>
              </w:tc>
              <w:tc>
                <w:tcPr>
                  <w:tcW w:w="856" w:type="pct"/>
                  <w:tcBorders>
                    <w:tl2br w:val="nil"/>
                    <w:tr2bl w:val="nil"/>
                  </w:tcBorders>
                  <w:noWrap w:val="0"/>
                  <w:vAlign w:val="center"/>
                </w:tcPr>
                <w:p w14:paraId="12F723BB">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i w:val="0"/>
                      <w:iCs w:val="0"/>
                      <w:color w:val="0000FF"/>
                      <w:kern w:val="0"/>
                      <w:sz w:val="21"/>
                      <w:szCs w:val="21"/>
                      <w:highlight w:val="none"/>
                      <w:u w:val="none"/>
                      <w:lang w:val="en-US" w:eastAsia="zh-CN" w:bidi="ar"/>
                    </w:rPr>
                  </w:pPr>
                  <w:r>
                    <w:rPr>
                      <w:rStyle w:val="287"/>
                      <w:rFonts w:hint="default" w:ascii="Times New Roman" w:hAnsi="Times New Roman" w:cs="Times New Roman"/>
                      <w:color w:val="auto"/>
                      <w:sz w:val="21"/>
                      <w:szCs w:val="21"/>
                      <w:highlight w:val="none"/>
                      <w:lang w:val="en-US" w:eastAsia="zh-CN"/>
                    </w:rPr>
                    <w:t>氨水使用</w:t>
                  </w:r>
                </w:p>
              </w:tc>
              <w:tc>
                <w:tcPr>
                  <w:tcW w:w="856" w:type="pct"/>
                  <w:tcBorders>
                    <w:tl2br w:val="nil"/>
                    <w:tr2bl w:val="nil"/>
                  </w:tcBorders>
                  <w:noWrap w:val="0"/>
                  <w:vAlign w:val="center"/>
                </w:tcPr>
                <w:p w14:paraId="6B026178">
                  <w:pPr>
                    <w:pStyle w:val="63"/>
                    <w:keepNext w:val="0"/>
                    <w:keepLines w:val="0"/>
                    <w:pageBreakBefore w:val="0"/>
                    <w:widowControl w:val="0"/>
                    <w:kinsoku/>
                    <w:wordWrap/>
                    <w:overflowPunct/>
                    <w:topLinePunct w:val="0"/>
                    <w:bidi w:val="0"/>
                    <w:spacing w:line="240" w:lineRule="auto"/>
                    <w:ind w:left="0" w:leftChars="0"/>
                    <w:jc w:val="center"/>
                    <w:textAlignment w:val="auto"/>
                    <w:rPr>
                      <w:rStyle w:val="287"/>
                      <w:rFonts w:hint="default" w:ascii="Times New Roman" w:hAnsi="Times New Roman" w:cs="Times New Roman"/>
                      <w:color w:val="auto"/>
                      <w:sz w:val="21"/>
                      <w:szCs w:val="21"/>
                      <w:highlight w:val="none"/>
                      <w:lang w:val="en-US" w:eastAsia="zh-CN"/>
                    </w:rPr>
                  </w:pPr>
                  <w:r>
                    <w:rPr>
                      <w:rStyle w:val="287"/>
                      <w:rFonts w:hint="eastAsia" w:ascii="Times New Roman" w:hAnsi="Times New Roman" w:cs="Times New Roman"/>
                      <w:color w:val="auto"/>
                      <w:sz w:val="21"/>
                      <w:szCs w:val="21"/>
                      <w:highlight w:val="none"/>
                      <w:lang w:val="en-US" w:eastAsia="zh-CN"/>
                    </w:rPr>
                    <w:t>氨</w:t>
                  </w:r>
                </w:p>
              </w:tc>
              <w:tc>
                <w:tcPr>
                  <w:tcW w:w="1793" w:type="pct"/>
                  <w:vMerge w:val="continue"/>
                  <w:tcBorders>
                    <w:tl2br w:val="nil"/>
                    <w:tr2bl w:val="nil"/>
                  </w:tcBorders>
                  <w:noWrap w:val="0"/>
                  <w:vAlign w:val="center"/>
                </w:tcPr>
                <w:p w14:paraId="009CC813">
                  <w:pPr>
                    <w:spacing w:line="276" w:lineRule="auto"/>
                    <w:jc w:val="center"/>
                    <w:rPr>
                      <w:rFonts w:hint="default" w:ascii="Times New Roman" w:hAnsi="Times New Roman" w:cs="Times New Roman"/>
                      <w:color w:val="0000FF"/>
                      <w:sz w:val="21"/>
                      <w:szCs w:val="21"/>
                      <w:highlight w:val="none"/>
                    </w:rPr>
                  </w:pPr>
                </w:p>
              </w:tc>
              <w:tc>
                <w:tcPr>
                  <w:tcW w:w="705" w:type="pct"/>
                  <w:vMerge w:val="continue"/>
                  <w:tcBorders>
                    <w:tl2br w:val="nil"/>
                    <w:tr2bl w:val="nil"/>
                  </w:tcBorders>
                  <w:noWrap w:val="0"/>
                  <w:vAlign w:val="center"/>
                </w:tcPr>
                <w:p w14:paraId="4DBD1ECD">
                  <w:pPr>
                    <w:spacing w:line="276" w:lineRule="auto"/>
                    <w:jc w:val="center"/>
                    <w:rPr>
                      <w:rFonts w:hint="default" w:ascii="Times New Roman" w:hAnsi="Times New Roman" w:eastAsia="宋体" w:cs="Times New Roman"/>
                      <w:color w:val="0000FF"/>
                      <w:sz w:val="21"/>
                      <w:szCs w:val="21"/>
                      <w:highlight w:val="none"/>
                      <w:lang w:val="en-US" w:eastAsia="zh-CN"/>
                    </w:rPr>
                  </w:pPr>
                </w:p>
              </w:tc>
            </w:tr>
            <w:tr w14:paraId="2CAA87BA">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72" w:type="pct"/>
                  <w:vMerge w:val="continue"/>
                  <w:tcBorders>
                    <w:tl2br w:val="nil"/>
                    <w:tr2bl w:val="nil"/>
                  </w:tcBorders>
                  <w:noWrap w:val="0"/>
                  <w:vAlign w:val="center"/>
                </w:tcPr>
                <w:p w14:paraId="01FEAF57">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i w:val="0"/>
                      <w:iCs w:val="0"/>
                      <w:color w:val="0000FF"/>
                      <w:kern w:val="0"/>
                      <w:sz w:val="21"/>
                      <w:szCs w:val="21"/>
                      <w:highlight w:val="none"/>
                      <w:u w:val="none"/>
                      <w:lang w:val="en-US" w:eastAsia="zh-CN" w:bidi="ar"/>
                    </w:rPr>
                  </w:pPr>
                </w:p>
              </w:tc>
              <w:tc>
                <w:tcPr>
                  <w:tcW w:w="516" w:type="pct"/>
                  <w:vMerge w:val="continue"/>
                  <w:tcBorders>
                    <w:tl2br w:val="nil"/>
                    <w:tr2bl w:val="nil"/>
                  </w:tcBorders>
                  <w:noWrap w:val="0"/>
                  <w:vAlign w:val="center"/>
                </w:tcPr>
                <w:p w14:paraId="11846F0D">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eastAsia="宋体" w:cs="Times New Roman"/>
                      <w:i w:val="0"/>
                      <w:iCs w:val="0"/>
                      <w:color w:val="0000FF"/>
                      <w:kern w:val="0"/>
                      <w:sz w:val="21"/>
                      <w:szCs w:val="21"/>
                      <w:highlight w:val="none"/>
                      <w:u w:val="none"/>
                      <w:lang w:val="en-US" w:eastAsia="zh-CN" w:bidi="ar"/>
                    </w:rPr>
                  </w:pPr>
                </w:p>
              </w:tc>
              <w:tc>
                <w:tcPr>
                  <w:tcW w:w="856" w:type="pct"/>
                  <w:tcBorders>
                    <w:tl2br w:val="nil"/>
                    <w:tr2bl w:val="nil"/>
                  </w:tcBorders>
                  <w:noWrap w:val="0"/>
                  <w:vAlign w:val="center"/>
                </w:tcPr>
                <w:p w14:paraId="300BB583">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cs="Times New Roman"/>
                      <w:color w:val="0000FF"/>
                      <w:sz w:val="21"/>
                      <w:szCs w:val="21"/>
                      <w:highlight w:val="none"/>
                      <w:lang w:val="en-US" w:eastAsia="zh-CN"/>
                    </w:rPr>
                  </w:pPr>
                  <w:r>
                    <w:rPr>
                      <w:rFonts w:hint="default" w:ascii="Times New Roman" w:hAnsi="Times New Roman" w:cs="Times New Roman"/>
                      <w:color w:val="auto"/>
                      <w:sz w:val="21"/>
                      <w:szCs w:val="21"/>
                      <w:highlight w:val="none"/>
                      <w:lang w:val="en-US" w:eastAsia="zh-CN"/>
                    </w:rPr>
                    <w:t>挥发性有机物使用</w:t>
                  </w:r>
                </w:p>
              </w:tc>
              <w:tc>
                <w:tcPr>
                  <w:tcW w:w="856" w:type="pct"/>
                  <w:tcBorders>
                    <w:tl2br w:val="nil"/>
                    <w:tr2bl w:val="nil"/>
                  </w:tcBorders>
                  <w:noWrap w:val="0"/>
                  <w:vAlign w:val="center"/>
                </w:tcPr>
                <w:p w14:paraId="37AF4DB6">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非甲烷总烃</w:t>
                  </w:r>
                </w:p>
              </w:tc>
              <w:tc>
                <w:tcPr>
                  <w:tcW w:w="1793" w:type="pct"/>
                  <w:vMerge w:val="continue"/>
                  <w:tcBorders>
                    <w:tl2br w:val="nil"/>
                    <w:tr2bl w:val="nil"/>
                  </w:tcBorders>
                  <w:noWrap w:val="0"/>
                  <w:vAlign w:val="center"/>
                </w:tcPr>
                <w:p w14:paraId="17F27DB1">
                  <w:pPr>
                    <w:spacing w:line="276" w:lineRule="auto"/>
                    <w:jc w:val="center"/>
                    <w:rPr>
                      <w:rFonts w:hint="default" w:ascii="Times New Roman" w:hAnsi="Times New Roman" w:cs="Times New Roman"/>
                      <w:color w:val="0000FF"/>
                      <w:sz w:val="21"/>
                      <w:szCs w:val="21"/>
                      <w:highlight w:val="none"/>
                    </w:rPr>
                  </w:pPr>
                </w:p>
              </w:tc>
              <w:tc>
                <w:tcPr>
                  <w:tcW w:w="705" w:type="pct"/>
                  <w:vMerge w:val="continue"/>
                  <w:tcBorders>
                    <w:tl2br w:val="nil"/>
                    <w:tr2bl w:val="nil"/>
                  </w:tcBorders>
                  <w:noWrap w:val="0"/>
                  <w:vAlign w:val="center"/>
                </w:tcPr>
                <w:p w14:paraId="773A17D7">
                  <w:pPr>
                    <w:spacing w:line="276" w:lineRule="auto"/>
                    <w:jc w:val="center"/>
                    <w:rPr>
                      <w:rFonts w:hint="default" w:ascii="Times New Roman" w:hAnsi="Times New Roman" w:eastAsia="宋体" w:cs="Times New Roman"/>
                      <w:color w:val="0000FF"/>
                      <w:sz w:val="21"/>
                      <w:szCs w:val="21"/>
                      <w:highlight w:val="none"/>
                      <w:lang w:eastAsia="zh-CN"/>
                    </w:rPr>
                  </w:pPr>
                </w:p>
              </w:tc>
            </w:tr>
            <w:tr w14:paraId="56F824A4">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72" w:type="pct"/>
                  <w:tcBorders>
                    <w:tl2br w:val="nil"/>
                    <w:tr2bl w:val="nil"/>
                  </w:tcBorders>
                  <w:noWrap w:val="0"/>
                  <w:vAlign w:val="center"/>
                </w:tcPr>
                <w:p w14:paraId="67ABDD39">
                  <w:pPr>
                    <w:spacing w:line="276"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废水</w:t>
                  </w:r>
                </w:p>
              </w:tc>
              <w:tc>
                <w:tcPr>
                  <w:tcW w:w="2228" w:type="pct"/>
                  <w:gridSpan w:val="3"/>
                  <w:tcBorders>
                    <w:tl2br w:val="nil"/>
                    <w:tr2bl w:val="nil"/>
                  </w:tcBorders>
                  <w:noWrap w:val="0"/>
                  <w:vAlign w:val="center"/>
                </w:tcPr>
                <w:p w14:paraId="42DA0B01">
                  <w:pPr>
                    <w:spacing w:line="276" w:lineRule="auto"/>
                    <w:jc w:val="center"/>
                    <w:rPr>
                      <w:rFonts w:hint="default" w:ascii="Times New Roman" w:hAnsi="Times New Roman" w:cs="Times New Roman"/>
                      <w:color w:val="auto"/>
                      <w:spacing w:val="-2"/>
                      <w:sz w:val="21"/>
                      <w:szCs w:val="21"/>
                      <w:highlight w:val="none"/>
                    </w:rPr>
                  </w:pPr>
                  <w:r>
                    <w:rPr>
                      <w:rFonts w:hint="default" w:ascii="Times New Roman" w:hAnsi="Times New Roman" w:eastAsia="宋体" w:cs="Times New Roman"/>
                      <w:color w:val="auto"/>
                      <w:sz w:val="21"/>
                      <w:szCs w:val="21"/>
                      <w:highlight w:val="none"/>
                      <w:lang w:val="en-US" w:eastAsia="zh-CN"/>
                    </w:rPr>
                    <w:t>纯水制备废水</w:t>
                  </w:r>
                </w:p>
              </w:tc>
              <w:tc>
                <w:tcPr>
                  <w:tcW w:w="1793" w:type="pct"/>
                  <w:tcBorders>
                    <w:tl2br w:val="nil"/>
                    <w:tr2bl w:val="nil"/>
                  </w:tcBorders>
                  <w:noWrap w:val="0"/>
                  <w:vAlign w:val="center"/>
                </w:tcPr>
                <w:p w14:paraId="3F94FA27">
                  <w:pPr>
                    <w:spacing w:line="276" w:lineRule="auto"/>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kern w:val="2"/>
                      <w:sz w:val="21"/>
                      <w:szCs w:val="21"/>
                      <w:highlight w:val="none"/>
                      <w:lang w:val="en-US" w:eastAsia="zh-CN" w:bidi="ar-SA"/>
                    </w:rPr>
                    <w:t>用于厂区洒水抑尘</w:t>
                  </w:r>
                </w:p>
              </w:tc>
              <w:tc>
                <w:tcPr>
                  <w:tcW w:w="705" w:type="pct"/>
                  <w:tcBorders>
                    <w:tl2br w:val="nil"/>
                    <w:tr2bl w:val="nil"/>
                  </w:tcBorders>
                  <w:noWrap w:val="0"/>
                  <w:vAlign w:val="center"/>
                </w:tcPr>
                <w:p w14:paraId="0B47BC46">
                  <w:pPr>
                    <w:spacing w:line="276" w:lineRule="auto"/>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14:paraId="48BB3C59">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72" w:type="pct"/>
                  <w:vMerge w:val="restart"/>
                  <w:tcBorders>
                    <w:tl2br w:val="nil"/>
                    <w:tr2bl w:val="nil"/>
                  </w:tcBorders>
                  <w:noWrap w:val="0"/>
                  <w:vAlign w:val="center"/>
                </w:tcPr>
                <w:p w14:paraId="3CDEE192">
                  <w:pPr>
                    <w:spacing w:line="276"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固废</w:t>
                  </w:r>
                </w:p>
              </w:tc>
              <w:tc>
                <w:tcPr>
                  <w:tcW w:w="2228" w:type="pct"/>
                  <w:gridSpan w:val="3"/>
                  <w:tcBorders>
                    <w:tl2br w:val="nil"/>
                    <w:tr2bl w:val="nil"/>
                  </w:tcBorders>
                  <w:noWrap w:val="0"/>
                  <w:vAlign w:val="center"/>
                </w:tcPr>
                <w:p w14:paraId="0D4A1199">
                  <w:pPr>
                    <w:spacing w:line="276" w:lineRule="auto"/>
                    <w:jc w:val="center"/>
                    <w:rPr>
                      <w:rFonts w:hint="default" w:ascii="Times New Roman" w:hAnsi="Times New Roman" w:eastAsia="宋体" w:cs="Times New Roman"/>
                      <w:color w:val="auto"/>
                      <w:spacing w:val="-2"/>
                      <w:sz w:val="21"/>
                      <w:szCs w:val="21"/>
                      <w:highlight w:val="none"/>
                    </w:rPr>
                  </w:pPr>
                  <w:r>
                    <w:rPr>
                      <w:rFonts w:hint="eastAsia" w:ascii="Times New Roman" w:hAnsi="Times New Roman" w:cs="Times New Roman"/>
                      <w:color w:val="auto"/>
                      <w:sz w:val="21"/>
                      <w:szCs w:val="21"/>
                      <w:highlight w:val="none"/>
                      <w:lang w:val="en-US" w:eastAsia="zh-CN"/>
                    </w:rPr>
                    <w:t>损坏的器皿</w:t>
                  </w:r>
                </w:p>
              </w:tc>
              <w:tc>
                <w:tcPr>
                  <w:tcW w:w="1793" w:type="pct"/>
                  <w:tcBorders>
                    <w:tl2br w:val="nil"/>
                    <w:tr2bl w:val="nil"/>
                  </w:tcBorders>
                  <w:noWrap w:val="0"/>
                  <w:vAlign w:val="center"/>
                </w:tcPr>
                <w:p w14:paraId="3DABC596">
                  <w:pPr>
                    <w:spacing w:line="276" w:lineRule="auto"/>
                    <w:jc w:val="center"/>
                    <w:rPr>
                      <w:rFonts w:hint="default" w:ascii="Times New Roman" w:hAnsi="Times New Roman" w:eastAsia="宋体" w:cs="Times New Roman"/>
                      <w:color w:val="auto"/>
                      <w:spacing w:val="-2"/>
                      <w:sz w:val="21"/>
                      <w:szCs w:val="21"/>
                      <w:highlight w:val="none"/>
                    </w:rPr>
                  </w:pPr>
                  <w:r>
                    <w:rPr>
                      <w:rFonts w:hint="eastAsia" w:ascii="Times New Roman" w:hAnsi="Times New Roman" w:eastAsia="宋体" w:cs="Times New Roman"/>
                      <w:color w:val="auto"/>
                      <w:sz w:val="21"/>
                      <w:szCs w:val="21"/>
                      <w:highlight w:val="none"/>
                      <w:lang w:val="en-US" w:eastAsia="zh-CN"/>
                    </w:rPr>
                    <w:t>收集至一般固废间及时外售</w:t>
                  </w:r>
                </w:p>
              </w:tc>
              <w:tc>
                <w:tcPr>
                  <w:tcW w:w="705" w:type="pct"/>
                  <w:tcBorders>
                    <w:tl2br w:val="nil"/>
                    <w:tr2bl w:val="nil"/>
                  </w:tcBorders>
                  <w:noWrap w:val="0"/>
                  <w:vAlign w:val="center"/>
                </w:tcPr>
                <w:p w14:paraId="7A002CEE">
                  <w:pPr>
                    <w:spacing w:line="276"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0.2</w:t>
                  </w:r>
                </w:p>
              </w:tc>
            </w:tr>
            <w:tr w14:paraId="57256B96">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72" w:type="pct"/>
                  <w:vMerge w:val="continue"/>
                  <w:tcBorders>
                    <w:tl2br w:val="nil"/>
                    <w:tr2bl w:val="nil"/>
                  </w:tcBorders>
                  <w:noWrap w:val="0"/>
                  <w:vAlign w:val="center"/>
                </w:tcPr>
                <w:p w14:paraId="53EFD9CE">
                  <w:pPr>
                    <w:spacing w:line="276" w:lineRule="auto"/>
                    <w:jc w:val="center"/>
                    <w:rPr>
                      <w:rFonts w:hint="default" w:ascii="Times New Roman" w:hAnsi="Times New Roman" w:cs="Times New Roman"/>
                      <w:color w:val="auto"/>
                      <w:sz w:val="21"/>
                      <w:szCs w:val="21"/>
                      <w:highlight w:val="none"/>
                    </w:rPr>
                  </w:pPr>
                </w:p>
              </w:tc>
              <w:tc>
                <w:tcPr>
                  <w:tcW w:w="2228" w:type="pct"/>
                  <w:gridSpan w:val="3"/>
                  <w:tcBorders>
                    <w:tl2br w:val="nil"/>
                    <w:tr2bl w:val="nil"/>
                  </w:tcBorders>
                  <w:noWrap w:val="0"/>
                  <w:vAlign w:val="center"/>
                </w:tcPr>
                <w:p w14:paraId="41B3F249">
                  <w:pPr>
                    <w:spacing w:line="276"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实验废液和器皿清洗水</w:t>
                  </w:r>
                  <w:r>
                    <w:rPr>
                      <w:rFonts w:hint="eastAsia" w:cs="Times New Roman"/>
                      <w:color w:val="auto"/>
                      <w:sz w:val="21"/>
                      <w:szCs w:val="21"/>
                      <w:highlight w:val="none"/>
                      <w:lang w:eastAsia="zh-CN"/>
                    </w:rPr>
                    <w:t>、</w:t>
                  </w:r>
                  <w:r>
                    <w:rPr>
                      <w:rFonts w:hint="default" w:ascii="Times New Roman" w:hAnsi="Times New Roman" w:cs="Times New Roman"/>
                      <w:color w:val="auto"/>
                      <w:sz w:val="21"/>
                      <w:szCs w:val="21"/>
                      <w:highlight w:val="none"/>
                    </w:rPr>
                    <w:t>废耗材</w:t>
                  </w:r>
                  <w:r>
                    <w:rPr>
                      <w:rFonts w:hint="eastAsia" w:cs="Times New Roman"/>
                      <w:color w:val="auto"/>
                      <w:sz w:val="21"/>
                      <w:szCs w:val="21"/>
                      <w:highlight w:val="none"/>
                      <w:lang w:eastAsia="zh-CN"/>
                    </w:rPr>
                    <w:t>、</w:t>
                  </w:r>
                  <w:r>
                    <w:rPr>
                      <w:rFonts w:hint="default" w:ascii="Times New Roman" w:hAnsi="Times New Roman" w:cs="Times New Roman"/>
                      <w:color w:val="auto"/>
                      <w:sz w:val="21"/>
                      <w:szCs w:val="21"/>
                      <w:highlight w:val="none"/>
                    </w:rPr>
                    <w:t>过期试剂</w:t>
                  </w:r>
                  <w:r>
                    <w:rPr>
                      <w:rFonts w:hint="eastAsia" w:cs="Times New Roman"/>
                      <w:color w:val="auto"/>
                      <w:sz w:val="21"/>
                      <w:szCs w:val="21"/>
                      <w:highlight w:val="none"/>
                      <w:lang w:eastAsia="zh-CN"/>
                    </w:rPr>
                    <w:t>、</w:t>
                  </w:r>
                  <w:r>
                    <w:rPr>
                      <w:rFonts w:hint="default" w:ascii="Times New Roman" w:hAnsi="Times New Roman" w:cs="Times New Roman"/>
                      <w:color w:val="auto"/>
                      <w:sz w:val="21"/>
                      <w:szCs w:val="21"/>
                      <w:highlight w:val="none"/>
                    </w:rPr>
                    <w:t>废残留样品</w:t>
                  </w:r>
                  <w:r>
                    <w:rPr>
                      <w:rFonts w:hint="eastAsia" w:cs="Times New Roman"/>
                      <w:color w:val="auto"/>
                      <w:sz w:val="21"/>
                      <w:szCs w:val="21"/>
                      <w:highlight w:val="none"/>
                      <w:lang w:eastAsia="zh-CN"/>
                    </w:rPr>
                    <w:t>、</w:t>
                  </w:r>
                  <w:r>
                    <w:rPr>
                      <w:rFonts w:hint="default" w:ascii="Times New Roman" w:hAnsi="Times New Roman" w:cs="Times New Roman"/>
                      <w:color w:val="auto"/>
                      <w:sz w:val="21"/>
                      <w:szCs w:val="21"/>
                      <w:highlight w:val="none"/>
                    </w:rPr>
                    <w:t>废活性炭</w:t>
                  </w:r>
                </w:p>
              </w:tc>
              <w:tc>
                <w:tcPr>
                  <w:tcW w:w="1793" w:type="pct"/>
                  <w:tcBorders>
                    <w:tl2br w:val="nil"/>
                    <w:tr2bl w:val="nil"/>
                  </w:tcBorders>
                  <w:noWrap w:val="0"/>
                  <w:vAlign w:val="center"/>
                </w:tcPr>
                <w:p w14:paraId="60D0D194">
                  <w:pPr>
                    <w:spacing w:line="276" w:lineRule="auto"/>
                    <w:jc w:val="center"/>
                    <w:rPr>
                      <w:rFonts w:hint="eastAsia" w:ascii="Times New Roman" w:hAnsi="Times New Roman" w:eastAsia="宋体" w:cs="Times New Roman"/>
                      <w:color w:val="auto"/>
                      <w:sz w:val="21"/>
                      <w:szCs w:val="21"/>
                      <w:highlight w:val="none"/>
                      <w:lang w:eastAsia="zh-CN"/>
                    </w:rPr>
                  </w:pPr>
                  <w:r>
                    <w:rPr>
                      <w:rFonts w:hint="default" w:ascii="Times New Roman" w:hAnsi="Times New Roman" w:cs="Times New Roman"/>
                      <w:bCs/>
                      <w:color w:val="auto"/>
                      <w:sz w:val="21"/>
                      <w:szCs w:val="21"/>
                      <w:highlight w:val="none"/>
                    </w:rPr>
                    <w:t>危险废物暂存间</w:t>
                  </w:r>
                  <w:r>
                    <w:rPr>
                      <w:rFonts w:hint="eastAsia" w:cs="Times New Roman"/>
                      <w:bCs/>
                      <w:color w:val="auto"/>
                      <w:sz w:val="21"/>
                      <w:szCs w:val="21"/>
                      <w:highlight w:val="none"/>
                      <w:lang w:eastAsia="zh-CN"/>
                    </w:rPr>
                    <w:t>（</w:t>
                  </w:r>
                  <w:r>
                    <w:rPr>
                      <w:rFonts w:hint="eastAsia" w:cs="Times New Roman"/>
                      <w:bCs/>
                      <w:color w:val="auto"/>
                      <w:sz w:val="21"/>
                      <w:szCs w:val="21"/>
                      <w:highlight w:val="none"/>
                      <w:lang w:val="en-US" w:eastAsia="zh-CN"/>
                    </w:rPr>
                    <w:t>依托</w:t>
                  </w:r>
                  <w:r>
                    <w:rPr>
                      <w:rFonts w:hint="eastAsia" w:cs="Times New Roman"/>
                      <w:bCs/>
                      <w:color w:val="auto"/>
                      <w:sz w:val="21"/>
                      <w:szCs w:val="21"/>
                      <w:highlight w:val="none"/>
                      <w:lang w:eastAsia="zh-CN"/>
                    </w:rPr>
                    <w:t>）</w:t>
                  </w:r>
                  <w:r>
                    <w:rPr>
                      <w:rFonts w:hint="default" w:ascii="Times New Roman" w:hAnsi="Times New Roman" w:cs="Times New Roman"/>
                      <w:color w:val="auto"/>
                      <w:sz w:val="21"/>
                      <w:szCs w:val="21"/>
                      <w:highlight w:val="none"/>
                    </w:rPr>
                    <w:t>+危废处置协议</w:t>
                  </w:r>
                  <w:r>
                    <w:rPr>
                      <w:rFonts w:hint="eastAsia" w:cs="Times New Roman"/>
                      <w:color w:val="auto"/>
                      <w:sz w:val="21"/>
                      <w:szCs w:val="21"/>
                      <w:highlight w:val="none"/>
                      <w:lang w:eastAsia="zh-CN"/>
                    </w:rPr>
                    <w:t>（</w:t>
                  </w:r>
                  <w:r>
                    <w:rPr>
                      <w:rFonts w:hint="eastAsia" w:cs="Times New Roman"/>
                      <w:color w:val="auto"/>
                      <w:sz w:val="21"/>
                      <w:szCs w:val="21"/>
                      <w:highlight w:val="none"/>
                      <w:lang w:val="en-US" w:eastAsia="zh-CN"/>
                    </w:rPr>
                    <w:t>纳入</w:t>
                  </w:r>
                  <w:r>
                    <w:rPr>
                      <w:rFonts w:hint="eastAsia" w:cs="Times New Roman"/>
                      <w:color w:val="auto"/>
                      <w:sz w:val="21"/>
                      <w:szCs w:val="21"/>
                      <w:highlight w:val="none"/>
                      <w:lang w:eastAsia="zh-CN"/>
                    </w:rPr>
                    <w:t>）</w:t>
                  </w:r>
                </w:p>
              </w:tc>
              <w:tc>
                <w:tcPr>
                  <w:tcW w:w="705" w:type="pct"/>
                  <w:tcBorders>
                    <w:tl2br w:val="nil"/>
                    <w:tr2bl w:val="nil"/>
                  </w:tcBorders>
                  <w:noWrap w:val="0"/>
                  <w:vAlign w:val="center"/>
                </w:tcPr>
                <w:p w14:paraId="7F966441">
                  <w:pPr>
                    <w:spacing w:line="276" w:lineRule="auto"/>
                    <w:jc w:val="center"/>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w:t>
                  </w:r>
                </w:p>
              </w:tc>
            </w:tr>
            <w:tr w14:paraId="711C4EED">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72" w:type="pct"/>
                  <w:tcBorders>
                    <w:tl2br w:val="nil"/>
                    <w:tr2bl w:val="nil"/>
                  </w:tcBorders>
                  <w:noWrap w:val="0"/>
                  <w:vAlign w:val="center"/>
                </w:tcPr>
                <w:p w14:paraId="4B5974BF">
                  <w:pPr>
                    <w:spacing w:line="276"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噪声</w:t>
                  </w:r>
                </w:p>
              </w:tc>
              <w:tc>
                <w:tcPr>
                  <w:tcW w:w="2228" w:type="pct"/>
                  <w:gridSpan w:val="3"/>
                  <w:tcBorders>
                    <w:tl2br w:val="nil"/>
                    <w:tr2bl w:val="nil"/>
                  </w:tcBorders>
                  <w:noWrap w:val="0"/>
                  <w:vAlign w:val="center"/>
                </w:tcPr>
                <w:p w14:paraId="7117569C">
                  <w:pPr>
                    <w:pStyle w:val="188"/>
                    <w:spacing w:line="276" w:lineRule="auto"/>
                    <w:ind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设备运行噪声</w:t>
                  </w:r>
                </w:p>
              </w:tc>
              <w:tc>
                <w:tcPr>
                  <w:tcW w:w="1793" w:type="pct"/>
                  <w:tcBorders>
                    <w:tl2br w:val="nil"/>
                    <w:tr2bl w:val="nil"/>
                  </w:tcBorders>
                  <w:noWrap w:val="0"/>
                  <w:vAlign w:val="center"/>
                </w:tcPr>
                <w:p w14:paraId="0D109DC2">
                  <w:pPr>
                    <w:pStyle w:val="188"/>
                    <w:spacing w:line="276" w:lineRule="auto"/>
                    <w:ind w:firstLine="0" w:firstLineChars="0"/>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风机</w:t>
                  </w:r>
                  <w:r>
                    <w:rPr>
                      <w:rFonts w:hint="default" w:ascii="Times New Roman" w:hAnsi="Times New Roman" w:cs="Times New Roman"/>
                      <w:color w:val="auto"/>
                      <w:sz w:val="21"/>
                      <w:szCs w:val="21"/>
                      <w:highlight w:val="none"/>
                    </w:rPr>
                    <w:t>基础减振、柔性连接</w:t>
                  </w:r>
                  <w:r>
                    <w:rPr>
                      <w:rFonts w:hint="eastAsia" w:cs="Times New Roman"/>
                      <w:color w:val="auto"/>
                      <w:sz w:val="21"/>
                      <w:szCs w:val="21"/>
                      <w:highlight w:val="none"/>
                      <w:lang w:eastAsia="zh-CN"/>
                    </w:rPr>
                    <w:t>、</w:t>
                  </w:r>
                  <w:r>
                    <w:rPr>
                      <w:rFonts w:hint="eastAsia" w:cs="Times New Roman"/>
                      <w:color w:val="auto"/>
                      <w:sz w:val="21"/>
                      <w:szCs w:val="21"/>
                      <w:highlight w:val="none"/>
                      <w:lang w:val="en-US" w:eastAsia="zh-CN"/>
                    </w:rPr>
                    <w:t>减震垫</w:t>
                  </w:r>
                </w:p>
              </w:tc>
              <w:tc>
                <w:tcPr>
                  <w:tcW w:w="705" w:type="pct"/>
                  <w:tcBorders>
                    <w:tl2br w:val="nil"/>
                    <w:tr2bl w:val="nil"/>
                  </w:tcBorders>
                  <w:noWrap w:val="0"/>
                  <w:vAlign w:val="center"/>
                </w:tcPr>
                <w:p w14:paraId="04B1F048">
                  <w:pPr>
                    <w:spacing w:line="276" w:lineRule="auto"/>
                    <w:jc w:val="center"/>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val="en-US" w:eastAsia="zh-CN"/>
                    </w:rPr>
                    <w:t>1</w:t>
                  </w:r>
                </w:p>
              </w:tc>
            </w:tr>
            <w:tr w14:paraId="3D6E1823">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4294" w:type="pct"/>
                  <w:gridSpan w:val="5"/>
                  <w:tcBorders>
                    <w:tl2br w:val="nil"/>
                    <w:tr2bl w:val="nil"/>
                  </w:tcBorders>
                  <w:noWrap w:val="0"/>
                  <w:vAlign w:val="center"/>
                </w:tcPr>
                <w:p w14:paraId="736B4E02">
                  <w:pPr>
                    <w:spacing w:line="276"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环保投入合计</w:t>
                  </w:r>
                </w:p>
              </w:tc>
              <w:tc>
                <w:tcPr>
                  <w:tcW w:w="705" w:type="pct"/>
                  <w:tcBorders>
                    <w:tl2br w:val="nil"/>
                    <w:tr2bl w:val="nil"/>
                  </w:tcBorders>
                  <w:noWrap w:val="0"/>
                  <w:vAlign w:val="center"/>
                </w:tcPr>
                <w:p w14:paraId="2C98098A">
                  <w:pPr>
                    <w:spacing w:line="276" w:lineRule="auto"/>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7.2</w:t>
                  </w:r>
                </w:p>
              </w:tc>
            </w:tr>
          </w:tbl>
          <w:p w14:paraId="5FCBCA96">
            <w:pPr>
              <w:adjustRightInd w:val="0"/>
              <w:snapToGrid w:val="0"/>
              <w:spacing w:line="360" w:lineRule="auto"/>
              <w:ind w:firstLine="482" w:firstLineChars="200"/>
              <w:rPr>
                <w:b/>
                <w:bCs/>
                <w:color w:val="auto"/>
                <w:sz w:val="24"/>
                <w:highlight w:val="none"/>
              </w:rPr>
            </w:pPr>
            <w:r>
              <w:rPr>
                <w:rFonts w:hint="eastAsia"/>
                <w:b/>
                <w:bCs/>
                <w:color w:val="auto"/>
                <w:sz w:val="24"/>
                <w:highlight w:val="none"/>
              </w:rPr>
              <w:t>9、项目竣工环保验收管理</w:t>
            </w:r>
          </w:p>
          <w:p w14:paraId="01CC57D7">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三同时”验收是指针对新建、改建、扩建项目和重大变动项目以及区域性开发建设项目的环境保护设施必须与主体工程同时设计、同时施工、同时投产的制度的验收。建设项目竣工后建设单位应自主开展环境保护验收工作，建设项目配套建设的环境保护设施必须经验收合格后，其主体工程才可以投入生产或者使用。</w:t>
            </w:r>
          </w:p>
          <w:p w14:paraId="79D9AAC9">
            <w:pPr>
              <w:keepNext w:val="0"/>
              <w:keepLines w:val="0"/>
              <w:pageBreakBefore w:val="0"/>
              <w:widowControl w:val="0"/>
              <w:kinsoku/>
              <w:wordWrap/>
              <w:overflowPunct/>
              <w:topLinePunct w:val="0"/>
              <w:autoSpaceDE/>
              <w:bidi w:val="0"/>
              <w:adjustRightInd/>
              <w:snapToGrid/>
              <w:spacing w:line="360" w:lineRule="auto"/>
              <w:ind w:firstLine="420" w:firstLineChars="200"/>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建设项目环保设施竣工验收一览表见表</w:t>
            </w:r>
            <w:r>
              <w:rPr>
                <w:rFonts w:hint="eastAsia" w:cs="Times New Roman"/>
                <w:color w:val="auto"/>
                <w:kern w:val="0"/>
                <w:sz w:val="21"/>
                <w:szCs w:val="21"/>
                <w:highlight w:val="none"/>
                <w:lang w:val="en-US" w:eastAsia="zh-CN"/>
              </w:rPr>
              <w:t>41</w:t>
            </w:r>
            <w:r>
              <w:rPr>
                <w:rFonts w:hint="eastAsia" w:ascii="Times New Roman" w:hAnsi="Times New Roman" w:eastAsia="宋体" w:cs="Times New Roman"/>
                <w:color w:val="auto"/>
                <w:kern w:val="0"/>
                <w:sz w:val="21"/>
                <w:szCs w:val="21"/>
                <w:highlight w:val="none"/>
                <w:lang w:val="en-US" w:eastAsia="zh-CN"/>
              </w:rPr>
              <w:t>。</w:t>
            </w:r>
          </w:p>
          <w:p w14:paraId="6D06747F">
            <w:pPr>
              <w:pStyle w:val="63"/>
              <w:jc w:val="center"/>
              <w:rPr>
                <w:rFonts w:hint="eastAsia" w:ascii="Times New Roman" w:eastAsia="宋体" w:cs="Times New Roman"/>
                <w:b/>
                <w:bCs/>
                <w:color w:val="auto"/>
                <w:kern w:val="2"/>
                <w:highlight w:val="none"/>
              </w:rPr>
            </w:pPr>
            <w:r>
              <w:rPr>
                <w:rFonts w:hint="eastAsia" w:ascii="Times New Roman" w:eastAsia="宋体" w:cs="Times New Roman"/>
                <w:b/>
                <w:bCs/>
                <w:color w:val="auto"/>
                <w:kern w:val="2"/>
                <w:highlight w:val="none"/>
              </w:rPr>
              <w:t>表</w:t>
            </w:r>
            <w:r>
              <w:rPr>
                <w:rFonts w:hint="eastAsia" w:cs="Times New Roman"/>
                <w:b/>
                <w:bCs/>
                <w:color w:val="auto"/>
                <w:kern w:val="2"/>
                <w:highlight w:val="none"/>
                <w:lang w:val="en-US" w:eastAsia="zh-CN"/>
              </w:rPr>
              <w:t>41</w:t>
            </w:r>
            <w:r>
              <w:rPr>
                <w:rFonts w:hint="eastAsia" w:ascii="Times New Roman" w:eastAsia="宋体" w:cs="Times New Roman"/>
                <w:b/>
                <w:bCs/>
                <w:color w:val="auto"/>
                <w:kern w:val="2"/>
                <w:highlight w:val="none"/>
              </w:rPr>
              <w:t xml:space="preserve">  项目环保设施竣工验收一览表</w:t>
            </w:r>
          </w:p>
          <w:tbl>
            <w:tblPr>
              <w:tblStyle w:val="45"/>
              <w:tblW w:w="918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7"/>
              <w:gridCol w:w="2765"/>
              <w:gridCol w:w="2447"/>
              <w:gridCol w:w="3485"/>
            </w:tblGrid>
            <w:tr w14:paraId="0FD3B7AB">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770" w:type="pct"/>
                  <w:gridSpan w:val="2"/>
                  <w:tcBorders>
                    <w:tl2br w:val="nil"/>
                    <w:tr2bl w:val="nil"/>
                  </w:tcBorders>
                  <w:noWrap w:val="0"/>
                  <w:vAlign w:val="center"/>
                </w:tcPr>
                <w:p w14:paraId="1AAE3506">
                  <w:pPr>
                    <w:spacing w:line="276" w:lineRule="auto"/>
                    <w:jc w:val="center"/>
                    <w:rPr>
                      <w:b/>
                      <w:bCs/>
                      <w:color w:val="auto"/>
                      <w:sz w:val="21"/>
                      <w:szCs w:val="21"/>
                      <w:highlight w:val="none"/>
                    </w:rPr>
                  </w:pPr>
                  <w:r>
                    <w:rPr>
                      <w:b/>
                      <w:bCs/>
                      <w:color w:val="auto"/>
                      <w:sz w:val="21"/>
                      <w:szCs w:val="21"/>
                      <w:highlight w:val="none"/>
                    </w:rPr>
                    <w:t>污染源</w:t>
                  </w:r>
                </w:p>
              </w:tc>
              <w:tc>
                <w:tcPr>
                  <w:tcW w:w="1332" w:type="pct"/>
                  <w:tcBorders>
                    <w:tl2br w:val="nil"/>
                    <w:tr2bl w:val="nil"/>
                  </w:tcBorders>
                  <w:noWrap w:val="0"/>
                  <w:vAlign w:val="center"/>
                </w:tcPr>
                <w:p w14:paraId="0698998D">
                  <w:pPr>
                    <w:spacing w:line="276" w:lineRule="auto"/>
                    <w:jc w:val="center"/>
                    <w:rPr>
                      <w:b/>
                      <w:bCs/>
                      <w:color w:val="auto"/>
                      <w:sz w:val="21"/>
                      <w:szCs w:val="21"/>
                      <w:highlight w:val="none"/>
                    </w:rPr>
                  </w:pPr>
                  <w:r>
                    <w:rPr>
                      <w:b/>
                      <w:bCs/>
                      <w:color w:val="auto"/>
                      <w:sz w:val="21"/>
                      <w:szCs w:val="21"/>
                      <w:highlight w:val="none"/>
                    </w:rPr>
                    <w:t>污染防治措施</w:t>
                  </w:r>
                </w:p>
              </w:tc>
              <w:tc>
                <w:tcPr>
                  <w:tcW w:w="1897" w:type="pct"/>
                  <w:tcBorders>
                    <w:tl2br w:val="nil"/>
                    <w:tr2bl w:val="nil"/>
                  </w:tcBorders>
                  <w:noWrap w:val="0"/>
                  <w:vAlign w:val="center"/>
                </w:tcPr>
                <w:p w14:paraId="6F06AA2F">
                  <w:pPr>
                    <w:spacing w:line="276" w:lineRule="auto"/>
                    <w:jc w:val="center"/>
                    <w:rPr>
                      <w:b/>
                      <w:bCs/>
                      <w:color w:val="auto"/>
                      <w:sz w:val="21"/>
                      <w:szCs w:val="21"/>
                      <w:highlight w:val="none"/>
                    </w:rPr>
                  </w:pPr>
                  <w:r>
                    <w:rPr>
                      <w:b/>
                      <w:bCs/>
                      <w:color w:val="auto"/>
                      <w:sz w:val="21"/>
                      <w:szCs w:val="21"/>
                      <w:highlight w:val="none"/>
                    </w:rPr>
                    <w:t>验收标准</w:t>
                  </w:r>
                </w:p>
              </w:tc>
            </w:tr>
            <w:tr w14:paraId="65CD574C">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65" w:type="pct"/>
                  <w:vMerge w:val="restart"/>
                  <w:tcBorders>
                    <w:tl2br w:val="nil"/>
                    <w:tr2bl w:val="nil"/>
                  </w:tcBorders>
                  <w:noWrap w:val="0"/>
                  <w:vAlign w:val="center"/>
                </w:tcPr>
                <w:p w14:paraId="08FA36F5">
                  <w:pPr>
                    <w:spacing w:line="276" w:lineRule="auto"/>
                    <w:jc w:val="center"/>
                    <w:rPr>
                      <w:color w:val="auto"/>
                      <w:sz w:val="21"/>
                      <w:szCs w:val="21"/>
                      <w:highlight w:val="none"/>
                    </w:rPr>
                  </w:pPr>
                  <w:r>
                    <w:rPr>
                      <w:color w:val="auto"/>
                      <w:sz w:val="21"/>
                      <w:szCs w:val="21"/>
                      <w:highlight w:val="none"/>
                    </w:rPr>
                    <w:t>废气</w:t>
                  </w:r>
                </w:p>
              </w:tc>
              <w:tc>
                <w:tcPr>
                  <w:tcW w:w="1504" w:type="pct"/>
                  <w:tcBorders>
                    <w:tl2br w:val="nil"/>
                    <w:tr2bl w:val="nil"/>
                  </w:tcBorders>
                  <w:noWrap w:val="0"/>
                  <w:vAlign w:val="center"/>
                </w:tcPr>
                <w:p w14:paraId="18AAEBEC">
                  <w:pPr>
                    <w:pStyle w:val="63"/>
                    <w:keepNext w:val="0"/>
                    <w:keepLines w:val="0"/>
                    <w:pageBreakBefore w:val="0"/>
                    <w:widowControl w:val="0"/>
                    <w:kinsoku/>
                    <w:wordWrap/>
                    <w:overflowPunct/>
                    <w:topLinePunct w:val="0"/>
                    <w:bidi w:val="0"/>
                    <w:spacing w:line="240" w:lineRule="auto"/>
                    <w:ind w:left="0" w:leftChars="0"/>
                    <w:jc w:val="center"/>
                    <w:textAlignment w:val="auto"/>
                    <w:rPr>
                      <w:rFonts w:hint="eastAsia"/>
                      <w:color w:val="auto"/>
                      <w:kern w:val="0"/>
                      <w:sz w:val="21"/>
                      <w:szCs w:val="21"/>
                      <w:highlight w:val="none"/>
                      <w:lang w:val="en-US" w:eastAsia="zh-CN" w:bidi="en-US"/>
                    </w:rPr>
                  </w:pPr>
                  <w:r>
                    <w:rPr>
                      <w:rStyle w:val="287"/>
                      <w:rFonts w:hint="default" w:ascii="Times New Roman" w:hAnsi="Times New Roman" w:cs="Times New Roman"/>
                      <w:bCs w:val="0"/>
                      <w:color w:val="auto"/>
                      <w:sz w:val="21"/>
                      <w:szCs w:val="21"/>
                      <w:highlight w:val="none"/>
                    </w:rPr>
                    <w:t>硫酸</w:t>
                  </w:r>
                  <w:r>
                    <w:rPr>
                      <w:rStyle w:val="287"/>
                      <w:rFonts w:hint="default" w:ascii="Times New Roman" w:hAnsi="Times New Roman" w:cs="Times New Roman"/>
                      <w:bCs w:val="0"/>
                      <w:color w:val="auto"/>
                      <w:sz w:val="21"/>
                      <w:szCs w:val="21"/>
                      <w:highlight w:val="none"/>
                      <w:lang w:val="en-US" w:eastAsia="zh-CN"/>
                    </w:rPr>
                    <w:t>使用</w:t>
                  </w:r>
                </w:p>
              </w:tc>
              <w:tc>
                <w:tcPr>
                  <w:tcW w:w="1332" w:type="pct"/>
                  <w:vMerge w:val="restart"/>
                  <w:tcBorders>
                    <w:tl2br w:val="nil"/>
                    <w:tr2bl w:val="nil"/>
                  </w:tcBorders>
                  <w:noWrap w:val="0"/>
                  <w:vAlign w:val="center"/>
                </w:tcPr>
                <w:p w14:paraId="4D7F256A">
                  <w:pPr>
                    <w:spacing w:line="276" w:lineRule="auto"/>
                    <w:jc w:val="center"/>
                    <w:rPr>
                      <w:rFonts w:hint="default" w:eastAsia="宋体"/>
                      <w:color w:val="auto"/>
                      <w:sz w:val="21"/>
                      <w:szCs w:val="21"/>
                      <w:highlight w:val="none"/>
                      <w:lang w:val="en-US" w:eastAsia="zh-CN"/>
                    </w:rPr>
                  </w:pPr>
                  <w:r>
                    <w:rPr>
                      <w:rStyle w:val="287"/>
                      <w:rFonts w:hint="eastAsia" w:cs="Times New Roman"/>
                      <w:color w:val="auto"/>
                      <w:sz w:val="21"/>
                      <w:szCs w:val="21"/>
                      <w:highlight w:val="none"/>
                      <w:lang w:val="en-US" w:eastAsia="zh-CN"/>
                    </w:rPr>
                    <w:t>二级</w:t>
                  </w:r>
                  <w:r>
                    <w:rPr>
                      <w:rStyle w:val="287"/>
                      <w:rFonts w:hint="default" w:ascii="Times New Roman" w:hAnsi="Times New Roman" w:eastAsia="宋体" w:cs="Times New Roman"/>
                      <w:color w:val="auto"/>
                      <w:sz w:val="21"/>
                      <w:szCs w:val="21"/>
                      <w:highlight w:val="none"/>
                      <w:lang w:val="en-US" w:eastAsia="zh-CN"/>
                    </w:rPr>
                    <w:t>活性炭吸附装置</w:t>
                  </w:r>
                  <w:r>
                    <w:rPr>
                      <w:rFonts w:hint="eastAsia" w:cs="Times New Roman"/>
                      <w:color w:val="auto"/>
                      <w:spacing w:val="-6"/>
                      <w:kern w:val="0"/>
                      <w:sz w:val="21"/>
                      <w:szCs w:val="21"/>
                      <w:highlight w:val="none"/>
                      <w:lang w:val="en-US" w:eastAsia="zh-CN" w:bidi="ar"/>
                    </w:rPr>
                    <w:t>+15</w:t>
                  </w:r>
                  <w:r>
                    <w:rPr>
                      <w:rFonts w:hint="default" w:ascii="Times New Roman" w:hAnsi="Times New Roman" w:cs="Times New Roman"/>
                      <w:color w:val="auto"/>
                      <w:spacing w:val="-6"/>
                      <w:kern w:val="0"/>
                      <w:sz w:val="21"/>
                      <w:szCs w:val="21"/>
                      <w:highlight w:val="none"/>
                      <w:lang w:val="en-US" w:eastAsia="zh-CN" w:bidi="ar"/>
                    </w:rPr>
                    <w:t>m高排气</w:t>
                  </w:r>
                  <w:r>
                    <w:rPr>
                      <w:rFonts w:hint="default" w:ascii="Times New Roman" w:hAnsi="Times New Roman" w:eastAsia="宋体" w:cs="Times New Roman"/>
                      <w:color w:val="auto"/>
                      <w:spacing w:val="-6"/>
                      <w:kern w:val="0"/>
                      <w:sz w:val="21"/>
                      <w:szCs w:val="21"/>
                      <w:highlight w:val="none"/>
                      <w:lang w:val="en-US" w:eastAsia="zh-CN" w:bidi="ar"/>
                    </w:rPr>
                    <w:t>筒排放</w:t>
                  </w:r>
                </w:p>
              </w:tc>
              <w:tc>
                <w:tcPr>
                  <w:tcW w:w="1897" w:type="pct"/>
                  <w:vMerge w:val="restart"/>
                  <w:tcBorders>
                    <w:tl2br w:val="nil"/>
                    <w:tr2bl w:val="nil"/>
                  </w:tcBorders>
                  <w:noWrap w:val="0"/>
                  <w:vAlign w:val="center"/>
                </w:tcPr>
                <w:p w14:paraId="7BB7219D">
                  <w:pPr>
                    <w:spacing w:line="276" w:lineRule="auto"/>
                    <w:jc w:val="center"/>
                    <w:rPr>
                      <w:rStyle w:val="287"/>
                      <w:rFonts w:hint="default" w:ascii="Times New Roman" w:hAnsi="Times New Roman" w:eastAsia="宋体" w:cs="Times New Roman"/>
                      <w:color w:val="auto"/>
                      <w:sz w:val="21"/>
                      <w:szCs w:val="21"/>
                      <w:highlight w:val="none"/>
                      <w:lang w:val="en-US" w:eastAsia="zh-CN"/>
                    </w:rPr>
                  </w:pPr>
                  <w:r>
                    <w:rPr>
                      <w:rStyle w:val="287"/>
                      <w:rFonts w:hint="default" w:ascii="Times New Roman" w:hAnsi="Times New Roman" w:eastAsia="宋体" w:cs="Times New Roman"/>
                      <w:color w:val="auto"/>
                      <w:sz w:val="21"/>
                      <w:szCs w:val="21"/>
                      <w:highlight w:val="none"/>
                      <w:lang w:val="en-US" w:eastAsia="zh-CN"/>
                    </w:rPr>
                    <w:t>《大气污染物综合排放标准》（GB16297-1996）</w:t>
                  </w:r>
                  <w:r>
                    <w:rPr>
                      <w:rStyle w:val="287"/>
                      <w:rFonts w:hint="eastAsia" w:ascii="Times New Roman" w:hAnsi="Times New Roman" w:eastAsia="宋体" w:cs="Times New Roman"/>
                      <w:color w:val="auto"/>
                      <w:sz w:val="21"/>
                      <w:szCs w:val="21"/>
                      <w:highlight w:val="none"/>
                      <w:lang w:val="en-US" w:eastAsia="zh-CN"/>
                    </w:rPr>
                    <w:t>表2</w:t>
                  </w:r>
                  <w:r>
                    <w:rPr>
                      <w:rStyle w:val="287"/>
                      <w:rFonts w:hint="default" w:ascii="Times New Roman" w:hAnsi="Times New Roman" w:eastAsia="宋体" w:cs="Times New Roman"/>
                      <w:color w:val="auto"/>
                      <w:sz w:val="21"/>
                      <w:szCs w:val="21"/>
                      <w:highlight w:val="none"/>
                      <w:lang w:val="en-US" w:eastAsia="zh-CN"/>
                    </w:rPr>
                    <w:t>中二级标准</w:t>
                  </w:r>
                  <w:r>
                    <w:rPr>
                      <w:rStyle w:val="287"/>
                      <w:rFonts w:hint="eastAsia" w:ascii="Times New Roman" w:hAnsi="Times New Roman" w:eastAsia="宋体" w:cs="Times New Roman"/>
                      <w:color w:val="auto"/>
                      <w:sz w:val="21"/>
                      <w:szCs w:val="21"/>
                      <w:highlight w:val="none"/>
                      <w:lang w:val="en-US" w:eastAsia="zh-CN"/>
                    </w:rPr>
                    <w:t>及</w:t>
                  </w:r>
                  <w:r>
                    <w:rPr>
                      <w:rFonts w:hint="eastAsia" w:cs="Times New Roman"/>
                      <w:b w:val="0"/>
                      <w:bCs/>
                      <w:color w:val="auto"/>
                      <w:kern w:val="0"/>
                      <w:sz w:val="21"/>
                      <w:szCs w:val="21"/>
                      <w:highlight w:val="none"/>
                      <w:vertAlign w:val="baseline"/>
                      <w:lang w:val="en-US" w:eastAsia="zh-CN"/>
                    </w:rPr>
                    <w:t>《</w:t>
                  </w:r>
                  <w:r>
                    <w:rPr>
                      <w:rFonts w:hint="default" w:ascii="Times New Roman" w:hAnsi="Times New Roman" w:eastAsia="宋体" w:cs="Times New Roman"/>
                      <w:b w:val="0"/>
                      <w:bCs/>
                      <w:color w:val="auto"/>
                      <w:kern w:val="0"/>
                      <w:sz w:val="21"/>
                      <w:szCs w:val="21"/>
                      <w:highlight w:val="none"/>
                      <w:vertAlign w:val="baseline"/>
                      <w:lang w:val="en-US" w:eastAsia="zh-CN"/>
                    </w:rPr>
                    <w:t>挥发性有机物无组织排放控制标准</w:t>
                  </w:r>
                  <w:r>
                    <w:rPr>
                      <w:rFonts w:hint="eastAsia" w:cs="Times New Roman"/>
                      <w:b w:val="0"/>
                      <w:bCs/>
                      <w:color w:val="auto"/>
                      <w:kern w:val="0"/>
                      <w:sz w:val="21"/>
                      <w:szCs w:val="21"/>
                      <w:highlight w:val="none"/>
                      <w:vertAlign w:val="baseline"/>
                      <w:lang w:val="en-US" w:eastAsia="zh-CN"/>
                    </w:rPr>
                    <w:t>》（GB37822-2019）</w:t>
                  </w:r>
                </w:p>
              </w:tc>
            </w:tr>
            <w:tr w14:paraId="6524FBC4">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65" w:type="pct"/>
                  <w:vMerge w:val="continue"/>
                  <w:tcBorders>
                    <w:tl2br w:val="nil"/>
                    <w:tr2bl w:val="nil"/>
                  </w:tcBorders>
                  <w:noWrap w:val="0"/>
                  <w:vAlign w:val="center"/>
                </w:tcPr>
                <w:p w14:paraId="08E052C6">
                  <w:pPr>
                    <w:spacing w:line="276" w:lineRule="auto"/>
                    <w:jc w:val="center"/>
                    <w:rPr>
                      <w:color w:val="0000FF"/>
                      <w:sz w:val="21"/>
                      <w:szCs w:val="21"/>
                      <w:highlight w:val="none"/>
                    </w:rPr>
                  </w:pPr>
                </w:p>
              </w:tc>
              <w:tc>
                <w:tcPr>
                  <w:tcW w:w="1504" w:type="pct"/>
                  <w:tcBorders>
                    <w:tl2br w:val="nil"/>
                    <w:tr2bl w:val="nil"/>
                  </w:tcBorders>
                  <w:noWrap w:val="0"/>
                  <w:vAlign w:val="center"/>
                </w:tcPr>
                <w:p w14:paraId="2C094DE0">
                  <w:pPr>
                    <w:pStyle w:val="63"/>
                    <w:keepNext w:val="0"/>
                    <w:keepLines w:val="0"/>
                    <w:pageBreakBefore w:val="0"/>
                    <w:widowControl w:val="0"/>
                    <w:kinsoku/>
                    <w:wordWrap/>
                    <w:overflowPunct/>
                    <w:topLinePunct w:val="0"/>
                    <w:bidi w:val="0"/>
                    <w:spacing w:line="240" w:lineRule="auto"/>
                    <w:ind w:left="0" w:leftChars="0"/>
                    <w:jc w:val="center"/>
                    <w:textAlignment w:val="auto"/>
                    <w:rPr>
                      <w:color w:val="auto"/>
                      <w:kern w:val="0"/>
                      <w:sz w:val="21"/>
                      <w:szCs w:val="21"/>
                      <w:highlight w:val="none"/>
                      <w:lang w:bidi="en-US"/>
                    </w:rPr>
                  </w:pPr>
                  <w:r>
                    <w:rPr>
                      <w:rFonts w:hint="default" w:ascii="Times New Roman" w:hAnsi="Times New Roman" w:cs="Times New Roman"/>
                      <w:color w:val="auto"/>
                      <w:kern w:val="0"/>
                      <w:sz w:val="21"/>
                      <w:szCs w:val="21"/>
                      <w:highlight w:val="none"/>
                      <w:lang w:val="en-US" w:eastAsia="zh-CN"/>
                    </w:rPr>
                    <w:t>硝酸使用</w:t>
                  </w:r>
                </w:p>
              </w:tc>
              <w:tc>
                <w:tcPr>
                  <w:tcW w:w="1332" w:type="pct"/>
                  <w:vMerge w:val="continue"/>
                  <w:tcBorders>
                    <w:tl2br w:val="nil"/>
                    <w:tr2bl w:val="nil"/>
                  </w:tcBorders>
                  <w:noWrap w:val="0"/>
                  <w:vAlign w:val="center"/>
                </w:tcPr>
                <w:p w14:paraId="522E32B2">
                  <w:pPr>
                    <w:spacing w:line="276" w:lineRule="auto"/>
                    <w:jc w:val="center"/>
                    <w:rPr>
                      <w:rFonts w:hint="default"/>
                      <w:color w:val="auto"/>
                      <w:sz w:val="21"/>
                      <w:szCs w:val="21"/>
                      <w:highlight w:val="none"/>
                      <w:lang w:val="en-US"/>
                    </w:rPr>
                  </w:pPr>
                </w:p>
              </w:tc>
              <w:tc>
                <w:tcPr>
                  <w:tcW w:w="1897" w:type="pct"/>
                  <w:vMerge w:val="continue"/>
                  <w:tcBorders>
                    <w:tl2br w:val="nil"/>
                    <w:tr2bl w:val="nil"/>
                  </w:tcBorders>
                  <w:noWrap w:val="0"/>
                  <w:vAlign w:val="center"/>
                </w:tcPr>
                <w:p w14:paraId="6664E8CE">
                  <w:pPr>
                    <w:spacing w:line="276" w:lineRule="auto"/>
                    <w:jc w:val="center"/>
                    <w:rPr>
                      <w:rStyle w:val="287"/>
                      <w:rFonts w:hint="default" w:ascii="Times New Roman" w:hAnsi="Times New Roman" w:eastAsia="宋体" w:cs="Times New Roman"/>
                      <w:color w:val="auto"/>
                      <w:sz w:val="21"/>
                      <w:szCs w:val="21"/>
                      <w:highlight w:val="none"/>
                      <w:lang w:val="en-US" w:eastAsia="zh-CN"/>
                    </w:rPr>
                  </w:pPr>
                </w:p>
              </w:tc>
            </w:tr>
            <w:tr w14:paraId="3BD0A0B8">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65" w:type="pct"/>
                  <w:vMerge w:val="continue"/>
                  <w:tcBorders>
                    <w:tl2br w:val="nil"/>
                    <w:tr2bl w:val="nil"/>
                  </w:tcBorders>
                  <w:noWrap w:val="0"/>
                  <w:vAlign w:val="center"/>
                </w:tcPr>
                <w:p w14:paraId="7C8A75F4">
                  <w:pPr>
                    <w:spacing w:line="276" w:lineRule="auto"/>
                    <w:jc w:val="center"/>
                    <w:rPr>
                      <w:color w:val="0000FF"/>
                      <w:sz w:val="21"/>
                      <w:szCs w:val="21"/>
                      <w:highlight w:val="none"/>
                    </w:rPr>
                  </w:pPr>
                </w:p>
              </w:tc>
              <w:tc>
                <w:tcPr>
                  <w:tcW w:w="1504" w:type="pct"/>
                  <w:tcBorders>
                    <w:tl2br w:val="nil"/>
                    <w:tr2bl w:val="nil"/>
                  </w:tcBorders>
                  <w:noWrap w:val="0"/>
                  <w:vAlign w:val="center"/>
                </w:tcPr>
                <w:p w14:paraId="73BB397E">
                  <w:pPr>
                    <w:pStyle w:val="63"/>
                    <w:keepNext w:val="0"/>
                    <w:keepLines w:val="0"/>
                    <w:pageBreakBefore w:val="0"/>
                    <w:widowControl w:val="0"/>
                    <w:kinsoku/>
                    <w:wordWrap/>
                    <w:overflowPunct/>
                    <w:topLinePunct w:val="0"/>
                    <w:bidi w:val="0"/>
                    <w:spacing w:line="240" w:lineRule="auto"/>
                    <w:ind w:left="0" w:leftChars="0"/>
                    <w:jc w:val="center"/>
                    <w:textAlignment w:val="auto"/>
                    <w:rPr>
                      <w:color w:val="auto"/>
                      <w:kern w:val="0"/>
                      <w:sz w:val="21"/>
                      <w:szCs w:val="21"/>
                      <w:highlight w:val="none"/>
                      <w:lang w:bidi="en-US"/>
                    </w:rPr>
                  </w:pPr>
                  <w:r>
                    <w:rPr>
                      <w:rFonts w:hint="default" w:ascii="Times New Roman" w:hAnsi="Times New Roman" w:eastAsia="宋体" w:cs="Times New Roman"/>
                      <w:i w:val="0"/>
                      <w:iCs w:val="0"/>
                      <w:color w:val="auto"/>
                      <w:kern w:val="0"/>
                      <w:sz w:val="21"/>
                      <w:szCs w:val="21"/>
                      <w:highlight w:val="none"/>
                      <w:u w:val="none"/>
                      <w:lang w:val="en-US" w:eastAsia="zh-CN" w:bidi="ar"/>
                    </w:rPr>
                    <w:t>盐酸使用</w:t>
                  </w:r>
                </w:p>
              </w:tc>
              <w:tc>
                <w:tcPr>
                  <w:tcW w:w="1332" w:type="pct"/>
                  <w:vMerge w:val="continue"/>
                  <w:tcBorders>
                    <w:tl2br w:val="nil"/>
                    <w:tr2bl w:val="nil"/>
                  </w:tcBorders>
                  <w:noWrap w:val="0"/>
                  <w:vAlign w:val="center"/>
                </w:tcPr>
                <w:p w14:paraId="652B3AD5">
                  <w:pPr>
                    <w:spacing w:line="276" w:lineRule="auto"/>
                    <w:jc w:val="center"/>
                    <w:rPr>
                      <w:rFonts w:hint="default"/>
                      <w:color w:val="auto"/>
                      <w:sz w:val="21"/>
                      <w:szCs w:val="21"/>
                      <w:highlight w:val="none"/>
                      <w:lang w:val="en-US"/>
                    </w:rPr>
                  </w:pPr>
                </w:p>
              </w:tc>
              <w:tc>
                <w:tcPr>
                  <w:tcW w:w="1897" w:type="pct"/>
                  <w:vMerge w:val="continue"/>
                  <w:tcBorders>
                    <w:tl2br w:val="nil"/>
                    <w:tr2bl w:val="nil"/>
                  </w:tcBorders>
                  <w:noWrap w:val="0"/>
                  <w:vAlign w:val="center"/>
                </w:tcPr>
                <w:p w14:paraId="22227512">
                  <w:pPr>
                    <w:spacing w:line="276" w:lineRule="auto"/>
                    <w:jc w:val="center"/>
                    <w:rPr>
                      <w:rStyle w:val="287"/>
                      <w:rFonts w:hint="default" w:ascii="Times New Roman" w:hAnsi="Times New Roman" w:eastAsia="宋体" w:cs="Times New Roman"/>
                      <w:color w:val="auto"/>
                      <w:sz w:val="21"/>
                      <w:szCs w:val="21"/>
                      <w:highlight w:val="none"/>
                      <w:lang w:val="en-US" w:eastAsia="zh-CN"/>
                    </w:rPr>
                  </w:pPr>
                </w:p>
              </w:tc>
            </w:tr>
            <w:tr w14:paraId="31A7837A">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65" w:type="pct"/>
                  <w:vMerge w:val="continue"/>
                  <w:tcBorders>
                    <w:tl2br w:val="nil"/>
                    <w:tr2bl w:val="nil"/>
                  </w:tcBorders>
                  <w:noWrap w:val="0"/>
                  <w:vAlign w:val="center"/>
                </w:tcPr>
                <w:p w14:paraId="209AF4EE">
                  <w:pPr>
                    <w:spacing w:line="276" w:lineRule="auto"/>
                    <w:jc w:val="center"/>
                    <w:rPr>
                      <w:color w:val="0000FF"/>
                      <w:sz w:val="21"/>
                      <w:szCs w:val="21"/>
                      <w:highlight w:val="none"/>
                    </w:rPr>
                  </w:pPr>
                </w:p>
              </w:tc>
              <w:tc>
                <w:tcPr>
                  <w:tcW w:w="1504" w:type="pct"/>
                  <w:tcBorders>
                    <w:tl2br w:val="nil"/>
                    <w:tr2bl w:val="nil"/>
                  </w:tcBorders>
                  <w:noWrap w:val="0"/>
                  <w:vAlign w:val="center"/>
                </w:tcPr>
                <w:p w14:paraId="05947F0D">
                  <w:pPr>
                    <w:pStyle w:val="63"/>
                    <w:keepNext w:val="0"/>
                    <w:keepLines w:val="0"/>
                    <w:pageBreakBefore w:val="0"/>
                    <w:widowControl w:val="0"/>
                    <w:kinsoku/>
                    <w:wordWrap/>
                    <w:overflowPunct/>
                    <w:topLinePunct w:val="0"/>
                    <w:bidi w:val="0"/>
                    <w:spacing w:line="240" w:lineRule="auto"/>
                    <w:ind w:left="0" w:leftChars="0"/>
                    <w:jc w:val="center"/>
                    <w:textAlignment w:val="auto"/>
                    <w:rPr>
                      <w:rFonts w:hint="eastAsia" w:ascii="Times New Roman" w:hAnsi="Times New Roman" w:eastAsia="宋体" w:cs="Times New Roman"/>
                      <w:i w:val="0"/>
                      <w:iCs w:val="0"/>
                      <w:color w:val="0000FF"/>
                      <w:kern w:val="0"/>
                      <w:sz w:val="21"/>
                      <w:szCs w:val="21"/>
                      <w:highlight w:val="none"/>
                      <w:u w:val="none"/>
                      <w:lang w:val="en-US" w:eastAsia="zh-CN" w:bidi="ar"/>
                    </w:rPr>
                  </w:pPr>
                  <w:r>
                    <w:rPr>
                      <w:rStyle w:val="287"/>
                      <w:rFonts w:hint="default" w:ascii="Times New Roman" w:hAnsi="Times New Roman" w:cs="Times New Roman"/>
                      <w:color w:val="auto"/>
                      <w:sz w:val="21"/>
                      <w:szCs w:val="21"/>
                      <w:highlight w:val="none"/>
                      <w:lang w:val="en-US" w:eastAsia="zh-CN"/>
                    </w:rPr>
                    <w:t>氨水使用</w:t>
                  </w:r>
                </w:p>
              </w:tc>
              <w:tc>
                <w:tcPr>
                  <w:tcW w:w="1332" w:type="pct"/>
                  <w:vMerge w:val="continue"/>
                  <w:tcBorders>
                    <w:tl2br w:val="nil"/>
                    <w:tr2bl w:val="nil"/>
                  </w:tcBorders>
                  <w:noWrap w:val="0"/>
                  <w:vAlign w:val="center"/>
                </w:tcPr>
                <w:p w14:paraId="0B01F2E8">
                  <w:pPr>
                    <w:spacing w:line="276" w:lineRule="auto"/>
                    <w:jc w:val="center"/>
                    <w:rPr>
                      <w:rFonts w:hint="default"/>
                      <w:color w:val="0000FF"/>
                      <w:sz w:val="21"/>
                      <w:szCs w:val="21"/>
                      <w:highlight w:val="none"/>
                      <w:lang w:val="en-US"/>
                    </w:rPr>
                  </w:pPr>
                </w:p>
              </w:tc>
              <w:tc>
                <w:tcPr>
                  <w:tcW w:w="1897" w:type="pct"/>
                  <w:vMerge w:val="continue"/>
                  <w:tcBorders>
                    <w:tl2br w:val="nil"/>
                    <w:tr2bl w:val="nil"/>
                  </w:tcBorders>
                  <w:noWrap w:val="0"/>
                  <w:vAlign w:val="center"/>
                </w:tcPr>
                <w:p w14:paraId="418BE5D1">
                  <w:pPr>
                    <w:spacing w:line="276" w:lineRule="auto"/>
                    <w:jc w:val="center"/>
                    <w:rPr>
                      <w:rStyle w:val="287"/>
                      <w:rFonts w:hint="default" w:ascii="Times New Roman" w:hAnsi="Times New Roman" w:eastAsia="宋体" w:cs="Times New Roman"/>
                      <w:color w:val="auto"/>
                      <w:sz w:val="21"/>
                      <w:szCs w:val="21"/>
                      <w:highlight w:val="none"/>
                      <w:lang w:val="en-US" w:eastAsia="zh-CN"/>
                    </w:rPr>
                  </w:pPr>
                </w:p>
              </w:tc>
            </w:tr>
            <w:tr w14:paraId="3B657855">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65" w:type="pct"/>
                  <w:vMerge w:val="continue"/>
                  <w:tcBorders>
                    <w:tl2br w:val="nil"/>
                    <w:tr2bl w:val="nil"/>
                  </w:tcBorders>
                  <w:noWrap w:val="0"/>
                  <w:vAlign w:val="center"/>
                </w:tcPr>
                <w:p w14:paraId="4447322D">
                  <w:pPr>
                    <w:spacing w:line="276" w:lineRule="auto"/>
                    <w:jc w:val="center"/>
                    <w:rPr>
                      <w:color w:val="0000FF"/>
                      <w:sz w:val="21"/>
                      <w:szCs w:val="21"/>
                      <w:highlight w:val="none"/>
                    </w:rPr>
                  </w:pPr>
                </w:p>
              </w:tc>
              <w:tc>
                <w:tcPr>
                  <w:tcW w:w="1504" w:type="pct"/>
                  <w:tcBorders>
                    <w:tl2br w:val="nil"/>
                    <w:tr2bl w:val="nil"/>
                  </w:tcBorders>
                  <w:noWrap w:val="0"/>
                  <w:vAlign w:val="center"/>
                </w:tcPr>
                <w:p w14:paraId="5F66D7C9">
                  <w:pPr>
                    <w:pStyle w:val="63"/>
                    <w:keepNext w:val="0"/>
                    <w:keepLines w:val="0"/>
                    <w:pageBreakBefore w:val="0"/>
                    <w:widowControl w:val="0"/>
                    <w:kinsoku/>
                    <w:wordWrap/>
                    <w:overflowPunct/>
                    <w:topLinePunct w:val="0"/>
                    <w:bidi w:val="0"/>
                    <w:spacing w:line="240" w:lineRule="auto"/>
                    <w:ind w:left="0" w:leftChars="0"/>
                    <w:jc w:val="center"/>
                    <w:textAlignment w:val="auto"/>
                    <w:rPr>
                      <w:rFonts w:hint="eastAsia"/>
                      <w:color w:val="0000FF"/>
                      <w:kern w:val="0"/>
                      <w:sz w:val="21"/>
                      <w:szCs w:val="21"/>
                      <w:highlight w:val="none"/>
                      <w:lang w:val="en-US" w:eastAsia="zh-CN" w:bidi="en-US"/>
                    </w:rPr>
                  </w:pPr>
                  <w:r>
                    <w:rPr>
                      <w:rFonts w:hint="default" w:ascii="Times New Roman" w:hAnsi="Times New Roman" w:cs="Times New Roman"/>
                      <w:color w:val="auto"/>
                      <w:sz w:val="21"/>
                      <w:szCs w:val="21"/>
                      <w:highlight w:val="none"/>
                      <w:lang w:val="en-US" w:eastAsia="zh-CN"/>
                    </w:rPr>
                    <w:t>挥发性有机物使用</w:t>
                  </w:r>
                </w:p>
              </w:tc>
              <w:tc>
                <w:tcPr>
                  <w:tcW w:w="1332" w:type="pct"/>
                  <w:vMerge w:val="continue"/>
                  <w:tcBorders>
                    <w:tl2br w:val="nil"/>
                    <w:tr2bl w:val="nil"/>
                  </w:tcBorders>
                  <w:noWrap w:val="0"/>
                  <w:vAlign w:val="center"/>
                </w:tcPr>
                <w:p w14:paraId="14D40B6C">
                  <w:pPr>
                    <w:spacing w:line="276" w:lineRule="auto"/>
                    <w:jc w:val="center"/>
                    <w:rPr>
                      <w:rFonts w:hint="default"/>
                      <w:color w:val="0000FF"/>
                      <w:sz w:val="21"/>
                      <w:szCs w:val="21"/>
                      <w:highlight w:val="none"/>
                      <w:lang w:val="en-US"/>
                    </w:rPr>
                  </w:pPr>
                </w:p>
              </w:tc>
              <w:tc>
                <w:tcPr>
                  <w:tcW w:w="1897" w:type="pct"/>
                  <w:vMerge w:val="continue"/>
                  <w:tcBorders>
                    <w:tl2br w:val="nil"/>
                    <w:tr2bl w:val="nil"/>
                  </w:tcBorders>
                  <w:noWrap w:val="0"/>
                  <w:vAlign w:val="center"/>
                </w:tcPr>
                <w:p w14:paraId="7FB97E51">
                  <w:pPr>
                    <w:spacing w:line="276" w:lineRule="auto"/>
                    <w:jc w:val="center"/>
                    <w:rPr>
                      <w:rStyle w:val="287"/>
                      <w:rFonts w:hint="default" w:ascii="Times New Roman" w:hAnsi="Times New Roman" w:eastAsia="宋体" w:cs="Times New Roman"/>
                      <w:color w:val="auto"/>
                      <w:sz w:val="21"/>
                      <w:szCs w:val="21"/>
                      <w:highlight w:val="none"/>
                      <w:lang w:val="en-US" w:eastAsia="zh-CN"/>
                    </w:rPr>
                  </w:pPr>
                </w:p>
              </w:tc>
            </w:tr>
            <w:tr w14:paraId="7507EE4C">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65" w:type="pct"/>
                  <w:tcBorders>
                    <w:tl2br w:val="nil"/>
                    <w:tr2bl w:val="nil"/>
                  </w:tcBorders>
                  <w:noWrap w:val="0"/>
                  <w:vAlign w:val="center"/>
                </w:tcPr>
                <w:p w14:paraId="35D147F6">
                  <w:pPr>
                    <w:spacing w:line="276" w:lineRule="auto"/>
                    <w:jc w:val="center"/>
                    <w:rPr>
                      <w:color w:val="auto"/>
                      <w:sz w:val="21"/>
                      <w:szCs w:val="21"/>
                      <w:highlight w:val="none"/>
                    </w:rPr>
                  </w:pPr>
                  <w:r>
                    <w:rPr>
                      <w:color w:val="auto"/>
                      <w:sz w:val="21"/>
                      <w:szCs w:val="21"/>
                      <w:highlight w:val="none"/>
                    </w:rPr>
                    <w:t>废水</w:t>
                  </w:r>
                </w:p>
              </w:tc>
              <w:tc>
                <w:tcPr>
                  <w:tcW w:w="1504" w:type="pct"/>
                  <w:tcBorders>
                    <w:tl2br w:val="nil"/>
                    <w:tr2bl w:val="nil"/>
                  </w:tcBorders>
                  <w:noWrap w:val="0"/>
                  <w:vAlign w:val="center"/>
                </w:tcPr>
                <w:p w14:paraId="2C28BDFE">
                  <w:pPr>
                    <w:spacing w:line="276" w:lineRule="auto"/>
                    <w:jc w:val="center"/>
                    <w:rPr>
                      <w:color w:val="auto"/>
                      <w:spacing w:val="-2"/>
                      <w:sz w:val="21"/>
                      <w:szCs w:val="21"/>
                      <w:highlight w:val="none"/>
                    </w:rPr>
                  </w:pPr>
                  <w:r>
                    <w:rPr>
                      <w:rFonts w:hint="default" w:ascii="Times New Roman" w:hAnsi="Times New Roman" w:eastAsia="宋体" w:cs="Times New Roman"/>
                      <w:color w:val="auto"/>
                      <w:sz w:val="21"/>
                      <w:szCs w:val="21"/>
                      <w:highlight w:val="none"/>
                      <w:lang w:val="en-US" w:eastAsia="zh-CN"/>
                    </w:rPr>
                    <w:t>纯水制备废水</w:t>
                  </w:r>
                </w:p>
              </w:tc>
              <w:tc>
                <w:tcPr>
                  <w:tcW w:w="1332" w:type="pct"/>
                  <w:tcBorders>
                    <w:tl2br w:val="nil"/>
                    <w:tr2bl w:val="nil"/>
                  </w:tcBorders>
                  <w:noWrap w:val="0"/>
                  <w:vAlign w:val="center"/>
                </w:tcPr>
                <w:p w14:paraId="37777085">
                  <w:pPr>
                    <w:spacing w:line="276" w:lineRule="auto"/>
                    <w:jc w:val="center"/>
                    <w:rPr>
                      <w:color w:val="0000FF"/>
                      <w:sz w:val="21"/>
                      <w:szCs w:val="21"/>
                      <w:highlight w:val="none"/>
                    </w:rPr>
                  </w:pPr>
                  <w:r>
                    <w:rPr>
                      <w:rFonts w:hint="eastAsia" w:cs="Times New Roman"/>
                      <w:color w:val="auto"/>
                      <w:kern w:val="2"/>
                      <w:sz w:val="21"/>
                      <w:szCs w:val="21"/>
                      <w:highlight w:val="none"/>
                      <w:lang w:val="en-US" w:eastAsia="zh-CN" w:bidi="ar-SA"/>
                    </w:rPr>
                    <w:t>洒水抑尘</w:t>
                  </w:r>
                </w:p>
              </w:tc>
              <w:tc>
                <w:tcPr>
                  <w:tcW w:w="1897" w:type="pct"/>
                  <w:tcBorders>
                    <w:tl2br w:val="nil"/>
                    <w:tr2bl w:val="nil"/>
                  </w:tcBorders>
                  <w:noWrap w:val="0"/>
                  <w:vAlign w:val="center"/>
                </w:tcPr>
                <w:p w14:paraId="4C595CE0">
                  <w:pPr>
                    <w:spacing w:line="276" w:lineRule="auto"/>
                    <w:jc w:val="center"/>
                    <w:rPr>
                      <w:color w:val="auto"/>
                      <w:sz w:val="21"/>
                      <w:szCs w:val="21"/>
                      <w:highlight w:val="none"/>
                    </w:rPr>
                  </w:pPr>
                  <w:r>
                    <w:rPr>
                      <w:rFonts w:hint="eastAsia" w:cs="Times New Roman"/>
                      <w:color w:val="auto"/>
                      <w:kern w:val="2"/>
                      <w:sz w:val="21"/>
                      <w:szCs w:val="21"/>
                      <w:highlight w:val="none"/>
                      <w:lang w:val="en-US" w:eastAsia="zh-CN" w:bidi="ar-SA"/>
                    </w:rPr>
                    <w:t>/</w:t>
                  </w:r>
                </w:p>
              </w:tc>
            </w:tr>
            <w:tr w14:paraId="13EFB74A">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265" w:type="pct"/>
                  <w:vMerge w:val="restart"/>
                  <w:tcBorders>
                    <w:tl2br w:val="nil"/>
                    <w:tr2bl w:val="nil"/>
                  </w:tcBorders>
                  <w:noWrap w:val="0"/>
                  <w:vAlign w:val="center"/>
                </w:tcPr>
                <w:p w14:paraId="5AA124DA">
                  <w:pPr>
                    <w:spacing w:line="276" w:lineRule="auto"/>
                    <w:jc w:val="center"/>
                    <w:rPr>
                      <w:color w:val="auto"/>
                      <w:sz w:val="21"/>
                      <w:szCs w:val="21"/>
                      <w:highlight w:val="none"/>
                    </w:rPr>
                  </w:pPr>
                  <w:r>
                    <w:rPr>
                      <w:color w:val="auto"/>
                      <w:sz w:val="21"/>
                      <w:szCs w:val="21"/>
                      <w:highlight w:val="none"/>
                    </w:rPr>
                    <w:t>固废</w:t>
                  </w:r>
                </w:p>
              </w:tc>
              <w:tc>
                <w:tcPr>
                  <w:tcW w:w="1504" w:type="pct"/>
                  <w:tcBorders>
                    <w:tl2br w:val="nil"/>
                    <w:tr2bl w:val="nil"/>
                  </w:tcBorders>
                  <w:noWrap w:val="0"/>
                  <w:vAlign w:val="center"/>
                </w:tcPr>
                <w:p w14:paraId="199E2DCB">
                  <w:pPr>
                    <w:spacing w:line="276" w:lineRule="auto"/>
                    <w:jc w:val="center"/>
                    <w:rPr>
                      <w:color w:val="auto"/>
                      <w:sz w:val="21"/>
                      <w:szCs w:val="21"/>
                      <w:highlight w:val="none"/>
                    </w:rPr>
                  </w:pPr>
                  <w:r>
                    <w:rPr>
                      <w:color w:val="auto"/>
                      <w:sz w:val="21"/>
                      <w:szCs w:val="21"/>
                      <w:highlight w:val="none"/>
                    </w:rPr>
                    <w:t>危险废物</w:t>
                  </w:r>
                </w:p>
              </w:tc>
              <w:tc>
                <w:tcPr>
                  <w:tcW w:w="1332" w:type="pct"/>
                  <w:tcBorders>
                    <w:tl2br w:val="nil"/>
                    <w:tr2bl w:val="nil"/>
                  </w:tcBorders>
                  <w:noWrap w:val="0"/>
                  <w:vAlign w:val="center"/>
                </w:tcPr>
                <w:p w14:paraId="5EB42066">
                  <w:pPr>
                    <w:spacing w:line="276" w:lineRule="auto"/>
                    <w:jc w:val="center"/>
                    <w:rPr>
                      <w:color w:val="auto"/>
                      <w:sz w:val="21"/>
                      <w:szCs w:val="21"/>
                      <w:highlight w:val="none"/>
                    </w:rPr>
                  </w:pPr>
                  <w:r>
                    <w:rPr>
                      <w:bCs/>
                      <w:color w:val="auto"/>
                      <w:sz w:val="21"/>
                      <w:szCs w:val="21"/>
                      <w:highlight w:val="none"/>
                    </w:rPr>
                    <w:t>危险废物暂存间</w:t>
                  </w:r>
                  <w:r>
                    <w:rPr>
                      <w:rFonts w:hint="eastAsia"/>
                      <w:bCs/>
                      <w:color w:val="auto"/>
                      <w:sz w:val="21"/>
                      <w:szCs w:val="21"/>
                      <w:highlight w:val="none"/>
                      <w:lang w:eastAsia="zh-CN"/>
                    </w:rPr>
                    <w:t>（</w:t>
                  </w:r>
                  <w:r>
                    <w:rPr>
                      <w:rFonts w:hint="eastAsia"/>
                      <w:bCs/>
                      <w:color w:val="auto"/>
                      <w:sz w:val="21"/>
                      <w:szCs w:val="21"/>
                      <w:highlight w:val="none"/>
                      <w:lang w:val="en-US" w:eastAsia="zh-CN"/>
                    </w:rPr>
                    <w:t>依托</w:t>
                  </w:r>
                  <w:r>
                    <w:rPr>
                      <w:rFonts w:hint="eastAsia"/>
                      <w:bCs/>
                      <w:color w:val="auto"/>
                      <w:sz w:val="21"/>
                      <w:szCs w:val="21"/>
                      <w:highlight w:val="none"/>
                      <w:lang w:eastAsia="zh-CN"/>
                    </w:rPr>
                    <w:t>）</w:t>
                  </w:r>
                  <w:r>
                    <w:rPr>
                      <w:color w:val="auto"/>
                      <w:sz w:val="21"/>
                      <w:szCs w:val="21"/>
                      <w:highlight w:val="none"/>
                    </w:rPr>
                    <w:t>+危废处置协议</w:t>
                  </w:r>
                </w:p>
              </w:tc>
              <w:tc>
                <w:tcPr>
                  <w:tcW w:w="1897" w:type="pct"/>
                  <w:tcBorders>
                    <w:tl2br w:val="nil"/>
                    <w:tr2bl w:val="nil"/>
                  </w:tcBorders>
                  <w:noWrap w:val="0"/>
                  <w:vAlign w:val="center"/>
                </w:tcPr>
                <w:p w14:paraId="68ACAA27">
                  <w:pPr>
                    <w:spacing w:line="276" w:lineRule="auto"/>
                    <w:jc w:val="center"/>
                    <w:rPr>
                      <w:color w:val="auto"/>
                      <w:sz w:val="21"/>
                      <w:szCs w:val="21"/>
                      <w:highlight w:val="none"/>
                    </w:rPr>
                  </w:pPr>
                  <w:r>
                    <w:rPr>
                      <w:bCs/>
                      <w:color w:val="auto"/>
                      <w:sz w:val="21"/>
                      <w:szCs w:val="21"/>
                      <w:highlight w:val="none"/>
                    </w:rPr>
                    <w:t>《危险废物贮存污染控制标准》（GB18597-20</w:t>
                  </w:r>
                  <w:r>
                    <w:rPr>
                      <w:rFonts w:hint="eastAsia"/>
                      <w:bCs/>
                      <w:color w:val="auto"/>
                      <w:sz w:val="21"/>
                      <w:szCs w:val="21"/>
                      <w:highlight w:val="none"/>
                      <w:lang w:val="en-US" w:eastAsia="zh-CN"/>
                    </w:rPr>
                    <w:t>23</w:t>
                  </w:r>
                  <w:r>
                    <w:rPr>
                      <w:bCs/>
                      <w:color w:val="auto"/>
                      <w:sz w:val="21"/>
                      <w:szCs w:val="21"/>
                      <w:highlight w:val="none"/>
                    </w:rPr>
                    <w:t>）</w:t>
                  </w:r>
                </w:p>
              </w:tc>
            </w:tr>
            <w:tr w14:paraId="03D3AE23">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65" w:type="pct"/>
                  <w:vMerge w:val="continue"/>
                  <w:tcBorders>
                    <w:tl2br w:val="nil"/>
                    <w:tr2bl w:val="nil"/>
                  </w:tcBorders>
                  <w:noWrap w:val="0"/>
                  <w:vAlign w:val="center"/>
                </w:tcPr>
                <w:p w14:paraId="18D36F7D">
                  <w:pPr>
                    <w:spacing w:line="276" w:lineRule="auto"/>
                    <w:jc w:val="center"/>
                    <w:rPr>
                      <w:color w:val="auto"/>
                      <w:sz w:val="21"/>
                      <w:szCs w:val="21"/>
                      <w:highlight w:val="none"/>
                    </w:rPr>
                  </w:pPr>
                </w:p>
              </w:tc>
              <w:tc>
                <w:tcPr>
                  <w:tcW w:w="1504" w:type="pct"/>
                  <w:tcBorders>
                    <w:tl2br w:val="nil"/>
                    <w:tr2bl w:val="nil"/>
                  </w:tcBorders>
                  <w:noWrap w:val="0"/>
                  <w:vAlign w:val="center"/>
                </w:tcPr>
                <w:p w14:paraId="54E5D45D">
                  <w:pPr>
                    <w:spacing w:line="276" w:lineRule="auto"/>
                    <w:jc w:val="center"/>
                    <w:rPr>
                      <w:color w:val="auto"/>
                      <w:sz w:val="21"/>
                      <w:szCs w:val="21"/>
                      <w:highlight w:val="none"/>
                    </w:rPr>
                  </w:pPr>
                  <w:r>
                    <w:rPr>
                      <w:rFonts w:hint="eastAsia" w:ascii="Times New Roman" w:hAnsi="Times New Roman" w:cs="Times New Roman"/>
                      <w:color w:val="auto"/>
                      <w:sz w:val="21"/>
                      <w:szCs w:val="21"/>
                      <w:highlight w:val="none"/>
                      <w:lang w:val="en-US" w:eastAsia="zh-CN"/>
                    </w:rPr>
                    <w:t>损坏的器皿</w:t>
                  </w:r>
                </w:p>
              </w:tc>
              <w:tc>
                <w:tcPr>
                  <w:tcW w:w="1332" w:type="pct"/>
                  <w:tcBorders>
                    <w:tl2br w:val="nil"/>
                    <w:tr2bl w:val="nil"/>
                  </w:tcBorders>
                  <w:noWrap w:val="0"/>
                  <w:vAlign w:val="center"/>
                </w:tcPr>
                <w:p w14:paraId="5A304AF1">
                  <w:pPr>
                    <w:spacing w:line="276" w:lineRule="auto"/>
                    <w:jc w:val="center"/>
                    <w:rPr>
                      <w:color w:val="auto"/>
                      <w:sz w:val="21"/>
                      <w:szCs w:val="21"/>
                      <w:highlight w:val="none"/>
                    </w:rPr>
                  </w:pPr>
                  <w:r>
                    <w:rPr>
                      <w:rFonts w:hint="eastAsia" w:ascii="Times New Roman" w:hAnsi="Times New Roman" w:eastAsia="宋体" w:cs="Times New Roman"/>
                      <w:color w:val="auto"/>
                      <w:sz w:val="21"/>
                      <w:szCs w:val="21"/>
                      <w:highlight w:val="none"/>
                      <w:lang w:val="en-US" w:eastAsia="zh-CN"/>
                    </w:rPr>
                    <w:t>收集至一般固废间及时外售</w:t>
                  </w:r>
                </w:p>
              </w:tc>
              <w:tc>
                <w:tcPr>
                  <w:tcW w:w="1897" w:type="pct"/>
                  <w:tcBorders>
                    <w:tl2br w:val="nil"/>
                    <w:tr2bl w:val="nil"/>
                  </w:tcBorders>
                  <w:noWrap w:val="0"/>
                  <w:vAlign w:val="center"/>
                </w:tcPr>
                <w:p w14:paraId="1E815CB7">
                  <w:pPr>
                    <w:spacing w:line="276" w:lineRule="auto"/>
                    <w:jc w:val="center"/>
                    <w:rPr>
                      <w:color w:val="auto"/>
                      <w:sz w:val="21"/>
                      <w:szCs w:val="21"/>
                      <w:highlight w:val="none"/>
                    </w:rPr>
                  </w:pPr>
                  <w:r>
                    <w:rPr>
                      <w:color w:val="auto"/>
                      <w:sz w:val="21"/>
                      <w:szCs w:val="21"/>
                      <w:highlight w:val="none"/>
                    </w:rPr>
                    <w:t>《一般工业固体废物贮存和填埋污染控制标准》（GB18599-2020）中的有关规定</w:t>
                  </w:r>
                </w:p>
              </w:tc>
            </w:tr>
            <w:tr w14:paraId="7327F228">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65" w:type="pct"/>
                  <w:tcBorders>
                    <w:tl2br w:val="nil"/>
                    <w:tr2bl w:val="nil"/>
                  </w:tcBorders>
                  <w:noWrap w:val="0"/>
                  <w:vAlign w:val="center"/>
                </w:tcPr>
                <w:p w14:paraId="53760A0E">
                  <w:pPr>
                    <w:spacing w:line="276" w:lineRule="auto"/>
                    <w:jc w:val="center"/>
                    <w:rPr>
                      <w:color w:val="auto"/>
                      <w:sz w:val="21"/>
                      <w:szCs w:val="21"/>
                      <w:highlight w:val="none"/>
                    </w:rPr>
                  </w:pPr>
                  <w:r>
                    <w:rPr>
                      <w:color w:val="auto"/>
                      <w:sz w:val="21"/>
                      <w:szCs w:val="21"/>
                      <w:highlight w:val="none"/>
                    </w:rPr>
                    <w:t>噪声</w:t>
                  </w:r>
                </w:p>
              </w:tc>
              <w:tc>
                <w:tcPr>
                  <w:tcW w:w="1504" w:type="pct"/>
                  <w:tcBorders>
                    <w:tl2br w:val="nil"/>
                    <w:tr2bl w:val="nil"/>
                  </w:tcBorders>
                  <w:noWrap w:val="0"/>
                  <w:vAlign w:val="center"/>
                </w:tcPr>
                <w:p w14:paraId="42913EF8">
                  <w:pPr>
                    <w:pStyle w:val="188"/>
                    <w:spacing w:line="276" w:lineRule="auto"/>
                    <w:ind w:firstLine="0" w:firstLineChars="0"/>
                    <w:rPr>
                      <w:color w:val="auto"/>
                      <w:sz w:val="21"/>
                      <w:szCs w:val="21"/>
                      <w:highlight w:val="none"/>
                    </w:rPr>
                  </w:pPr>
                  <w:r>
                    <w:rPr>
                      <w:color w:val="auto"/>
                      <w:sz w:val="21"/>
                      <w:szCs w:val="21"/>
                      <w:highlight w:val="none"/>
                    </w:rPr>
                    <w:t>设备运行噪声</w:t>
                  </w:r>
                </w:p>
              </w:tc>
              <w:tc>
                <w:tcPr>
                  <w:tcW w:w="1332" w:type="pct"/>
                  <w:tcBorders>
                    <w:tl2br w:val="nil"/>
                    <w:tr2bl w:val="nil"/>
                  </w:tcBorders>
                  <w:noWrap w:val="0"/>
                  <w:vAlign w:val="center"/>
                </w:tcPr>
                <w:p w14:paraId="1DCCD964">
                  <w:pPr>
                    <w:pStyle w:val="188"/>
                    <w:spacing w:line="276" w:lineRule="auto"/>
                    <w:ind w:firstLine="0" w:firstLineChars="0"/>
                    <w:rPr>
                      <w:color w:val="auto"/>
                      <w:sz w:val="21"/>
                      <w:szCs w:val="21"/>
                      <w:highlight w:val="none"/>
                    </w:rPr>
                  </w:pPr>
                  <w:r>
                    <w:rPr>
                      <w:rFonts w:hint="eastAsia" w:cs="Times New Roman"/>
                      <w:color w:val="auto"/>
                      <w:sz w:val="21"/>
                      <w:szCs w:val="21"/>
                      <w:highlight w:val="none"/>
                      <w:lang w:val="en-US" w:eastAsia="zh-CN"/>
                    </w:rPr>
                    <w:t>风机</w:t>
                  </w:r>
                  <w:r>
                    <w:rPr>
                      <w:rFonts w:hint="default" w:ascii="Times New Roman" w:hAnsi="Times New Roman" w:cs="Times New Roman"/>
                      <w:color w:val="auto"/>
                      <w:sz w:val="21"/>
                      <w:szCs w:val="21"/>
                      <w:highlight w:val="none"/>
                    </w:rPr>
                    <w:t>基础减振、柔性连接</w:t>
                  </w:r>
                  <w:r>
                    <w:rPr>
                      <w:rFonts w:hint="eastAsia" w:cs="Times New Roman"/>
                      <w:color w:val="auto"/>
                      <w:sz w:val="21"/>
                      <w:szCs w:val="21"/>
                      <w:highlight w:val="none"/>
                      <w:lang w:eastAsia="zh-CN"/>
                    </w:rPr>
                    <w:t>、</w:t>
                  </w:r>
                  <w:r>
                    <w:rPr>
                      <w:rFonts w:hint="eastAsia" w:cs="Times New Roman"/>
                      <w:color w:val="auto"/>
                      <w:sz w:val="21"/>
                      <w:szCs w:val="21"/>
                      <w:highlight w:val="none"/>
                      <w:lang w:val="en-US" w:eastAsia="zh-CN"/>
                    </w:rPr>
                    <w:t>减震垫</w:t>
                  </w:r>
                </w:p>
              </w:tc>
              <w:tc>
                <w:tcPr>
                  <w:tcW w:w="1897" w:type="pct"/>
                  <w:tcBorders>
                    <w:tl2br w:val="nil"/>
                    <w:tr2bl w:val="nil"/>
                  </w:tcBorders>
                  <w:noWrap w:val="0"/>
                  <w:vAlign w:val="center"/>
                </w:tcPr>
                <w:p w14:paraId="5FBDEA7D">
                  <w:pPr>
                    <w:spacing w:line="276" w:lineRule="auto"/>
                    <w:jc w:val="center"/>
                    <w:rPr>
                      <w:color w:val="auto"/>
                      <w:sz w:val="21"/>
                      <w:szCs w:val="21"/>
                      <w:highlight w:val="none"/>
                    </w:rPr>
                  </w:pPr>
                  <w:r>
                    <w:rPr>
                      <w:color w:val="auto"/>
                      <w:sz w:val="21"/>
                      <w:szCs w:val="21"/>
                      <w:highlight w:val="none"/>
                    </w:rPr>
                    <w:t>《工业企业厂界环境噪声排放标准》（GB12348-2008）中2类标准</w:t>
                  </w:r>
                </w:p>
              </w:tc>
            </w:tr>
          </w:tbl>
          <w:p w14:paraId="7652BDAA">
            <w:pPr>
              <w:adjustRightInd w:val="0"/>
              <w:snapToGrid w:val="0"/>
              <w:spacing w:line="360" w:lineRule="auto"/>
              <w:ind w:firstLine="482" w:firstLineChars="200"/>
              <w:rPr>
                <w:rFonts w:hint="eastAsia" w:ascii="Times New Roman" w:hAnsi="Times New Roman" w:eastAsia="宋体" w:cs="Times New Roman"/>
                <w:b/>
                <w:bCs/>
                <w:color w:val="auto"/>
                <w:szCs w:val="21"/>
                <w:highlight w:val="none"/>
                <w:lang w:val="en-US" w:eastAsia="zh-CN"/>
              </w:rPr>
            </w:pPr>
            <w:r>
              <w:rPr>
                <w:rFonts w:hint="eastAsia" w:ascii="Times New Roman" w:hAnsi="宋体" w:eastAsia="宋体" w:cs="Times New Roman"/>
                <w:b/>
                <w:color w:val="auto"/>
                <w:kern w:val="0"/>
                <w:szCs w:val="24"/>
                <w:highlight w:val="none"/>
                <w:lang w:val="en-US" w:eastAsia="zh-CN"/>
              </w:rPr>
              <w:t>10、</w:t>
            </w:r>
            <w:r>
              <w:rPr>
                <w:rFonts w:hint="eastAsia" w:ascii="Times New Roman" w:hAnsi="Times New Roman" w:eastAsia="宋体" w:cs="Times New Roman"/>
                <w:b/>
                <w:bCs/>
                <w:color w:val="auto"/>
                <w:szCs w:val="21"/>
                <w:highlight w:val="none"/>
                <w:lang w:val="en-US" w:eastAsia="zh-CN"/>
              </w:rPr>
              <w:t xml:space="preserve">本项目实施后“三本账”核算 </w:t>
            </w:r>
          </w:p>
          <w:p w14:paraId="2F6E6F1E">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本项目建成实施后污染物排放量核算见下表（因原有工程及种类较多，本次核算仅体现与本项目有关的原有污染物排放情况，本项目废水不外排）。</w:t>
            </w:r>
          </w:p>
          <w:p w14:paraId="205B01D8">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ascii="Times New Roman" w:hAnsi="Times New Roman" w:eastAsia="宋体" w:cs="Times New Roman"/>
                <w:b/>
                <w:color w:val="auto"/>
                <w:sz w:val="21"/>
                <w:szCs w:val="21"/>
                <w:highlight w:val="none"/>
                <w:lang w:val="en-US" w:eastAsia="zh-CN"/>
              </w:rPr>
            </w:pPr>
            <w:r>
              <w:rPr>
                <w:rFonts w:hint="eastAsia" w:ascii="Times New Roman" w:hAnsi="Times New Roman" w:eastAsia="宋体" w:cs="Times New Roman"/>
                <w:b/>
                <w:color w:val="auto"/>
                <w:sz w:val="21"/>
                <w:szCs w:val="21"/>
                <w:highlight w:val="none"/>
                <w:lang w:val="en-US" w:eastAsia="zh-CN"/>
              </w:rPr>
              <w:t>表42   本项目实施后项目污染物排放量核算一览表</w:t>
            </w:r>
          </w:p>
          <w:tbl>
            <w:tblPr>
              <w:tblStyle w:val="46"/>
              <w:tblW w:w="4996"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47"/>
              <w:gridCol w:w="1337"/>
              <w:gridCol w:w="933"/>
              <w:gridCol w:w="1220"/>
              <w:gridCol w:w="1220"/>
              <w:gridCol w:w="1178"/>
              <w:gridCol w:w="1367"/>
              <w:gridCol w:w="1275"/>
            </w:tblGrid>
            <w:tr w14:paraId="75921C30">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352" w:type="pct"/>
                  <w:tcBorders>
                    <w:tl2br w:val="nil"/>
                    <w:tr2bl w:val="nil"/>
                  </w:tcBorders>
                  <w:noWrap w:val="0"/>
                  <w:vAlign w:val="center"/>
                </w:tcPr>
                <w:p w14:paraId="711998EB">
                  <w:pPr>
                    <w:spacing w:line="240" w:lineRule="auto"/>
                    <w:jc w:val="center"/>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类别</w:t>
                  </w:r>
                </w:p>
              </w:tc>
              <w:tc>
                <w:tcPr>
                  <w:tcW w:w="728" w:type="pct"/>
                  <w:tcBorders>
                    <w:tl2br w:val="nil"/>
                    <w:tr2bl w:val="nil"/>
                  </w:tcBorders>
                  <w:noWrap w:val="0"/>
                  <w:vAlign w:val="center"/>
                </w:tcPr>
                <w:p w14:paraId="1ED36708">
                  <w:pPr>
                    <w:spacing w:line="240" w:lineRule="auto"/>
                    <w:jc w:val="center"/>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污染物名称</w:t>
                  </w:r>
                </w:p>
              </w:tc>
              <w:tc>
                <w:tcPr>
                  <w:tcW w:w="508" w:type="pct"/>
                  <w:tcBorders>
                    <w:tl2br w:val="nil"/>
                    <w:tr2bl w:val="nil"/>
                  </w:tcBorders>
                  <w:noWrap w:val="0"/>
                  <w:vAlign w:val="center"/>
                </w:tcPr>
                <w:p w14:paraId="335C0760">
                  <w:pPr>
                    <w:spacing w:line="240" w:lineRule="auto"/>
                    <w:jc w:val="center"/>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原有工程排放量</w:t>
                  </w:r>
                </w:p>
              </w:tc>
              <w:tc>
                <w:tcPr>
                  <w:tcW w:w="664" w:type="pct"/>
                  <w:tcBorders>
                    <w:tl2br w:val="nil"/>
                    <w:tr2bl w:val="nil"/>
                  </w:tcBorders>
                  <w:noWrap w:val="0"/>
                  <w:vAlign w:val="center"/>
                </w:tcPr>
                <w:p w14:paraId="35C84681">
                  <w:pPr>
                    <w:spacing w:line="240" w:lineRule="auto"/>
                    <w:jc w:val="center"/>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在建工程排放量</w:t>
                  </w:r>
                </w:p>
              </w:tc>
              <w:tc>
                <w:tcPr>
                  <w:tcW w:w="664" w:type="pct"/>
                  <w:tcBorders>
                    <w:tl2br w:val="nil"/>
                    <w:tr2bl w:val="nil"/>
                  </w:tcBorders>
                  <w:noWrap w:val="0"/>
                  <w:vAlign w:val="center"/>
                </w:tcPr>
                <w:p w14:paraId="3EA6428D">
                  <w:pPr>
                    <w:spacing w:line="240" w:lineRule="auto"/>
                    <w:jc w:val="center"/>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以新代老削减量</w:t>
                  </w:r>
                </w:p>
              </w:tc>
              <w:tc>
                <w:tcPr>
                  <w:tcW w:w="641" w:type="pct"/>
                  <w:tcBorders>
                    <w:tl2br w:val="nil"/>
                    <w:tr2bl w:val="nil"/>
                  </w:tcBorders>
                  <w:noWrap w:val="0"/>
                  <w:vAlign w:val="center"/>
                </w:tcPr>
                <w:p w14:paraId="1398AF15">
                  <w:pPr>
                    <w:spacing w:line="240" w:lineRule="auto"/>
                    <w:jc w:val="center"/>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项目排放量/kg</w:t>
                  </w:r>
                </w:p>
              </w:tc>
              <w:tc>
                <w:tcPr>
                  <w:tcW w:w="744" w:type="pct"/>
                  <w:tcBorders>
                    <w:tl2br w:val="nil"/>
                    <w:tr2bl w:val="nil"/>
                  </w:tcBorders>
                  <w:noWrap w:val="0"/>
                  <w:vAlign w:val="center"/>
                </w:tcPr>
                <w:p w14:paraId="7CEBBF57">
                  <w:pPr>
                    <w:spacing w:line="240" w:lineRule="auto"/>
                    <w:jc w:val="center"/>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全厂总排放量</w:t>
                  </w:r>
                </w:p>
              </w:tc>
              <w:tc>
                <w:tcPr>
                  <w:tcW w:w="694" w:type="pct"/>
                  <w:tcBorders>
                    <w:tl2br w:val="nil"/>
                    <w:tr2bl w:val="nil"/>
                  </w:tcBorders>
                  <w:noWrap w:val="0"/>
                  <w:vAlign w:val="center"/>
                </w:tcPr>
                <w:p w14:paraId="2B822F58">
                  <w:pPr>
                    <w:spacing w:line="240" w:lineRule="auto"/>
                    <w:jc w:val="center"/>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排放增减量</w:t>
                  </w:r>
                </w:p>
              </w:tc>
            </w:tr>
            <w:tr w14:paraId="062017F9">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352" w:type="pct"/>
                  <w:vMerge w:val="restart"/>
                  <w:tcBorders>
                    <w:tl2br w:val="nil"/>
                    <w:tr2bl w:val="nil"/>
                  </w:tcBorders>
                  <w:noWrap w:val="0"/>
                  <w:vAlign w:val="center"/>
                </w:tcPr>
                <w:p w14:paraId="6B2C3A96">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jc w:val="center"/>
                    <w:textAlignment w:val="auto"/>
                    <w:rPr>
                      <w:rFonts w:hint="default" w:ascii="Times New Roman" w:hAnsi="Times New Roman" w:eastAsia="宋体" w:cs="Times New Roman"/>
                      <w:b w:val="0"/>
                      <w:color w:val="auto"/>
                      <w:kern w:val="0"/>
                      <w:sz w:val="21"/>
                      <w:szCs w:val="21"/>
                      <w:highlight w:val="none"/>
                      <w:lang w:val="en-US" w:eastAsia="zh-CN" w:bidi="ar-SA"/>
                    </w:rPr>
                  </w:pPr>
                  <w:r>
                    <w:rPr>
                      <w:rFonts w:hint="eastAsia" w:ascii="Times New Roman" w:hAnsi="Times New Roman" w:eastAsia="宋体" w:cs="Times New Roman"/>
                      <w:b w:val="0"/>
                      <w:color w:val="auto"/>
                      <w:kern w:val="0"/>
                      <w:sz w:val="21"/>
                      <w:szCs w:val="21"/>
                      <w:highlight w:val="none"/>
                      <w:lang w:val="en-US" w:eastAsia="zh-CN" w:bidi="ar-SA"/>
                    </w:rPr>
                    <w:t>废气</w:t>
                  </w:r>
                </w:p>
              </w:tc>
              <w:tc>
                <w:tcPr>
                  <w:tcW w:w="728" w:type="pct"/>
                  <w:tcBorders>
                    <w:tl2br w:val="nil"/>
                    <w:tr2bl w:val="nil"/>
                  </w:tcBorders>
                  <w:noWrap w:val="0"/>
                  <w:vAlign w:val="center"/>
                </w:tcPr>
                <w:p w14:paraId="5701972B">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jc w:val="center"/>
                    <w:textAlignment w:val="auto"/>
                    <w:rPr>
                      <w:rFonts w:hint="default" w:eastAsia="宋体"/>
                      <w:b w:val="0"/>
                      <w:bCs w:val="0"/>
                      <w:color w:val="auto"/>
                      <w:highlight w:val="none"/>
                      <w:vertAlign w:val="baseline"/>
                      <w:lang w:val="en-US" w:eastAsia="zh-CN"/>
                    </w:rPr>
                  </w:pPr>
                  <w:r>
                    <w:rPr>
                      <w:color w:val="auto"/>
                      <w:sz w:val="21"/>
                      <w:szCs w:val="21"/>
                      <w:highlight w:val="none"/>
                    </w:rPr>
                    <w:t>NH</w:t>
                  </w:r>
                  <w:r>
                    <w:rPr>
                      <w:color w:val="auto"/>
                      <w:sz w:val="21"/>
                      <w:szCs w:val="21"/>
                      <w:highlight w:val="none"/>
                      <w:vertAlign w:val="subscript"/>
                    </w:rPr>
                    <w:t>3</w:t>
                  </w:r>
                </w:p>
              </w:tc>
              <w:tc>
                <w:tcPr>
                  <w:tcW w:w="508" w:type="pct"/>
                  <w:tcBorders>
                    <w:tl2br w:val="nil"/>
                    <w:tr2bl w:val="nil"/>
                  </w:tcBorders>
                  <w:noWrap w:val="0"/>
                  <w:vAlign w:val="center"/>
                </w:tcPr>
                <w:p w14:paraId="7BE8F932">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c>
                <w:tcPr>
                  <w:tcW w:w="664" w:type="pct"/>
                  <w:tcBorders>
                    <w:tl2br w:val="nil"/>
                    <w:tr2bl w:val="nil"/>
                  </w:tcBorders>
                  <w:noWrap w:val="0"/>
                  <w:vAlign w:val="center"/>
                </w:tcPr>
                <w:p w14:paraId="132D3117">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57kg</w:t>
                  </w:r>
                  <w:r>
                    <w:rPr>
                      <w:rFonts w:ascii="Times New Roman" w:hAnsi="Times New Roman" w:eastAsia="宋体" w:cs="Times New Roman"/>
                      <w:color w:val="auto"/>
                      <w:sz w:val="21"/>
                      <w:szCs w:val="21"/>
                      <w:highlight w:val="none"/>
                    </w:rPr>
                    <w:t>/a</w:t>
                  </w:r>
                </w:p>
              </w:tc>
              <w:tc>
                <w:tcPr>
                  <w:tcW w:w="664" w:type="pct"/>
                  <w:tcBorders>
                    <w:tl2br w:val="nil"/>
                    <w:tr2bl w:val="nil"/>
                  </w:tcBorders>
                  <w:noWrap w:val="0"/>
                  <w:vAlign w:val="center"/>
                </w:tcPr>
                <w:p w14:paraId="14AC470D">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c>
                <w:tcPr>
                  <w:tcW w:w="641" w:type="pct"/>
                  <w:tcBorders>
                    <w:tl2br w:val="nil"/>
                    <w:tr2bl w:val="nil"/>
                  </w:tcBorders>
                  <w:noWrap w:val="0"/>
                  <w:vAlign w:val="center"/>
                </w:tcPr>
                <w:p w14:paraId="3DBE97EA">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vertAlign w:val="baseline"/>
                      <w:lang w:val="en-US" w:eastAsia="zh-CN"/>
                    </w:rPr>
                    <w:t>0.2093</w:t>
                  </w:r>
                  <w:r>
                    <w:rPr>
                      <w:rStyle w:val="287"/>
                      <w:rFonts w:hint="default" w:ascii="Times New Roman" w:hAnsi="Times New Roman" w:eastAsia="宋体" w:cs="Times New Roman"/>
                      <w:color w:val="auto"/>
                      <w:sz w:val="21"/>
                      <w:szCs w:val="21"/>
                      <w:highlight w:val="none"/>
                    </w:rPr>
                    <w:t>kg/a</w:t>
                  </w:r>
                </w:p>
              </w:tc>
              <w:tc>
                <w:tcPr>
                  <w:tcW w:w="744" w:type="pct"/>
                  <w:tcBorders>
                    <w:tl2br w:val="nil"/>
                    <w:tr2bl w:val="nil"/>
                  </w:tcBorders>
                  <w:noWrap w:val="0"/>
                  <w:vAlign w:val="center"/>
                </w:tcPr>
                <w:p w14:paraId="27735E2B">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57.2093</w:t>
                  </w:r>
                  <w:r>
                    <w:rPr>
                      <w:rStyle w:val="287"/>
                      <w:rFonts w:hint="default" w:ascii="Times New Roman" w:hAnsi="Times New Roman" w:eastAsia="宋体" w:cs="Times New Roman"/>
                      <w:color w:val="auto"/>
                      <w:sz w:val="21"/>
                      <w:szCs w:val="21"/>
                      <w:highlight w:val="none"/>
                    </w:rPr>
                    <w:t>kg/a</w:t>
                  </w:r>
                </w:p>
              </w:tc>
              <w:tc>
                <w:tcPr>
                  <w:tcW w:w="694" w:type="pct"/>
                  <w:tcBorders>
                    <w:tl2br w:val="nil"/>
                    <w:tr2bl w:val="nil"/>
                  </w:tcBorders>
                  <w:noWrap w:val="0"/>
                  <w:vAlign w:val="center"/>
                </w:tcPr>
                <w:p w14:paraId="3AC786CE">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vertAlign w:val="baseline"/>
                      <w:lang w:val="en-US" w:eastAsia="zh-CN"/>
                    </w:rPr>
                    <w:t>+0.2093</w:t>
                  </w:r>
                  <w:r>
                    <w:rPr>
                      <w:rStyle w:val="287"/>
                      <w:rFonts w:hint="default" w:ascii="Times New Roman" w:hAnsi="Times New Roman" w:eastAsia="宋体" w:cs="Times New Roman"/>
                      <w:color w:val="auto"/>
                      <w:sz w:val="21"/>
                      <w:szCs w:val="21"/>
                      <w:highlight w:val="none"/>
                    </w:rPr>
                    <w:t>kg/a</w:t>
                  </w:r>
                </w:p>
              </w:tc>
            </w:tr>
            <w:tr w14:paraId="6710353C">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352" w:type="pct"/>
                  <w:vMerge w:val="continue"/>
                  <w:tcBorders>
                    <w:tl2br w:val="nil"/>
                    <w:tr2bl w:val="nil"/>
                  </w:tcBorders>
                  <w:noWrap w:val="0"/>
                  <w:vAlign w:val="center"/>
                </w:tcPr>
                <w:p w14:paraId="04A7D893">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jc w:val="center"/>
                    <w:textAlignment w:val="auto"/>
                    <w:rPr>
                      <w:rFonts w:hint="eastAsia" w:ascii="Times New Roman" w:hAnsi="Times New Roman" w:eastAsia="宋体" w:cs="Times New Roman"/>
                      <w:b w:val="0"/>
                      <w:color w:val="auto"/>
                      <w:kern w:val="0"/>
                      <w:sz w:val="21"/>
                      <w:szCs w:val="21"/>
                      <w:highlight w:val="none"/>
                      <w:lang w:val="en-US" w:eastAsia="zh-CN" w:bidi="ar-SA"/>
                    </w:rPr>
                  </w:pPr>
                </w:p>
              </w:tc>
              <w:tc>
                <w:tcPr>
                  <w:tcW w:w="728" w:type="pct"/>
                  <w:tcBorders>
                    <w:tl2br w:val="nil"/>
                    <w:tr2bl w:val="nil"/>
                  </w:tcBorders>
                  <w:noWrap w:val="0"/>
                  <w:vAlign w:val="center"/>
                </w:tcPr>
                <w:p w14:paraId="5B889720">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jc w:val="center"/>
                    <w:textAlignment w:val="auto"/>
                    <w:rPr>
                      <w:color w:val="auto"/>
                      <w:sz w:val="21"/>
                      <w:szCs w:val="21"/>
                      <w:highlight w:val="none"/>
                    </w:rPr>
                  </w:pPr>
                  <w:r>
                    <w:rPr>
                      <w:rFonts w:hint="default" w:ascii="Times New Roman" w:hAnsi="Times New Roman" w:cs="Times New Roman"/>
                      <w:color w:val="auto"/>
                      <w:sz w:val="21"/>
                      <w:szCs w:val="21"/>
                      <w:highlight w:val="none"/>
                      <w:lang w:val="en-US" w:eastAsia="zh-CN"/>
                    </w:rPr>
                    <w:t>硫酸雾</w:t>
                  </w:r>
                </w:p>
              </w:tc>
              <w:tc>
                <w:tcPr>
                  <w:tcW w:w="508" w:type="pct"/>
                  <w:tcBorders>
                    <w:tl2br w:val="nil"/>
                    <w:tr2bl w:val="nil"/>
                  </w:tcBorders>
                  <w:noWrap w:val="0"/>
                  <w:vAlign w:val="center"/>
                </w:tcPr>
                <w:p w14:paraId="2F038555">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64kg</w:t>
                  </w:r>
                  <w:r>
                    <w:rPr>
                      <w:rFonts w:ascii="Times New Roman" w:hAnsi="Times New Roman" w:eastAsia="宋体" w:cs="Times New Roman"/>
                      <w:color w:val="auto"/>
                      <w:sz w:val="21"/>
                      <w:szCs w:val="21"/>
                      <w:highlight w:val="none"/>
                    </w:rPr>
                    <w:t>/a</w:t>
                  </w:r>
                </w:p>
              </w:tc>
              <w:tc>
                <w:tcPr>
                  <w:tcW w:w="664" w:type="pct"/>
                  <w:tcBorders>
                    <w:tl2br w:val="nil"/>
                    <w:tr2bl w:val="nil"/>
                  </w:tcBorders>
                  <w:noWrap w:val="0"/>
                  <w:vAlign w:val="center"/>
                </w:tcPr>
                <w:p w14:paraId="61E1FFCF">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c>
                <w:tcPr>
                  <w:tcW w:w="664" w:type="pct"/>
                  <w:tcBorders>
                    <w:tl2br w:val="nil"/>
                    <w:tr2bl w:val="nil"/>
                  </w:tcBorders>
                  <w:noWrap w:val="0"/>
                  <w:vAlign w:val="center"/>
                </w:tcPr>
                <w:p w14:paraId="5574FC92">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c>
                <w:tcPr>
                  <w:tcW w:w="641" w:type="pct"/>
                  <w:tcBorders>
                    <w:tl2br w:val="nil"/>
                    <w:tr2bl w:val="nil"/>
                  </w:tcBorders>
                  <w:noWrap w:val="0"/>
                  <w:vAlign w:val="center"/>
                </w:tcPr>
                <w:p w14:paraId="3CEC7DFB">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eastAsia" w:cs="Times New Roman"/>
                      <w:b w:val="0"/>
                      <w:bCs/>
                      <w:color w:val="auto"/>
                      <w:spacing w:val="-9"/>
                      <w:sz w:val="21"/>
                      <w:szCs w:val="21"/>
                      <w:highlight w:val="none"/>
                      <w:vertAlign w:val="baseline"/>
                      <w:lang w:val="en-US" w:eastAsia="zh-CN"/>
                    </w:rPr>
                    <w:t>0.805</w:t>
                  </w:r>
                  <w:r>
                    <w:rPr>
                      <w:rStyle w:val="287"/>
                      <w:rFonts w:hint="default" w:ascii="Times New Roman" w:hAnsi="Times New Roman" w:eastAsia="宋体" w:cs="Times New Roman"/>
                      <w:color w:val="auto"/>
                      <w:sz w:val="21"/>
                      <w:szCs w:val="21"/>
                      <w:highlight w:val="none"/>
                    </w:rPr>
                    <w:t>kg/a</w:t>
                  </w:r>
                </w:p>
              </w:tc>
              <w:tc>
                <w:tcPr>
                  <w:tcW w:w="744" w:type="pct"/>
                  <w:tcBorders>
                    <w:tl2br w:val="nil"/>
                    <w:tr2bl w:val="nil"/>
                  </w:tcBorders>
                  <w:noWrap w:val="0"/>
                  <w:vAlign w:val="center"/>
                </w:tcPr>
                <w:p w14:paraId="1C2A0B6A">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64.805</w:t>
                  </w:r>
                  <w:r>
                    <w:rPr>
                      <w:rStyle w:val="287"/>
                      <w:rFonts w:hint="default" w:ascii="Times New Roman" w:hAnsi="Times New Roman" w:eastAsia="宋体" w:cs="Times New Roman"/>
                      <w:color w:val="auto"/>
                      <w:sz w:val="21"/>
                      <w:szCs w:val="21"/>
                      <w:highlight w:val="none"/>
                    </w:rPr>
                    <w:t>kg/a</w:t>
                  </w:r>
                </w:p>
              </w:tc>
              <w:tc>
                <w:tcPr>
                  <w:tcW w:w="694" w:type="pct"/>
                  <w:tcBorders>
                    <w:tl2br w:val="nil"/>
                    <w:tr2bl w:val="nil"/>
                  </w:tcBorders>
                  <w:noWrap w:val="0"/>
                  <w:vAlign w:val="center"/>
                </w:tcPr>
                <w:p w14:paraId="13D06451">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vertAlign w:val="baseline"/>
                      <w:lang w:val="en-US" w:eastAsia="zh-CN"/>
                    </w:rPr>
                    <w:t>+</w:t>
                  </w:r>
                  <w:r>
                    <w:rPr>
                      <w:rFonts w:hint="eastAsia" w:cs="Times New Roman"/>
                      <w:b w:val="0"/>
                      <w:bCs/>
                      <w:color w:val="auto"/>
                      <w:spacing w:val="-9"/>
                      <w:sz w:val="21"/>
                      <w:szCs w:val="21"/>
                      <w:highlight w:val="none"/>
                      <w:vertAlign w:val="baseline"/>
                      <w:lang w:val="en-US" w:eastAsia="zh-CN"/>
                    </w:rPr>
                    <w:t>0.805</w:t>
                  </w:r>
                  <w:r>
                    <w:rPr>
                      <w:rStyle w:val="287"/>
                      <w:rFonts w:hint="default" w:ascii="Times New Roman" w:hAnsi="Times New Roman" w:eastAsia="宋体" w:cs="Times New Roman"/>
                      <w:color w:val="auto"/>
                      <w:sz w:val="21"/>
                      <w:szCs w:val="21"/>
                      <w:highlight w:val="none"/>
                    </w:rPr>
                    <w:t>kg/a</w:t>
                  </w:r>
                </w:p>
              </w:tc>
            </w:tr>
            <w:tr w14:paraId="03180262">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352" w:type="pct"/>
                  <w:vMerge w:val="continue"/>
                  <w:tcBorders>
                    <w:tl2br w:val="nil"/>
                    <w:tr2bl w:val="nil"/>
                  </w:tcBorders>
                  <w:noWrap w:val="0"/>
                  <w:vAlign w:val="center"/>
                </w:tcPr>
                <w:p w14:paraId="405F1003">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jc w:val="center"/>
                    <w:textAlignment w:val="auto"/>
                    <w:rPr>
                      <w:rFonts w:hint="eastAsia" w:ascii="Times New Roman" w:hAnsi="Times New Roman" w:eastAsia="宋体" w:cs="Times New Roman"/>
                      <w:b w:val="0"/>
                      <w:color w:val="auto"/>
                      <w:kern w:val="0"/>
                      <w:sz w:val="21"/>
                      <w:szCs w:val="21"/>
                      <w:highlight w:val="none"/>
                      <w:lang w:val="en-US" w:eastAsia="zh-CN" w:bidi="ar-SA"/>
                    </w:rPr>
                  </w:pPr>
                </w:p>
              </w:tc>
              <w:tc>
                <w:tcPr>
                  <w:tcW w:w="728" w:type="pct"/>
                  <w:tcBorders>
                    <w:tl2br w:val="nil"/>
                    <w:tr2bl w:val="nil"/>
                  </w:tcBorders>
                  <w:noWrap w:val="0"/>
                  <w:vAlign w:val="center"/>
                </w:tcPr>
                <w:p w14:paraId="788E708B">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jc w:val="center"/>
                    <w:textAlignment w:val="auto"/>
                    <w:rPr>
                      <w:color w:val="auto"/>
                      <w:sz w:val="21"/>
                      <w:szCs w:val="21"/>
                      <w:highlight w:val="none"/>
                    </w:rPr>
                  </w:pPr>
                  <w:r>
                    <w:rPr>
                      <w:rFonts w:hint="default" w:ascii="Times New Roman" w:hAnsi="Times New Roman" w:cs="Times New Roman"/>
                      <w:color w:val="auto"/>
                      <w:sz w:val="21"/>
                      <w:szCs w:val="21"/>
                      <w:highlight w:val="none"/>
                      <w:lang w:val="en-US" w:eastAsia="zh-CN"/>
                    </w:rPr>
                    <w:t>氮氧化物</w:t>
                  </w:r>
                </w:p>
              </w:tc>
              <w:tc>
                <w:tcPr>
                  <w:tcW w:w="508" w:type="pct"/>
                  <w:tcBorders>
                    <w:tl2br w:val="nil"/>
                    <w:tr2bl w:val="nil"/>
                  </w:tcBorders>
                  <w:noWrap w:val="0"/>
                  <w:vAlign w:val="center"/>
                </w:tcPr>
                <w:p w14:paraId="2A04A5DA">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138kg</w:t>
                  </w:r>
                  <w:r>
                    <w:rPr>
                      <w:rFonts w:ascii="Times New Roman" w:hAnsi="Times New Roman" w:eastAsia="宋体" w:cs="Times New Roman"/>
                      <w:color w:val="auto"/>
                      <w:sz w:val="21"/>
                      <w:szCs w:val="21"/>
                      <w:highlight w:val="none"/>
                    </w:rPr>
                    <w:t>/a</w:t>
                  </w:r>
                </w:p>
              </w:tc>
              <w:tc>
                <w:tcPr>
                  <w:tcW w:w="664" w:type="pct"/>
                  <w:tcBorders>
                    <w:tl2br w:val="nil"/>
                    <w:tr2bl w:val="nil"/>
                  </w:tcBorders>
                  <w:noWrap w:val="0"/>
                  <w:vAlign w:val="center"/>
                </w:tcPr>
                <w:p w14:paraId="34E047DB">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c>
                <w:tcPr>
                  <w:tcW w:w="664" w:type="pct"/>
                  <w:tcBorders>
                    <w:tl2br w:val="nil"/>
                    <w:tr2bl w:val="nil"/>
                  </w:tcBorders>
                  <w:noWrap w:val="0"/>
                  <w:vAlign w:val="center"/>
                </w:tcPr>
                <w:p w14:paraId="5394B5C3">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c>
                <w:tcPr>
                  <w:tcW w:w="641" w:type="pct"/>
                  <w:tcBorders>
                    <w:tl2br w:val="nil"/>
                    <w:tr2bl w:val="nil"/>
                  </w:tcBorders>
                  <w:noWrap w:val="0"/>
                  <w:vAlign w:val="center"/>
                </w:tcPr>
                <w:p w14:paraId="33970ADC">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0.005</w:t>
                  </w:r>
                  <w:r>
                    <w:rPr>
                      <w:rStyle w:val="287"/>
                      <w:rFonts w:hint="default" w:ascii="Times New Roman" w:hAnsi="Times New Roman" w:eastAsia="宋体" w:cs="Times New Roman"/>
                      <w:color w:val="auto"/>
                      <w:sz w:val="21"/>
                      <w:szCs w:val="21"/>
                      <w:highlight w:val="none"/>
                    </w:rPr>
                    <w:t>kg/a</w:t>
                  </w:r>
                </w:p>
              </w:tc>
              <w:tc>
                <w:tcPr>
                  <w:tcW w:w="744" w:type="pct"/>
                  <w:tcBorders>
                    <w:tl2br w:val="nil"/>
                    <w:tr2bl w:val="nil"/>
                  </w:tcBorders>
                  <w:noWrap w:val="0"/>
                  <w:vAlign w:val="center"/>
                </w:tcPr>
                <w:p w14:paraId="19A395BE">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138.005</w:t>
                  </w:r>
                  <w:r>
                    <w:rPr>
                      <w:rStyle w:val="287"/>
                      <w:rFonts w:hint="default" w:ascii="Times New Roman" w:hAnsi="Times New Roman" w:eastAsia="宋体" w:cs="Times New Roman"/>
                      <w:color w:val="auto"/>
                      <w:sz w:val="21"/>
                      <w:szCs w:val="21"/>
                      <w:highlight w:val="none"/>
                    </w:rPr>
                    <w:t>kg/a</w:t>
                  </w:r>
                </w:p>
              </w:tc>
              <w:tc>
                <w:tcPr>
                  <w:tcW w:w="694" w:type="pct"/>
                  <w:tcBorders>
                    <w:tl2br w:val="nil"/>
                    <w:tr2bl w:val="nil"/>
                  </w:tcBorders>
                  <w:noWrap w:val="0"/>
                  <w:vAlign w:val="center"/>
                </w:tcPr>
                <w:p w14:paraId="31619B58">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vertAlign w:val="baseline"/>
                      <w:lang w:val="en-US" w:eastAsia="zh-CN"/>
                    </w:rPr>
                    <w:t>+</w:t>
                  </w:r>
                  <w:r>
                    <w:rPr>
                      <w:rFonts w:hint="eastAsia" w:cs="Times New Roman"/>
                      <w:color w:val="auto"/>
                      <w:sz w:val="21"/>
                      <w:szCs w:val="21"/>
                      <w:highlight w:val="none"/>
                      <w:lang w:val="en-US" w:eastAsia="zh-CN"/>
                    </w:rPr>
                    <w:t>0.005</w:t>
                  </w:r>
                  <w:r>
                    <w:rPr>
                      <w:rStyle w:val="287"/>
                      <w:rFonts w:hint="default" w:ascii="Times New Roman" w:hAnsi="Times New Roman" w:eastAsia="宋体" w:cs="Times New Roman"/>
                      <w:color w:val="auto"/>
                      <w:sz w:val="21"/>
                      <w:szCs w:val="21"/>
                      <w:highlight w:val="none"/>
                    </w:rPr>
                    <w:t>kg/a</w:t>
                  </w:r>
                </w:p>
              </w:tc>
            </w:tr>
            <w:tr w14:paraId="4C76CD92">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352" w:type="pct"/>
                  <w:vMerge w:val="continue"/>
                  <w:tcBorders>
                    <w:tl2br w:val="nil"/>
                    <w:tr2bl w:val="nil"/>
                  </w:tcBorders>
                  <w:noWrap w:val="0"/>
                  <w:vAlign w:val="center"/>
                </w:tcPr>
                <w:p w14:paraId="78B37BBB">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jc w:val="center"/>
                    <w:textAlignment w:val="auto"/>
                    <w:rPr>
                      <w:rFonts w:hint="eastAsia" w:ascii="Times New Roman" w:hAnsi="Times New Roman" w:eastAsia="宋体" w:cs="Times New Roman"/>
                      <w:b w:val="0"/>
                      <w:color w:val="auto"/>
                      <w:kern w:val="0"/>
                      <w:sz w:val="21"/>
                      <w:szCs w:val="21"/>
                      <w:highlight w:val="none"/>
                      <w:lang w:val="en-US" w:eastAsia="zh-CN" w:bidi="ar-SA"/>
                    </w:rPr>
                  </w:pPr>
                </w:p>
              </w:tc>
              <w:tc>
                <w:tcPr>
                  <w:tcW w:w="728" w:type="pct"/>
                  <w:tcBorders>
                    <w:tl2br w:val="nil"/>
                    <w:tr2bl w:val="nil"/>
                  </w:tcBorders>
                  <w:noWrap w:val="0"/>
                  <w:vAlign w:val="center"/>
                </w:tcPr>
                <w:p w14:paraId="0C9B3B74">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jc w:val="center"/>
                    <w:textAlignment w:val="auto"/>
                    <w:rPr>
                      <w:color w:val="auto"/>
                      <w:sz w:val="21"/>
                      <w:szCs w:val="21"/>
                      <w:highlight w:val="none"/>
                    </w:rPr>
                  </w:pPr>
                  <w:r>
                    <w:rPr>
                      <w:rStyle w:val="287"/>
                      <w:rFonts w:hint="default" w:ascii="Times New Roman" w:hAnsi="Times New Roman" w:eastAsia="宋体" w:cs="Times New Roman"/>
                      <w:color w:val="auto"/>
                      <w:sz w:val="21"/>
                      <w:szCs w:val="21"/>
                      <w:highlight w:val="none"/>
                    </w:rPr>
                    <w:t>氯化氢</w:t>
                  </w:r>
                </w:p>
              </w:tc>
              <w:tc>
                <w:tcPr>
                  <w:tcW w:w="508" w:type="pct"/>
                  <w:tcBorders>
                    <w:tl2br w:val="nil"/>
                    <w:tr2bl w:val="nil"/>
                  </w:tcBorders>
                  <w:noWrap w:val="0"/>
                  <w:vAlign w:val="center"/>
                </w:tcPr>
                <w:p w14:paraId="48540000">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110kg</w:t>
                  </w:r>
                  <w:r>
                    <w:rPr>
                      <w:rFonts w:ascii="Times New Roman" w:hAnsi="Times New Roman" w:eastAsia="宋体" w:cs="Times New Roman"/>
                      <w:color w:val="auto"/>
                      <w:sz w:val="21"/>
                      <w:szCs w:val="21"/>
                      <w:highlight w:val="none"/>
                    </w:rPr>
                    <w:t>/a</w:t>
                  </w:r>
                </w:p>
              </w:tc>
              <w:tc>
                <w:tcPr>
                  <w:tcW w:w="664" w:type="pct"/>
                  <w:tcBorders>
                    <w:tl2br w:val="nil"/>
                    <w:tr2bl w:val="nil"/>
                  </w:tcBorders>
                  <w:noWrap w:val="0"/>
                  <w:vAlign w:val="center"/>
                </w:tcPr>
                <w:p w14:paraId="755BE4E7">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c>
                <w:tcPr>
                  <w:tcW w:w="664" w:type="pct"/>
                  <w:tcBorders>
                    <w:tl2br w:val="nil"/>
                    <w:tr2bl w:val="nil"/>
                  </w:tcBorders>
                  <w:noWrap w:val="0"/>
                  <w:vAlign w:val="center"/>
                </w:tcPr>
                <w:p w14:paraId="6F41F92D">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c>
                <w:tcPr>
                  <w:tcW w:w="641" w:type="pct"/>
                  <w:tcBorders>
                    <w:tl2br w:val="nil"/>
                    <w:tr2bl w:val="nil"/>
                  </w:tcBorders>
                  <w:noWrap w:val="0"/>
                  <w:vAlign w:val="center"/>
                </w:tcPr>
                <w:p w14:paraId="6B62B32B">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eastAsia" w:cs="Times New Roman"/>
                      <w:b w:val="0"/>
                      <w:bCs/>
                      <w:color w:val="auto"/>
                      <w:spacing w:val="-9"/>
                      <w:sz w:val="21"/>
                      <w:szCs w:val="21"/>
                      <w:highlight w:val="none"/>
                      <w:vertAlign w:val="baseline"/>
                      <w:lang w:val="en-US" w:eastAsia="zh-CN"/>
                    </w:rPr>
                    <w:t>0.0058</w:t>
                  </w:r>
                  <w:r>
                    <w:rPr>
                      <w:rStyle w:val="287"/>
                      <w:rFonts w:hint="default" w:ascii="Times New Roman" w:hAnsi="Times New Roman" w:eastAsia="宋体" w:cs="Times New Roman"/>
                      <w:color w:val="auto"/>
                      <w:sz w:val="21"/>
                      <w:szCs w:val="21"/>
                      <w:highlight w:val="none"/>
                    </w:rPr>
                    <w:t>kg/a</w:t>
                  </w:r>
                </w:p>
              </w:tc>
              <w:tc>
                <w:tcPr>
                  <w:tcW w:w="744" w:type="pct"/>
                  <w:tcBorders>
                    <w:tl2br w:val="nil"/>
                    <w:tr2bl w:val="nil"/>
                  </w:tcBorders>
                  <w:noWrap w:val="0"/>
                  <w:vAlign w:val="center"/>
                </w:tcPr>
                <w:p w14:paraId="0DF21E9C">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110.0058</w:t>
                  </w:r>
                  <w:r>
                    <w:rPr>
                      <w:rStyle w:val="287"/>
                      <w:rFonts w:hint="default" w:ascii="Times New Roman" w:hAnsi="Times New Roman" w:eastAsia="宋体" w:cs="Times New Roman"/>
                      <w:color w:val="auto"/>
                      <w:sz w:val="21"/>
                      <w:szCs w:val="21"/>
                      <w:highlight w:val="none"/>
                    </w:rPr>
                    <w:t>kg/a</w:t>
                  </w:r>
                </w:p>
              </w:tc>
              <w:tc>
                <w:tcPr>
                  <w:tcW w:w="694" w:type="pct"/>
                  <w:tcBorders>
                    <w:tl2br w:val="nil"/>
                    <w:tr2bl w:val="nil"/>
                  </w:tcBorders>
                  <w:noWrap w:val="0"/>
                  <w:vAlign w:val="center"/>
                </w:tcPr>
                <w:p w14:paraId="5117026A">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vertAlign w:val="baseline"/>
                      <w:lang w:val="en-US" w:eastAsia="zh-CN"/>
                    </w:rPr>
                    <w:t>+</w:t>
                  </w:r>
                  <w:r>
                    <w:rPr>
                      <w:rFonts w:hint="eastAsia" w:cs="Times New Roman"/>
                      <w:b w:val="0"/>
                      <w:bCs/>
                      <w:color w:val="auto"/>
                      <w:spacing w:val="-9"/>
                      <w:sz w:val="21"/>
                      <w:szCs w:val="21"/>
                      <w:highlight w:val="none"/>
                      <w:vertAlign w:val="baseline"/>
                      <w:lang w:val="en-US" w:eastAsia="zh-CN"/>
                    </w:rPr>
                    <w:t>0.0058</w:t>
                  </w:r>
                  <w:r>
                    <w:rPr>
                      <w:rStyle w:val="287"/>
                      <w:rFonts w:hint="default" w:ascii="Times New Roman" w:hAnsi="Times New Roman" w:eastAsia="宋体" w:cs="Times New Roman"/>
                      <w:color w:val="auto"/>
                      <w:sz w:val="21"/>
                      <w:szCs w:val="21"/>
                      <w:highlight w:val="none"/>
                    </w:rPr>
                    <w:t>kg/a</w:t>
                  </w:r>
                </w:p>
              </w:tc>
            </w:tr>
            <w:tr w14:paraId="0C5A8ACA">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352" w:type="pct"/>
                  <w:vMerge w:val="continue"/>
                  <w:tcBorders>
                    <w:tl2br w:val="nil"/>
                    <w:tr2bl w:val="nil"/>
                  </w:tcBorders>
                  <w:noWrap w:val="0"/>
                  <w:vAlign w:val="center"/>
                </w:tcPr>
                <w:p w14:paraId="43FD4C14">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jc w:val="center"/>
                    <w:textAlignment w:val="auto"/>
                    <w:rPr>
                      <w:rFonts w:hint="eastAsia" w:ascii="Times New Roman" w:hAnsi="Times New Roman" w:eastAsia="宋体" w:cs="Times New Roman"/>
                      <w:b w:val="0"/>
                      <w:color w:val="auto"/>
                      <w:kern w:val="0"/>
                      <w:sz w:val="21"/>
                      <w:szCs w:val="21"/>
                      <w:highlight w:val="none"/>
                      <w:lang w:val="en-US" w:eastAsia="zh-CN" w:bidi="ar-SA"/>
                    </w:rPr>
                  </w:pPr>
                </w:p>
              </w:tc>
              <w:tc>
                <w:tcPr>
                  <w:tcW w:w="728" w:type="pct"/>
                  <w:tcBorders>
                    <w:tl2br w:val="nil"/>
                    <w:tr2bl w:val="nil"/>
                  </w:tcBorders>
                  <w:noWrap w:val="0"/>
                  <w:vAlign w:val="center"/>
                </w:tcPr>
                <w:p w14:paraId="04A451B0">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jc w:val="center"/>
                    <w:textAlignment w:val="auto"/>
                    <w:rPr>
                      <w:rFonts w:hint="eastAsia" w:ascii="Times New Roman" w:hAnsi="Times New Roman" w:eastAsia="宋体" w:cs="Times New Roman"/>
                      <w:color w:val="auto"/>
                      <w:highlight w:val="none"/>
                      <w:lang w:val="en-US" w:eastAsia="zh-CN"/>
                    </w:rPr>
                  </w:pPr>
                  <w:r>
                    <w:rPr>
                      <w:rFonts w:hint="default" w:ascii="Times New Roman" w:hAnsi="Times New Roman" w:cs="Times New Roman"/>
                      <w:b w:val="0"/>
                      <w:color w:val="auto"/>
                      <w:kern w:val="0"/>
                      <w:sz w:val="21"/>
                      <w:szCs w:val="21"/>
                      <w:highlight w:val="none"/>
                      <w:lang w:val="en-US" w:eastAsia="zh-CN" w:bidi="ar-SA"/>
                    </w:rPr>
                    <w:t>非甲烷总烃</w:t>
                  </w:r>
                </w:p>
              </w:tc>
              <w:tc>
                <w:tcPr>
                  <w:tcW w:w="508" w:type="pct"/>
                  <w:tcBorders>
                    <w:tl2br w:val="nil"/>
                    <w:tr2bl w:val="nil"/>
                  </w:tcBorders>
                  <w:noWrap w:val="0"/>
                  <w:vAlign w:val="center"/>
                </w:tcPr>
                <w:p w14:paraId="7F4C6BD9">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464kg</w:t>
                  </w:r>
                  <w:r>
                    <w:rPr>
                      <w:rFonts w:ascii="Times New Roman" w:hAnsi="Times New Roman" w:eastAsia="宋体" w:cs="Times New Roman"/>
                      <w:color w:val="auto"/>
                      <w:sz w:val="21"/>
                      <w:szCs w:val="21"/>
                      <w:highlight w:val="none"/>
                    </w:rPr>
                    <w:t>/a</w:t>
                  </w:r>
                </w:p>
              </w:tc>
              <w:tc>
                <w:tcPr>
                  <w:tcW w:w="664" w:type="pct"/>
                  <w:tcBorders>
                    <w:tl2br w:val="nil"/>
                    <w:tr2bl w:val="nil"/>
                  </w:tcBorders>
                  <w:noWrap w:val="0"/>
                  <w:vAlign w:val="center"/>
                </w:tcPr>
                <w:p w14:paraId="1B925675">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c>
                <w:tcPr>
                  <w:tcW w:w="664" w:type="pct"/>
                  <w:tcBorders>
                    <w:tl2br w:val="nil"/>
                    <w:tr2bl w:val="nil"/>
                  </w:tcBorders>
                  <w:noWrap w:val="0"/>
                  <w:vAlign w:val="center"/>
                </w:tcPr>
                <w:p w14:paraId="5991F1F4">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c>
                <w:tcPr>
                  <w:tcW w:w="641" w:type="pct"/>
                  <w:tcBorders>
                    <w:tl2br w:val="nil"/>
                    <w:tr2bl w:val="nil"/>
                  </w:tcBorders>
                  <w:noWrap w:val="0"/>
                  <w:vAlign w:val="center"/>
                </w:tcPr>
                <w:p w14:paraId="2F733525">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0.0544k</w:t>
                  </w:r>
                  <w:r>
                    <w:rPr>
                      <w:rFonts w:hint="default" w:ascii="Times New Roman" w:hAnsi="Times New Roman" w:eastAsia="宋体" w:cs="Times New Roman"/>
                      <w:color w:val="auto"/>
                      <w:sz w:val="21"/>
                      <w:szCs w:val="21"/>
                      <w:highlight w:val="none"/>
                    </w:rPr>
                    <w:t>g/a</w:t>
                  </w:r>
                </w:p>
              </w:tc>
              <w:tc>
                <w:tcPr>
                  <w:tcW w:w="744" w:type="pct"/>
                  <w:tcBorders>
                    <w:tl2br w:val="nil"/>
                    <w:tr2bl w:val="nil"/>
                  </w:tcBorders>
                  <w:noWrap w:val="0"/>
                  <w:vAlign w:val="center"/>
                </w:tcPr>
                <w:p w14:paraId="32BBADD1">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464.0544</w:t>
                  </w:r>
                  <w:r>
                    <w:rPr>
                      <w:rStyle w:val="287"/>
                      <w:rFonts w:hint="default" w:ascii="Times New Roman" w:hAnsi="Times New Roman" w:eastAsia="宋体" w:cs="Times New Roman"/>
                      <w:color w:val="auto"/>
                      <w:sz w:val="21"/>
                      <w:szCs w:val="21"/>
                      <w:highlight w:val="none"/>
                    </w:rPr>
                    <w:t>kg/a</w:t>
                  </w:r>
                </w:p>
              </w:tc>
              <w:tc>
                <w:tcPr>
                  <w:tcW w:w="694" w:type="pct"/>
                  <w:tcBorders>
                    <w:tl2br w:val="nil"/>
                    <w:tr2bl w:val="nil"/>
                  </w:tcBorders>
                  <w:noWrap w:val="0"/>
                  <w:vAlign w:val="center"/>
                </w:tcPr>
                <w:p w14:paraId="2B219939">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vertAlign w:val="baseline"/>
                      <w:lang w:val="en-US" w:eastAsia="zh-CN"/>
                    </w:rPr>
                    <w:t>+</w:t>
                  </w:r>
                  <w:r>
                    <w:rPr>
                      <w:rFonts w:hint="eastAsia" w:cs="Times New Roman"/>
                      <w:color w:val="auto"/>
                      <w:sz w:val="21"/>
                      <w:szCs w:val="21"/>
                      <w:highlight w:val="none"/>
                      <w:lang w:val="en-US" w:eastAsia="zh-CN"/>
                    </w:rPr>
                    <w:t>0.0544k</w:t>
                  </w:r>
                  <w:r>
                    <w:rPr>
                      <w:rFonts w:hint="default" w:ascii="Times New Roman" w:hAnsi="Times New Roman" w:eastAsia="宋体" w:cs="Times New Roman"/>
                      <w:color w:val="auto"/>
                      <w:sz w:val="21"/>
                      <w:szCs w:val="21"/>
                      <w:highlight w:val="none"/>
                    </w:rPr>
                    <w:t>g/a</w:t>
                  </w:r>
                </w:p>
              </w:tc>
            </w:tr>
            <w:tr w14:paraId="5CB6EDF0">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352" w:type="pct"/>
                  <w:vMerge w:val="restart"/>
                  <w:tcBorders>
                    <w:tl2br w:val="nil"/>
                    <w:tr2bl w:val="nil"/>
                  </w:tcBorders>
                  <w:noWrap w:val="0"/>
                  <w:vAlign w:val="center"/>
                </w:tcPr>
                <w:p w14:paraId="620C5679">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jc w:val="center"/>
                    <w:textAlignment w:val="auto"/>
                    <w:rPr>
                      <w:rFonts w:hint="default" w:ascii="Times New Roman" w:hAnsi="Times New Roman" w:eastAsia="宋体" w:cs="Times New Roman"/>
                      <w:b w:val="0"/>
                      <w:color w:val="auto"/>
                      <w:kern w:val="0"/>
                      <w:sz w:val="21"/>
                      <w:szCs w:val="21"/>
                      <w:highlight w:val="none"/>
                      <w:lang w:val="en-US" w:eastAsia="zh-CN" w:bidi="ar-SA"/>
                    </w:rPr>
                  </w:pPr>
                  <w:r>
                    <w:rPr>
                      <w:rFonts w:hint="eastAsia" w:ascii="Times New Roman" w:hAnsi="Times New Roman" w:eastAsia="宋体" w:cs="Times New Roman"/>
                      <w:b w:val="0"/>
                      <w:color w:val="auto"/>
                      <w:kern w:val="0"/>
                      <w:sz w:val="21"/>
                      <w:szCs w:val="21"/>
                      <w:highlight w:val="none"/>
                      <w:lang w:val="en-US" w:eastAsia="zh-CN" w:bidi="ar-SA"/>
                    </w:rPr>
                    <w:t>固体废物</w:t>
                  </w:r>
                </w:p>
              </w:tc>
              <w:tc>
                <w:tcPr>
                  <w:tcW w:w="728" w:type="pct"/>
                  <w:tcBorders>
                    <w:tl2br w:val="nil"/>
                    <w:tr2bl w:val="nil"/>
                  </w:tcBorders>
                  <w:noWrap w:val="0"/>
                  <w:vAlign w:val="center"/>
                </w:tcPr>
                <w:p w14:paraId="4690B4AF">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jc w:val="center"/>
                    <w:textAlignment w:val="auto"/>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生活垃圾</w:t>
                  </w:r>
                </w:p>
              </w:tc>
              <w:tc>
                <w:tcPr>
                  <w:tcW w:w="508" w:type="pct"/>
                  <w:tcBorders>
                    <w:tl2br w:val="nil"/>
                    <w:tr2bl w:val="nil"/>
                  </w:tcBorders>
                  <w:noWrap w:val="0"/>
                  <w:vAlign w:val="center"/>
                </w:tcPr>
                <w:p w14:paraId="0F7D1CE7">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85t</w:t>
                  </w:r>
                  <w:r>
                    <w:rPr>
                      <w:rFonts w:hint="eastAsia" w:ascii="Times New Roman" w:hAnsi="Times New Roman" w:eastAsia="宋体" w:cs="Times New Roman"/>
                      <w:bCs/>
                      <w:color w:val="auto"/>
                      <w:sz w:val="21"/>
                      <w:szCs w:val="21"/>
                      <w:highlight w:val="none"/>
                      <w:lang w:val="zh-CN" w:eastAsia="zh-CN"/>
                    </w:rPr>
                    <w:t>/a</w:t>
                  </w:r>
                </w:p>
              </w:tc>
              <w:tc>
                <w:tcPr>
                  <w:tcW w:w="664" w:type="pct"/>
                  <w:tcBorders>
                    <w:tl2br w:val="nil"/>
                    <w:tr2bl w:val="nil"/>
                  </w:tcBorders>
                  <w:noWrap w:val="0"/>
                  <w:vAlign w:val="center"/>
                </w:tcPr>
                <w:p w14:paraId="53C9B427">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0</w:t>
                  </w:r>
                </w:p>
              </w:tc>
              <w:tc>
                <w:tcPr>
                  <w:tcW w:w="664" w:type="pct"/>
                  <w:tcBorders>
                    <w:tl2br w:val="nil"/>
                    <w:tr2bl w:val="nil"/>
                  </w:tcBorders>
                  <w:noWrap w:val="0"/>
                  <w:vAlign w:val="center"/>
                </w:tcPr>
                <w:p w14:paraId="6EEB8AAC">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0</w:t>
                  </w:r>
                </w:p>
              </w:tc>
              <w:tc>
                <w:tcPr>
                  <w:tcW w:w="641" w:type="pct"/>
                  <w:tcBorders>
                    <w:tl2br w:val="nil"/>
                    <w:tr2bl w:val="nil"/>
                  </w:tcBorders>
                  <w:noWrap w:val="0"/>
                  <w:vAlign w:val="center"/>
                </w:tcPr>
                <w:p w14:paraId="375ACFD5">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0</w:t>
                  </w:r>
                </w:p>
              </w:tc>
              <w:tc>
                <w:tcPr>
                  <w:tcW w:w="744" w:type="pct"/>
                  <w:tcBorders>
                    <w:tl2br w:val="nil"/>
                    <w:tr2bl w:val="nil"/>
                  </w:tcBorders>
                  <w:noWrap w:val="0"/>
                  <w:vAlign w:val="center"/>
                </w:tcPr>
                <w:p w14:paraId="56654CD9">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85t</w:t>
                  </w:r>
                  <w:r>
                    <w:rPr>
                      <w:rFonts w:hint="eastAsia" w:ascii="Times New Roman" w:hAnsi="Times New Roman" w:eastAsia="宋体" w:cs="Times New Roman"/>
                      <w:bCs/>
                      <w:color w:val="auto"/>
                      <w:sz w:val="21"/>
                      <w:szCs w:val="21"/>
                      <w:highlight w:val="none"/>
                      <w:lang w:val="zh-CN" w:eastAsia="zh-CN"/>
                    </w:rPr>
                    <w:t>/a</w:t>
                  </w:r>
                </w:p>
              </w:tc>
              <w:tc>
                <w:tcPr>
                  <w:tcW w:w="694" w:type="pct"/>
                  <w:tcBorders>
                    <w:tl2br w:val="nil"/>
                    <w:tr2bl w:val="nil"/>
                  </w:tcBorders>
                  <w:noWrap w:val="0"/>
                  <w:vAlign w:val="center"/>
                </w:tcPr>
                <w:p w14:paraId="12C57D7A">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0</w:t>
                  </w:r>
                </w:p>
              </w:tc>
            </w:tr>
            <w:tr w14:paraId="764D9196">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352" w:type="pct"/>
                  <w:vMerge w:val="continue"/>
                  <w:tcBorders>
                    <w:tl2br w:val="nil"/>
                    <w:tr2bl w:val="nil"/>
                  </w:tcBorders>
                  <w:noWrap w:val="0"/>
                  <w:vAlign w:val="center"/>
                </w:tcPr>
                <w:p w14:paraId="1F0D47BB">
                  <w:pPr>
                    <w:jc w:val="center"/>
                    <w:rPr>
                      <w:rFonts w:hint="eastAsia"/>
                      <w:b w:val="0"/>
                      <w:bCs w:val="0"/>
                      <w:color w:val="auto"/>
                      <w:highlight w:val="none"/>
                      <w:vertAlign w:val="baseline"/>
                      <w:lang w:val="en-US" w:eastAsia="zh-CN"/>
                    </w:rPr>
                  </w:pPr>
                </w:p>
              </w:tc>
              <w:tc>
                <w:tcPr>
                  <w:tcW w:w="728" w:type="pct"/>
                  <w:tcBorders>
                    <w:tl2br w:val="nil"/>
                    <w:tr2bl w:val="nil"/>
                  </w:tcBorders>
                  <w:noWrap w:val="0"/>
                  <w:vAlign w:val="center"/>
                </w:tcPr>
                <w:p w14:paraId="7A533C20">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jc w:val="center"/>
                    <w:textAlignment w:val="auto"/>
                    <w:rPr>
                      <w:rFonts w:hint="eastAsia" w:ascii="Times New Roman" w:hAnsi="Times New Roman" w:eastAsia="宋体" w:cs="Times New Roman"/>
                      <w:bCs/>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损坏的器皿</w:t>
                  </w:r>
                </w:p>
              </w:tc>
              <w:tc>
                <w:tcPr>
                  <w:tcW w:w="508" w:type="pct"/>
                  <w:tcBorders>
                    <w:tl2br w:val="nil"/>
                    <w:tr2bl w:val="nil"/>
                  </w:tcBorders>
                  <w:noWrap w:val="0"/>
                  <w:vAlign w:val="center"/>
                </w:tcPr>
                <w:p w14:paraId="2BC2387E">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0</w:t>
                  </w:r>
                </w:p>
              </w:tc>
              <w:tc>
                <w:tcPr>
                  <w:tcW w:w="664" w:type="pct"/>
                  <w:tcBorders>
                    <w:tl2br w:val="nil"/>
                    <w:tr2bl w:val="nil"/>
                  </w:tcBorders>
                  <w:noWrap w:val="0"/>
                  <w:vAlign w:val="center"/>
                </w:tcPr>
                <w:p w14:paraId="59BC8689">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0</w:t>
                  </w:r>
                </w:p>
              </w:tc>
              <w:tc>
                <w:tcPr>
                  <w:tcW w:w="664" w:type="pct"/>
                  <w:tcBorders>
                    <w:tl2br w:val="nil"/>
                    <w:tr2bl w:val="nil"/>
                  </w:tcBorders>
                  <w:noWrap w:val="0"/>
                  <w:vAlign w:val="center"/>
                </w:tcPr>
                <w:p w14:paraId="21B1969A">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0</w:t>
                  </w:r>
                </w:p>
              </w:tc>
              <w:tc>
                <w:tcPr>
                  <w:tcW w:w="641" w:type="pct"/>
                  <w:tcBorders>
                    <w:tl2br w:val="nil"/>
                    <w:tr2bl w:val="nil"/>
                  </w:tcBorders>
                  <w:noWrap w:val="0"/>
                  <w:vAlign w:val="center"/>
                </w:tcPr>
                <w:p w14:paraId="37879DAF">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0</w:t>
                  </w:r>
                </w:p>
              </w:tc>
              <w:tc>
                <w:tcPr>
                  <w:tcW w:w="744" w:type="pct"/>
                  <w:tcBorders>
                    <w:tl2br w:val="nil"/>
                    <w:tr2bl w:val="nil"/>
                  </w:tcBorders>
                  <w:noWrap w:val="0"/>
                  <w:vAlign w:val="center"/>
                </w:tcPr>
                <w:p w14:paraId="061E02E2">
                  <w:pPr>
                    <w:keepLines w:val="0"/>
                    <w:pageBreakBefore w:val="0"/>
                    <w:kinsoku/>
                    <w:wordWrap/>
                    <w:overflowPunct/>
                    <w:topLinePunct w:val="0"/>
                    <w:bidi w:val="0"/>
                    <w:spacing w:line="320" w:lineRule="exact"/>
                    <w:ind w:left="0" w:leftChars="0"/>
                    <w:jc w:val="center"/>
                    <w:rPr>
                      <w:rFonts w:hint="eastAsia" w:ascii="Times New Roman" w:hAnsi="Times New Roman" w:eastAsia="宋体" w:cs="Times New Roman"/>
                      <w:bCs/>
                      <w:color w:val="auto"/>
                      <w:sz w:val="21"/>
                      <w:szCs w:val="21"/>
                      <w:highlight w:val="none"/>
                      <w:lang w:val="en-US" w:eastAsia="zh-CN"/>
                    </w:rPr>
                  </w:pPr>
                  <w:r>
                    <w:rPr>
                      <w:rFonts w:hint="eastAsia" w:ascii="Times New Roman" w:hAnsi="Times New Roman" w:cs="Times New Roman"/>
                      <w:color w:val="auto"/>
                      <w:kern w:val="2"/>
                      <w:sz w:val="21"/>
                      <w:szCs w:val="21"/>
                      <w:highlight w:val="none"/>
                      <w:lang w:val="en-US" w:eastAsia="zh-CN" w:bidi="ar-SA"/>
                    </w:rPr>
                    <w:t>0.02</w:t>
                  </w:r>
                  <w:r>
                    <w:rPr>
                      <w:rFonts w:hint="eastAsia" w:ascii="Times New Roman" w:hAnsi="Times New Roman" w:eastAsia="宋体" w:cs="Times New Roman"/>
                      <w:color w:val="auto"/>
                      <w:kern w:val="0"/>
                      <w:sz w:val="21"/>
                      <w:szCs w:val="21"/>
                      <w:highlight w:val="none"/>
                      <w:lang w:val="en-US" w:eastAsia="zh-CN"/>
                    </w:rPr>
                    <w:t>t/a</w:t>
                  </w:r>
                </w:p>
              </w:tc>
              <w:tc>
                <w:tcPr>
                  <w:tcW w:w="694" w:type="pct"/>
                  <w:tcBorders>
                    <w:tl2br w:val="nil"/>
                    <w:tr2bl w:val="nil"/>
                  </w:tcBorders>
                  <w:noWrap w:val="0"/>
                  <w:vAlign w:val="center"/>
                </w:tcPr>
                <w:p w14:paraId="7BF9D02D">
                  <w:pPr>
                    <w:keepLines w:val="0"/>
                    <w:pageBreakBefore w:val="0"/>
                    <w:kinsoku/>
                    <w:wordWrap/>
                    <w:overflowPunct/>
                    <w:topLinePunct w:val="0"/>
                    <w:bidi w:val="0"/>
                    <w:spacing w:line="320" w:lineRule="exact"/>
                    <w:ind w:left="0" w:leftChars="0"/>
                    <w:jc w:val="center"/>
                    <w:rPr>
                      <w:rFonts w:hint="default" w:ascii="Times New Roman" w:hAnsi="Times New Roman" w:eastAsia="宋体" w:cs="Times New Roman"/>
                      <w:bCs/>
                      <w:color w:val="auto"/>
                      <w:sz w:val="21"/>
                      <w:szCs w:val="21"/>
                      <w:highlight w:val="none"/>
                      <w:lang w:val="en-US" w:eastAsia="zh-CN"/>
                    </w:rPr>
                  </w:pPr>
                  <w:r>
                    <w:rPr>
                      <w:rFonts w:hint="eastAsia" w:cs="Times New Roman"/>
                      <w:color w:val="auto"/>
                      <w:sz w:val="21"/>
                      <w:szCs w:val="21"/>
                      <w:highlight w:val="none"/>
                      <w:vertAlign w:val="baseline"/>
                      <w:lang w:val="en-US" w:eastAsia="zh-CN"/>
                    </w:rPr>
                    <w:t>+</w:t>
                  </w:r>
                  <w:r>
                    <w:rPr>
                      <w:rFonts w:hint="eastAsia" w:ascii="Times New Roman" w:hAnsi="Times New Roman" w:cs="Times New Roman"/>
                      <w:color w:val="auto"/>
                      <w:kern w:val="2"/>
                      <w:sz w:val="21"/>
                      <w:szCs w:val="21"/>
                      <w:highlight w:val="none"/>
                      <w:lang w:val="en-US" w:eastAsia="zh-CN" w:bidi="ar-SA"/>
                    </w:rPr>
                    <w:t>0.02</w:t>
                  </w:r>
                  <w:r>
                    <w:rPr>
                      <w:rFonts w:hint="eastAsia" w:ascii="Times New Roman" w:hAnsi="Times New Roman" w:eastAsia="宋体" w:cs="Times New Roman"/>
                      <w:color w:val="auto"/>
                      <w:kern w:val="0"/>
                      <w:sz w:val="21"/>
                      <w:szCs w:val="21"/>
                      <w:highlight w:val="none"/>
                      <w:lang w:val="en-US" w:eastAsia="zh-CN"/>
                    </w:rPr>
                    <w:t>t/a</w:t>
                  </w:r>
                </w:p>
              </w:tc>
            </w:tr>
            <w:tr w14:paraId="0730BDB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352" w:type="pct"/>
                  <w:vMerge w:val="continue"/>
                  <w:tcBorders>
                    <w:tl2br w:val="nil"/>
                    <w:tr2bl w:val="nil"/>
                  </w:tcBorders>
                  <w:noWrap w:val="0"/>
                  <w:vAlign w:val="center"/>
                </w:tcPr>
                <w:p w14:paraId="4D41690A">
                  <w:pPr>
                    <w:jc w:val="center"/>
                    <w:rPr>
                      <w:rFonts w:hint="eastAsia"/>
                      <w:b w:val="0"/>
                      <w:bCs w:val="0"/>
                      <w:color w:val="auto"/>
                      <w:highlight w:val="none"/>
                      <w:vertAlign w:val="baseline"/>
                      <w:lang w:val="en-US" w:eastAsia="zh-CN"/>
                    </w:rPr>
                  </w:pPr>
                </w:p>
              </w:tc>
              <w:tc>
                <w:tcPr>
                  <w:tcW w:w="728" w:type="pct"/>
                  <w:tcBorders>
                    <w:tl2br w:val="nil"/>
                    <w:tr2bl w:val="nil"/>
                  </w:tcBorders>
                  <w:noWrap w:val="0"/>
                  <w:vAlign w:val="center"/>
                </w:tcPr>
                <w:p w14:paraId="37A264BB">
                  <w:pPr>
                    <w:keepLines w:val="0"/>
                    <w:pageBreakBefore w:val="0"/>
                    <w:kinsoku/>
                    <w:wordWrap/>
                    <w:overflowPunct/>
                    <w:topLinePunct w:val="0"/>
                    <w:bidi w:val="0"/>
                    <w:spacing w:line="320" w:lineRule="exact"/>
                    <w:ind w:left="0" w:leftChars="0"/>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sz w:val="21"/>
                      <w:szCs w:val="21"/>
                      <w:highlight w:val="none"/>
                      <w:lang w:val="en-US" w:eastAsia="zh-CN"/>
                    </w:rPr>
                    <w:t>实验废液和器皿清洗水</w:t>
                  </w:r>
                </w:p>
              </w:tc>
              <w:tc>
                <w:tcPr>
                  <w:tcW w:w="508" w:type="pct"/>
                  <w:tcBorders>
                    <w:tl2br w:val="nil"/>
                    <w:tr2bl w:val="nil"/>
                  </w:tcBorders>
                  <w:noWrap w:val="0"/>
                  <w:vAlign w:val="center"/>
                </w:tcPr>
                <w:p w14:paraId="403B7FDD">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0</w:t>
                  </w:r>
                </w:p>
              </w:tc>
              <w:tc>
                <w:tcPr>
                  <w:tcW w:w="664" w:type="pct"/>
                  <w:tcBorders>
                    <w:tl2br w:val="nil"/>
                    <w:tr2bl w:val="nil"/>
                  </w:tcBorders>
                  <w:noWrap w:val="0"/>
                  <w:vAlign w:val="center"/>
                </w:tcPr>
                <w:p w14:paraId="4B84B358">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0</w:t>
                  </w:r>
                </w:p>
              </w:tc>
              <w:tc>
                <w:tcPr>
                  <w:tcW w:w="664" w:type="pct"/>
                  <w:tcBorders>
                    <w:tl2br w:val="nil"/>
                    <w:tr2bl w:val="nil"/>
                  </w:tcBorders>
                  <w:noWrap w:val="0"/>
                  <w:vAlign w:val="center"/>
                </w:tcPr>
                <w:p w14:paraId="74D841E9">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0</w:t>
                  </w:r>
                </w:p>
              </w:tc>
              <w:tc>
                <w:tcPr>
                  <w:tcW w:w="641" w:type="pct"/>
                  <w:tcBorders>
                    <w:tl2br w:val="nil"/>
                    <w:tr2bl w:val="nil"/>
                  </w:tcBorders>
                  <w:noWrap w:val="0"/>
                  <w:vAlign w:val="center"/>
                </w:tcPr>
                <w:p w14:paraId="4A0E006E">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0</w:t>
                  </w:r>
                </w:p>
              </w:tc>
              <w:tc>
                <w:tcPr>
                  <w:tcW w:w="744" w:type="pct"/>
                  <w:tcBorders>
                    <w:tl2br w:val="nil"/>
                    <w:tr2bl w:val="nil"/>
                  </w:tcBorders>
                  <w:noWrap w:val="0"/>
                  <w:vAlign w:val="center"/>
                </w:tcPr>
                <w:p w14:paraId="35138FF6">
                  <w:pPr>
                    <w:keepLines w:val="0"/>
                    <w:pageBreakBefore w:val="0"/>
                    <w:kinsoku/>
                    <w:wordWrap/>
                    <w:overflowPunct/>
                    <w:topLinePunct w:val="0"/>
                    <w:bidi w:val="0"/>
                    <w:spacing w:line="320" w:lineRule="exact"/>
                    <w:ind w:left="0" w:leftChars="0"/>
                    <w:jc w:val="center"/>
                    <w:rPr>
                      <w:rFonts w:hint="eastAsia" w:ascii="Times New Roman" w:hAnsi="Times New Roman" w:eastAsia="宋体" w:cs="Times New Roman"/>
                      <w:bCs/>
                      <w:color w:val="auto"/>
                      <w:sz w:val="21"/>
                      <w:szCs w:val="21"/>
                      <w:highlight w:val="none"/>
                      <w:lang w:val="en-US" w:eastAsia="zh-CN"/>
                    </w:rPr>
                  </w:pPr>
                  <w:r>
                    <w:rPr>
                      <w:rFonts w:hint="eastAsia" w:cs="Times New Roman"/>
                      <w:color w:val="auto"/>
                      <w:kern w:val="0"/>
                      <w:sz w:val="21"/>
                      <w:szCs w:val="21"/>
                      <w:highlight w:val="none"/>
                      <w:lang w:val="en-US" w:eastAsia="zh-CN"/>
                    </w:rPr>
                    <w:t>8.2</w:t>
                  </w:r>
                  <w:r>
                    <w:rPr>
                      <w:rFonts w:hint="eastAsia" w:ascii="Times New Roman" w:hAnsi="Times New Roman" w:eastAsia="宋体" w:cs="Times New Roman"/>
                      <w:color w:val="auto"/>
                      <w:kern w:val="0"/>
                      <w:sz w:val="21"/>
                      <w:szCs w:val="21"/>
                      <w:highlight w:val="none"/>
                      <w:lang w:val="en-US" w:eastAsia="zh-CN"/>
                    </w:rPr>
                    <w:t>t/a</w:t>
                  </w:r>
                </w:p>
              </w:tc>
              <w:tc>
                <w:tcPr>
                  <w:tcW w:w="694" w:type="pct"/>
                  <w:tcBorders>
                    <w:tl2br w:val="nil"/>
                    <w:tr2bl w:val="nil"/>
                  </w:tcBorders>
                  <w:noWrap w:val="0"/>
                  <w:vAlign w:val="center"/>
                </w:tcPr>
                <w:p w14:paraId="7F87B2E8">
                  <w:pPr>
                    <w:keepLines w:val="0"/>
                    <w:pageBreakBefore w:val="0"/>
                    <w:kinsoku/>
                    <w:wordWrap/>
                    <w:overflowPunct/>
                    <w:topLinePunct w:val="0"/>
                    <w:bidi w:val="0"/>
                    <w:spacing w:line="320" w:lineRule="exact"/>
                    <w:ind w:left="0" w:leftChars="0"/>
                    <w:jc w:val="center"/>
                    <w:rPr>
                      <w:rFonts w:hint="eastAsia" w:ascii="Times New Roman" w:hAnsi="Times New Roman" w:eastAsia="宋体" w:cs="Times New Roman"/>
                      <w:bCs/>
                      <w:color w:val="auto"/>
                      <w:sz w:val="21"/>
                      <w:szCs w:val="21"/>
                      <w:highlight w:val="none"/>
                      <w:lang w:val="en-US" w:eastAsia="zh-CN"/>
                    </w:rPr>
                  </w:pPr>
                  <w:r>
                    <w:rPr>
                      <w:rFonts w:hint="eastAsia" w:cs="Times New Roman"/>
                      <w:color w:val="auto"/>
                      <w:sz w:val="21"/>
                      <w:szCs w:val="21"/>
                      <w:highlight w:val="none"/>
                      <w:vertAlign w:val="baseline"/>
                      <w:lang w:val="en-US" w:eastAsia="zh-CN"/>
                    </w:rPr>
                    <w:t>+</w:t>
                  </w:r>
                  <w:r>
                    <w:rPr>
                      <w:rFonts w:hint="eastAsia" w:cs="Times New Roman"/>
                      <w:color w:val="auto"/>
                      <w:kern w:val="0"/>
                      <w:sz w:val="21"/>
                      <w:szCs w:val="21"/>
                      <w:highlight w:val="none"/>
                      <w:lang w:val="en-US" w:eastAsia="zh-CN"/>
                    </w:rPr>
                    <w:t>8.2</w:t>
                  </w:r>
                  <w:r>
                    <w:rPr>
                      <w:rFonts w:hint="eastAsia" w:ascii="Times New Roman" w:hAnsi="Times New Roman" w:eastAsia="宋体" w:cs="Times New Roman"/>
                      <w:color w:val="auto"/>
                      <w:kern w:val="0"/>
                      <w:sz w:val="21"/>
                      <w:szCs w:val="21"/>
                      <w:highlight w:val="none"/>
                      <w:lang w:val="en-US" w:eastAsia="zh-CN"/>
                    </w:rPr>
                    <w:t>t/a</w:t>
                  </w:r>
                </w:p>
              </w:tc>
            </w:tr>
            <w:tr w14:paraId="2F20DF7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352" w:type="pct"/>
                  <w:vMerge w:val="continue"/>
                  <w:tcBorders>
                    <w:tl2br w:val="nil"/>
                    <w:tr2bl w:val="nil"/>
                  </w:tcBorders>
                  <w:noWrap w:val="0"/>
                  <w:vAlign w:val="center"/>
                </w:tcPr>
                <w:p w14:paraId="61F562D4">
                  <w:pPr>
                    <w:jc w:val="center"/>
                    <w:rPr>
                      <w:rFonts w:hint="eastAsia"/>
                      <w:b w:val="0"/>
                      <w:bCs w:val="0"/>
                      <w:color w:val="auto"/>
                      <w:highlight w:val="none"/>
                      <w:vertAlign w:val="baseline"/>
                      <w:lang w:val="en-US" w:eastAsia="zh-CN"/>
                    </w:rPr>
                  </w:pPr>
                </w:p>
              </w:tc>
              <w:tc>
                <w:tcPr>
                  <w:tcW w:w="728" w:type="pct"/>
                  <w:tcBorders>
                    <w:tl2br w:val="nil"/>
                    <w:tr2bl w:val="nil"/>
                  </w:tcBorders>
                  <w:noWrap w:val="0"/>
                  <w:vAlign w:val="center"/>
                </w:tcPr>
                <w:p w14:paraId="5442399B">
                  <w:pPr>
                    <w:keepLines w:val="0"/>
                    <w:pageBreakBefore w:val="0"/>
                    <w:kinsoku/>
                    <w:wordWrap/>
                    <w:overflowPunct/>
                    <w:topLinePunct w:val="0"/>
                    <w:bidi w:val="0"/>
                    <w:spacing w:line="320" w:lineRule="exact"/>
                    <w:ind w:left="0" w:leftChars="0"/>
                    <w:jc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sz w:val="21"/>
                      <w:szCs w:val="21"/>
                      <w:highlight w:val="none"/>
                      <w:lang w:val="en-US" w:eastAsia="zh-CN"/>
                    </w:rPr>
                    <w:t>废耗材</w:t>
                  </w:r>
                </w:p>
              </w:tc>
              <w:tc>
                <w:tcPr>
                  <w:tcW w:w="508" w:type="pct"/>
                  <w:tcBorders>
                    <w:tl2br w:val="nil"/>
                    <w:tr2bl w:val="nil"/>
                  </w:tcBorders>
                  <w:noWrap w:val="0"/>
                  <w:vAlign w:val="center"/>
                </w:tcPr>
                <w:p w14:paraId="0B3C06B0">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0</w:t>
                  </w:r>
                </w:p>
              </w:tc>
              <w:tc>
                <w:tcPr>
                  <w:tcW w:w="664" w:type="pct"/>
                  <w:tcBorders>
                    <w:tl2br w:val="nil"/>
                    <w:tr2bl w:val="nil"/>
                  </w:tcBorders>
                  <w:noWrap w:val="0"/>
                  <w:vAlign w:val="center"/>
                </w:tcPr>
                <w:p w14:paraId="2AA2530D">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0</w:t>
                  </w:r>
                </w:p>
              </w:tc>
              <w:tc>
                <w:tcPr>
                  <w:tcW w:w="664" w:type="pct"/>
                  <w:tcBorders>
                    <w:tl2br w:val="nil"/>
                    <w:tr2bl w:val="nil"/>
                  </w:tcBorders>
                  <w:noWrap w:val="0"/>
                  <w:vAlign w:val="center"/>
                </w:tcPr>
                <w:p w14:paraId="27312790">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0</w:t>
                  </w:r>
                </w:p>
              </w:tc>
              <w:tc>
                <w:tcPr>
                  <w:tcW w:w="641" w:type="pct"/>
                  <w:tcBorders>
                    <w:tl2br w:val="nil"/>
                    <w:tr2bl w:val="nil"/>
                  </w:tcBorders>
                  <w:noWrap w:val="0"/>
                  <w:vAlign w:val="center"/>
                </w:tcPr>
                <w:p w14:paraId="14812B06">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0</w:t>
                  </w:r>
                </w:p>
              </w:tc>
              <w:tc>
                <w:tcPr>
                  <w:tcW w:w="744" w:type="pct"/>
                  <w:tcBorders>
                    <w:tl2br w:val="nil"/>
                    <w:tr2bl w:val="nil"/>
                  </w:tcBorders>
                  <w:noWrap w:val="0"/>
                  <w:vAlign w:val="center"/>
                </w:tcPr>
                <w:p w14:paraId="595E5D56">
                  <w:pPr>
                    <w:keepLines w:val="0"/>
                    <w:pageBreakBefore w:val="0"/>
                    <w:kinsoku/>
                    <w:wordWrap/>
                    <w:overflowPunct/>
                    <w:topLinePunct w:val="0"/>
                    <w:bidi w:val="0"/>
                    <w:spacing w:line="320" w:lineRule="exact"/>
                    <w:ind w:left="0" w:leftChars="0"/>
                    <w:jc w:val="center"/>
                    <w:rPr>
                      <w:rFonts w:hint="eastAsia" w:ascii="Times New Roman" w:hAnsi="Times New Roman" w:eastAsia="宋体" w:cs="Times New Roman"/>
                      <w:bCs/>
                      <w:color w:val="auto"/>
                      <w:sz w:val="21"/>
                      <w:szCs w:val="21"/>
                      <w:highlight w:val="none"/>
                      <w:lang w:val="en-US" w:eastAsia="zh-CN"/>
                    </w:rPr>
                  </w:pPr>
                  <w:r>
                    <w:rPr>
                      <w:rFonts w:hint="eastAsia" w:ascii="Times New Roman" w:hAnsi="Times New Roman" w:cs="Times New Roman"/>
                      <w:color w:val="auto"/>
                      <w:kern w:val="2"/>
                      <w:sz w:val="21"/>
                      <w:szCs w:val="21"/>
                      <w:highlight w:val="none"/>
                      <w:lang w:val="en-US" w:eastAsia="zh-CN" w:bidi="ar-SA"/>
                    </w:rPr>
                    <w:t>0.02</w:t>
                  </w:r>
                  <w:r>
                    <w:rPr>
                      <w:rFonts w:hint="eastAsia" w:ascii="Times New Roman" w:hAnsi="Times New Roman" w:eastAsia="宋体" w:cs="Times New Roman"/>
                      <w:color w:val="auto"/>
                      <w:kern w:val="0"/>
                      <w:sz w:val="21"/>
                      <w:szCs w:val="21"/>
                      <w:highlight w:val="none"/>
                      <w:lang w:val="en-US" w:eastAsia="zh-CN"/>
                    </w:rPr>
                    <w:t>t/a</w:t>
                  </w:r>
                </w:p>
              </w:tc>
              <w:tc>
                <w:tcPr>
                  <w:tcW w:w="694" w:type="pct"/>
                  <w:tcBorders>
                    <w:tl2br w:val="nil"/>
                    <w:tr2bl w:val="nil"/>
                  </w:tcBorders>
                  <w:noWrap w:val="0"/>
                  <w:vAlign w:val="center"/>
                </w:tcPr>
                <w:p w14:paraId="53EE82E2">
                  <w:pPr>
                    <w:keepLines w:val="0"/>
                    <w:pageBreakBefore w:val="0"/>
                    <w:kinsoku/>
                    <w:wordWrap/>
                    <w:overflowPunct/>
                    <w:topLinePunct w:val="0"/>
                    <w:bidi w:val="0"/>
                    <w:spacing w:line="320" w:lineRule="exact"/>
                    <w:ind w:left="0" w:leftChars="0"/>
                    <w:jc w:val="center"/>
                    <w:rPr>
                      <w:rFonts w:hint="eastAsia" w:ascii="Times New Roman" w:hAnsi="Times New Roman" w:eastAsia="宋体" w:cs="Times New Roman"/>
                      <w:bCs/>
                      <w:color w:val="auto"/>
                      <w:sz w:val="21"/>
                      <w:szCs w:val="21"/>
                      <w:highlight w:val="none"/>
                      <w:lang w:val="en-US" w:eastAsia="zh-CN"/>
                    </w:rPr>
                  </w:pPr>
                  <w:r>
                    <w:rPr>
                      <w:rFonts w:hint="eastAsia" w:cs="Times New Roman"/>
                      <w:color w:val="auto"/>
                      <w:sz w:val="21"/>
                      <w:szCs w:val="21"/>
                      <w:highlight w:val="none"/>
                      <w:vertAlign w:val="baseline"/>
                      <w:lang w:val="en-US" w:eastAsia="zh-CN"/>
                    </w:rPr>
                    <w:t>+</w:t>
                  </w:r>
                  <w:r>
                    <w:rPr>
                      <w:rFonts w:hint="eastAsia" w:ascii="Times New Roman" w:hAnsi="Times New Roman" w:cs="Times New Roman"/>
                      <w:color w:val="auto"/>
                      <w:kern w:val="2"/>
                      <w:sz w:val="21"/>
                      <w:szCs w:val="21"/>
                      <w:highlight w:val="none"/>
                      <w:lang w:val="en-US" w:eastAsia="zh-CN" w:bidi="ar-SA"/>
                    </w:rPr>
                    <w:t>0.02</w:t>
                  </w:r>
                  <w:r>
                    <w:rPr>
                      <w:rFonts w:hint="eastAsia" w:ascii="Times New Roman" w:hAnsi="Times New Roman" w:eastAsia="宋体" w:cs="Times New Roman"/>
                      <w:color w:val="auto"/>
                      <w:kern w:val="0"/>
                      <w:sz w:val="21"/>
                      <w:szCs w:val="21"/>
                      <w:highlight w:val="none"/>
                      <w:lang w:val="en-US" w:eastAsia="zh-CN"/>
                    </w:rPr>
                    <w:t>t/a</w:t>
                  </w:r>
                </w:p>
              </w:tc>
            </w:tr>
            <w:tr w14:paraId="3922DC10">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352" w:type="pct"/>
                  <w:vMerge w:val="continue"/>
                  <w:tcBorders>
                    <w:tl2br w:val="nil"/>
                    <w:tr2bl w:val="nil"/>
                  </w:tcBorders>
                  <w:noWrap w:val="0"/>
                  <w:vAlign w:val="center"/>
                </w:tcPr>
                <w:p w14:paraId="464ABA1D">
                  <w:pPr>
                    <w:jc w:val="center"/>
                    <w:rPr>
                      <w:rFonts w:hint="eastAsia"/>
                      <w:b w:val="0"/>
                      <w:bCs w:val="0"/>
                      <w:color w:val="auto"/>
                      <w:highlight w:val="none"/>
                      <w:vertAlign w:val="baseline"/>
                      <w:lang w:val="en-US" w:eastAsia="zh-CN"/>
                    </w:rPr>
                  </w:pPr>
                </w:p>
              </w:tc>
              <w:tc>
                <w:tcPr>
                  <w:tcW w:w="728" w:type="pct"/>
                  <w:tcBorders>
                    <w:tl2br w:val="nil"/>
                    <w:tr2bl w:val="nil"/>
                  </w:tcBorders>
                  <w:noWrap w:val="0"/>
                  <w:vAlign w:val="center"/>
                </w:tcPr>
                <w:p w14:paraId="12CE0E8F">
                  <w:pPr>
                    <w:keepLines w:val="0"/>
                    <w:pageBreakBefore w:val="0"/>
                    <w:kinsoku/>
                    <w:wordWrap/>
                    <w:overflowPunct/>
                    <w:topLinePunct w:val="0"/>
                    <w:bidi w:val="0"/>
                    <w:spacing w:line="320" w:lineRule="exact"/>
                    <w:ind w:left="0" w:leftChars="0"/>
                    <w:jc w:val="cente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sz w:val="21"/>
                      <w:szCs w:val="21"/>
                      <w:highlight w:val="none"/>
                      <w:lang w:val="en-US" w:eastAsia="zh-CN"/>
                    </w:rPr>
                    <w:t>过期试剂</w:t>
                  </w:r>
                </w:p>
              </w:tc>
              <w:tc>
                <w:tcPr>
                  <w:tcW w:w="508" w:type="pct"/>
                  <w:tcBorders>
                    <w:tl2br w:val="nil"/>
                    <w:tr2bl w:val="nil"/>
                  </w:tcBorders>
                  <w:noWrap w:val="0"/>
                  <w:vAlign w:val="center"/>
                </w:tcPr>
                <w:p w14:paraId="6E723855">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0</w:t>
                  </w:r>
                </w:p>
              </w:tc>
              <w:tc>
                <w:tcPr>
                  <w:tcW w:w="664" w:type="pct"/>
                  <w:tcBorders>
                    <w:tl2br w:val="nil"/>
                    <w:tr2bl w:val="nil"/>
                  </w:tcBorders>
                  <w:noWrap w:val="0"/>
                  <w:vAlign w:val="center"/>
                </w:tcPr>
                <w:p w14:paraId="59BE76F5">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0</w:t>
                  </w:r>
                </w:p>
              </w:tc>
              <w:tc>
                <w:tcPr>
                  <w:tcW w:w="664" w:type="pct"/>
                  <w:tcBorders>
                    <w:tl2br w:val="nil"/>
                    <w:tr2bl w:val="nil"/>
                  </w:tcBorders>
                  <w:noWrap w:val="0"/>
                  <w:vAlign w:val="center"/>
                </w:tcPr>
                <w:p w14:paraId="6CC57144">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0</w:t>
                  </w:r>
                </w:p>
              </w:tc>
              <w:tc>
                <w:tcPr>
                  <w:tcW w:w="641" w:type="pct"/>
                  <w:tcBorders>
                    <w:tl2br w:val="nil"/>
                    <w:tr2bl w:val="nil"/>
                  </w:tcBorders>
                  <w:noWrap w:val="0"/>
                  <w:vAlign w:val="center"/>
                </w:tcPr>
                <w:p w14:paraId="01FA9C28">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0</w:t>
                  </w:r>
                </w:p>
              </w:tc>
              <w:tc>
                <w:tcPr>
                  <w:tcW w:w="744" w:type="pct"/>
                  <w:tcBorders>
                    <w:tl2br w:val="nil"/>
                    <w:tr2bl w:val="nil"/>
                  </w:tcBorders>
                  <w:noWrap w:val="0"/>
                  <w:vAlign w:val="center"/>
                </w:tcPr>
                <w:p w14:paraId="2C2DD99B">
                  <w:pPr>
                    <w:keepLines w:val="0"/>
                    <w:pageBreakBefore w:val="0"/>
                    <w:kinsoku/>
                    <w:wordWrap/>
                    <w:overflowPunct/>
                    <w:topLinePunct w:val="0"/>
                    <w:bidi w:val="0"/>
                    <w:spacing w:line="320" w:lineRule="exact"/>
                    <w:ind w:left="0" w:leftChars="0"/>
                    <w:jc w:val="center"/>
                    <w:rPr>
                      <w:rFonts w:hint="eastAsia" w:ascii="Times New Roman" w:hAnsi="Times New Roman" w:eastAsia="宋体" w:cs="Times New Roman"/>
                      <w:bCs/>
                      <w:color w:val="auto"/>
                      <w:sz w:val="21"/>
                      <w:szCs w:val="21"/>
                      <w:highlight w:val="none"/>
                      <w:lang w:val="en-US" w:eastAsia="zh-CN"/>
                    </w:rPr>
                  </w:pPr>
                  <w:r>
                    <w:rPr>
                      <w:rFonts w:hint="eastAsia" w:ascii="Times New Roman" w:hAnsi="Times New Roman" w:cs="Times New Roman"/>
                      <w:color w:val="auto"/>
                      <w:kern w:val="2"/>
                      <w:sz w:val="21"/>
                      <w:szCs w:val="21"/>
                      <w:highlight w:val="none"/>
                      <w:lang w:val="en-US" w:eastAsia="zh-CN" w:bidi="ar-SA"/>
                    </w:rPr>
                    <w:t>0.3</w:t>
                  </w:r>
                  <w:r>
                    <w:rPr>
                      <w:rFonts w:hint="eastAsia" w:ascii="Times New Roman" w:hAnsi="Times New Roman" w:eastAsia="宋体" w:cs="Times New Roman"/>
                      <w:color w:val="auto"/>
                      <w:kern w:val="0"/>
                      <w:sz w:val="21"/>
                      <w:szCs w:val="21"/>
                      <w:highlight w:val="none"/>
                      <w:lang w:val="en-US" w:eastAsia="zh-CN"/>
                    </w:rPr>
                    <w:t>t/a</w:t>
                  </w:r>
                </w:p>
              </w:tc>
              <w:tc>
                <w:tcPr>
                  <w:tcW w:w="694" w:type="pct"/>
                  <w:tcBorders>
                    <w:tl2br w:val="nil"/>
                    <w:tr2bl w:val="nil"/>
                  </w:tcBorders>
                  <w:noWrap w:val="0"/>
                  <w:vAlign w:val="center"/>
                </w:tcPr>
                <w:p w14:paraId="59BB2590">
                  <w:pPr>
                    <w:keepLines w:val="0"/>
                    <w:pageBreakBefore w:val="0"/>
                    <w:kinsoku/>
                    <w:wordWrap/>
                    <w:overflowPunct/>
                    <w:topLinePunct w:val="0"/>
                    <w:bidi w:val="0"/>
                    <w:spacing w:line="320" w:lineRule="exact"/>
                    <w:ind w:left="0" w:leftChars="0"/>
                    <w:jc w:val="center"/>
                    <w:rPr>
                      <w:rFonts w:hint="eastAsia" w:ascii="Times New Roman" w:hAnsi="Times New Roman" w:eastAsia="宋体" w:cs="Times New Roman"/>
                      <w:bCs/>
                      <w:color w:val="auto"/>
                      <w:sz w:val="21"/>
                      <w:szCs w:val="21"/>
                      <w:highlight w:val="none"/>
                      <w:lang w:val="en-US" w:eastAsia="zh-CN"/>
                    </w:rPr>
                  </w:pPr>
                  <w:r>
                    <w:rPr>
                      <w:rFonts w:hint="eastAsia" w:cs="Times New Roman"/>
                      <w:color w:val="auto"/>
                      <w:sz w:val="21"/>
                      <w:szCs w:val="21"/>
                      <w:highlight w:val="none"/>
                      <w:vertAlign w:val="baseline"/>
                      <w:lang w:val="en-US" w:eastAsia="zh-CN"/>
                    </w:rPr>
                    <w:t>+</w:t>
                  </w:r>
                  <w:r>
                    <w:rPr>
                      <w:rFonts w:hint="eastAsia" w:ascii="Times New Roman" w:hAnsi="Times New Roman" w:cs="Times New Roman"/>
                      <w:color w:val="auto"/>
                      <w:kern w:val="2"/>
                      <w:sz w:val="21"/>
                      <w:szCs w:val="21"/>
                      <w:highlight w:val="none"/>
                      <w:lang w:val="en-US" w:eastAsia="zh-CN" w:bidi="ar-SA"/>
                    </w:rPr>
                    <w:t>0.3</w:t>
                  </w:r>
                  <w:r>
                    <w:rPr>
                      <w:rFonts w:hint="eastAsia" w:ascii="Times New Roman" w:hAnsi="Times New Roman" w:eastAsia="宋体" w:cs="Times New Roman"/>
                      <w:color w:val="auto"/>
                      <w:kern w:val="0"/>
                      <w:sz w:val="21"/>
                      <w:szCs w:val="21"/>
                      <w:highlight w:val="none"/>
                      <w:lang w:val="en-US" w:eastAsia="zh-CN"/>
                    </w:rPr>
                    <w:t>t/a</w:t>
                  </w:r>
                </w:p>
              </w:tc>
            </w:tr>
            <w:tr w14:paraId="4FBD2BBF">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352" w:type="pct"/>
                  <w:vMerge w:val="continue"/>
                  <w:tcBorders>
                    <w:tl2br w:val="nil"/>
                    <w:tr2bl w:val="nil"/>
                  </w:tcBorders>
                  <w:noWrap w:val="0"/>
                  <w:vAlign w:val="center"/>
                </w:tcPr>
                <w:p w14:paraId="3BF7BBB6">
                  <w:pPr>
                    <w:jc w:val="center"/>
                    <w:rPr>
                      <w:rFonts w:hint="default"/>
                      <w:b w:val="0"/>
                      <w:bCs w:val="0"/>
                      <w:color w:val="auto"/>
                      <w:highlight w:val="none"/>
                      <w:vertAlign w:val="baseline"/>
                      <w:lang w:val="en-US" w:eastAsia="zh-CN"/>
                    </w:rPr>
                  </w:pPr>
                </w:p>
              </w:tc>
              <w:tc>
                <w:tcPr>
                  <w:tcW w:w="728" w:type="pct"/>
                  <w:tcBorders>
                    <w:tl2br w:val="nil"/>
                    <w:tr2bl w:val="nil"/>
                  </w:tcBorders>
                  <w:noWrap w:val="0"/>
                  <w:vAlign w:val="center"/>
                </w:tcPr>
                <w:p w14:paraId="729C453A">
                  <w:pPr>
                    <w:keepLines w:val="0"/>
                    <w:pageBreakBefore w:val="0"/>
                    <w:kinsoku/>
                    <w:wordWrap/>
                    <w:overflowPunct/>
                    <w:topLinePunct w:val="0"/>
                    <w:bidi w:val="0"/>
                    <w:spacing w:line="320" w:lineRule="exact"/>
                    <w:ind w:left="0" w:leftChars="0"/>
                    <w:jc w:val="center"/>
                    <w:rPr>
                      <w:rFonts w:hint="default"/>
                      <w:b w:val="0"/>
                      <w:bCs w:val="0"/>
                      <w:color w:val="auto"/>
                      <w:highlight w:val="none"/>
                      <w:vertAlign w:val="baseline"/>
                      <w:lang w:val="en-US" w:eastAsia="zh-CN"/>
                    </w:rPr>
                  </w:pPr>
                  <w:r>
                    <w:rPr>
                      <w:rFonts w:hint="eastAsia" w:ascii="Times New Roman" w:hAnsi="Times New Roman" w:eastAsia="宋体" w:cs="Times New Roman"/>
                      <w:color w:val="auto"/>
                      <w:sz w:val="21"/>
                      <w:szCs w:val="21"/>
                      <w:highlight w:val="none"/>
                      <w:lang w:val="en-US" w:eastAsia="zh-CN"/>
                    </w:rPr>
                    <w:t>废残留样品</w:t>
                  </w:r>
                </w:p>
              </w:tc>
              <w:tc>
                <w:tcPr>
                  <w:tcW w:w="508" w:type="pct"/>
                  <w:tcBorders>
                    <w:tl2br w:val="nil"/>
                    <w:tr2bl w:val="nil"/>
                  </w:tcBorders>
                  <w:noWrap w:val="0"/>
                  <w:vAlign w:val="center"/>
                </w:tcPr>
                <w:p w14:paraId="48267B31">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0</w:t>
                  </w:r>
                </w:p>
              </w:tc>
              <w:tc>
                <w:tcPr>
                  <w:tcW w:w="664" w:type="pct"/>
                  <w:tcBorders>
                    <w:tl2br w:val="nil"/>
                    <w:tr2bl w:val="nil"/>
                  </w:tcBorders>
                  <w:noWrap w:val="0"/>
                  <w:vAlign w:val="center"/>
                </w:tcPr>
                <w:p w14:paraId="5A44636E">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0</w:t>
                  </w:r>
                </w:p>
              </w:tc>
              <w:tc>
                <w:tcPr>
                  <w:tcW w:w="664" w:type="pct"/>
                  <w:tcBorders>
                    <w:tl2br w:val="nil"/>
                    <w:tr2bl w:val="nil"/>
                  </w:tcBorders>
                  <w:noWrap w:val="0"/>
                  <w:vAlign w:val="center"/>
                </w:tcPr>
                <w:p w14:paraId="092B1E8A">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0</w:t>
                  </w:r>
                </w:p>
              </w:tc>
              <w:tc>
                <w:tcPr>
                  <w:tcW w:w="641" w:type="pct"/>
                  <w:tcBorders>
                    <w:tl2br w:val="nil"/>
                    <w:tr2bl w:val="nil"/>
                  </w:tcBorders>
                  <w:noWrap w:val="0"/>
                  <w:vAlign w:val="center"/>
                </w:tcPr>
                <w:p w14:paraId="54A6AF35">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0</w:t>
                  </w:r>
                </w:p>
              </w:tc>
              <w:tc>
                <w:tcPr>
                  <w:tcW w:w="744" w:type="pct"/>
                  <w:tcBorders>
                    <w:tl2br w:val="nil"/>
                    <w:tr2bl w:val="nil"/>
                  </w:tcBorders>
                  <w:noWrap w:val="0"/>
                  <w:vAlign w:val="center"/>
                </w:tcPr>
                <w:p w14:paraId="107EBDB7">
                  <w:pPr>
                    <w:keepLines w:val="0"/>
                    <w:pageBreakBefore w:val="0"/>
                    <w:kinsoku/>
                    <w:wordWrap/>
                    <w:overflowPunct/>
                    <w:topLinePunct w:val="0"/>
                    <w:bidi w:val="0"/>
                    <w:spacing w:line="320" w:lineRule="exact"/>
                    <w:ind w:left="0" w:leftChars="0"/>
                    <w:jc w:val="center"/>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cs="Times New Roman"/>
                      <w:color w:val="auto"/>
                      <w:kern w:val="2"/>
                      <w:sz w:val="21"/>
                      <w:szCs w:val="21"/>
                      <w:highlight w:val="none"/>
                      <w:lang w:val="en-US" w:eastAsia="zh-CN" w:bidi="ar-SA"/>
                    </w:rPr>
                    <w:t>0.3</w:t>
                  </w:r>
                  <w:r>
                    <w:rPr>
                      <w:rFonts w:hint="eastAsia" w:cs="Times New Roman"/>
                      <w:color w:val="auto"/>
                      <w:sz w:val="21"/>
                      <w:szCs w:val="21"/>
                      <w:highlight w:val="none"/>
                      <w:lang w:val="en-US" w:eastAsia="zh-CN"/>
                    </w:rPr>
                    <w:t>t</w:t>
                  </w:r>
                  <w:r>
                    <w:rPr>
                      <w:rFonts w:hint="eastAsia" w:ascii="Times New Roman" w:hAnsi="Times New Roman" w:eastAsia="宋体" w:cs="Times New Roman"/>
                      <w:color w:val="auto"/>
                      <w:kern w:val="0"/>
                      <w:sz w:val="21"/>
                      <w:szCs w:val="21"/>
                      <w:highlight w:val="none"/>
                      <w:lang w:val="en-US" w:eastAsia="zh-CN"/>
                    </w:rPr>
                    <w:t>/a</w:t>
                  </w:r>
                </w:p>
              </w:tc>
              <w:tc>
                <w:tcPr>
                  <w:tcW w:w="694" w:type="pct"/>
                  <w:tcBorders>
                    <w:tl2br w:val="nil"/>
                    <w:tr2bl w:val="nil"/>
                  </w:tcBorders>
                  <w:noWrap w:val="0"/>
                  <w:vAlign w:val="center"/>
                </w:tcPr>
                <w:p w14:paraId="0C7889AC">
                  <w:pPr>
                    <w:keepLines w:val="0"/>
                    <w:pageBreakBefore w:val="0"/>
                    <w:kinsoku/>
                    <w:wordWrap/>
                    <w:overflowPunct/>
                    <w:topLinePunct w:val="0"/>
                    <w:bidi w:val="0"/>
                    <w:spacing w:line="320" w:lineRule="exact"/>
                    <w:ind w:left="0" w:leftChars="0"/>
                    <w:jc w:val="center"/>
                    <w:rPr>
                      <w:rFonts w:hint="default" w:ascii="Times New Roman" w:hAnsi="Times New Roman" w:eastAsia="宋体" w:cs="Times New Roman"/>
                      <w:bCs/>
                      <w:color w:val="auto"/>
                      <w:sz w:val="21"/>
                      <w:szCs w:val="21"/>
                      <w:highlight w:val="none"/>
                      <w:lang w:val="en-US" w:eastAsia="zh-CN"/>
                    </w:rPr>
                  </w:pPr>
                  <w:r>
                    <w:rPr>
                      <w:rFonts w:hint="eastAsia" w:cs="Times New Roman"/>
                      <w:color w:val="auto"/>
                      <w:sz w:val="21"/>
                      <w:szCs w:val="21"/>
                      <w:highlight w:val="none"/>
                      <w:vertAlign w:val="baseline"/>
                      <w:lang w:val="en-US" w:eastAsia="zh-CN"/>
                    </w:rPr>
                    <w:t>+</w:t>
                  </w:r>
                  <w:r>
                    <w:rPr>
                      <w:rFonts w:hint="eastAsia" w:ascii="Times New Roman" w:hAnsi="Times New Roman" w:cs="Times New Roman"/>
                      <w:color w:val="auto"/>
                      <w:kern w:val="2"/>
                      <w:sz w:val="21"/>
                      <w:szCs w:val="21"/>
                      <w:highlight w:val="none"/>
                      <w:lang w:val="en-US" w:eastAsia="zh-CN" w:bidi="ar-SA"/>
                    </w:rPr>
                    <w:t>0.3</w:t>
                  </w:r>
                  <w:r>
                    <w:rPr>
                      <w:rFonts w:hint="eastAsia" w:cs="Times New Roman"/>
                      <w:color w:val="auto"/>
                      <w:sz w:val="21"/>
                      <w:szCs w:val="21"/>
                      <w:highlight w:val="none"/>
                      <w:lang w:val="en-US" w:eastAsia="zh-CN"/>
                    </w:rPr>
                    <w:t>t</w:t>
                  </w:r>
                  <w:r>
                    <w:rPr>
                      <w:rFonts w:hint="eastAsia" w:ascii="Times New Roman" w:hAnsi="Times New Roman" w:eastAsia="宋体" w:cs="Times New Roman"/>
                      <w:color w:val="auto"/>
                      <w:kern w:val="0"/>
                      <w:sz w:val="21"/>
                      <w:szCs w:val="21"/>
                      <w:highlight w:val="none"/>
                      <w:lang w:val="en-US" w:eastAsia="zh-CN"/>
                    </w:rPr>
                    <w:t>/a</w:t>
                  </w:r>
                </w:p>
              </w:tc>
            </w:tr>
            <w:tr w14:paraId="4BDDA35A">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352" w:type="pct"/>
                  <w:vMerge w:val="continue"/>
                  <w:tcBorders>
                    <w:tl2br w:val="nil"/>
                    <w:tr2bl w:val="nil"/>
                  </w:tcBorders>
                  <w:noWrap w:val="0"/>
                  <w:vAlign w:val="center"/>
                </w:tcPr>
                <w:p w14:paraId="098E45E5">
                  <w:pPr>
                    <w:jc w:val="center"/>
                    <w:rPr>
                      <w:rFonts w:hint="default"/>
                      <w:b w:val="0"/>
                      <w:bCs w:val="0"/>
                      <w:color w:val="auto"/>
                      <w:highlight w:val="none"/>
                      <w:vertAlign w:val="baseline"/>
                      <w:lang w:val="en-US" w:eastAsia="zh-CN"/>
                    </w:rPr>
                  </w:pPr>
                </w:p>
              </w:tc>
              <w:tc>
                <w:tcPr>
                  <w:tcW w:w="728" w:type="pct"/>
                  <w:tcBorders>
                    <w:tl2br w:val="nil"/>
                    <w:tr2bl w:val="nil"/>
                  </w:tcBorders>
                  <w:noWrap w:val="0"/>
                  <w:vAlign w:val="center"/>
                </w:tcPr>
                <w:p w14:paraId="2B381330">
                  <w:pPr>
                    <w:keepLines w:val="0"/>
                    <w:pageBreakBefore w:val="0"/>
                    <w:kinsoku/>
                    <w:wordWrap/>
                    <w:overflowPunct/>
                    <w:topLinePunct w:val="0"/>
                    <w:bidi w:val="0"/>
                    <w:spacing w:line="320" w:lineRule="exact"/>
                    <w:ind w:left="0" w:left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lang w:val="en-US" w:eastAsia="zh-CN"/>
                    </w:rPr>
                    <w:t>废活性炭</w:t>
                  </w:r>
                </w:p>
              </w:tc>
              <w:tc>
                <w:tcPr>
                  <w:tcW w:w="508" w:type="pct"/>
                  <w:tcBorders>
                    <w:tl2br w:val="nil"/>
                    <w:tr2bl w:val="nil"/>
                  </w:tcBorders>
                  <w:noWrap w:val="0"/>
                  <w:vAlign w:val="center"/>
                </w:tcPr>
                <w:p w14:paraId="266F54AE">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0</w:t>
                  </w:r>
                </w:p>
              </w:tc>
              <w:tc>
                <w:tcPr>
                  <w:tcW w:w="664" w:type="pct"/>
                  <w:tcBorders>
                    <w:tl2br w:val="nil"/>
                    <w:tr2bl w:val="nil"/>
                  </w:tcBorders>
                  <w:noWrap w:val="0"/>
                  <w:vAlign w:val="center"/>
                </w:tcPr>
                <w:p w14:paraId="47B1511B">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0</w:t>
                  </w:r>
                </w:p>
              </w:tc>
              <w:tc>
                <w:tcPr>
                  <w:tcW w:w="664" w:type="pct"/>
                  <w:tcBorders>
                    <w:tl2br w:val="nil"/>
                    <w:tr2bl w:val="nil"/>
                  </w:tcBorders>
                  <w:noWrap w:val="0"/>
                  <w:vAlign w:val="center"/>
                </w:tcPr>
                <w:p w14:paraId="05E59399">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0</w:t>
                  </w:r>
                </w:p>
              </w:tc>
              <w:tc>
                <w:tcPr>
                  <w:tcW w:w="641" w:type="pct"/>
                  <w:tcBorders>
                    <w:tl2br w:val="nil"/>
                    <w:tr2bl w:val="nil"/>
                  </w:tcBorders>
                  <w:noWrap w:val="0"/>
                  <w:vAlign w:val="center"/>
                </w:tcPr>
                <w:p w14:paraId="1218B88C">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0</w:t>
                  </w:r>
                </w:p>
              </w:tc>
              <w:tc>
                <w:tcPr>
                  <w:tcW w:w="744" w:type="pct"/>
                  <w:tcBorders>
                    <w:tl2br w:val="nil"/>
                    <w:tr2bl w:val="nil"/>
                  </w:tcBorders>
                  <w:noWrap w:val="0"/>
                  <w:vAlign w:val="center"/>
                </w:tcPr>
                <w:p w14:paraId="37A601C8">
                  <w:pPr>
                    <w:keepLines w:val="0"/>
                    <w:pageBreakBefore w:val="0"/>
                    <w:kinsoku/>
                    <w:wordWrap/>
                    <w:overflowPunct/>
                    <w:topLinePunct w:val="0"/>
                    <w:bidi w:val="0"/>
                    <w:spacing w:line="320" w:lineRule="exact"/>
                    <w:ind w:left="0" w:leftChars="0"/>
                    <w:jc w:val="center"/>
                    <w:rPr>
                      <w:rFonts w:hint="eastAsia" w:ascii="Times New Roman" w:hAnsi="Times New Roman" w:eastAsia="宋体" w:cs="Times New Roman"/>
                      <w:bCs/>
                      <w:color w:val="auto"/>
                      <w:sz w:val="21"/>
                      <w:szCs w:val="21"/>
                      <w:highlight w:val="none"/>
                      <w:lang w:val="en-US" w:eastAsia="zh-CN"/>
                    </w:rPr>
                  </w:pPr>
                  <w:r>
                    <w:rPr>
                      <w:rFonts w:hint="eastAsia" w:ascii="Times New Roman" w:hAnsi="Times New Roman" w:cs="Times New Roman"/>
                      <w:color w:val="auto"/>
                      <w:kern w:val="2"/>
                      <w:sz w:val="21"/>
                      <w:szCs w:val="21"/>
                      <w:highlight w:val="none"/>
                      <w:lang w:val="en-US" w:eastAsia="zh-CN" w:bidi="ar-SA"/>
                    </w:rPr>
                    <w:t>2</w:t>
                  </w:r>
                  <w:r>
                    <w:rPr>
                      <w:rFonts w:hint="eastAsia" w:cs="Times New Roman"/>
                      <w:color w:val="auto"/>
                      <w:sz w:val="21"/>
                      <w:szCs w:val="21"/>
                      <w:highlight w:val="none"/>
                      <w:lang w:val="en-US" w:eastAsia="zh-CN"/>
                    </w:rPr>
                    <w:t>t</w:t>
                  </w:r>
                  <w:r>
                    <w:rPr>
                      <w:rFonts w:hint="eastAsia" w:ascii="Times New Roman" w:hAnsi="Times New Roman" w:eastAsia="宋体" w:cs="Times New Roman"/>
                      <w:color w:val="auto"/>
                      <w:kern w:val="0"/>
                      <w:sz w:val="21"/>
                      <w:szCs w:val="21"/>
                      <w:highlight w:val="none"/>
                      <w:lang w:val="en-US" w:eastAsia="zh-CN"/>
                    </w:rPr>
                    <w:t>/a</w:t>
                  </w:r>
                </w:p>
              </w:tc>
              <w:tc>
                <w:tcPr>
                  <w:tcW w:w="694" w:type="pct"/>
                  <w:tcBorders>
                    <w:tl2br w:val="nil"/>
                    <w:tr2bl w:val="nil"/>
                  </w:tcBorders>
                  <w:noWrap w:val="0"/>
                  <w:vAlign w:val="center"/>
                </w:tcPr>
                <w:p w14:paraId="4C1058BB">
                  <w:pPr>
                    <w:keepLines w:val="0"/>
                    <w:pageBreakBefore w:val="0"/>
                    <w:kinsoku/>
                    <w:wordWrap/>
                    <w:overflowPunct/>
                    <w:topLinePunct w:val="0"/>
                    <w:bidi w:val="0"/>
                    <w:spacing w:line="320" w:lineRule="exact"/>
                    <w:ind w:left="0" w:leftChars="0"/>
                    <w:jc w:val="center"/>
                    <w:rPr>
                      <w:rFonts w:hint="eastAsia" w:ascii="Times New Roman" w:hAnsi="Times New Roman" w:eastAsia="宋体" w:cs="Times New Roman"/>
                      <w:bCs/>
                      <w:color w:val="auto"/>
                      <w:sz w:val="21"/>
                      <w:szCs w:val="21"/>
                      <w:highlight w:val="none"/>
                      <w:lang w:val="en-US" w:eastAsia="zh-CN"/>
                    </w:rPr>
                  </w:pPr>
                  <w:r>
                    <w:rPr>
                      <w:rFonts w:hint="eastAsia" w:cs="Times New Roman"/>
                      <w:color w:val="auto"/>
                      <w:sz w:val="21"/>
                      <w:szCs w:val="21"/>
                      <w:highlight w:val="none"/>
                      <w:vertAlign w:val="baseline"/>
                      <w:lang w:val="en-US" w:eastAsia="zh-CN"/>
                    </w:rPr>
                    <w:t>+</w:t>
                  </w:r>
                  <w:r>
                    <w:rPr>
                      <w:rFonts w:hint="eastAsia" w:ascii="Times New Roman" w:hAnsi="Times New Roman" w:cs="Times New Roman"/>
                      <w:color w:val="auto"/>
                      <w:kern w:val="2"/>
                      <w:sz w:val="21"/>
                      <w:szCs w:val="21"/>
                      <w:highlight w:val="none"/>
                      <w:lang w:val="en-US" w:eastAsia="zh-CN" w:bidi="ar-SA"/>
                    </w:rPr>
                    <w:t>2</w:t>
                  </w:r>
                  <w:r>
                    <w:rPr>
                      <w:rFonts w:hint="eastAsia" w:cs="Times New Roman"/>
                      <w:color w:val="auto"/>
                      <w:sz w:val="21"/>
                      <w:szCs w:val="21"/>
                      <w:highlight w:val="none"/>
                      <w:lang w:val="en-US" w:eastAsia="zh-CN"/>
                    </w:rPr>
                    <w:t>t</w:t>
                  </w:r>
                  <w:r>
                    <w:rPr>
                      <w:rFonts w:hint="eastAsia" w:ascii="Times New Roman" w:hAnsi="Times New Roman" w:eastAsia="宋体" w:cs="Times New Roman"/>
                      <w:color w:val="auto"/>
                      <w:kern w:val="0"/>
                      <w:sz w:val="21"/>
                      <w:szCs w:val="21"/>
                      <w:highlight w:val="none"/>
                      <w:lang w:val="en-US" w:eastAsia="zh-CN"/>
                    </w:rPr>
                    <w:t>/a</w:t>
                  </w:r>
                </w:p>
              </w:tc>
            </w:tr>
          </w:tbl>
          <w:p w14:paraId="3E10690B">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color w:val="0000FF"/>
                <w:sz w:val="21"/>
                <w:szCs w:val="21"/>
                <w:highlight w:val="none"/>
                <w:lang w:val="en-US" w:eastAsia="zh-CN"/>
              </w:rPr>
            </w:pPr>
          </w:p>
        </w:tc>
      </w:tr>
    </w:tbl>
    <w:p w14:paraId="39399213">
      <w:pPr>
        <w:rPr>
          <w:rFonts w:hint="default"/>
          <w:color w:val="0000FF"/>
          <w:highlight w:val="none"/>
        </w:rPr>
        <w:sectPr>
          <w:pgSz w:w="11907" w:h="16840"/>
          <w:pgMar w:top="1417" w:right="1417" w:bottom="1417" w:left="1417" w:header="992" w:footer="992" w:gutter="0"/>
          <w:pgBorders>
            <w:top w:val="none" w:sz="0" w:space="0"/>
            <w:left w:val="none" w:sz="0" w:space="0"/>
            <w:bottom w:val="none" w:sz="0" w:space="0"/>
            <w:right w:val="none" w:sz="0" w:space="0"/>
          </w:pgBorders>
          <w:pgNumType w:fmt="numberInDash"/>
          <w:cols w:space="720" w:num="1"/>
          <w:docGrid w:linePitch="286" w:charSpace="0"/>
        </w:sectPr>
      </w:pPr>
    </w:p>
    <w:p w14:paraId="39632796">
      <w:pPr>
        <w:pStyle w:val="41"/>
        <w:spacing w:before="100" w:after="100" w:line="240" w:lineRule="auto"/>
        <w:jc w:val="center"/>
        <w:outlineLvl w:val="0"/>
        <w:rPr>
          <w:rFonts w:ascii="黑体" w:hAnsi="黑体" w:eastAsia="黑体"/>
          <w:snapToGrid w:val="0"/>
          <w:color w:val="auto"/>
          <w:sz w:val="30"/>
          <w:szCs w:val="30"/>
          <w:highlight w:val="none"/>
        </w:rPr>
      </w:pPr>
      <w:r>
        <w:rPr>
          <w:rFonts w:hint="eastAsia" w:ascii="黑体" w:hAnsi="黑体" w:eastAsia="黑体"/>
          <w:snapToGrid w:val="0"/>
          <w:color w:val="auto"/>
          <w:sz w:val="30"/>
          <w:szCs w:val="30"/>
          <w:highlight w:val="none"/>
        </w:rPr>
        <w:t>五、</w:t>
      </w:r>
      <w:bookmarkStart w:id="6" w:name="_Hlk54167917"/>
      <w:r>
        <w:rPr>
          <w:rFonts w:hint="eastAsia" w:ascii="黑体" w:hAnsi="黑体" w:eastAsia="黑体"/>
          <w:snapToGrid w:val="0"/>
          <w:color w:val="auto"/>
          <w:sz w:val="30"/>
          <w:szCs w:val="30"/>
          <w:highlight w:val="none"/>
        </w:rPr>
        <w:t>环境保护措施监督检查清单</w:t>
      </w:r>
      <w:bookmarkEnd w:id="6"/>
    </w:p>
    <w:tbl>
      <w:tblPr>
        <w:tblStyle w:val="45"/>
        <w:tblW w:w="4996"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780"/>
        <w:gridCol w:w="1218"/>
        <w:gridCol w:w="1028"/>
        <w:gridCol w:w="2646"/>
        <w:gridCol w:w="2466"/>
      </w:tblGrid>
      <w:tr w14:paraId="1B60887C">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6" w:type="pct"/>
            <w:tcBorders>
              <w:top w:val="single" w:color="auto" w:sz="8" w:space="0"/>
              <w:left w:val="single" w:color="auto" w:sz="8" w:space="0"/>
              <w:bottom w:val="single" w:color="auto" w:sz="4" w:space="0"/>
              <w:right w:val="single" w:color="auto" w:sz="4" w:space="0"/>
              <w:tl2br w:val="single" w:color="auto" w:sz="4" w:space="0"/>
            </w:tcBorders>
          </w:tcPr>
          <w:p w14:paraId="0FA2970F">
            <w:pPr>
              <w:adjustRightInd w:val="0"/>
              <w:snapToGrid w:val="0"/>
              <w:spacing w:line="240" w:lineRule="auto"/>
              <w:ind w:firstLine="422" w:firstLineChars="200"/>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内容</w:t>
            </w:r>
          </w:p>
          <w:p w14:paraId="5EF41192">
            <w:pPr>
              <w:adjustRightInd w:val="0"/>
              <w:snapToGrid w:val="0"/>
              <w:spacing w:line="240" w:lineRule="auto"/>
              <w:jc w:val="both"/>
              <w:rPr>
                <w:rFonts w:hint="default" w:ascii="Times New Roman" w:hAnsi="Times New Roman" w:cs="Times New Roman"/>
                <w:b/>
                <w:bCs/>
                <w:color w:val="auto"/>
                <w:sz w:val="21"/>
                <w:szCs w:val="21"/>
                <w:highlight w:val="none"/>
              </w:rPr>
            </w:pPr>
          </w:p>
          <w:p w14:paraId="105A202F">
            <w:pPr>
              <w:adjustRightInd w:val="0"/>
              <w:snapToGrid w:val="0"/>
              <w:spacing w:line="240" w:lineRule="auto"/>
              <w:jc w:val="both"/>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要素</w:t>
            </w:r>
          </w:p>
        </w:tc>
        <w:tc>
          <w:tcPr>
            <w:tcW w:w="1076" w:type="pct"/>
            <w:gridSpan w:val="2"/>
            <w:tcBorders>
              <w:top w:val="single" w:color="auto" w:sz="8" w:space="0"/>
              <w:left w:val="single" w:color="auto" w:sz="4" w:space="0"/>
              <w:bottom w:val="single" w:color="auto" w:sz="4" w:space="0"/>
              <w:right w:val="single" w:color="auto" w:sz="4" w:space="0"/>
            </w:tcBorders>
            <w:vAlign w:val="center"/>
          </w:tcPr>
          <w:p w14:paraId="06B8E621">
            <w:pPr>
              <w:adjustRightInd w:val="0"/>
              <w:snapToGrid w:val="0"/>
              <w:spacing w:line="240" w:lineRule="auto"/>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排放口(编号、名称)/污染源</w:t>
            </w:r>
          </w:p>
        </w:tc>
        <w:tc>
          <w:tcPr>
            <w:tcW w:w="553" w:type="pct"/>
            <w:tcBorders>
              <w:top w:val="single" w:color="auto" w:sz="8" w:space="0"/>
              <w:left w:val="single" w:color="auto" w:sz="4" w:space="0"/>
              <w:bottom w:val="single" w:color="auto" w:sz="4" w:space="0"/>
              <w:right w:val="single" w:color="auto" w:sz="4" w:space="0"/>
            </w:tcBorders>
            <w:vAlign w:val="center"/>
          </w:tcPr>
          <w:p w14:paraId="34216522">
            <w:pPr>
              <w:adjustRightInd w:val="0"/>
              <w:snapToGrid w:val="0"/>
              <w:spacing w:line="240" w:lineRule="auto"/>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污染物</w:t>
            </w:r>
          </w:p>
          <w:p w14:paraId="6E0D87BB">
            <w:pPr>
              <w:adjustRightInd w:val="0"/>
              <w:snapToGrid w:val="0"/>
              <w:spacing w:line="240" w:lineRule="auto"/>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项目</w:t>
            </w:r>
          </w:p>
        </w:tc>
        <w:tc>
          <w:tcPr>
            <w:tcW w:w="1425" w:type="pct"/>
            <w:tcBorders>
              <w:top w:val="single" w:color="auto" w:sz="8" w:space="0"/>
              <w:left w:val="single" w:color="auto" w:sz="4" w:space="0"/>
              <w:bottom w:val="single" w:color="auto" w:sz="4" w:space="0"/>
              <w:right w:val="single" w:color="auto" w:sz="4" w:space="0"/>
            </w:tcBorders>
            <w:vAlign w:val="center"/>
          </w:tcPr>
          <w:p w14:paraId="1C7F22E0">
            <w:pPr>
              <w:adjustRightInd w:val="0"/>
              <w:snapToGrid w:val="0"/>
              <w:spacing w:line="240" w:lineRule="auto"/>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环境保护措施</w:t>
            </w:r>
          </w:p>
        </w:tc>
        <w:tc>
          <w:tcPr>
            <w:tcW w:w="1328" w:type="pct"/>
            <w:tcBorders>
              <w:top w:val="single" w:color="auto" w:sz="8" w:space="0"/>
              <w:left w:val="single" w:color="auto" w:sz="4" w:space="0"/>
              <w:bottom w:val="single" w:color="auto" w:sz="4" w:space="0"/>
              <w:right w:val="single" w:color="auto" w:sz="8" w:space="0"/>
            </w:tcBorders>
            <w:vAlign w:val="center"/>
          </w:tcPr>
          <w:p w14:paraId="1552C37F">
            <w:pPr>
              <w:adjustRightInd w:val="0"/>
              <w:snapToGrid w:val="0"/>
              <w:spacing w:line="240" w:lineRule="auto"/>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执行标准</w:t>
            </w:r>
          </w:p>
        </w:tc>
      </w:tr>
      <w:tr w14:paraId="12FC3537">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6" w:type="pct"/>
            <w:vMerge w:val="restart"/>
            <w:tcBorders>
              <w:top w:val="single" w:color="auto" w:sz="4" w:space="0"/>
              <w:left w:val="single" w:color="auto" w:sz="8" w:space="0"/>
              <w:right w:val="single" w:color="auto" w:sz="4" w:space="0"/>
            </w:tcBorders>
            <w:vAlign w:val="center"/>
          </w:tcPr>
          <w:p w14:paraId="5133373D">
            <w:pPr>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大气环境</w:t>
            </w:r>
          </w:p>
        </w:tc>
        <w:tc>
          <w:tcPr>
            <w:tcW w:w="420" w:type="pct"/>
            <w:vMerge w:val="restart"/>
            <w:tcBorders>
              <w:top w:val="single" w:color="auto" w:sz="4" w:space="0"/>
              <w:left w:val="single" w:color="auto" w:sz="4" w:space="0"/>
              <w:right w:val="single" w:color="auto" w:sz="4" w:space="0"/>
            </w:tcBorders>
            <w:vAlign w:val="center"/>
          </w:tcPr>
          <w:p w14:paraId="7CEAF82A">
            <w:pPr>
              <w:pStyle w:val="63"/>
              <w:keepLines w:val="0"/>
              <w:pageBreakBefore w:val="0"/>
              <w:kinsoku/>
              <w:wordWrap/>
              <w:overflowPunct/>
              <w:topLinePunct w:val="0"/>
              <w:bidi w:val="0"/>
              <w:ind w:left="0" w:leftChars="0"/>
              <w:jc w:val="center"/>
              <w:rPr>
                <w:rFonts w:hint="default" w:ascii="Times New Roman" w:hAnsi="Times New Roman" w:cs="Times New Roman"/>
                <w:color w:val="auto"/>
                <w:sz w:val="21"/>
                <w:szCs w:val="21"/>
                <w:highlight w:val="none"/>
                <w:lang w:val="en-US"/>
              </w:rPr>
            </w:pPr>
            <w:r>
              <w:rPr>
                <w:rFonts w:hint="eastAsia" w:cs="Times New Roman"/>
                <w:color w:val="auto"/>
                <w:kern w:val="2"/>
                <w:sz w:val="21"/>
                <w:szCs w:val="21"/>
                <w:highlight w:val="none"/>
                <w:lang w:val="en-US" w:eastAsia="zh-CN" w:bidi="ar-SA"/>
              </w:rPr>
              <w:t>DA001</w:t>
            </w:r>
          </w:p>
        </w:tc>
        <w:tc>
          <w:tcPr>
            <w:tcW w:w="1218" w:type="dxa"/>
            <w:tcBorders>
              <w:top w:val="single" w:color="auto" w:sz="4" w:space="0"/>
              <w:left w:val="single" w:color="auto" w:sz="4" w:space="0"/>
              <w:right w:val="single" w:color="auto" w:sz="4" w:space="0"/>
            </w:tcBorders>
            <w:vAlign w:val="center"/>
          </w:tcPr>
          <w:p w14:paraId="2F2EA3FC">
            <w:pPr>
              <w:pStyle w:val="63"/>
              <w:keepNext w:val="0"/>
              <w:keepLines w:val="0"/>
              <w:pageBreakBefore w:val="0"/>
              <w:widowControl w:val="0"/>
              <w:kinsoku/>
              <w:wordWrap/>
              <w:overflowPunct/>
              <w:topLinePunct w:val="0"/>
              <w:bidi w:val="0"/>
              <w:spacing w:line="240" w:lineRule="auto"/>
              <w:ind w:left="0" w:leftChars="0"/>
              <w:jc w:val="center"/>
              <w:textAlignment w:val="auto"/>
              <w:rPr>
                <w:rStyle w:val="287"/>
                <w:rFonts w:hint="default" w:ascii="Times New Roman" w:hAnsi="Times New Roman" w:eastAsia="宋体" w:cs="Times New Roman"/>
                <w:color w:val="auto"/>
                <w:sz w:val="21"/>
                <w:szCs w:val="21"/>
                <w:highlight w:val="none"/>
                <w:lang w:val="en-US" w:eastAsia="zh-CN"/>
              </w:rPr>
            </w:pPr>
            <w:r>
              <w:rPr>
                <w:rStyle w:val="287"/>
                <w:rFonts w:hint="default" w:ascii="Times New Roman" w:hAnsi="Times New Roman" w:cs="Times New Roman"/>
                <w:bCs w:val="0"/>
                <w:color w:val="auto"/>
                <w:sz w:val="21"/>
                <w:szCs w:val="21"/>
                <w:highlight w:val="none"/>
              </w:rPr>
              <w:t>硫酸</w:t>
            </w:r>
            <w:r>
              <w:rPr>
                <w:rStyle w:val="287"/>
                <w:rFonts w:hint="default" w:ascii="Times New Roman" w:hAnsi="Times New Roman" w:cs="Times New Roman"/>
                <w:bCs w:val="0"/>
                <w:color w:val="auto"/>
                <w:sz w:val="21"/>
                <w:szCs w:val="21"/>
                <w:highlight w:val="none"/>
                <w:lang w:val="en-US" w:eastAsia="zh-CN"/>
              </w:rPr>
              <w:t>使用</w:t>
            </w:r>
          </w:p>
        </w:tc>
        <w:tc>
          <w:tcPr>
            <w:tcW w:w="1028" w:type="dxa"/>
            <w:tcBorders>
              <w:top w:val="single" w:color="auto" w:sz="4" w:space="0"/>
              <w:left w:val="single" w:color="auto" w:sz="4" w:space="0"/>
              <w:right w:val="single" w:color="auto" w:sz="4" w:space="0"/>
            </w:tcBorders>
            <w:vAlign w:val="center"/>
          </w:tcPr>
          <w:p w14:paraId="3B19F04D">
            <w:pPr>
              <w:pStyle w:val="63"/>
              <w:keepNext w:val="0"/>
              <w:keepLines w:val="0"/>
              <w:pageBreakBefore w:val="0"/>
              <w:widowControl w:val="0"/>
              <w:kinsoku/>
              <w:wordWrap/>
              <w:overflowPunct/>
              <w:topLinePunct w:val="0"/>
              <w:bidi w:val="0"/>
              <w:spacing w:line="240" w:lineRule="auto"/>
              <w:ind w:left="0" w:leftChars="0"/>
              <w:jc w:val="center"/>
              <w:textAlignment w:val="auto"/>
              <w:rPr>
                <w:rStyle w:val="287"/>
                <w:rFonts w:hint="default" w:ascii="Times New Roman" w:hAnsi="Times New Roman" w:eastAsia="宋体" w:cs="Times New Roman"/>
                <w:color w:val="0000FF"/>
                <w:sz w:val="21"/>
                <w:szCs w:val="21"/>
                <w:highlight w:val="none"/>
              </w:rPr>
            </w:pPr>
            <w:r>
              <w:rPr>
                <w:rFonts w:hint="default" w:ascii="Times New Roman" w:hAnsi="Times New Roman" w:cs="Times New Roman"/>
                <w:color w:val="auto"/>
                <w:sz w:val="21"/>
                <w:szCs w:val="21"/>
                <w:highlight w:val="none"/>
                <w:lang w:val="en-US" w:eastAsia="zh-CN"/>
              </w:rPr>
              <w:t>硫酸雾</w:t>
            </w:r>
          </w:p>
        </w:tc>
        <w:tc>
          <w:tcPr>
            <w:tcW w:w="1425" w:type="pct"/>
            <w:vMerge w:val="restart"/>
            <w:tcBorders>
              <w:top w:val="single" w:color="auto" w:sz="4" w:space="0"/>
              <w:left w:val="single" w:color="auto" w:sz="4" w:space="0"/>
              <w:right w:val="single" w:color="auto" w:sz="4" w:space="0"/>
            </w:tcBorders>
            <w:vAlign w:val="center"/>
          </w:tcPr>
          <w:p w14:paraId="5904B8BA">
            <w:pPr>
              <w:keepNext w:val="0"/>
              <w:keepLines w:val="0"/>
              <w:pageBreakBefore w:val="0"/>
              <w:widowControl w:val="0"/>
              <w:kinsoku/>
              <w:wordWrap/>
              <w:overflowPunct/>
              <w:topLinePunct w:val="0"/>
              <w:autoSpaceDE/>
              <w:autoSpaceDN/>
              <w:bidi w:val="0"/>
              <w:adjustRightInd w:val="0"/>
              <w:snapToGrid w:val="0"/>
              <w:spacing w:before="0" w:beforeLines="50" w:after="0" w:afterLines="50" w:line="240" w:lineRule="auto"/>
              <w:ind w:left="-72" w:leftChars="-30" w:right="-72" w:rightChars="-30" w:firstLine="0" w:firstLineChars="0"/>
              <w:jc w:val="center"/>
              <w:textAlignment w:val="auto"/>
              <w:rPr>
                <w:rFonts w:hint="eastAsia" w:cs="Times New Roman"/>
                <w:color w:val="0000FF"/>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二级活性炭吸附装置+15m</w:t>
            </w:r>
            <w:r>
              <w:rPr>
                <w:rStyle w:val="361"/>
                <w:rFonts w:hint="default" w:ascii="Times New Roman" w:hAnsi="Times New Roman" w:cs="Times New Roman"/>
                <w:color w:val="auto"/>
                <w:lang w:val="en-US" w:eastAsia="zh-CN" w:bidi="ar"/>
              </w:rPr>
              <w:t>高排气筒排放</w:t>
            </w:r>
          </w:p>
        </w:tc>
        <w:tc>
          <w:tcPr>
            <w:tcW w:w="1328" w:type="pct"/>
            <w:vMerge w:val="restart"/>
            <w:tcBorders>
              <w:top w:val="single" w:color="auto" w:sz="4" w:space="0"/>
              <w:left w:val="single" w:color="auto" w:sz="4" w:space="0"/>
              <w:right w:val="single" w:color="auto" w:sz="8" w:space="0"/>
            </w:tcBorders>
            <w:vAlign w:val="center"/>
          </w:tcPr>
          <w:p w14:paraId="1F311CED">
            <w:pPr>
              <w:keepNext w:val="0"/>
              <w:keepLines w:val="0"/>
              <w:pageBreakBefore w:val="0"/>
              <w:widowControl w:val="0"/>
              <w:kinsoku/>
              <w:wordWrap/>
              <w:overflowPunct/>
              <w:topLinePunct w:val="0"/>
              <w:autoSpaceDE/>
              <w:autoSpaceDN/>
              <w:bidi w:val="0"/>
              <w:adjustRightInd w:val="0"/>
              <w:snapToGrid w:val="0"/>
              <w:spacing w:before="0" w:beforeLines="50" w:after="0" w:afterLines="50" w:line="240" w:lineRule="auto"/>
              <w:ind w:left="-72" w:leftChars="-30" w:right="-72" w:rightChars="-30"/>
              <w:jc w:val="center"/>
              <w:textAlignment w:val="auto"/>
              <w:rPr>
                <w:rFonts w:hint="default" w:ascii="Times New Roman" w:hAnsi="Times New Roman" w:eastAsia="宋体" w:cs="Times New Roman"/>
                <w:color w:val="0000FF"/>
                <w:sz w:val="21"/>
                <w:szCs w:val="21"/>
                <w:highlight w:val="none"/>
                <w:lang w:val="en-US" w:eastAsia="zh-CN"/>
              </w:rPr>
            </w:pPr>
            <w:r>
              <w:rPr>
                <w:rStyle w:val="287"/>
                <w:rFonts w:hint="default" w:ascii="Times New Roman" w:hAnsi="Times New Roman" w:eastAsia="宋体" w:cs="Times New Roman"/>
                <w:color w:val="auto"/>
                <w:sz w:val="21"/>
                <w:szCs w:val="21"/>
                <w:highlight w:val="none"/>
                <w:lang w:val="en-US" w:eastAsia="zh-CN"/>
              </w:rPr>
              <w:t>《大气污染物综合排放标准》（GB16297-1996）</w:t>
            </w:r>
            <w:r>
              <w:rPr>
                <w:rStyle w:val="287"/>
                <w:rFonts w:hint="eastAsia" w:ascii="Times New Roman" w:hAnsi="Times New Roman" w:eastAsia="宋体" w:cs="Times New Roman"/>
                <w:color w:val="auto"/>
                <w:sz w:val="21"/>
                <w:szCs w:val="21"/>
                <w:highlight w:val="none"/>
                <w:lang w:val="en-US" w:eastAsia="zh-CN"/>
              </w:rPr>
              <w:t>表2</w:t>
            </w:r>
            <w:r>
              <w:rPr>
                <w:rStyle w:val="287"/>
                <w:rFonts w:hint="default" w:ascii="Times New Roman" w:hAnsi="Times New Roman" w:eastAsia="宋体" w:cs="Times New Roman"/>
                <w:color w:val="auto"/>
                <w:sz w:val="21"/>
                <w:szCs w:val="21"/>
                <w:highlight w:val="none"/>
                <w:lang w:val="en-US" w:eastAsia="zh-CN"/>
              </w:rPr>
              <w:t>中二级标准</w:t>
            </w:r>
            <w:r>
              <w:rPr>
                <w:rStyle w:val="287"/>
                <w:rFonts w:hint="eastAsia" w:ascii="Times New Roman" w:hAnsi="Times New Roman" w:eastAsia="宋体" w:cs="Times New Roman"/>
                <w:color w:val="auto"/>
                <w:sz w:val="21"/>
                <w:szCs w:val="21"/>
                <w:highlight w:val="none"/>
                <w:lang w:val="en-US" w:eastAsia="zh-CN"/>
              </w:rPr>
              <w:t>及</w:t>
            </w:r>
            <w:r>
              <w:rPr>
                <w:rFonts w:hint="eastAsia" w:cs="Times New Roman"/>
                <w:b w:val="0"/>
                <w:bCs/>
                <w:color w:val="auto"/>
                <w:kern w:val="0"/>
                <w:sz w:val="21"/>
                <w:szCs w:val="21"/>
                <w:highlight w:val="none"/>
                <w:vertAlign w:val="baseline"/>
                <w:lang w:val="en-US" w:eastAsia="zh-CN"/>
              </w:rPr>
              <w:t>《</w:t>
            </w:r>
            <w:r>
              <w:rPr>
                <w:rFonts w:hint="default" w:ascii="Times New Roman" w:hAnsi="Times New Roman" w:eastAsia="宋体" w:cs="Times New Roman"/>
                <w:b w:val="0"/>
                <w:bCs/>
                <w:color w:val="auto"/>
                <w:kern w:val="0"/>
                <w:sz w:val="21"/>
                <w:szCs w:val="21"/>
                <w:highlight w:val="none"/>
                <w:vertAlign w:val="baseline"/>
                <w:lang w:val="en-US" w:eastAsia="zh-CN"/>
              </w:rPr>
              <w:t>挥发性有机物无组织排放控制标准</w:t>
            </w:r>
            <w:r>
              <w:rPr>
                <w:rFonts w:hint="eastAsia" w:cs="Times New Roman"/>
                <w:b w:val="0"/>
                <w:bCs/>
                <w:color w:val="auto"/>
                <w:kern w:val="0"/>
                <w:sz w:val="21"/>
                <w:szCs w:val="21"/>
                <w:highlight w:val="none"/>
                <w:vertAlign w:val="baseline"/>
                <w:lang w:val="en-US" w:eastAsia="zh-CN"/>
              </w:rPr>
              <w:t>》（GB37822-2019）</w:t>
            </w:r>
          </w:p>
        </w:tc>
      </w:tr>
      <w:tr w14:paraId="7B596D0A">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6" w:type="pct"/>
            <w:vMerge w:val="continue"/>
            <w:tcBorders>
              <w:left w:val="single" w:color="auto" w:sz="8" w:space="0"/>
              <w:right w:val="single" w:color="auto" w:sz="4" w:space="0"/>
            </w:tcBorders>
            <w:vAlign w:val="center"/>
          </w:tcPr>
          <w:p w14:paraId="2398F5D0">
            <w:pPr>
              <w:adjustRightInd w:val="0"/>
              <w:snapToGrid w:val="0"/>
              <w:spacing w:line="240" w:lineRule="auto"/>
              <w:jc w:val="center"/>
              <w:rPr>
                <w:rFonts w:hint="default" w:ascii="Times New Roman" w:hAnsi="Times New Roman" w:cs="Times New Roman"/>
                <w:color w:val="auto"/>
                <w:sz w:val="21"/>
                <w:szCs w:val="21"/>
                <w:highlight w:val="none"/>
              </w:rPr>
            </w:pPr>
          </w:p>
        </w:tc>
        <w:tc>
          <w:tcPr>
            <w:tcW w:w="420" w:type="pct"/>
            <w:vMerge w:val="continue"/>
            <w:tcBorders>
              <w:left w:val="single" w:color="auto" w:sz="4" w:space="0"/>
              <w:right w:val="single" w:color="auto" w:sz="4" w:space="0"/>
            </w:tcBorders>
            <w:vAlign w:val="center"/>
          </w:tcPr>
          <w:p w14:paraId="368920C5">
            <w:pPr>
              <w:pStyle w:val="63"/>
              <w:keepLines w:val="0"/>
              <w:pageBreakBefore w:val="0"/>
              <w:kinsoku/>
              <w:wordWrap/>
              <w:overflowPunct/>
              <w:topLinePunct w:val="0"/>
              <w:bidi w:val="0"/>
              <w:ind w:left="0" w:leftChars="0"/>
              <w:jc w:val="center"/>
              <w:rPr>
                <w:rFonts w:hint="eastAsia" w:cs="Times New Roman"/>
                <w:color w:val="auto"/>
                <w:kern w:val="2"/>
                <w:sz w:val="21"/>
                <w:szCs w:val="21"/>
                <w:highlight w:val="none"/>
                <w:lang w:val="en-US" w:eastAsia="zh-CN" w:bidi="ar-SA"/>
              </w:rPr>
            </w:pPr>
          </w:p>
        </w:tc>
        <w:tc>
          <w:tcPr>
            <w:tcW w:w="1218" w:type="dxa"/>
            <w:tcBorders>
              <w:left w:val="single" w:color="auto" w:sz="4" w:space="0"/>
              <w:bottom w:val="single" w:color="auto" w:sz="4" w:space="0"/>
              <w:right w:val="single" w:color="auto" w:sz="4" w:space="0"/>
            </w:tcBorders>
            <w:vAlign w:val="center"/>
          </w:tcPr>
          <w:p w14:paraId="366F6ABA">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宋体" w:hAnsi="宋体" w:eastAsia="宋体" w:cs="宋体"/>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硝酸使用</w:t>
            </w:r>
          </w:p>
        </w:tc>
        <w:tc>
          <w:tcPr>
            <w:tcW w:w="1028" w:type="dxa"/>
            <w:tcBorders>
              <w:top w:val="single" w:color="auto" w:sz="4" w:space="0"/>
              <w:left w:val="single" w:color="auto" w:sz="4" w:space="0"/>
              <w:right w:val="single" w:color="auto" w:sz="4" w:space="0"/>
            </w:tcBorders>
            <w:vAlign w:val="center"/>
          </w:tcPr>
          <w:p w14:paraId="7D748DEB">
            <w:pPr>
              <w:pStyle w:val="63"/>
              <w:keepNext w:val="0"/>
              <w:keepLines w:val="0"/>
              <w:pageBreakBefore w:val="0"/>
              <w:widowControl w:val="0"/>
              <w:kinsoku/>
              <w:wordWrap/>
              <w:overflowPunct/>
              <w:topLinePunct w:val="0"/>
              <w:bidi w:val="0"/>
              <w:spacing w:line="240" w:lineRule="auto"/>
              <w:ind w:left="0" w:leftChars="0"/>
              <w:jc w:val="center"/>
              <w:textAlignment w:val="auto"/>
              <w:rPr>
                <w:rStyle w:val="287"/>
                <w:rFonts w:hint="default" w:ascii="Times New Roman" w:hAnsi="Times New Roman" w:eastAsia="宋体" w:cs="Times New Roman"/>
                <w:color w:val="0000FF"/>
                <w:sz w:val="21"/>
                <w:szCs w:val="21"/>
                <w:highlight w:val="none"/>
              </w:rPr>
            </w:pPr>
            <w:r>
              <w:rPr>
                <w:rFonts w:hint="eastAsia" w:cs="Times New Roman"/>
                <w:color w:val="auto"/>
                <w:kern w:val="0"/>
                <w:sz w:val="21"/>
                <w:szCs w:val="21"/>
                <w:highlight w:val="none"/>
                <w:lang w:val="en-US" w:eastAsia="zh-CN"/>
              </w:rPr>
              <w:t>氮氧化物</w:t>
            </w:r>
          </w:p>
        </w:tc>
        <w:tc>
          <w:tcPr>
            <w:tcW w:w="1425" w:type="pct"/>
            <w:vMerge w:val="continue"/>
            <w:tcBorders>
              <w:left w:val="single" w:color="auto" w:sz="4" w:space="0"/>
              <w:right w:val="single" w:color="auto" w:sz="4" w:space="0"/>
            </w:tcBorders>
            <w:vAlign w:val="center"/>
          </w:tcPr>
          <w:p w14:paraId="085066A3">
            <w:pPr>
              <w:keepNext w:val="0"/>
              <w:keepLines w:val="0"/>
              <w:pageBreakBefore w:val="0"/>
              <w:widowControl w:val="0"/>
              <w:kinsoku/>
              <w:wordWrap/>
              <w:overflowPunct/>
              <w:topLinePunct w:val="0"/>
              <w:autoSpaceDE/>
              <w:autoSpaceDN/>
              <w:bidi w:val="0"/>
              <w:adjustRightInd w:val="0"/>
              <w:snapToGrid w:val="0"/>
              <w:spacing w:before="0" w:beforeLines="50" w:after="0" w:afterLines="50" w:line="240" w:lineRule="auto"/>
              <w:ind w:left="-72" w:leftChars="-30" w:right="-72" w:rightChars="-30" w:firstLine="0" w:firstLineChars="0"/>
              <w:jc w:val="center"/>
              <w:textAlignment w:val="auto"/>
              <w:rPr>
                <w:rFonts w:hint="eastAsia" w:cs="Times New Roman"/>
                <w:color w:val="0000FF"/>
                <w:sz w:val="21"/>
                <w:szCs w:val="21"/>
                <w:highlight w:val="none"/>
                <w:lang w:val="en-US" w:eastAsia="zh-CN"/>
              </w:rPr>
            </w:pPr>
          </w:p>
        </w:tc>
        <w:tc>
          <w:tcPr>
            <w:tcW w:w="1328" w:type="pct"/>
            <w:vMerge w:val="continue"/>
            <w:tcBorders>
              <w:left w:val="single" w:color="auto" w:sz="4" w:space="0"/>
              <w:right w:val="single" w:color="auto" w:sz="8" w:space="0"/>
            </w:tcBorders>
            <w:vAlign w:val="center"/>
          </w:tcPr>
          <w:p w14:paraId="49FCAD67">
            <w:pPr>
              <w:pStyle w:val="44"/>
              <w:keepNext w:val="0"/>
              <w:keepLines w:val="0"/>
              <w:pageBreakBefore w:val="0"/>
              <w:widowControl w:val="0"/>
              <w:kinsoku/>
              <w:wordWrap/>
              <w:overflowPunct/>
              <w:topLinePunct w:val="0"/>
              <w:autoSpaceDE/>
              <w:autoSpaceDN/>
              <w:bidi w:val="0"/>
              <w:adjustRightInd w:val="0"/>
              <w:snapToGrid w:val="0"/>
              <w:spacing w:before="0" w:beforeLines="50" w:after="0" w:afterLines="50" w:line="240" w:lineRule="auto"/>
              <w:ind w:left="-72" w:leftChars="-30" w:right="-72" w:rightChars="-30" w:firstLine="0" w:firstLineChars="0"/>
              <w:jc w:val="center"/>
              <w:textAlignment w:val="auto"/>
              <w:rPr>
                <w:rFonts w:hint="default" w:ascii="Times New Roman" w:hAnsi="Times New Roman" w:eastAsia="宋体" w:cs="Times New Roman"/>
                <w:color w:val="0000FF"/>
                <w:sz w:val="21"/>
                <w:szCs w:val="21"/>
                <w:highlight w:val="none"/>
                <w:lang w:val="en-US" w:eastAsia="zh-CN"/>
              </w:rPr>
            </w:pPr>
          </w:p>
        </w:tc>
      </w:tr>
      <w:tr w14:paraId="02D6A029">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6" w:type="pct"/>
            <w:vMerge w:val="continue"/>
            <w:tcBorders>
              <w:left w:val="single" w:color="auto" w:sz="8" w:space="0"/>
              <w:right w:val="single" w:color="auto" w:sz="4" w:space="0"/>
            </w:tcBorders>
            <w:vAlign w:val="center"/>
          </w:tcPr>
          <w:p w14:paraId="54390369">
            <w:pPr>
              <w:adjustRightInd w:val="0"/>
              <w:snapToGrid w:val="0"/>
              <w:spacing w:line="240" w:lineRule="auto"/>
              <w:jc w:val="center"/>
              <w:rPr>
                <w:rFonts w:hint="default" w:ascii="Times New Roman" w:hAnsi="Times New Roman" w:cs="Times New Roman"/>
                <w:color w:val="auto"/>
                <w:sz w:val="21"/>
                <w:szCs w:val="21"/>
                <w:highlight w:val="none"/>
              </w:rPr>
            </w:pPr>
          </w:p>
        </w:tc>
        <w:tc>
          <w:tcPr>
            <w:tcW w:w="420" w:type="pct"/>
            <w:vMerge w:val="continue"/>
            <w:tcBorders>
              <w:left w:val="single" w:color="auto" w:sz="4" w:space="0"/>
              <w:right w:val="single" w:color="auto" w:sz="4" w:space="0"/>
            </w:tcBorders>
            <w:vAlign w:val="center"/>
          </w:tcPr>
          <w:p w14:paraId="07F82DCE">
            <w:pPr>
              <w:pStyle w:val="63"/>
              <w:keepLines w:val="0"/>
              <w:pageBreakBefore w:val="0"/>
              <w:kinsoku/>
              <w:wordWrap/>
              <w:overflowPunct/>
              <w:topLinePunct w:val="0"/>
              <w:bidi w:val="0"/>
              <w:ind w:left="0" w:leftChars="0"/>
              <w:jc w:val="center"/>
              <w:rPr>
                <w:rFonts w:hint="eastAsia" w:cs="Times New Roman"/>
                <w:color w:val="auto"/>
                <w:kern w:val="2"/>
                <w:sz w:val="21"/>
                <w:szCs w:val="21"/>
                <w:highlight w:val="none"/>
                <w:lang w:val="en-US" w:eastAsia="zh-CN" w:bidi="ar-SA"/>
              </w:rPr>
            </w:pPr>
          </w:p>
        </w:tc>
        <w:tc>
          <w:tcPr>
            <w:tcW w:w="1218" w:type="dxa"/>
            <w:tcBorders>
              <w:left w:val="single" w:color="auto" w:sz="4" w:space="0"/>
              <w:bottom w:val="single" w:color="auto" w:sz="4" w:space="0"/>
              <w:right w:val="single" w:color="auto" w:sz="4" w:space="0"/>
            </w:tcBorders>
            <w:vAlign w:val="center"/>
          </w:tcPr>
          <w:p w14:paraId="7F39F412">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宋体" w:hAnsi="宋体" w:eastAsia="宋体" w:cs="宋体"/>
                <w:color w:val="auto"/>
                <w:kern w:val="0"/>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盐酸使用</w:t>
            </w:r>
          </w:p>
        </w:tc>
        <w:tc>
          <w:tcPr>
            <w:tcW w:w="1028" w:type="dxa"/>
            <w:tcBorders>
              <w:top w:val="single" w:color="auto" w:sz="4" w:space="0"/>
              <w:left w:val="single" w:color="auto" w:sz="4" w:space="0"/>
              <w:right w:val="single" w:color="auto" w:sz="4" w:space="0"/>
            </w:tcBorders>
            <w:vAlign w:val="center"/>
          </w:tcPr>
          <w:p w14:paraId="38D7FE27">
            <w:pPr>
              <w:pStyle w:val="63"/>
              <w:keepNext w:val="0"/>
              <w:keepLines w:val="0"/>
              <w:pageBreakBefore w:val="0"/>
              <w:widowControl w:val="0"/>
              <w:kinsoku/>
              <w:wordWrap/>
              <w:overflowPunct/>
              <w:topLinePunct w:val="0"/>
              <w:bidi w:val="0"/>
              <w:spacing w:line="240" w:lineRule="auto"/>
              <w:ind w:left="0" w:leftChars="0"/>
              <w:jc w:val="center"/>
              <w:textAlignment w:val="auto"/>
              <w:rPr>
                <w:rStyle w:val="287"/>
                <w:rFonts w:hint="default" w:ascii="Times New Roman" w:hAnsi="Times New Roman" w:eastAsia="宋体" w:cs="Times New Roman"/>
                <w:color w:val="0000FF"/>
                <w:sz w:val="21"/>
                <w:szCs w:val="21"/>
                <w:highlight w:val="none"/>
              </w:rPr>
            </w:pPr>
            <w:r>
              <w:rPr>
                <w:rFonts w:hint="eastAsia" w:cs="Times New Roman"/>
                <w:i w:val="0"/>
                <w:iCs w:val="0"/>
                <w:color w:val="auto"/>
                <w:kern w:val="0"/>
                <w:sz w:val="21"/>
                <w:szCs w:val="21"/>
                <w:highlight w:val="none"/>
                <w:u w:val="none"/>
                <w:lang w:val="en-US" w:eastAsia="zh-CN" w:bidi="ar"/>
              </w:rPr>
              <w:t>氯化氢</w:t>
            </w:r>
          </w:p>
        </w:tc>
        <w:tc>
          <w:tcPr>
            <w:tcW w:w="1425" w:type="pct"/>
            <w:vMerge w:val="continue"/>
            <w:tcBorders>
              <w:left w:val="single" w:color="auto" w:sz="4" w:space="0"/>
              <w:right w:val="single" w:color="auto" w:sz="4" w:space="0"/>
            </w:tcBorders>
            <w:vAlign w:val="center"/>
          </w:tcPr>
          <w:p w14:paraId="57086755">
            <w:pPr>
              <w:keepNext w:val="0"/>
              <w:keepLines w:val="0"/>
              <w:pageBreakBefore w:val="0"/>
              <w:widowControl w:val="0"/>
              <w:kinsoku/>
              <w:wordWrap/>
              <w:overflowPunct/>
              <w:topLinePunct w:val="0"/>
              <w:autoSpaceDE/>
              <w:autoSpaceDN/>
              <w:bidi w:val="0"/>
              <w:adjustRightInd w:val="0"/>
              <w:snapToGrid w:val="0"/>
              <w:spacing w:before="0" w:beforeLines="50" w:after="0" w:afterLines="50" w:line="240" w:lineRule="auto"/>
              <w:ind w:left="-72" w:leftChars="-30" w:right="-72" w:rightChars="-30" w:firstLine="0" w:firstLineChars="0"/>
              <w:jc w:val="center"/>
              <w:textAlignment w:val="auto"/>
              <w:rPr>
                <w:rFonts w:hint="eastAsia" w:cs="Times New Roman"/>
                <w:color w:val="0000FF"/>
                <w:sz w:val="21"/>
                <w:szCs w:val="21"/>
                <w:highlight w:val="none"/>
                <w:lang w:val="en-US" w:eastAsia="zh-CN"/>
              </w:rPr>
            </w:pPr>
          </w:p>
        </w:tc>
        <w:tc>
          <w:tcPr>
            <w:tcW w:w="1328" w:type="pct"/>
            <w:vMerge w:val="continue"/>
            <w:tcBorders>
              <w:left w:val="single" w:color="auto" w:sz="4" w:space="0"/>
              <w:right w:val="single" w:color="auto" w:sz="8" w:space="0"/>
            </w:tcBorders>
            <w:vAlign w:val="center"/>
          </w:tcPr>
          <w:p w14:paraId="6F581425">
            <w:pPr>
              <w:pStyle w:val="44"/>
              <w:keepNext w:val="0"/>
              <w:keepLines w:val="0"/>
              <w:pageBreakBefore w:val="0"/>
              <w:widowControl w:val="0"/>
              <w:kinsoku/>
              <w:wordWrap/>
              <w:overflowPunct/>
              <w:topLinePunct w:val="0"/>
              <w:autoSpaceDE/>
              <w:autoSpaceDN/>
              <w:bidi w:val="0"/>
              <w:adjustRightInd w:val="0"/>
              <w:snapToGrid w:val="0"/>
              <w:spacing w:before="0" w:beforeLines="50" w:after="0" w:afterLines="50" w:line="240" w:lineRule="auto"/>
              <w:ind w:left="-72" w:leftChars="-30" w:right="-72" w:rightChars="-30" w:firstLine="0" w:firstLineChars="0"/>
              <w:jc w:val="center"/>
              <w:textAlignment w:val="auto"/>
              <w:rPr>
                <w:rFonts w:hint="default" w:ascii="Times New Roman" w:hAnsi="Times New Roman" w:eastAsia="宋体" w:cs="Times New Roman"/>
                <w:color w:val="0000FF"/>
                <w:sz w:val="21"/>
                <w:szCs w:val="21"/>
                <w:highlight w:val="none"/>
                <w:lang w:val="en-US" w:eastAsia="zh-CN"/>
              </w:rPr>
            </w:pPr>
          </w:p>
        </w:tc>
      </w:tr>
      <w:tr w14:paraId="27C27426">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6" w:type="pct"/>
            <w:vMerge w:val="continue"/>
            <w:tcBorders>
              <w:left w:val="single" w:color="auto" w:sz="8" w:space="0"/>
              <w:right w:val="single" w:color="auto" w:sz="4" w:space="0"/>
            </w:tcBorders>
            <w:vAlign w:val="center"/>
          </w:tcPr>
          <w:p w14:paraId="51A0D601">
            <w:pPr>
              <w:adjustRightInd w:val="0"/>
              <w:snapToGrid w:val="0"/>
              <w:spacing w:line="240" w:lineRule="auto"/>
              <w:jc w:val="center"/>
              <w:rPr>
                <w:rFonts w:hint="default" w:ascii="Times New Roman" w:hAnsi="Times New Roman" w:cs="Times New Roman"/>
                <w:color w:val="0000FF"/>
                <w:sz w:val="21"/>
                <w:szCs w:val="21"/>
                <w:highlight w:val="none"/>
              </w:rPr>
            </w:pPr>
          </w:p>
        </w:tc>
        <w:tc>
          <w:tcPr>
            <w:tcW w:w="420" w:type="pct"/>
            <w:vMerge w:val="continue"/>
            <w:tcBorders>
              <w:left w:val="single" w:color="auto" w:sz="4" w:space="0"/>
              <w:right w:val="single" w:color="auto" w:sz="4" w:space="0"/>
            </w:tcBorders>
            <w:vAlign w:val="center"/>
          </w:tcPr>
          <w:p w14:paraId="7FB273D1">
            <w:pPr>
              <w:pStyle w:val="63"/>
              <w:keepLines w:val="0"/>
              <w:pageBreakBefore w:val="0"/>
              <w:kinsoku/>
              <w:wordWrap/>
              <w:overflowPunct/>
              <w:topLinePunct w:val="0"/>
              <w:bidi w:val="0"/>
              <w:ind w:left="0" w:leftChars="0"/>
              <w:jc w:val="center"/>
              <w:rPr>
                <w:rFonts w:hint="eastAsia" w:cs="Times New Roman"/>
                <w:color w:val="0000FF"/>
                <w:kern w:val="2"/>
                <w:sz w:val="21"/>
                <w:szCs w:val="21"/>
                <w:highlight w:val="none"/>
                <w:lang w:val="en-US" w:eastAsia="zh-CN" w:bidi="ar-SA"/>
              </w:rPr>
            </w:pPr>
          </w:p>
        </w:tc>
        <w:tc>
          <w:tcPr>
            <w:tcW w:w="1218" w:type="dxa"/>
            <w:tcBorders>
              <w:left w:val="single" w:color="auto" w:sz="4" w:space="0"/>
              <w:bottom w:val="single" w:color="auto" w:sz="4" w:space="0"/>
              <w:right w:val="single" w:color="auto" w:sz="4" w:space="0"/>
            </w:tcBorders>
            <w:vAlign w:val="center"/>
          </w:tcPr>
          <w:p w14:paraId="1C893294">
            <w:pPr>
              <w:pStyle w:val="63"/>
              <w:keepNext w:val="0"/>
              <w:keepLines w:val="0"/>
              <w:pageBreakBefore w:val="0"/>
              <w:widowControl w:val="0"/>
              <w:kinsoku/>
              <w:wordWrap/>
              <w:overflowPunct/>
              <w:topLinePunct w:val="0"/>
              <w:bidi w:val="0"/>
              <w:spacing w:line="240" w:lineRule="auto"/>
              <w:ind w:left="0" w:leftChars="0"/>
              <w:jc w:val="center"/>
              <w:textAlignment w:val="auto"/>
              <w:rPr>
                <w:rFonts w:hint="eastAsia" w:ascii="宋体" w:hAnsi="宋体" w:eastAsia="宋体" w:cs="宋体"/>
                <w:color w:val="0000FF"/>
                <w:kern w:val="0"/>
                <w:sz w:val="21"/>
                <w:szCs w:val="21"/>
                <w:highlight w:val="none"/>
                <w:lang w:val="en-US" w:eastAsia="zh-CN"/>
              </w:rPr>
            </w:pPr>
            <w:r>
              <w:rPr>
                <w:rStyle w:val="287"/>
                <w:rFonts w:hint="default" w:ascii="Times New Roman" w:hAnsi="Times New Roman" w:cs="Times New Roman"/>
                <w:color w:val="auto"/>
                <w:sz w:val="21"/>
                <w:szCs w:val="21"/>
                <w:highlight w:val="none"/>
                <w:lang w:val="en-US" w:eastAsia="zh-CN"/>
              </w:rPr>
              <w:t>氨水使用</w:t>
            </w:r>
          </w:p>
        </w:tc>
        <w:tc>
          <w:tcPr>
            <w:tcW w:w="1028" w:type="dxa"/>
            <w:tcBorders>
              <w:top w:val="single" w:color="auto" w:sz="4" w:space="0"/>
              <w:left w:val="single" w:color="auto" w:sz="4" w:space="0"/>
              <w:right w:val="single" w:color="auto" w:sz="4" w:space="0"/>
            </w:tcBorders>
            <w:vAlign w:val="center"/>
          </w:tcPr>
          <w:p w14:paraId="2A1175BD">
            <w:pPr>
              <w:pStyle w:val="63"/>
              <w:keepNext w:val="0"/>
              <w:keepLines w:val="0"/>
              <w:pageBreakBefore w:val="0"/>
              <w:widowControl w:val="0"/>
              <w:kinsoku/>
              <w:wordWrap/>
              <w:overflowPunct/>
              <w:topLinePunct w:val="0"/>
              <w:bidi w:val="0"/>
              <w:spacing w:line="240" w:lineRule="auto"/>
              <w:ind w:left="0" w:leftChars="0"/>
              <w:jc w:val="center"/>
              <w:textAlignment w:val="auto"/>
              <w:rPr>
                <w:rStyle w:val="287"/>
                <w:rFonts w:hint="eastAsia" w:ascii="Times New Roman" w:hAnsi="Times New Roman" w:eastAsia="宋体" w:cs="Times New Roman"/>
                <w:color w:val="0000FF"/>
                <w:sz w:val="21"/>
                <w:szCs w:val="21"/>
                <w:highlight w:val="none"/>
                <w:lang w:val="en-US" w:eastAsia="zh-CN"/>
              </w:rPr>
            </w:pPr>
            <w:r>
              <w:rPr>
                <w:rStyle w:val="287"/>
                <w:rFonts w:hint="eastAsia" w:ascii="Times New Roman" w:hAnsi="Times New Roman" w:cs="Times New Roman"/>
                <w:color w:val="auto"/>
                <w:sz w:val="21"/>
                <w:szCs w:val="21"/>
                <w:highlight w:val="none"/>
                <w:lang w:val="en-US" w:eastAsia="zh-CN"/>
              </w:rPr>
              <w:t>氨</w:t>
            </w:r>
          </w:p>
        </w:tc>
        <w:tc>
          <w:tcPr>
            <w:tcW w:w="1425" w:type="pct"/>
            <w:vMerge w:val="continue"/>
            <w:tcBorders>
              <w:left w:val="single" w:color="auto" w:sz="4" w:space="0"/>
              <w:right w:val="single" w:color="auto" w:sz="4" w:space="0"/>
            </w:tcBorders>
            <w:vAlign w:val="center"/>
          </w:tcPr>
          <w:p w14:paraId="626FE503">
            <w:pPr>
              <w:keepNext w:val="0"/>
              <w:keepLines w:val="0"/>
              <w:pageBreakBefore w:val="0"/>
              <w:widowControl w:val="0"/>
              <w:kinsoku/>
              <w:wordWrap/>
              <w:overflowPunct/>
              <w:topLinePunct w:val="0"/>
              <w:autoSpaceDE/>
              <w:autoSpaceDN/>
              <w:bidi w:val="0"/>
              <w:adjustRightInd w:val="0"/>
              <w:snapToGrid w:val="0"/>
              <w:spacing w:before="0" w:beforeLines="50" w:after="0" w:afterLines="50" w:line="240" w:lineRule="auto"/>
              <w:ind w:left="-72" w:leftChars="-30" w:right="-72" w:rightChars="-30" w:firstLine="0" w:firstLineChars="0"/>
              <w:jc w:val="center"/>
              <w:textAlignment w:val="auto"/>
              <w:rPr>
                <w:rFonts w:hint="eastAsia" w:cs="Times New Roman"/>
                <w:color w:val="0000FF"/>
                <w:sz w:val="21"/>
                <w:szCs w:val="21"/>
                <w:highlight w:val="none"/>
                <w:lang w:val="en-US" w:eastAsia="zh-CN"/>
              </w:rPr>
            </w:pPr>
          </w:p>
        </w:tc>
        <w:tc>
          <w:tcPr>
            <w:tcW w:w="1328" w:type="pct"/>
            <w:vMerge w:val="continue"/>
            <w:tcBorders>
              <w:left w:val="single" w:color="auto" w:sz="4" w:space="0"/>
              <w:right w:val="single" w:color="auto" w:sz="8" w:space="0"/>
            </w:tcBorders>
            <w:vAlign w:val="center"/>
          </w:tcPr>
          <w:p w14:paraId="1B213AD7">
            <w:pPr>
              <w:pStyle w:val="44"/>
              <w:keepNext w:val="0"/>
              <w:keepLines w:val="0"/>
              <w:pageBreakBefore w:val="0"/>
              <w:widowControl w:val="0"/>
              <w:kinsoku/>
              <w:wordWrap/>
              <w:overflowPunct/>
              <w:topLinePunct w:val="0"/>
              <w:autoSpaceDE/>
              <w:autoSpaceDN/>
              <w:bidi w:val="0"/>
              <w:adjustRightInd w:val="0"/>
              <w:snapToGrid w:val="0"/>
              <w:spacing w:before="0" w:beforeLines="50" w:after="0" w:afterLines="50" w:line="240" w:lineRule="auto"/>
              <w:ind w:left="-72" w:leftChars="-30" w:right="-72" w:rightChars="-30" w:firstLine="0" w:firstLineChars="0"/>
              <w:jc w:val="center"/>
              <w:textAlignment w:val="auto"/>
              <w:rPr>
                <w:rFonts w:hint="default" w:ascii="Times New Roman" w:hAnsi="Times New Roman" w:eastAsia="宋体" w:cs="Times New Roman"/>
                <w:color w:val="0000FF"/>
                <w:sz w:val="21"/>
                <w:szCs w:val="21"/>
                <w:highlight w:val="none"/>
                <w:lang w:val="en-US" w:eastAsia="zh-CN"/>
              </w:rPr>
            </w:pPr>
          </w:p>
        </w:tc>
      </w:tr>
      <w:tr w14:paraId="0897265B">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6" w:type="pct"/>
            <w:vMerge w:val="continue"/>
            <w:tcBorders>
              <w:left w:val="single" w:color="auto" w:sz="8" w:space="0"/>
              <w:right w:val="single" w:color="auto" w:sz="4" w:space="0"/>
            </w:tcBorders>
            <w:vAlign w:val="center"/>
          </w:tcPr>
          <w:p w14:paraId="212879A9">
            <w:pPr>
              <w:adjustRightInd w:val="0"/>
              <w:snapToGrid w:val="0"/>
              <w:spacing w:line="240" w:lineRule="auto"/>
              <w:jc w:val="center"/>
              <w:rPr>
                <w:rFonts w:hint="default" w:ascii="Times New Roman" w:hAnsi="Times New Roman" w:cs="Times New Roman"/>
                <w:color w:val="0000FF"/>
                <w:sz w:val="21"/>
                <w:szCs w:val="21"/>
                <w:highlight w:val="none"/>
              </w:rPr>
            </w:pPr>
          </w:p>
        </w:tc>
        <w:tc>
          <w:tcPr>
            <w:tcW w:w="420" w:type="pct"/>
            <w:vMerge w:val="continue"/>
            <w:tcBorders>
              <w:left w:val="single" w:color="auto" w:sz="4" w:space="0"/>
              <w:bottom w:val="single" w:color="auto" w:sz="4" w:space="0"/>
              <w:right w:val="single" w:color="auto" w:sz="4" w:space="0"/>
            </w:tcBorders>
            <w:vAlign w:val="center"/>
          </w:tcPr>
          <w:p w14:paraId="5855BEF7">
            <w:pPr>
              <w:pStyle w:val="63"/>
              <w:keepLines w:val="0"/>
              <w:pageBreakBefore w:val="0"/>
              <w:kinsoku/>
              <w:wordWrap/>
              <w:overflowPunct/>
              <w:topLinePunct w:val="0"/>
              <w:bidi w:val="0"/>
              <w:ind w:left="0" w:leftChars="0"/>
              <w:jc w:val="center"/>
              <w:rPr>
                <w:rFonts w:hint="default" w:ascii="Times New Roman" w:hAnsi="Times New Roman" w:cs="Times New Roman"/>
                <w:color w:val="0000FF"/>
                <w:sz w:val="21"/>
                <w:szCs w:val="21"/>
                <w:highlight w:val="none"/>
              </w:rPr>
            </w:pPr>
          </w:p>
        </w:tc>
        <w:tc>
          <w:tcPr>
            <w:tcW w:w="1218" w:type="dxa"/>
            <w:tcBorders>
              <w:left w:val="single" w:color="auto" w:sz="4" w:space="0"/>
              <w:bottom w:val="single" w:color="auto" w:sz="4" w:space="0"/>
              <w:right w:val="single" w:color="auto" w:sz="4" w:space="0"/>
            </w:tcBorders>
            <w:vAlign w:val="center"/>
          </w:tcPr>
          <w:p w14:paraId="438849B8">
            <w:pPr>
              <w:pStyle w:val="63"/>
              <w:keepNext w:val="0"/>
              <w:keepLines w:val="0"/>
              <w:pageBreakBefore w:val="0"/>
              <w:widowControl w:val="0"/>
              <w:kinsoku/>
              <w:wordWrap/>
              <w:overflowPunct/>
              <w:topLinePunct w:val="0"/>
              <w:bidi w:val="0"/>
              <w:spacing w:line="240" w:lineRule="auto"/>
              <w:ind w:left="0" w:leftChars="0"/>
              <w:jc w:val="center"/>
              <w:textAlignment w:val="auto"/>
              <w:rPr>
                <w:rFonts w:hint="default" w:ascii="宋体" w:hAnsi="宋体" w:eastAsia="宋体" w:cs="宋体"/>
                <w:color w:val="0000FF"/>
                <w:kern w:val="0"/>
                <w:sz w:val="21"/>
                <w:szCs w:val="21"/>
                <w:highlight w:val="none"/>
                <w:lang w:val="en-US" w:eastAsia="zh-CN"/>
              </w:rPr>
            </w:pPr>
            <w:r>
              <w:rPr>
                <w:rFonts w:hint="default" w:ascii="Times New Roman" w:hAnsi="Times New Roman" w:cs="Times New Roman"/>
                <w:color w:val="auto"/>
                <w:sz w:val="21"/>
                <w:szCs w:val="21"/>
                <w:highlight w:val="none"/>
                <w:lang w:val="en-US" w:eastAsia="zh-CN"/>
              </w:rPr>
              <w:t>挥发性有机物使用</w:t>
            </w:r>
          </w:p>
        </w:tc>
        <w:tc>
          <w:tcPr>
            <w:tcW w:w="1028" w:type="dxa"/>
            <w:tcBorders>
              <w:top w:val="single" w:color="auto" w:sz="4" w:space="0"/>
              <w:left w:val="single" w:color="auto" w:sz="4" w:space="0"/>
              <w:right w:val="single" w:color="auto" w:sz="4" w:space="0"/>
            </w:tcBorders>
            <w:vAlign w:val="center"/>
          </w:tcPr>
          <w:p w14:paraId="77BAF5C1">
            <w:pPr>
              <w:pStyle w:val="63"/>
              <w:keepNext w:val="0"/>
              <w:keepLines w:val="0"/>
              <w:pageBreakBefore w:val="0"/>
              <w:widowControl w:val="0"/>
              <w:kinsoku/>
              <w:wordWrap/>
              <w:overflowPunct/>
              <w:topLinePunct w:val="0"/>
              <w:bidi w:val="0"/>
              <w:spacing w:line="240" w:lineRule="auto"/>
              <w:ind w:left="0" w:leftChars="0"/>
              <w:jc w:val="center"/>
              <w:textAlignment w:val="auto"/>
              <w:rPr>
                <w:rStyle w:val="287"/>
                <w:rFonts w:hint="default" w:ascii="Times New Roman" w:hAnsi="Times New Roman" w:eastAsia="宋体" w:cs="Times New Roman"/>
                <w:color w:val="0000FF"/>
                <w:sz w:val="21"/>
                <w:szCs w:val="21"/>
                <w:highlight w:val="none"/>
              </w:rPr>
            </w:pPr>
            <w:r>
              <w:rPr>
                <w:rFonts w:hint="eastAsia" w:ascii="Times New Roman" w:hAnsi="Times New Roman" w:cs="Times New Roman"/>
                <w:color w:val="auto"/>
                <w:sz w:val="21"/>
                <w:szCs w:val="21"/>
                <w:highlight w:val="none"/>
                <w:lang w:val="en-US" w:eastAsia="zh-CN"/>
              </w:rPr>
              <w:t>非甲烷总烃</w:t>
            </w:r>
          </w:p>
        </w:tc>
        <w:tc>
          <w:tcPr>
            <w:tcW w:w="1425" w:type="pct"/>
            <w:vMerge w:val="continue"/>
            <w:tcBorders>
              <w:left w:val="single" w:color="auto" w:sz="4" w:space="0"/>
              <w:right w:val="single" w:color="auto" w:sz="4" w:space="0"/>
            </w:tcBorders>
            <w:vAlign w:val="center"/>
          </w:tcPr>
          <w:p w14:paraId="2CECF92D">
            <w:pPr>
              <w:keepNext w:val="0"/>
              <w:keepLines w:val="0"/>
              <w:pageBreakBefore w:val="0"/>
              <w:widowControl w:val="0"/>
              <w:kinsoku/>
              <w:wordWrap/>
              <w:overflowPunct/>
              <w:topLinePunct w:val="0"/>
              <w:autoSpaceDE/>
              <w:autoSpaceDN/>
              <w:bidi w:val="0"/>
              <w:adjustRightInd w:val="0"/>
              <w:snapToGrid w:val="0"/>
              <w:spacing w:before="0" w:beforeLines="50" w:after="0" w:afterLines="50" w:line="240" w:lineRule="auto"/>
              <w:ind w:left="-72" w:leftChars="-30" w:right="-72" w:rightChars="-30" w:firstLine="0" w:firstLineChars="0"/>
              <w:jc w:val="center"/>
              <w:textAlignment w:val="auto"/>
              <w:rPr>
                <w:rFonts w:hint="eastAsia" w:cs="Times New Roman"/>
                <w:color w:val="0000FF"/>
                <w:sz w:val="21"/>
                <w:szCs w:val="21"/>
                <w:highlight w:val="none"/>
                <w:lang w:val="en-US" w:eastAsia="zh-CN"/>
              </w:rPr>
            </w:pPr>
          </w:p>
        </w:tc>
        <w:tc>
          <w:tcPr>
            <w:tcW w:w="1328" w:type="pct"/>
            <w:vMerge w:val="continue"/>
            <w:tcBorders>
              <w:left w:val="single" w:color="auto" w:sz="4" w:space="0"/>
              <w:right w:val="single" w:color="auto" w:sz="8" w:space="0"/>
            </w:tcBorders>
            <w:vAlign w:val="center"/>
          </w:tcPr>
          <w:p w14:paraId="2B4A4263">
            <w:pPr>
              <w:pStyle w:val="44"/>
              <w:keepNext w:val="0"/>
              <w:keepLines w:val="0"/>
              <w:pageBreakBefore w:val="0"/>
              <w:widowControl w:val="0"/>
              <w:kinsoku/>
              <w:wordWrap/>
              <w:overflowPunct/>
              <w:topLinePunct w:val="0"/>
              <w:autoSpaceDE/>
              <w:autoSpaceDN/>
              <w:bidi w:val="0"/>
              <w:adjustRightInd w:val="0"/>
              <w:snapToGrid w:val="0"/>
              <w:spacing w:before="0" w:beforeLines="50" w:after="0" w:afterLines="50" w:line="240" w:lineRule="auto"/>
              <w:ind w:left="-72" w:leftChars="-30" w:right="-72" w:rightChars="-30" w:firstLine="0" w:firstLineChars="0"/>
              <w:jc w:val="center"/>
              <w:textAlignment w:val="auto"/>
              <w:rPr>
                <w:rFonts w:hint="default" w:ascii="Times New Roman" w:hAnsi="Times New Roman" w:eastAsia="宋体" w:cs="Times New Roman"/>
                <w:color w:val="0000FF"/>
                <w:sz w:val="21"/>
                <w:szCs w:val="21"/>
                <w:highlight w:val="none"/>
                <w:lang w:val="en-US" w:eastAsia="zh-CN"/>
              </w:rPr>
            </w:pPr>
          </w:p>
        </w:tc>
      </w:tr>
      <w:tr w14:paraId="2B27222B">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6" w:type="pct"/>
            <w:tcBorders>
              <w:top w:val="single" w:color="auto" w:sz="4" w:space="0"/>
              <w:left w:val="single" w:color="auto" w:sz="8" w:space="0"/>
              <w:right w:val="single" w:color="auto" w:sz="4" w:space="0"/>
            </w:tcBorders>
            <w:vAlign w:val="center"/>
          </w:tcPr>
          <w:p w14:paraId="6228DAD9">
            <w:pPr>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地表水</w:t>
            </w:r>
          </w:p>
          <w:p w14:paraId="36C687D4">
            <w:pPr>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环境</w:t>
            </w:r>
          </w:p>
        </w:tc>
        <w:tc>
          <w:tcPr>
            <w:tcW w:w="420" w:type="pct"/>
            <w:tcBorders>
              <w:top w:val="single" w:color="auto" w:sz="4" w:space="0"/>
              <w:left w:val="single" w:color="auto" w:sz="4" w:space="0"/>
              <w:right w:val="single" w:color="auto" w:sz="4" w:space="0"/>
            </w:tcBorders>
            <w:vAlign w:val="center"/>
          </w:tcPr>
          <w:p w14:paraId="7FBB5439">
            <w:pPr>
              <w:keepNext w:val="0"/>
              <w:keepLines w:val="0"/>
              <w:pageBreakBefore w:val="0"/>
              <w:widowControl w:val="0"/>
              <w:kinsoku/>
              <w:wordWrap/>
              <w:overflowPunct/>
              <w:topLinePunct w:val="0"/>
              <w:autoSpaceDE/>
              <w:autoSpaceDN/>
              <w:bidi w:val="0"/>
              <w:adjustRightInd w:val="0"/>
              <w:snapToGrid w:val="0"/>
              <w:spacing w:before="0" w:beforeLines="50" w:after="0" w:afterLines="50" w:line="240" w:lineRule="auto"/>
              <w:ind w:left="-72" w:leftChars="-30" w:right="-72" w:rightChars="-3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w:t>
            </w:r>
          </w:p>
        </w:tc>
        <w:tc>
          <w:tcPr>
            <w:tcW w:w="656" w:type="pct"/>
            <w:tcBorders>
              <w:top w:val="single" w:color="auto" w:sz="4" w:space="0"/>
              <w:left w:val="single" w:color="auto" w:sz="4" w:space="0"/>
              <w:right w:val="single" w:color="auto" w:sz="4" w:space="0"/>
            </w:tcBorders>
            <w:vAlign w:val="center"/>
          </w:tcPr>
          <w:p w14:paraId="46111741">
            <w:pPr>
              <w:keepNext w:val="0"/>
              <w:keepLines w:val="0"/>
              <w:pageBreakBefore w:val="0"/>
              <w:widowControl w:val="0"/>
              <w:kinsoku/>
              <w:wordWrap/>
              <w:overflowPunct/>
              <w:topLinePunct w:val="0"/>
              <w:autoSpaceDE/>
              <w:autoSpaceDN/>
              <w:bidi w:val="0"/>
              <w:adjustRightInd w:val="0"/>
              <w:snapToGrid w:val="0"/>
              <w:spacing w:before="0" w:beforeLines="50" w:after="0" w:afterLines="50" w:line="240" w:lineRule="auto"/>
              <w:ind w:left="-72" w:leftChars="-30" w:right="-72" w:rightChars="-30"/>
              <w:jc w:val="center"/>
              <w:textAlignment w:val="auto"/>
              <w:rPr>
                <w:rFonts w:hint="default" w:ascii="Times New Roman" w:hAnsi="Times New Roman" w:cs="Times New Roman"/>
                <w:color w:val="auto"/>
                <w:sz w:val="21"/>
                <w:szCs w:val="21"/>
                <w:highlight w:val="none"/>
              </w:rPr>
            </w:pPr>
            <w:r>
              <w:rPr>
                <w:rFonts w:hint="eastAsia" w:ascii="宋体" w:hAnsi="宋体" w:eastAsia="宋体" w:cs="Times New Roman"/>
                <w:color w:val="auto"/>
                <w:sz w:val="21"/>
                <w:szCs w:val="21"/>
                <w:highlight w:val="none"/>
                <w:lang w:val="en-US" w:eastAsia="zh-CN"/>
              </w:rPr>
              <w:t>纯水制备废水</w:t>
            </w:r>
          </w:p>
        </w:tc>
        <w:tc>
          <w:tcPr>
            <w:tcW w:w="553" w:type="pct"/>
            <w:tcBorders>
              <w:top w:val="single" w:color="auto" w:sz="4" w:space="0"/>
              <w:left w:val="single" w:color="auto" w:sz="4" w:space="0"/>
              <w:right w:val="single" w:color="auto" w:sz="4" w:space="0"/>
            </w:tcBorders>
            <w:vAlign w:val="center"/>
          </w:tcPr>
          <w:p w14:paraId="0E3C92DF">
            <w:pPr>
              <w:keepNext w:val="0"/>
              <w:keepLines w:val="0"/>
              <w:pageBreakBefore w:val="0"/>
              <w:widowControl w:val="0"/>
              <w:kinsoku/>
              <w:wordWrap/>
              <w:overflowPunct/>
              <w:topLinePunct w:val="0"/>
              <w:autoSpaceDE/>
              <w:autoSpaceDN/>
              <w:bidi w:val="0"/>
              <w:adjustRightInd w:val="0"/>
              <w:snapToGrid w:val="0"/>
              <w:spacing w:before="0" w:beforeLines="50" w:after="0" w:afterLines="50" w:line="240" w:lineRule="auto"/>
              <w:ind w:left="-72" w:leftChars="-30" w:right="-72" w:rightChars="-3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溶解性总固体</w:t>
            </w:r>
          </w:p>
        </w:tc>
        <w:tc>
          <w:tcPr>
            <w:tcW w:w="1425" w:type="pct"/>
            <w:tcBorders>
              <w:top w:val="single" w:color="auto" w:sz="4" w:space="0"/>
              <w:left w:val="single" w:color="auto" w:sz="4" w:space="0"/>
              <w:right w:val="single" w:color="auto" w:sz="4" w:space="0"/>
            </w:tcBorders>
            <w:vAlign w:val="center"/>
          </w:tcPr>
          <w:p w14:paraId="6820A249">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用于厂区洒水抑尘</w:t>
            </w:r>
          </w:p>
        </w:tc>
        <w:tc>
          <w:tcPr>
            <w:tcW w:w="1328" w:type="pct"/>
            <w:tcBorders>
              <w:top w:val="single" w:color="auto" w:sz="4" w:space="0"/>
              <w:left w:val="single" w:color="auto" w:sz="4" w:space="0"/>
              <w:right w:val="single" w:color="auto" w:sz="8" w:space="0"/>
            </w:tcBorders>
            <w:vAlign w:val="center"/>
          </w:tcPr>
          <w:p w14:paraId="712999F9">
            <w:pPr>
              <w:keepNext w:val="0"/>
              <w:keepLines w:val="0"/>
              <w:pageBreakBefore w:val="0"/>
              <w:widowControl w:val="0"/>
              <w:kinsoku/>
              <w:wordWrap/>
              <w:overflowPunct/>
              <w:topLinePunct w:val="0"/>
              <w:autoSpaceDE/>
              <w:autoSpaceDN/>
              <w:bidi w:val="0"/>
              <w:adjustRightInd w:val="0"/>
              <w:snapToGrid w:val="0"/>
              <w:spacing w:before="0" w:beforeLines="50" w:after="0" w:afterLines="50" w:line="240" w:lineRule="auto"/>
              <w:ind w:left="-72" w:leftChars="-30" w:right="-72" w:rightChars="-30"/>
              <w:jc w:val="center"/>
              <w:textAlignment w:val="auto"/>
              <w:rPr>
                <w:rFonts w:hint="eastAsia" w:ascii="Times New Roman" w:hAnsi="Times New Roman" w:eastAsia="宋体" w:cs="Times New Roman"/>
                <w:color w:val="auto"/>
                <w:sz w:val="21"/>
                <w:szCs w:val="21"/>
                <w:highlight w:val="none"/>
                <w:lang w:val="en-US" w:eastAsia="zh-CN"/>
              </w:rPr>
            </w:pPr>
            <w:r>
              <w:rPr>
                <w:rFonts w:hint="eastAsia" w:cs="Times New Roman"/>
                <w:color w:val="auto"/>
                <w:kern w:val="2"/>
                <w:sz w:val="21"/>
                <w:szCs w:val="21"/>
                <w:highlight w:val="none"/>
                <w:lang w:val="en-US" w:eastAsia="zh-CN" w:bidi="ar-SA"/>
              </w:rPr>
              <w:t>/</w:t>
            </w:r>
          </w:p>
        </w:tc>
      </w:tr>
      <w:tr w14:paraId="64413239">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6" w:type="pct"/>
            <w:tcBorders>
              <w:top w:val="single" w:color="auto" w:sz="4" w:space="0"/>
              <w:left w:val="single" w:color="auto" w:sz="8" w:space="0"/>
              <w:bottom w:val="single" w:color="auto" w:sz="4" w:space="0"/>
              <w:right w:val="single" w:color="auto" w:sz="4" w:space="0"/>
            </w:tcBorders>
            <w:vAlign w:val="center"/>
          </w:tcPr>
          <w:p w14:paraId="089F4D71">
            <w:pPr>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声环境</w:t>
            </w:r>
          </w:p>
        </w:tc>
        <w:tc>
          <w:tcPr>
            <w:tcW w:w="4383" w:type="pct"/>
            <w:gridSpan w:val="5"/>
            <w:tcBorders>
              <w:top w:val="single" w:color="auto" w:sz="4" w:space="0"/>
              <w:left w:val="single" w:color="auto" w:sz="4" w:space="0"/>
              <w:right w:val="single" w:color="auto" w:sz="8" w:space="0"/>
            </w:tcBorders>
            <w:vAlign w:val="center"/>
          </w:tcPr>
          <w:p w14:paraId="4A6AF191">
            <w:pPr>
              <w:keepNext w:val="0"/>
              <w:keepLines w:val="0"/>
              <w:pageBreakBefore w:val="0"/>
              <w:widowControl w:val="0"/>
              <w:kinsoku/>
              <w:wordWrap/>
              <w:overflowPunct/>
              <w:topLinePunct w:val="0"/>
              <w:autoSpaceDE/>
              <w:autoSpaceDN/>
              <w:bidi w:val="0"/>
              <w:adjustRightInd w:val="0"/>
              <w:snapToGrid w:val="0"/>
              <w:spacing w:before="0" w:beforeLines="50" w:after="0" w:afterLines="50" w:line="240" w:lineRule="auto"/>
              <w:jc w:val="center"/>
              <w:textAlignment w:val="auto"/>
              <w:rPr>
                <w:rFonts w:hint="default" w:ascii="Times New Roman" w:hAnsi="Times New Roman" w:cs="Times New Roman"/>
                <w:color w:val="auto"/>
                <w:sz w:val="21"/>
                <w:szCs w:val="21"/>
                <w:highlight w:val="none"/>
              </w:rPr>
            </w:pPr>
            <w:r>
              <w:rPr>
                <w:rFonts w:hint="eastAsia" w:cs="Times New Roman"/>
                <w:color w:val="auto"/>
                <w:sz w:val="21"/>
                <w:szCs w:val="21"/>
                <w:highlight w:val="none"/>
                <w:lang w:val="en-US" w:eastAsia="zh-CN"/>
              </w:rPr>
              <w:t>风机</w:t>
            </w:r>
            <w:r>
              <w:rPr>
                <w:rFonts w:hint="default" w:ascii="Times New Roman" w:hAnsi="Times New Roman" w:cs="Times New Roman"/>
                <w:color w:val="auto"/>
                <w:sz w:val="21"/>
                <w:szCs w:val="21"/>
                <w:highlight w:val="none"/>
              </w:rPr>
              <w:t>基础减振、柔性连接</w:t>
            </w:r>
            <w:r>
              <w:rPr>
                <w:rFonts w:hint="eastAsia" w:cs="Times New Roman"/>
                <w:color w:val="auto"/>
                <w:sz w:val="21"/>
                <w:szCs w:val="21"/>
                <w:highlight w:val="none"/>
                <w:lang w:eastAsia="zh-CN"/>
              </w:rPr>
              <w:t>、</w:t>
            </w:r>
            <w:r>
              <w:rPr>
                <w:rFonts w:hint="eastAsia" w:cs="Times New Roman"/>
                <w:color w:val="auto"/>
                <w:sz w:val="21"/>
                <w:szCs w:val="21"/>
                <w:highlight w:val="none"/>
                <w:lang w:val="en-US" w:eastAsia="zh-CN"/>
              </w:rPr>
              <w:t>减震垫</w:t>
            </w:r>
          </w:p>
        </w:tc>
      </w:tr>
      <w:tr w14:paraId="4CBB20E4">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6" w:type="pct"/>
            <w:tcBorders>
              <w:top w:val="single" w:color="auto" w:sz="4" w:space="0"/>
              <w:left w:val="single" w:color="auto" w:sz="8" w:space="0"/>
              <w:bottom w:val="single" w:color="auto" w:sz="4" w:space="0"/>
              <w:right w:val="single" w:color="auto" w:sz="4" w:space="0"/>
            </w:tcBorders>
            <w:vAlign w:val="center"/>
          </w:tcPr>
          <w:p w14:paraId="08F92B2F">
            <w:pPr>
              <w:keepNext w:val="0"/>
              <w:keepLines w:val="0"/>
              <w:pageBreakBefore w:val="0"/>
              <w:widowControl w:val="0"/>
              <w:kinsoku/>
              <w:wordWrap/>
              <w:overflowPunct/>
              <w:topLinePunct w:val="0"/>
              <w:autoSpaceDE/>
              <w:autoSpaceDN/>
              <w:bidi w:val="0"/>
              <w:adjustRightInd w:val="0"/>
              <w:snapToGrid w:val="0"/>
              <w:spacing w:before="0" w:beforeLines="50" w:after="0" w:afterLines="50" w:line="240" w:lineRule="auto"/>
              <w:jc w:val="center"/>
              <w:textAlignment w:val="auto"/>
              <w:rPr>
                <w:rFonts w:hint="default" w:ascii="宋体" w:hAnsi="宋体" w:eastAsia="宋体" w:cs="宋体"/>
                <w:color w:val="auto"/>
                <w:kern w:val="28"/>
                <w:sz w:val="21"/>
                <w:szCs w:val="21"/>
                <w:highlight w:val="none"/>
                <w:lang w:eastAsia="zh-CN"/>
              </w:rPr>
            </w:pPr>
            <w:r>
              <w:rPr>
                <w:rFonts w:hint="default" w:ascii="宋体" w:hAnsi="宋体" w:eastAsia="宋体" w:cs="宋体"/>
                <w:color w:val="auto"/>
                <w:kern w:val="28"/>
                <w:sz w:val="21"/>
                <w:szCs w:val="21"/>
                <w:highlight w:val="none"/>
                <w:lang w:eastAsia="zh-CN"/>
              </w:rPr>
              <w:t>电磁辐射</w:t>
            </w:r>
          </w:p>
        </w:tc>
        <w:tc>
          <w:tcPr>
            <w:tcW w:w="4383" w:type="pct"/>
            <w:gridSpan w:val="5"/>
            <w:tcBorders>
              <w:top w:val="single" w:color="auto" w:sz="4" w:space="0"/>
              <w:left w:val="single" w:color="auto" w:sz="4" w:space="0"/>
              <w:right w:val="single" w:color="auto" w:sz="8" w:space="0"/>
            </w:tcBorders>
            <w:vAlign w:val="center"/>
          </w:tcPr>
          <w:p w14:paraId="0AE1120F">
            <w:pPr>
              <w:keepNext w:val="0"/>
              <w:keepLines w:val="0"/>
              <w:pageBreakBefore w:val="0"/>
              <w:widowControl w:val="0"/>
              <w:kinsoku/>
              <w:wordWrap/>
              <w:overflowPunct/>
              <w:topLinePunct w:val="0"/>
              <w:autoSpaceDE/>
              <w:autoSpaceDN/>
              <w:bidi w:val="0"/>
              <w:adjustRightInd w:val="0"/>
              <w:snapToGrid w:val="0"/>
              <w:spacing w:before="0" w:beforeLines="50" w:after="0" w:afterLines="50" w:line="240" w:lineRule="auto"/>
              <w:jc w:val="center"/>
              <w:textAlignment w:val="auto"/>
              <w:rPr>
                <w:rFonts w:hint="eastAsia" w:ascii="宋体" w:hAnsi="宋体" w:eastAsia="宋体" w:cs="宋体"/>
                <w:color w:val="auto"/>
                <w:kern w:val="28"/>
                <w:sz w:val="21"/>
                <w:szCs w:val="21"/>
                <w:highlight w:val="none"/>
                <w:lang w:eastAsia="zh-CN"/>
              </w:rPr>
            </w:pPr>
            <w:r>
              <w:rPr>
                <w:rFonts w:hint="eastAsia" w:ascii="宋体" w:hAnsi="宋体" w:cs="宋体"/>
                <w:color w:val="auto"/>
                <w:kern w:val="28"/>
                <w:sz w:val="21"/>
                <w:szCs w:val="21"/>
                <w:highlight w:val="none"/>
                <w:lang w:val="en-US" w:eastAsia="zh-CN"/>
              </w:rPr>
              <w:t>/</w:t>
            </w:r>
          </w:p>
        </w:tc>
      </w:tr>
      <w:tr w14:paraId="2DC57A6A">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616" w:type="pct"/>
            <w:tcBorders>
              <w:top w:val="single" w:color="auto" w:sz="4" w:space="0"/>
              <w:left w:val="single" w:color="auto" w:sz="8" w:space="0"/>
              <w:bottom w:val="single" w:color="auto" w:sz="4" w:space="0"/>
              <w:right w:val="single" w:color="auto" w:sz="4" w:space="0"/>
            </w:tcBorders>
            <w:vAlign w:val="center"/>
          </w:tcPr>
          <w:p w14:paraId="78328803">
            <w:pPr>
              <w:keepNext w:val="0"/>
              <w:keepLines w:val="0"/>
              <w:pageBreakBefore w:val="0"/>
              <w:widowControl w:val="0"/>
              <w:kinsoku/>
              <w:wordWrap/>
              <w:overflowPunct/>
              <w:topLinePunct w:val="0"/>
              <w:autoSpaceDE/>
              <w:autoSpaceDN/>
              <w:bidi w:val="0"/>
              <w:adjustRightInd w:val="0"/>
              <w:snapToGrid w:val="0"/>
              <w:spacing w:before="0" w:beforeLines="50" w:after="0" w:afterLines="50" w:line="240" w:lineRule="auto"/>
              <w:jc w:val="center"/>
              <w:textAlignment w:val="auto"/>
              <w:rPr>
                <w:rFonts w:hint="default" w:ascii="宋体" w:hAnsi="宋体" w:eastAsia="宋体" w:cs="宋体"/>
                <w:color w:val="auto"/>
                <w:kern w:val="28"/>
                <w:sz w:val="21"/>
                <w:szCs w:val="21"/>
                <w:highlight w:val="none"/>
                <w:lang w:eastAsia="zh-CN"/>
              </w:rPr>
            </w:pPr>
            <w:r>
              <w:rPr>
                <w:rFonts w:hint="default" w:ascii="宋体" w:hAnsi="宋体" w:eastAsia="宋体" w:cs="宋体"/>
                <w:color w:val="auto"/>
                <w:kern w:val="28"/>
                <w:sz w:val="21"/>
                <w:szCs w:val="21"/>
                <w:highlight w:val="none"/>
                <w:lang w:eastAsia="zh-CN"/>
              </w:rPr>
              <w:t>固体废物</w:t>
            </w:r>
          </w:p>
        </w:tc>
        <w:tc>
          <w:tcPr>
            <w:tcW w:w="4383" w:type="pct"/>
            <w:gridSpan w:val="5"/>
            <w:tcBorders>
              <w:top w:val="single" w:color="auto" w:sz="4" w:space="0"/>
              <w:left w:val="single" w:color="auto" w:sz="4" w:space="0"/>
              <w:bottom w:val="single" w:color="auto" w:sz="4" w:space="0"/>
              <w:right w:val="single" w:color="auto" w:sz="8" w:space="0"/>
            </w:tcBorders>
            <w:vAlign w:val="center"/>
          </w:tcPr>
          <w:p w14:paraId="31838047">
            <w:pPr>
              <w:keepNext w:val="0"/>
              <w:keepLines w:val="0"/>
              <w:pageBreakBefore w:val="0"/>
              <w:widowControl w:val="0"/>
              <w:kinsoku/>
              <w:wordWrap/>
              <w:overflowPunct/>
              <w:topLinePunct w:val="0"/>
              <w:autoSpaceDE/>
              <w:autoSpaceDN/>
              <w:bidi w:val="0"/>
              <w:adjustRightInd w:val="0"/>
              <w:snapToGrid w:val="0"/>
              <w:spacing w:before="0" w:after="0" w:line="240" w:lineRule="auto"/>
              <w:jc w:val="left"/>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损坏的器皿收集至一般固废间及时外售</w:t>
            </w:r>
            <w:r>
              <w:rPr>
                <w:rFonts w:hint="default" w:ascii="Times New Roman" w:hAnsi="Times New Roman" w:eastAsia="宋体" w:cs="Times New Roman"/>
                <w:color w:val="auto"/>
                <w:sz w:val="21"/>
                <w:szCs w:val="21"/>
                <w:highlight w:val="none"/>
                <w:lang w:val="en-US" w:eastAsia="zh-CN"/>
              </w:rPr>
              <w:t>。实验废液和器皿清洗水</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废耗材</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过期试剂</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废残留样品</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废活性炭</w:t>
            </w:r>
            <w:r>
              <w:rPr>
                <w:rFonts w:hint="eastAsia" w:ascii="Times New Roman" w:hAnsi="Times New Roman" w:eastAsia="宋体" w:cs="Times New Roman"/>
                <w:color w:val="auto"/>
                <w:sz w:val="21"/>
                <w:szCs w:val="21"/>
                <w:highlight w:val="none"/>
                <w:lang w:val="en-US" w:eastAsia="zh-CN"/>
              </w:rPr>
              <w:t>，分类暂存危废间内，委托有资质单位处置。</w:t>
            </w:r>
          </w:p>
        </w:tc>
      </w:tr>
      <w:tr w14:paraId="0A41CC35">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616" w:type="pct"/>
            <w:tcBorders>
              <w:top w:val="single" w:color="auto" w:sz="4" w:space="0"/>
              <w:left w:val="single" w:color="auto" w:sz="8" w:space="0"/>
              <w:bottom w:val="single" w:color="auto" w:sz="4" w:space="0"/>
              <w:right w:val="single" w:color="auto" w:sz="4" w:space="0"/>
            </w:tcBorders>
            <w:vAlign w:val="center"/>
          </w:tcPr>
          <w:p w14:paraId="04B8F4CC">
            <w:pPr>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土壤及地下水污染防治措施</w:t>
            </w:r>
          </w:p>
        </w:tc>
        <w:tc>
          <w:tcPr>
            <w:tcW w:w="4383" w:type="pct"/>
            <w:gridSpan w:val="5"/>
            <w:tcBorders>
              <w:top w:val="single" w:color="auto" w:sz="4" w:space="0"/>
              <w:left w:val="single" w:color="auto" w:sz="4" w:space="0"/>
              <w:bottom w:val="single" w:color="auto" w:sz="4" w:space="0"/>
              <w:right w:val="single" w:color="auto" w:sz="8" w:space="0"/>
            </w:tcBorders>
            <w:vAlign w:val="center"/>
          </w:tcPr>
          <w:p w14:paraId="787A2519">
            <w:pPr>
              <w:keepNext w:val="0"/>
              <w:keepLines w:val="0"/>
              <w:pageBreakBefore w:val="0"/>
              <w:widowControl w:val="0"/>
              <w:kinsoku/>
              <w:wordWrap/>
              <w:overflowPunct/>
              <w:topLinePunct w:val="0"/>
              <w:autoSpaceDE/>
              <w:autoSpaceDN/>
              <w:bidi w:val="0"/>
              <w:adjustRightInd w:val="0"/>
              <w:snapToGrid w:val="0"/>
              <w:spacing w:before="0" w:after="0" w:line="240" w:lineRule="auto"/>
              <w:jc w:val="left"/>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现有</w:t>
            </w:r>
            <w:r>
              <w:rPr>
                <w:rFonts w:hint="eastAsia" w:ascii="Times New Roman" w:hAnsi="Times New Roman" w:eastAsia="宋体" w:cs="Times New Roman"/>
                <w:color w:val="auto"/>
                <w:sz w:val="21"/>
                <w:szCs w:val="21"/>
                <w:highlight w:val="none"/>
                <w:lang w:val="zh-CN" w:eastAsia="zh-CN"/>
              </w:rPr>
              <w:t>危废贮存</w:t>
            </w:r>
            <w:r>
              <w:rPr>
                <w:rFonts w:hint="eastAsia" w:ascii="Times New Roman" w:hAnsi="Times New Roman" w:eastAsia="宋体" w:cs="Times New Roman"/>
                <w:color w:val="auto"/>
                <w:sz w:val="21"/>
                <w:szCs w:val="21"/>
                <w:highlight w:val="none"/>
                <w:lang w:val="en-US" w:eastAsia="zh-CN"/>
              </w:rPr>
              <w:t>库已</w:t>
            </w:r>
            <w:r>
              <w:rPr>
                <w:rFonts w:hint="eastAsia" w:ascii="Times New Roman" w:hAnsi="Times New Roman" w:eastAsia="宋体" w:cs="Times New Roman"/>
                <w:color w:val="auto"/>
                <w:sz w:val="21"/>
                <w:szCs w:val="21"/>
                <w:highlight w:val="none"/>
                <w:lang w:val="zh-CN" w:eastAsia="zh-CN"/>
              </w:rPr>
              <w:t>按《危险废物贮存污染控制标准》（GB18597-2023）要求做好防渗防漏措施，并定期交由有资质单位处置。</w:t>
            </w:r>
            <w:r>
              <w:rPr>
                <w:rFonts w:hint="eastAsia" w:ascii="Times New Roman" w:hAnsi="Times New Roman" w:eastAsia="宋体" w:cs="Times New Roman"/>
                <w:color w:val="auto"/>
                <w:sz w:val="21"/>
                <w:szCs w:val="21"/>
                <w:highlight w:val="none"/>
                <w:lang w:val="en-US" w:eastAsia="zh-CN"/>
              </w:rPr>
              <w:t>实验室地面全部进行硬化处理，其中药剂暂存区防渗层采用不小于2mm厚高密度聚乙烯膜，防渗系数不大于1.0×10</w:t>
            </w:r>
            <w:r>
              <w:rPr>
                <w:rFonts w:hint="eastAsia" w:ascii="Times New Roman" w:hAnsi="Times New Roman" w:eastAsia="宋体" w:cs="Times New Roman"/>
                <w:color w:val="auto"/>
                <w:sz w:val="21"/>
                <w:szCs w:val="21"/>
                <w:highlight w:val="none"/>
                <w:vertAlign w:val="superscript"/>
                <w:lang w:val="en-US" w:eastAsia="zh-CN"/>
              </w:rPr>
              <w:t>-10</w:t>
            </w:r>
            <w:r>
              <w:rPr>
                <w:rFonts w:hint="eastAsia" w:ascii="Times New Roman" w:hAnsi="Times New Roman" w:eastAsia="宋体" w:cs="Times New Roman"/>
                <w:color w:val="auto"/>
                <w:sz w:val="21"/>
                <w:szCs w:val="21"/>
                <w:highlight w:val="none"/>
                <w:lang w:val="en-US" w:eastAsia="zh-CN"/>
              </w:rPr>
              <w:t>cm/s，或其他防渗性能等效的材料</w:t>
            </w:r>
            <w:r>
              <w:rPr>
                <w:rFonts w:hint="eastAsia" w:ascii="Times New Roman" w:hAnsi="Times New Roman" w:eastAsia="宋体" w:cs="Times New Roman"/>
                <w:color w:val="auto"/>
                <w:sz w:val="21"/>
                <w:szCs w:val="21"/>
                <w:highlight w:val="none"/>
                <w:lang w:val="zh-CN" w:eastAsia="zh-CN"/>
              </w:rPr>
              <w:t>，</w:t>
            </w:r>
            <w:r>
              <w:rPr>
                <w:rFonts w:hint="eastAsia" w:ascii="Times New Roman" w:hAnsi="Times New Roman" w:eastAsia="宋体" w:cs="Times New Roman"/>
                <w:color w:val="auto"/>
                <w:sz w:val="21"/>
                <w:szCs w:val="21"/>
                <w:highlight w:val="none"/>
                <w:lang w:val="en-US" w:eastAsia="zh-CN"/>
              </w:rPr>
              <w:t>对</w:t>
            </w:r>
            <w:r>
              <w:rPr>
                <w:rFonts w:hint="eastAsia" w:ascii="Times New Roman" w:hAnsi="Times New Roman" w:eastAsia="宋体" w:cs="Times New Roman"/>
                <w:color w:val="auto"/>
                <w:sz w:val="21"/>
                <w:szCs w:val="21"/>
                <w:highlight w:val="none"/>
                <w:lang w:val="zh-CN" w:eastAsia="zh-CN"/>
              </w:rPr>
              <w:t>土壤及地下水</w:t>
            </w:r>
            <w:r>
              <w:rPr>
                <w:rFonts w:hint="eastAsia" w:ascii="Times New Roman" w:hAnsi="Times New Roman" w:eastAsia="宋体" w:cs="Times New Roman"/>
                <w:color w:val="auto"/>
                <w:sz w:val="21"/>
                <w:szCs w:val="21"/>
                <w:highlight w:val="none"/>
                <w:lang w:val="en-US" w:eastAsia="zh-CN"/>
              </w:rPr>
              <w:t>影响较小</w:t>
            </w:r>
          </w:p>
        </w:tc>
      </w:tr>
      <w:tr w14:paraId="15221900">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616" w:type="pct"/>
            <w:tcBorders>
              <w:top w:val="single" w:color="auto" w:sz="4" w:space="0"/>
              <w:left w:val="single" w:color="auto" w:sz="8" w:space="0"/>
              <w:bottom w:val="single" w:color="auto" w:sz="4" w:space="0"/>
              <w:right w:val="single" w:color="auto" w:sz="4" w:space="0"/>
            </w:tcBorders>
            <w:vAlign w:val="center"/>
          </w:tcPr>
          <w:p w14:paraId="5E97F682">
            <w:pPr>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生态保护</w:t>
            </w:r>
          </w:p>
          <w:p w14:paraId="5A7DC30D">
            <w:pPr>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措施</w:t>
            </w:r>
          </w:p>
        </w:tc>
        <w:tc>
          <w:tcPr>
            <w:tcW w:w="4383" w:type="pct"/>
            <w:gridSpan w:val="5"/>
            <w:tcBorders>
              <w:top w:val="single" w:color="auto" w:sz="4" w:space="0"/>
              <w:left w:val="single" w:color="auto" w:sz="4" w:space="0"/>
              <w:bottom w:val="single" w:color="auto" w:sz="4" w:space="0"/>
              <w:right w:val="single" w:color="auto" w:sz="8" w:space="0"/>
            </w:tcBorders>
            <w:vAlign w:val="center"/>
          </w:tcPr>
          <w:p w14:paraId="7621EA2B">
            <w:pPr>
              <w:keepNext w:val="0"/>
              <w:keepLines w:val="0"/>
              <w:pageBreakBefore w:val="0"/>
              <w:widowControl w:val="0"/>
              <w:kinsoku/>
              <w:wordWrap/>
              <w:overflowPunct/>
              <w:topLinePunct w:val="0"/>
              <w:autoSpaceDE/>
              <w:autoSpaceDN/>
              <w:bidi w:val="0"/>
              <w:adjustRightInd w:val="0"/>
              <w:snapToGrid w:val="0"/>
              <w:spacing w:before="0" w:after="0" w:line="240" w:lineRule="auto"/>
              <w:jc w:val="left"/>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项目所在地厂房已建成。该项目运营后污染因素较少，污染物排放量很少</w:t>
            </w:r>
            <w:r>
              <w:rPr>
                <w:rFonts w:hint="eastAsia" w:cs="Times New Roman"/>
                <w:color w:val="auto"/>
                <w:sz w:val="21"/>
                <w:szCs w:val="21"/>
                <w:highlight w:val="none"/>
                <w:lang w:val="en-US" w:eastAsia="zh-CN"/>
              </w:rPr>
              <w:t>，</w:t>
            </w:r>
            <w:r>
              <w:rPr>
                <w:rFonts w:hint="eastAsia" w:ascii="Times New Roman" w:hAnsi="Times New Roman" w:eastAsia="宋体" w:cs="Times New Roman"/>
                <w:color w:val="auto"/>
                <w:sz w:val="21"/>
                <w:szCs w:val="21"/>
                <w:highlight w:val="none"/>
                <w:lang w:val="en-US" w:eastAsia="zh-CN"/>
              </w:rPr>
              <w:t>对生态环境造成的不良影响</w:t>
            </w:r>
            <w:r>
              <w:rPr>
                <w:rFonts w:hint="eastAsia" w:cs="Times New Roman"/>
                <w:color w:val="auto"/>
                <w:sz w:val="21"/>
                <w:szCs w:val="21"/>
                <w:highlight w:val="none"/>
                <w:lang w:val="en-US" w:eastAsia="zh-CN"/>
              </w:rPr>
              <w:t>较小</w:t>
            </w:r>
            <w:r>
              <w:rPr>
                <w:rFonts w:hint="eastAsia" w:ascii="Times New Roman" w:hAnsi="Times New Roman" w:eastAsia="宋体" w:cs="Times New Roman"/>
                <w:color w:val="auto"/>
                <w:sz w:val="21"/>
                <w:szCs w:val="21"/>
                <w:highlight w:val="none"/>
                <w:lang w:val="en-US" w:eastAsia="zh-CN"/>
              </w:rPr>
              <w:t>。</w:t>
            </w:r>
          </w:p>
        </w:tc>
      </w:tr>
      <w:tr w14:paraId="679AE312">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616" w:type="pct"/>
            <w:tcBorders>
              <w:top w:val="single" w:color="auto" w:sz="4" w:space="0"/>
              <w:left w:val="single" w:color="auto" w:sz="8" w:space="0"/>
              <w:bottom w:val="single" w:color="auto" w:sz="4" w:space="0"/>
              <w:right w:val="single" w:color="auto" w:sz="4" w:space="0"/>
            </w:tcBorders>
            <w:vAlign w:val="center"/>
          </w:tcPr>
          <w:p w14:paraId="219C942E">
            <w:pPr>
              <w:adjustRightInd w:val="0"/>
              <w:snapToGrid w:val="0"/>
              <w:spacing w:line="240" w:lineRule="auto"/>
              <w:jc w:val="center"/>
              <w:rPr>
                <w:rFonts w:hint="default" w:ascii="Times New Roman" w:hAnsi="Times New Roman" w:cs="Times New Roman"/>
                <w:color w:val="auto"/>
                <w:spacing w:val="-8"/>
                <w:sz w:val="21"/>
                <w:szCs w:val="21"/>
                <w:highlight w:val="none"/>
              </w:rPr>
            </w:pPr>
            <w:r>
              <w:rPr>
                <w:rFonts w:hint="default" w:ascii="Times New Roman" w:hAnsi="Times New Roman" w:cs="Times New Roman"/>
                <w:color w:val="auto"/>
                <w:spacing w:val="-8"/>
                <w:sz w:val="21"/>
                <w:szCs w:val="21"/>
                <w:highlight w:val="none"/>
              </w:rPr>
              <w:t>环境风险</w:t>
            </w:r>
          </w:p>
          <w:p w14:paraId="5BA2E932">
            <w:pPr>
              <w:adjustRightInd w:val="0"/>
              <w:snapToGrid w:val="0"/>
              <w:spacing w:line="240" w:lineRule="auto"/>
              <w:jc w:val="center"/>
              <w:rPr>
                <w:rFonts w:hint="default" w:ascii="Times New Roman" w:hAnsi="Times New Roman" w:cs="Times New Roman"/>
                <w:color w:val="auto"/>
                <w:spacing w:val="-8"/>
                <w:sz w:val="21"/>
                <w:szCs w:val="21"/>
                <w:highlight w:val="none"/>
              </w:rPr>
            </w:pPr>
            <w:r>
              <w:rPr>
                <w:rFonts w:hint="default" w:ascii="Times New Roman" w:hAnsi="Times New Roman" w:cs="Times New Roman"/>
                <w:color w:val="auto"/>
                <w:spacing w:val="-8"/>
                <w:sz w:val="21"/>
                <w:szCs w:val="21"/>
                <w:highlight w:val="none"/>
              </w:rPr>
              <w:t>防范措施</w:t>
            </w:r>
          </w:p>
        </w:tc>
        <w:tc>
          <w:tcPr>
            <w:tcW w:w="4383" w:type="pct"/>
            <w:gridSpan w:val="5"/>
            <w:tcBorders>
              <w:top w:val="single" w:color="auto" w:sz="4" w:space="0"/>
              <w:left w:val="single" w:color="auto" w:sz="4" w:space="0"/>
              <w:bottom w:val="single" w:color="auto" w:sz="4" w:space="0"/>
              <w:right w:val="single" w:color="auto" w:sz="8" w:space="0"/>
            </w:tcBorders>
            <w:vAlign w:val="center"/>
          </w:tcPr>
          <w:p w14:paraId="4D38C16E">
            <w:pPr>
              <w:keepNext w:val="0"/>
              <w:keepLines w:val="0"/>
              <w:pageBreakBefore w:val="0"/>
              <w:widowControl w:val="0"/>
              <w:kinsoku/>
              <w:wordWrap/>
              <w:overflowPunct/>
              <w:topLinePunct w:val="0"/>
              <w:autoSpaceDE/>
              <w:autoSpaceDN/>
              <w:bidi w:val="0"/>
              <w:adjustRightInd w:val="0"/>
              <w:snapToGrid w:val="0"/>
              <w:spacing w:before="0" w:after="0" w:line="240" w:lineRule="auto"/>
              <w:jc w:val="left"/>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1、实验室应建立健全健康、安全、环境管理制度，严格执行。</w:t>
            </w:r>
          </w:p>
          <w:p w14:paraId="34F19823">
            <w:pPr>
              <w:keepNext w:val="0"/>
              <w:keepLines w:val="0"/>
              <w:pageBreakBefore w:val="0"/>
              <w:widowControl w:val="0"/>
              <w:kinsoku/>
              <w:wordWrap/>
              <w:overflowPunct/>
              <w:topLinePunct w:val="0"/>
              <w:autoSpaceDE/>
              <w:autoSpaceDN/>
              <w:bidi w:val="0"/>
              <w:adjustRightInd w:val="0"/>
              <w:snapToGrid w:val="0"/>
              <w:spacing w:before="0" w:after="0" w:line="240" w:lineRule="auto"/>
              <w:jc w:val="left"/>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2、严格执行国家有关劳动安全、环境保护、工业卫生的规范和标准，最大限度清楚事故隐患，一旦发生事故应采取有效的措施，降低事故损失和环境污染。</w:t>
            </w:r>
          </w:p>
          <w:p w14:paraId="0AA425E3">
            <w:pPr>
              <w:keepNext w:val="0"/>
              <w:keepLines w:val="0"/>
              <w:pageBreakBefore w:val="0"/>
              <w:widowControl w:val="0"/>
              <w:kinsoku/>
              <w:wordWrap/>
              <w:overflowPunct/>
              <w:topLinePunct w:val="0"/>
              <w:autoSpaceDE/>
              <w:autoSpaceDN/>
              <w:bidi w:val="0"/>
              <w:adjustRightInd w:val="0"/>
              <w:snapToGrid w:val="0"/>
              <w:spacing w:before="0" w:after="0" w:line="240" w:lineRule="auto"/>
              <w:jc w:val="left"/>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加强项目区的安全环保管理，编制正常、异常或紧急状态下的操作手册和维修手册，对操作、维修人员进行培训，持证上岗，定期进行安全活动，提高员工的安全意识，识别事故发生前的异常状态，并采取相应的措施，避免因严重操作失误而造成的事故。</w:t>
            </w:r>
          </w:p>
          <w:p w14:paraId="1B8537C3">
            <w:pPr>
              <w:keepNext w:val="0"/>
              <w:keepLines w:val="0"/>
              <w:pageBreakBefore w:val="0"/>
              <w:widowControl w:val="0"/>
              <w:kinsoku/>
              <w:wordWrap/>
              <w:overflowPunct/>
              <w:topLinePunct w:val="0"/>
              <w:autoSpaceDE/>
              <w:autoSpaceDN/>
              <w:bidi w:val="0"/>
              <w:adjustRightInd w:val="0"/>
              <w:snapToGrid w:val="0"/>
              <w:spacing w:before="0" w:after="0" w:line="240" w:lineRule="auto"/>
              <w:jc w:val="left"/>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4、制定应急操作规程，如在规程中应说明事故时的操作步骤，规定抢修进度，限制事故影响措施，说明与操作人员有关的安全问题。</w:t>
            </w:r>
          </w:p>
        </w:tc>
      </w:tr>
      <w:tr w14:paraId="6A64F06F">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42" w:hRule="atLeast"/>
          <w:jc w:val="center"/>
        </w:trPr>
        <w:tc>
          <w:tcPr>
            <w:tcW w:w="616" w:type="pct"/>
            <w:tcBorders>
              <w:top w:val="single" w:color="auto" w:sz="4" w:space="0"/>
              <w:left w:val="single" w:color="auto" w:sz="8" w:space="0"/>
              <w:bottom w:val="single" w:color="auto" w:sz="8" w:space="0"/>
              <w:right w:val="single" w:color="auto" w:sz="4" w:space="0"/>
            </w:tcBorders>
            <w:vAlign w:val="center"/>
          </w:tcPr>
          <w:p w14:paraId="0C79D642">
            <w:pPr>
              <w:adjustRightInd w:val="0"/>
              <w:snapToGrid w:val="0"/>
              <w:spacing w:line="240" w:lineRule="auto"/>
              <w:jc w:val="center"/>
              <w:rPr>
                <w:rFonts w:hint="default" w:ascii="Times New Roman" w:hAnsi="Times New Roman" w:cs="Times New Roman"/>
                <w:color w:val="auto"/>
                <w:spacing w:val="-8"/>
                <w:sz w:val="21"/>
                <w:szCs w:val="21"/>
                <w:highlight w:val="none"/>
              </w:rPr>
            </w:pPr>
            <w:r>
              <w:rPr>
                <w:rFonts w:hint="default" w:ascii="Times New Roman" w:hAnsi="Times New Roman" w:cs="Times New Roman"/>
                <w:color w:val="auto"/>
                <w:spacing w:val="-8"/>
                <w:sz w:val="21"/>
                <w:szCs w:val="21"/>
                <w:highlight w:val="none"/>
              </w:rPr>
              <w:t>其他环境</w:t>
            </w:r>
          </w:p>
          <w:p w14:paraId="6DDBE39A">
            <w:pPr>
              <w:jc w:val="center"/>
              <w:rPr>
                <w:rFonts w:hint="default" w:ascii="Times New Roman" w:hAnsi="Times New Roman" w:cs="Times New Roman"/>
                <w:color w:val="0000FF"/>
                <w:sz w:val="21"/>
                <w:szCs w:val="21"/>
                <w:highlight w:val="none"/>
              </w:rPr>
            </w:pPr>
            <w:r>
              <w:rPr>
                <w:rFonts w:hint="default" w:ascii="Times New Roman" w:hAnsi="Times New Roman" w:cs="Times New Roman"/>
                <w:color w:val="auto"/>
                <w:spacing w:val="-8"/>
                <w:sz w:val="21"/>
                <w:szCs w:val="21"/>
                <w:highlight w:val="none"/>
              </w:rPr>
              <w:t>管理要求</w:t>
            </w:r>
          </w:p>
        </w:tc>
        <w:tc>
          <w:tcPr>
            <w:tcW w:w="4383" w:type="pct"/>
            <w:gridSpan w:val="5"/>
            <w:tcBorders>
              <w:top w:val="single" w:color="auto" w:sz="4" w:space="0"/>
              <w:left w:val="single" w:color="auto" w:sz="4" w:space="0"/>
              <w:bottom w:val="single" w:color="auto" w:sz="8" w:space="0"/>
              <w:right w:val="single" w:color="auto" w:sz="8" w:space="0"/>
            </w:tcBorders>
            <w:vAlign w:val="center"/>
          </w:tcPr>
          <w:p w14:paraId="641027E5">
            <w:pPr>
              <w:pStyle w:val="32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（1）环境管理</w:t>
            </w:r>
          </w:p>
          <w:p w14:paraId="2BA3582B">
            <w:pPr>
              <w:pStyle w:val="32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本项目的污染物排放水平与实验室环境管理水平密切相关，因此在采取环境保护工程措施和生态保护措施的同时，必须加强环境管理。</w:t>
            </w:r>
          </w:p>
          <w:p w14:paraId="08B9CEB9">
            <w:pPr>
              <w:pStyle w:val="32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①按照自行监测方案开展自行监测。</w:t>
            </w:r>
          </w:p>
          <w:p w14:paraId="6A5604E3">
            <w:pPr>
              <w:pStyle w:val="32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②定期检查各设备运行情况，杜绝事故发生。</w:t>
            </w:r>
          </w:p>
          <w:p w14:paraId="23312A22">
            <w:pPr>
              <w:pStyle w:val="32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③做好环境管理台账记录，主要内容包括加工信息、原辅材料使用情况、污染防治设施运行记录、监测数据等。</w:t>
            </w:r>
          </w:p>
          <w:p w14:paraId="0EE7C9D8">
            <w:pPr>
              <w:pStyle w:val="32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（2）排污口规范化</w:t>
            </w:r>
          </w:p>
          <w:p w14:paraId="7D301CF5">
            <w:pPr>
              <w:pStyle w:val="32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①固定污染源</w:t>
            </w:r>
          </w:p>
          <w:p w14:paraId="08D5F568">
            <w:pPr>
              <w:pStyle w:val="32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在固定污染源处，设置环境保护图形标识牌。</w:t>
            </w:r>
          </w:p>
          <w:p w14:paraId="15DF33F9">
            <w:pPr>
              <w:pStyle w:val="32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②固体废物贮存场所</w:t>
            </w:r>
          </w:p>
          <w:p w14:paraId="4B7BF445">
            <w:pPr>
              <w:pStyle w:val="32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固废贮存场所要求：</w:t>
            </w:r>
          </w:p>
          <w:p w14:paraId="7E6B1852">
            <w:pPr>
              <w:pStyle w:val="32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a固体废物贮存场所要有防火、防扬散、防流失、防渗漏、防雨措施；</w:t>
            </w:r>
          </w:p>
          <w:p w14:paraId="68477639">
            <w:pPr>
              <w:pStyle w:val="32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b固体废物贮存场所在醒目处设置一个标志牌，具体按照《环境保护图形标志》规定制作。</w:t>
            </w:r>
          </w:p>
          <w:p w14:paraId="41C997A5">
            <w:pPr>
              <w:pStyle w:val="32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（3）环境保护图形标志</w:t>
            </w:r>
          </w:p>
          <w:p w14:paraId="28B52C60">
            <w:pPr>
              <w:pStyle w:val="32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在厂区的噪声排放源、固体废物贮存处置场应设置环境保护图形标志，图形符号分为提示图形和警告图形符号两种，分别按GB15562.1-1995、GB15562.2-1995执行。</w:t>
            </w:r>
          </w:p>
          <w:p w14:paraId="1B8CD55B">
            <w:pPr>
              <w:keepNext w:val="0"/>
              <w:keepLines w:val="0"/>
              <w:pageBreakBefore w:val="0"/>
              <w:widowControl w:val="0"/>
              <w:kinsoku/>
              <w:wordWrap/>
              <w:overflowPunct/>
              <w:topLinePunct w:val="0"/>
              <w:autoSpaceDE/>
              <w:autoSpaceDN/>
              <w:bidi w:val="0"/>
              <w:adjustRightInd w:val="0"/>
              <w:snapToGrid w:val="0"/>
              <w:spacing w:before="0" w:after="0" w:line="240" w:lineRule="auto"/>
              <w:jc w:val="both"/>
              <w:textAlignment w:val="auto"/>
              <w:rPr>
                <w:rFonts w:hint="eastAsia" w:cs="Times New Roman"/>
                <w:color w:val="0000FF"/>
                <w:sz w:val="21"/>
                <w:szCs w:val="21"/>
                <w:highlight w:val="none"/>
                <w:lang w:val="en-US" w:eastAsia="zh-CN"/>
              </w:rPr>
            </w:pPr>
          </w:p>
          <w:p w14:paraId="14ABA287">
            <w:pPr>
              <w:keepNext w:val="0"/>
              <w:keepLines w:val="0"/>
              <w:pageBreakBefore w:val="0"/>
              <w:widowControl w:val="0"/>
              <w:kinsoku/>
              <w:wordWrap/>
              <w:overflowPunct/>
              <w:topLinePunct w:val="0"/>
              <w:autoSpaceDE/>
              <w:autoSpaceDN/>
              <w:bidi w:val="0"/>
              <w:adjustRightInd w:val="0"/>
              <w:snapToGrid w:val="0"/>
              <w:spacing w:before="0" w:after="0" w:line="240" w:lineRule="auto"/>
              <w:jc w:val="both"/>
              <w:textAlignment w:val="auto"/>
              <w:rPr>
                <w:rFonts w:hint="eastAsia" w:cs="Times New Roman"/>
                <w:color w:val="0000FF"/>
                <w:sz w:val="21"/>
                <w:szCs w:val="21"/>
                <w:highlight w:val="none"/>
                <w:lang w:val="en-US" w:eastAsia="zh-CN"/>
              </w:rPr>
            </w:pPr>
          </w:p>
          <w:p w14:paraId="55657B19">
            <w:pPr>
              <w:keepNext w:val="0"/>
              <w:keepLines w:val="0"/>
              <w:pageBreakBefore w:val="0"/>
              <w:widowControl w:val="0"/>
              <w:kinsoku/>
              <w:wordWrap/>
              <w:overflowPunct/>
              <w:topLinePunct w:val="0"/>
              <w:autoSpaceDE/>
              <w:autoSpaceDN/>
              <w:bidi w:val="0"/>
              <w:adjustRightInd w:val="0"/>
              <w:snapToGrid w:val="0"/>
              <w:spacing w:before="0" w:after="0" w:line="240" w:lineRule="auto"/>
              <w:jc w:val="both"/>
              <w:textAlignment w:val="auto"/>
              <w:rPr>
                <w:rFonts w:hint="eastAsia" w:cs="Times New Roman"/>
                <w:color w:val="0000FF"/>
                <w:sz w:val="21"/>
                <w:szCs w:val="21"/>
                <w:highlight w:val="none"/>
                <w:lang w:val="en-US" w:eastAsia="zh-CN"/>
              </w:rPr>
            </w:pPr>
          </w:p>
          <w:p w14:paraId="678027C5">
            <w:pPr>
              <w:keepNext w:val="0"/>
              <w:keepLines w:val="0"/>
              <w:pageBreakBefore w:val="0"/>
              <w:widowControl w:val="0"/>
              <w:kinsoku/>
              <w:wordWrap/>
              <w:overflowPunct/>
              <w:topLinePunct w:val="0"/>
              <w:autoSpaceDE/>
              <w:autoSpaceDN/>
              <w:bidi w:val="0"/>
              <w:adjustRightInd w:val="0"/>
              <w:snapToGrid w:val="0"/>
              <w:spacing w:before="0" w:after="0" w:line="240" w:lineRule="auto"/>
              <w:jc w:val="both"/>
              <w:textAlignment w:val="auto"/>
              <w:rPr>
                <w:rFonts w:hint="eastAsia" w:cs="Times New Roman"/>
                <w:color w:val="0000FF"/>
                <w:sz w:val="21"/>
                <w:szCs w:val="21"/>
                <w:highlight w:val="none"/>
                <w:lang w:val="en-US" w:eastAsia="zh-CN"/>
              </w:rPr>
            </w:pPr>
          </w:p>
          <w:p w14:paraId="7ABB6DD4">
            <w:pPr>
              <w:keepNext w:val="0"/>
              <w:keepLines w:val="0"/>
              <w:pageBreakBefore w:val="0"/>
              <w:widowControl w:val="0"/>
              <w:kinsoku/>
              <w:wordWrap/>
              <w:overflowPunct/>
              <w:topLinePunct w:val="0"/>
              <w:autoSpaceDE/>
              <w:autoSpaceDN/>
              <w:bidi w:val="0"/>
              <w:adjustRightInd w:val="0"/>
              <w:snapToGrid w:val="0"/>
              <w:spacing w:before="0" w:after="0" w:line="240" w:lineRule="auto"/>
              <w:jc w:val="both"/>
              <w:textAlignment w:val="auto"/>
              <w:rPr>
                <w:rFonts w:hint="eastAsia" w:cs="Times New Roman"/>
                <w:color w:val="0000FF"/>
                <w:sz w:val="21"/>
                <w:szCs w:val="21"/>
                <w:highlight w:val="none"/>
                <w:lang w:val="en-US" w:eastAsia="zh-CN"/>
              </w:rPr>
            </w:pPr>
          </w:p>
          <w:p w14:paraId="1920A9FC">
            <w:pPr>
              <w:keepNext w:val="0"/>
              <w:keepLines w:val="0"/>
              <w:pageBreakBefore w:val="0"/>
              <w:widowControl w:val="0"/>
              <w:kinsoku/>
              <w:wordWrap/>
              <w:overflowPunct/>
              <w:topLinePunct w:val="0"/>
              <w:autoSpaceDE/>
              <w:autoSpaceDN/>
              <w:bidi w:val="0"/>
              <w:adjustRightInd w:val="0"/>
              <w:snapToGrid w:val="0"/>
              <w:spacing w:before="0" w:after="0" w:line="240" w:lineRule="auto"/>
              <w:jc w:val="both"/>
              <w:textAlignment w:val="auto"/>
              <w:rPr>
                <w:rFonts w:hint="eastAsia" w:cs="Times New Roman"/>
                <w:color w:val="0000FF"/>
                <w:sz w:val="21"/>
                <w:szCs w:val="21"/>
                <w:highlight w:val="none"/>
                <w:lang w:val="en-US" w:eastAsia="zh-CN"/>
              </w:rPr>
            </w:pPr>
          </w:p>
          <w:p w14:paraId="68A32B9B">
            <w:pPr>
              <w:keepNext w:val="0"/>
              <w:keepLines w:val="0"/>
              <w:pageBreakBefore w:val="0"/>
              <w:widowControl w:val="0"/>
              <w:kinsoku/>
              <w:wordWrap/>
              <w:overflowPunct/>
              <w:topLinePunct w:val="0"/>
              <w:autoSpaceDE/>
              <w:autoSpaceDN/>
              <w:bidi w:val="0"/>
              <w:adjustRightInd w:val="0"/>
              <w:snapToGrid w:val="0"/>
              <w:spacing w:before="0" w:after="0" w:line="240" w:lineRule="auto"/>
              <w:jc w:val="both"/>
              <w:textAlignment w:val="auto"/>
              <w:rPr>
                <w:rFonts w:hint="eastAsia" w:cs="Times New Roman"/>
                <w:color w:val="0000FF"/>
                <w:sz w:val="21"/>
                <w:szCs w:val="21"/>
                <w:highlight w:val="none"/>
                <w:lang w:val="en-US" w:eastAsia="zh-CN"/>
              </w:rPr>
            </w:pPr>
          </w:p>
          <w:p w14:paraId="2199700E">
            <w:pPr>
              <w:keepNext w:val="0"/>
              <w:keepLines w:val="0"/>
              <w:pageBreakBefore w:val="0"/>
              <w:widowControl w:val="0"/>
              <w:kinsoku/>
              <w:wordWrap/>
              <w:overflowPunct/>
              <w:topLinePunct w:val="0"/>
              <w:autoSpaceDE/>
              <w:autoSpaceDN/>
              <w:bidi w:val="0"/>
              <w:adjustRightInd w:val="0"/>
              <w:snapToGrid w:val="0"/>
              <w:spacing w:before="0" w:after="0" w:line="240" w:lineRule="auto"/>
              <w:jc w:val="both"/>
              <w:textAlignment w:val="auto"/>
              <w:rPr>
                <w:rFonts w:hint="eastAsia" w:cs="Times New Roman"/>
                <w:color w:val="0000FF"/>
                <w:sz w:val="21"/>
                <w:szCs w:val="21"/>
                <w:highlight w:val="none"/>
                <w:lang w:val="en-US" w:eastAsia="zh-CN"/>
              </w:rPr>
            </w:pPr>
          </w:p>
          <w:p w14:paraId="4224C53F">
            <w:pPr>
              <w:keepNext w:val="0"/>
              <w:keepLines w:val="0"/>
              <w:pageBreakBefore w:val="0"/>
              <w:widowControl w:val="0"/>
              <w:kinsoku/>
              <w:wordWrap/>
              <w:overflowPunct/>
              <w:topLinePunct w:val="0"/>
              <w:autoSpaceDE/>
              <w:autoSpaceDN/>
              <w:bidi w:val="0"/>
              <w:adjustRightInd w:val="0"/>
              <w:snapToGrid w:val="0"/>
              <w:spacing w:before="0" w:after="0" w:line="240" w:lineRule="auto"/>
              <w:jc w:val="both"/>
              <w:textAlignment w:val="auto"/>
              <w:rPr>
                <w:rFonts w:hint="eastAsia" w:cs="Times New Roman"/>
                <w:color w:val="0000FF"/>
                <w:sz w:val="21"/>
                <w:szCs w:val="21"/>
                <w:highlight w:val="none"/>
                <w:lang w:val="en-US" w:eastAsia="zh-CN"/>
              </w:rPr>
            </w:pPr>
          </w:p>
          <w:p w14:paraId="61EE150F">
            <w:pPr>
              <w:keepNext w:val="0"/>
              <w:keepLines w:val="0"/>
              <w:pageBreakBefore w:val="0"/>
              <w:widowControl w:val="0"/>
              <w:kinsoku/>
              <w:wordWrap/>
              <w:overflowPunct/>
              <w:topLinePunct w:val="0"/>
              <w:autoSpaceDE/>
              <w:autoSpaceDN/>
              <w:bidi w:val="0"/>
              <w:adjustRightInd w:val="0"/>
              <w:snapToGrid w:val="0"/>
              <w:spacing w:before="0" w:after="0" w:line="240" w:lineRule="auto"/>
              <w:jc w:val="both"/>
              <w:textAlignment w:val="auto"/>
              <w:rPr>
                <w:rFonts w:hint="eastAsia" w:cs="Times New Roman"/>
                <w:color w:val="0000FF"/>
                <w:sz w:val="21"/>
                <w:szCs w:val="21"/>
                <w:highlight w:val="none"/>
                <w:lang w:val="en-US" w:eastAsia="zh-CN"/>
              </w:rPr>
            </w:pPr>
          </w:p>
          <w:p w14:paraId="196E598E">
            <w:pPr>
              <w:keepNext w:val="0"/>
              <w:keepLines w:val="0"/>
              <w:pageBreakBefore w:val="0"/>
              <w:widowControl w:val="0"/>
              <w:kinsoku/>
              <w:wordWrap/>
              <w:overflowPunct/>
              <w:topLinePunct w:val="0"/>
              <w:autoSpaceDE/>
              <w:autoSpaceDN/>
              <w:bidi w:val="0"/>
              <w:adjustRightInd w:val="0"/>
              <w:snapToGrid w:val="0"/>
              <w:spacing w:before="0" w:after="0" w:line="240" w:lineRule="auto"/>
              <w:jc w:val="both"/>
              <w:textAlignment w:val="auto"/>
              <w:rPr>
                <w:rFonts w:hint="eastAsia" w:cs="Times New Roman"/>
                <w:color w:val="0000FF"/>
                <w:sz w:val="21"/>
                <w:szCs w:val="21"/>
                <w:highlight w:val="none"/>
                <w:lang w:val="en-US" w:eastAsia="zh-CN"/>
              </w:rPr>
            </w:pPr>
          </w:p>
          <w:p w14:paraId="2FE02E28">
            <w:pPr>
              <w:keepNext w:val="0"/>
              <w:keepLines w:val="0"/>
              <w:pageBreakBefore w:val="0"/>
              <w:widowControl w:val="0"/>
              <w:kinsoku/>
              <w:wordWrap/>
              <w:overflowPunct/>
              <w:topLinePunct w:val="0"/>
              <w:autoSpaceDE/>
              <w:autoSpaceDN/>
              <w:bidi w:val="0"/>
              <w:adjustRightInd w:val="0"/>
              <w:snapToGrid w:val="0"/>
              <w:spacing w:before="0" w:after="0" w:line="240" w:lineRule="auto"/>
              <w:jc w:val="both"/>
              <w:textAlignment w:val="auto"/>
              <w:rPr>
                <w:rFonts w:hint="eastAsia" w:cs="Times New Roman"/>
                <w:color w:val="0000FF"/>
                <w:sz w:val="21"/>
                <w:szCs w:val="21"/>
                <w:highlight w:val="none"/>
                <w:lang w:val="en-US" w:eastAsia="zh-CN"/>
              </w:rPr>
            </w:pPr>
          </w:p>
          <w:p w14:paraId="66EB9BEC">
            <w:pPr>
              <w:keepNext w:val="0"/>
              <w:keepLines w:val="0"/>
              <w:pageBreakBefore w:val="0"/>
              <w:widowControl w:val="0"/>
              <w:kinsoku/>
              <w:wordWrap/>
              <w:overflowPunct/>
              <w:topLinePunct w:val="0"/>
              <w:autoSpaceDE/>
              <w:autoSpaceDN/>
              <w:bidi w:val="0"/>
              <w:adjustRightInd w:val="0"/>
              <w:snapToGrid w:val="0"/>
              <w:spacing w:before="0" w:after="0" w:line="240" w:lineRule="auto"/>
              <w:jc w:val="both"/>
              <w:textAlignment w:val="auto"/>
              <w:rPr>
                <w:rFonts w:hint="eastAsia" w:cs="Times New Roman"/>
                <w:color w:val="0000FF"/>
                <w:sz w:val="21"/>
                <w:szCs w:val="21"/>
                <w:highlight w:val="none"/>
                <w:lang w:val="en-US" w:eastAsia="zh-CN"/>
              </w:rPr>
            </w:pPr>
          </w:p>
          <w:p w14:paraId="36608552">
            <w:pPr>
              <w:keepNext w:val="0"/>
              <w:keepLines w:val="0"/>
              <w:pageBreakBefore w:val="0"/>
              <w:widowControl w:val="0"/>
              <w:kinsoku/>
              <w:wordWrap/>
              <w:overflowPunct/>
              <w:topLinePunct w:val="0"/>
              <w:autoSpaceDE/>
              <w:autoSpaceDN/>
              <w:bidi w:val="0"/>
              <w:adjustRightInd w:val="0"/>
              <w:snapToGrid w:val="0"/>
              <w:spacing w:before="0" w:after="0" w:line="240" w:lineRule="auto"/>
              <w:jc w:val="both"/>
              <w:textAlignment w:val="auto"/>
              <w:rPr>
                <w:rFonts w:hint="eastAsia" w:cs="Times New Roman"/>
                <w:color w:val="0000FF"/>
                <w:sz w:val="21"/>
                <w:szCs w:val="21"/>
                <w:highlight w:val="none"/>
                <w:lang w:val="en-US" w:eastAsia="zh-CN"/>
              </w:rPr>
            </w:pPr>
          </w:p>
          <w:p w14:paraId="205C7E41">
            <w:pPr>
              <w:keepNext w:val="0"/>
              <w:keepLines w:val="0"/>
              <w:pageBreakBefore w:val="0"/>
              <w:widowControl w:val="0"/>
              <w:kinsoku/>
              <w:wordWrap/>
              <w:overflowPunct/>
              <w:topLinePunct w:val="0"/>
              <w:autoSpaceDE/>
              <w:autoSpaceDN/>
              <w:bidi w:val="0"/>
              <w:adjustRightInd w:val="0"/>
              <w:snapToGrid w:val="0"/>
              <w:spacing w:before="0" w:after="0" w:line="240" w:lineRule="auto"/>
              <w:jc w:val="both"/>
              <w:textAlignment w:val="auto"/>
              <w:rPr>
                <w:rFonts w:hint="eastAsia" w:cs="Times New Roman"/>
                <w:color w:val="0000FF"/>
                <w:sz w:val="21"/>
                <w:szCs w:val="21"/>
                <w:highlight w:val="none"/>
                <w:lang w:val="en-US" w:eastAsia="zh-CN"/>
              </w:rPr>
            </w:pPr>
          </w:p>
          <w:p w14:paraId="5EE03619">
            <w:pPr>
              <w:pStyle w:val="44"/>
              <w:rPr>
                <w:rFonts w:hint="eastAsia" w:cs="Times New Roman"/>
                <w:color w:val="0000FF"/>
                <w:sz w:val="21"/>
                <w:szCs w:val="21"/>
                <w:highlight w:val="none"/>
                <w:lang w:val="en-US" w:eastAsia="zh-CN"/>
              </w:rPr>
            </w:pPr>
          </w:p>
          <w:p w14:paraId="203A9784">
            <w:pPr>
              <w:rPr>
                <w:rFonts w:hint="eastAsia" w:cs="Times New Roman"/>
                <w:color w:val="0000FF"/>
                <w:sz w:val="21"/>
                <w:szCs w:val="21"/>
                <w:highlight w:val="none"/>
                <w:lang w:val="en-US" w:eastAsia="zh-CN"/>
              </w:rPr>
            </w:pPr>
          </w:p>
          <w:p w14:paraId="6E36B85F">
            <w:pPr>
              <w:pStyle w:val="44"/>
              <w:rPr>
                <w:rFonts w:hint="eastAsia" w:cs="Times New Roman"/>
                <w:color w:val="0000FF"/>
                <w:sz w:val="21"/>
                <w:szCs w:val="21"/>
                <w:highlight w:val="none"/>
                <w:lang w:val="en-US" w:eastAsia="zh-CN"/>
              </w:rPr>
            </w:pPr>
          </w:p>
          <w:p w14:paraId="11A2AC4E">
            <w:pPr>
              <w:rPr>
                <w:rFonts w:hint="eastAsia" w:cs="Times New Roman"/>
                <w:color w:val="0000FF"/>
                <w:sz w:val="21"/>
                <w:szCs w:val="21"/>
                <w:highlight w:val="none"/>
                <w:lang w:val="en-US" w:eastAsia="zh-CN"/>
              </w:rPr>
            </w:pPr>
          </w:p>
          <w:p w14:paraId="6C171367">
            <w:pPr>
              <w:keepNext w:val="0"/>
              <w:keepLines w:val="0"/>
              <w:pageBreakBefore w:val="0"/>
              <w:widowControl w:val="0"/>
              <w:kinsoku/>
              <w:wordWrap/>
              <w:overflowPunct/>
              <w:topLinePunct w:val="0"/>
              <w:autoSpaceDE/>
              <w:autoSpaceDN/>
              <w:bidi w:val="0"/>
              <w:adjustRightInd w:val="0"/>
              <w:snapToGrid w:val="0"/>
              <w:spacing w:before="0" w:after="0" w:line="240" w:lineRule="auto"/>
              <w:jc w:val="both"/>
              <w:textAlignment w:val="auto"/>
              <w:rPr>
                <w:rFonts w:hint="eastAsia" w:ascii="Times New Roman" w:hAnsi="Times New Roman" w:eastAsia="宋体" w:cs="Times New Roman"/>
                <w:color w:val="0000FF"/>
                <w:sz w:val="21"/>
                <w:szCs w:val="21"/>
                <w:highlight w:val="none"/>
                <w:lang w:val="en-US" w:eastAsia="zh-CN"/>
              </w:rPr>
            </w:pPr>
          </w:p>
        </w:tc>
      </w:tr>
    </w:tbl>
    <w:p w14:paraId="105B181E">
      <w:pPr>
        <w:pStyle w:val="41"/>
        <w:spacing w:before="100" w:after="100" w:line="240" w:lineRule="auto"/>
        <w:jc w:val="center"/>
        <w:outlineLvl w:val="0"/>
        <w:rPr>
          <w:rFonts w:hint="eastAsia" w:ascii="黑体" w:hAnsi="黑体" w:eastAsia="黑体"/>
          <w:snapToGrid w:val="0"/>
          <w:color w:val="0000FF"/>
          <w:sz w:val="30"/>
          <w:szCs w:val="30"/>
          <w:highlight w:val="none"/>
        </w:rPr>
        <w:sectPr>
          <w:headerReference r:id="rId9" w:type="default"/>
          <w:footerReference r:id="rId10" w:type="default"/>
          <w:pgSz w:w="11907" w:h="16840"/>
          <w:pgMar w:top="1417" w:right="1417" w:bottom="1417" w:left="1417" w:header="992" w:footer="992" w:gutter="0"/>
          <w:pgBorders>
            <w:top w:val="none" w:sz="0" w:space="0"/>
            <w:left w:val="none" w:sz="0" w:space="0"/>
            <w:bottom w:val="none" w:sz="0" w:space="0"/>
            <w:right w:val="none" w:sz="0" w:space="0"/>
          </w:pgBorders>
          <w:pgNumType w:fmt="numberInDash"/>
          <w:cols w:space="0" w:num="1"/>
        </w:sectPr>
      </w:pPr>
    </w:p>
    <w:p w14:paraId="2287D53C">
      <w:pPr>
        <w:pStyle w:val="41"/>
        <w:spacing w:before="100" w:after="100" w:line="240" w:lineRule="auto"/>
        <w:jc w:val="center"/>
        <w:outlineLvl w:val="0"/>
        <w:rPr>
          <w:rFonts w:ascii="黑体" w:hAnsi="黑体" w:eastAsia="黑体"/>
          <w:snapToGrid w:val="0"/>
          <w:color w:val="auto"/>
          <w:sz w:val="30"/>
          <w:szCs w:val="30"/>
          <w:highlight w:val="none"/>
        </w:rPr>
      </w:pPr>
      <w:r>
        <w:rPr>
          <w:rFonts w:hint="eastAsia" w:ascii="黑体" w:hAnsi="黑体" w:eastAsia="黑体"/>
          <w:snapToGrid w:val="0"/>
          <w:color w:val="auto"/>
          <w:sz w:val="30"/>
          <w:szCs w:val="30"/>
          <w:highlight w:val="none"/>
        </w:rPr>
        <w:t>六、结论</w:t>
      </w:r>
    </w:p>
    <w:tbl>
      <w:tblPr>
        <w:tblStyle w:val="45"/>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289"/>
      </w:tblGrid>
      <w:tr w14:paraId="4DDD6CD8">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53" w:hRule="atLeast"/>
          <w:jc w:val="center"/>
        </w:trPr>
        <w:tc>
          <w:tcPr>
            <w:tcW w:w="5000" w:type="pct"/>
            <w:tcBorders>
              <w:top w:val="single" w:color="auto" w:sz="8" w:space="0"/>
              <w:left w:val="single" w:color="auto" w:sz="8" w:space="0"/>
              <w:bottom w:val="single" w:color="auto" w:sz="8" w:space="0"/>
              <w:right w:val="single" w:color="auto" w:sz="8" w:space="0"/>
            </w:tcBorders>
            <w:vAlign w:val="center"/>
          </w:tcPr>
          <w:p w14:paraId="6969C565">
            <w:pPr>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ascii="宋体" w:cs="宋体"/>
                <w:color w:val="0000FF"/>
                <w:szCs w:val="24"/>
                <w:highlight w:val="none"/>
              </w:rPr>
            </w:pPr>
            <w:r>
              <w:rPr>
                <w:rFonts w:hint="eastAsia" w:ascii="宋体" w:cs="宋体"/>
                <w:color w:val="auto"/>
                <w:sz w:val="21"/>
                <w:szCs w:val="21"/>
                <w:highlight w:val="none"/>
                <w:lang w:val="en-US" w:eastAsia="zh-CN"/>
              </w:rPr>
              <w:t>综上</w:t>
            </w:r>
            <w:r>
              <w:rPr>
                <w:rFonts w:hint="eastAsia" w:ascii="宋体" w:hAnsi="Times New Roman" w:eastAsia="宋体" w:cs="宋体"/>
                <w:color w:val="auto"/>
                <w:sz w:val="21"/>
                <w:szCs w:val="21"/>
                <w:highlight w:val="none"/>
                <w:lang w:val="en-US" w:eastAsia="zh-CN"/>
              </w:rPr>
              <w:t>所述，从环境保护角度，本建设项目环境影响可行。</w:t>
            </w:r>
          </w:p>
        </w:tc>
      </w:tr>
    </w:tbl>
    <w:p w14:paraId="6F811D20">
      <w:pPr>
        <w:rPr>
          <w:color w:val="0000FF"/>
          <w:highlight w:val="none"/>
        </w:rPr>
        <w:sectPr>
          <w:pgSz w:w="11907" w:h="16840"/>
          <w:pgMar w:top="1417" w:right="1417" w:bottom="1417" w:left="1417" w:header="992" w:footer="992" w:gutter="0"/>
          <w:pgBorders>
            <w:top w:val="none" w:sz="0" w:space="0"/>
            <w:left w:val="none" w:sz="0" w:space="0"/>
            <w:bottom w:val="none" w:sz="0" w:space="0"/>
            <w:right w:val="none" w:sz="0" w:space="0"/>
          </w:pgBorders>
          <w:pgNumType w:fmt="numberInDash"/>
          <w:cols w:space="0" w:num="1"/>
        </w:sectPr>
      </w:pPr>
    </w:p>
    <w:p w14:paraId="39CCE051">
      <w:pPr>
        <w:spacing w:before="3" w:line="240" w:lineRule="auto"/>
        <w:rPr>
          <w:rFonts w:hint="default" w:ascii="Times New Roman" w:hAnsi="Times New Roman" w:eastAsia="宋体" w:cs="Times New Roman"/>
          <w:color w:val="auto"/>
          <w:sz w:val="32"/>
          <w:szCs w:val="32"/>
          <w:highlight w:val="none"/>
        </w:rPr>
      </w:pPr>
      <w:bookmarkStart w:id="7" w:name="_Toc16238"/>
      <w:r>
        <w:rPr>
          <w:rFonts w:hint="default" w:ascii="Times New Roman" w:hAnsi="Times New Roman" w:eastAsia="宋体" w:cs="Times New Roman"/>
          <w:color w:val="auto"/>
          <w:sz w:val="32"/>
          <w:szCs w:val="32"/>
          <w:highlight w:val="none"/>
        </w:rPr>
        <w:t>附表</w:t>
      </w:r>
      <w:bookmarkEnd w:id="7"/>
    </w:p>
    <w:p w14:paraId="3FC8340F">
      <w:pPr>
        <w:pStyle w:val="12"/>
        <w:spacing w:line="240" w:lineRule="auto"/>
        <w:ind w:right="0"/>
        <w:jc w:val="center"/>
        <w:outlineLvl w:val="0"/>
        <w:rPr>
          <w:rFonts w:hint="default" w:ascii="Times New Roman" w:hAnsi="Times New Roman" w:eastAsia="宋体" w:cs="Times New Roman"/>
          <w:color w:val="auto"/>
          <w:highlight w:val="none"/>
          <w:lang w:eastAsia="zh-CN"/>
        </w:rPr>
      </w:pPr>
      <w:bookmarkStart w:id="8" w:name="_Toc2697"/>
      <w:r>
        <w:rPr>
          <w:rFonts w:hint="default" w:ascii="Times New Roman" w:hAnsi="Times New Roman" w:eastAsia="宋体" w:cs="Times New Roman"/>
          <w:b/>
          <w:bCs/>
          <w:color w:val="auto"/>
          <w:highlight w:val="none"/>
        </w:rPr>
        <w:t>建设项目污染物排放量汇总表</w:t>
      </w:r>
      <w:r>
        <w:rPr>
          <w:rFonts w:hint="eastAsia" w:ascii="Times New Roman" w:hAnsi="Times New Roman" w:eastAsia="宋体" w:cs="Times New Roman"/>
          <w:b/>
          <w:bCs/>
          <w:color w:val="auto"/>
          <w:highlight w:val="none"/>
          <w:lang w:eastAsia="zh-CN"/>
        </w:rPr>
        <w:t>(</w:t>
      </w:r>
      <w:r>
        <w:rPr>
          <w:rFonts w:hint="default" w:ascii="Times New Roman" w:hAnsi="Times New Roman" w:eastAsia="宋体" w:cs="Times New Roman"/>
          <w:b/>
          <w:bCs/>
          <w:color w:val="auto"/>
          <w:highlight w:val="none"/>
          <w:lang w:val="en-US" w:eastAsia="zh-CN"/>
        </w:rPr>
        <w:t>单位：t/a</w:t>
      </w:r>
      <w:bookmarkEnd w:id="8"/>
      <w:r>
        <w:rPr>
          <w:rFonts w:hint="eastAsia" w:ascii="Times New Roman" w:hAnsi="Times New Roman" w:eastAsia="宋体" w:cs="Times New Roman"/>
          <w:b/>
          <w:bCs/>
          <w:color w:val="auto"/>
          <w:highlight w:val="none"/>
          <w:lang w:eastAsia="zh-CN"/>
        </w:rPr>
        <w:t>)</w:t>
      </w:r>
    </w:p>
    <w:p w14:paraId="69BA0005">
      <w:pPr>
        <w:spacing w:before="0" w:line="240" w:lineRule="auto"/>
        <w:rPr>
          <w:rFonts w:hint="default" w:ascii="Times New Roman" w:hAnsi="Times New Roman" w:eastAsia="宋体" w:cs="Times New Roman"/>
          <w:color w:val="auto"/>
          <w:sz w:val="20"/>
          <w:szCs w:val="20"/>
          <w:highlight w:val="none"/>
        </w:rPr>
      </w:pPr>
    </w:p>
    <w:tbl>
      <w:tblPr>
        <w:tblStyle w:val="4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8"/>
        <w:gridCol w:w="1976"/>
        <w:gridCol w:w="1524"/>
        <w:gridCol w:w="1384"/>
        <w:gridCol w:w="1555"/>
        <w:gridCol w:w="1558"/>
        <w:gridCol w:w="1660"/>
        <w:gridCol w:w="1960"/>
        <w:gridCol w:w="1275"/>
      </w:tblGrid>
      <w:tr w14:paraId="314EEA0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pct"/>
            <w:vAlign w:val="center"/>
            <mc:AlternateContent>
              <mc:Choice Requires="wpsCustomData">
                <wpsCustomData:diagonals>
                  <wpsCustomData:diagonal from="10000" to="30000">
                    <wpsCustomData:border w:val="single" w:color="auto" w:sz="4" w:space="0"/>
                  </wpsCustomData:diagonal>
                </wpsCustomData:diagonals>
              </mc:Choice>
            </mc:AlternateContent>
          </w:tcPr>
          <w:p w14:paraId="36EC9C5C">
            <w:pPr>
              <w:pStyle w:val="44"/>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p>
          <w:p w14:paraId="6ED93103">
            <w:pPr>
              <w:pStyle w:val="44"/>
              <w:keepNext w:val="0"/>
              <w:keepLines w:val="0"/>
              <w:pageBreakBefore w:val="0"/>
              <w:widowControl w:val="0"/>
              <w:kinsoku/>
              <w:wordWrap/>
              <w:overflowPunct/>
              <w:topLinePunct w:val="0"/>
              <w:autoSpaceDE/>
              <w:autoSpaceDN/>
              <w:bidi w:val="0"/>
              <w:adjustRightInd w:val="0"/>
              <w:snapToGrid w:val="0"/>
              <w:spacing w:before="0" w:beforeLines="50" w:after="0" w:line="240" w:lineRule="auto"/>
              <w:ind w:left="0" w:leftChars="0" w:firstLine="0" w:firstLineChars="0"/>
              <w:jc w:val="center"/>
              <w:textAlignment w:val="auto"/>
              <mc:AlternateContent>
                <mc:Choice Requires="wpsCustomData">
                  <wpsCustomData:diagonalParaType/>
                </mc:Choice>
              </mc:AlternateContent>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分类</w:t>
            </w:r>
          </w:p>
          <w:p w14:paraId="0E5CF2C3">
            <w:pPr>
              <w:pStyle w:val="44"/>
              <w:keepNext w:val="0"/>
              <w:keepLines w:val="0"/>
              <w:pageBreakBefore w:val="0"/>
              <w:widowControl w:val="0"/>
              <w:kinsoku/>
              <w:wordWrap/>
              <w:overflowPunct/>
              <w:topLinePunct w:val="0"/>
              <w:autoSpaceDE/>
              <w:autoSpaceDN/>
              <w:bidi w:val="0"/>
              <w:adjustRightInd w:val="0"/>
              <w:snapToGrid w:val="0"/>
              <w:spacing w:before="0" w:beforeLines="50" w:after="0" w:line="36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项目</w:t>
            </w:r>
          </w:p>
        </w:tc>
        <w:tc>
          <w:tcPr>
            <w:tcW w:w="696" w:type="pct"/>
            <w:vAlign w:val="center"/>
          </w:tcPr>
          <w:p w14:paraId="6888AE68">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污染物名称</w:t>
            </w:r>
          </w:p>
        </w:tc>
        <w:tc>
          <w:tcPr>
            <w:tcW w:w="537" w:type="pct"/>
            <w:vAlign w:val="center"/>
          </w:tcPr>
          <w:p w14:paraId="3CB499E5">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现有工程排放量(固体废物产生量)①</w:t>
            </w:r>
          </w:p>
        </w:tc>
        <w:tc>
          <w:tcPr>
            <w:tcW w:w="488" w:type="pct"/>
            <w:vAlign w:val="center"/>
          </w:tcPr>
          <w:p w14:paraId="26BD93F1">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现有工程许可排放量②</w:t>
            </w:r>
          </w:p>
        </w:tc>
        <w:tc>
          <w:tcPr>
            <w:tcW w:w="548" w:type="pct"/>
            <w:vAlign w:val="center"/>
          </w:tcPr>
          <w:p w14:paraId="7D6B9BC7">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在建工程排放量(固体废物产生量)③</w:t>
            </w:r>
          </w:p>
        </w:tc>
        <w:tc>
          <w:tcPr>
            <w:tcW w:w="549" w:type="pct"/>
            <w:vAlign w:val="center"/>
          </w:tcPr>
          <w:p w14:paraId="4853D5FD">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本项目排放量(固体废物产生量)④</w:t>
            </w:r>
          </w:p>
        </w:tc>
        <w:tc>
          <w:tcPr>
            <w:tcW w:w="585" w:type="pct"/>
            <w:vAlign w:val="center"/>
          </w:tcPr>
          <w:p w14:paraId="08B14E62">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以新带老削减量(新建项目不填)⑤</w:t>
            </w:r>
          </w:p>
        </w:tc>
        <w:tc>
          <w:tcPr>
            <w:tcW w:w="690" w:type="pct"/>
            <w:vAlign w:val="center"/>
          </w:tcPr>
          <w:p w14:paraId="6445A7D9">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本项目建成后全厂排放量(固体废物产生量)⑥</w:t>
            </w:r>
          </w:p>
        </w:tc>
        <w:tc>
          <w:tcPr>
            <w:tcW w:w="437" w:type="pct"/>
            <w:vAlign w:val="center"/>
          </w:tcPr>
          <w:p w14:paraId="51D16D07">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变化量</w:t>
            </w:r>
          </w:p>
          <w:p w14:paraId="44767692">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⑦</w:t>
            </w:r>
          </w:p>
        </w:tc>
      </w:tr>
      <w:tr w14:paraId="66820B0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68" w:type="pct"/>
            <w:vMerge w:val="restart"/>
            <w:vAlign w:val="center"/>
          </w:tcPr>
          <w:p w14:paraId="6E51791E">
            <w:pPr>
              <w:pStyle w:val="44"/>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废气</w:t>
            </w:r>
          </w:p>
        </w:tc>
        <w:tc>
          <w:tcPr>
            <w:tcW w:w="1980" w:type="dxa"/>
            <w:vAlign w:val="center"/>
          </w:tcPr>
          <w:p w14:paraId="5C0691E2">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jc w:val="center"/>
              <w:textAlignment w:val="auto"/>
              <w:rPr>
                <w:rFonts w:hint="default" w:ascii="Times New Roman" w:hAnsi="Times New Roman" w:eastAsia="宋体" w:cs="Times New Roman"/>
                <w:color w:val="auto"/>
                <w:kern w:val="2"/>
                <w:sz w:val="21"/>
                <w:szCs w:val="21"/>
                <w:highlight w:val="none"/>
                <w:lang w:val="en-US" w:eastAsia="zh-CN" w:bidi="ar-SA"/>
              </w:rPr>
            </w:pPr>
            <w:r>
              <w:rPr>
                <w:color w:val="auto"/>
                <w:sz w:val="21"/>
                <w:szCs w:val="21"/>
                <w:highlight w:val="none"/>
              </w:rPr>
              <w:t>NH</w:t>
            </w:r>
            <w:r>
              <w:rPr>
                <w:color w:val="auto"/>
                <w:sz w:val="21"/>
                <w:szCs w:val="21"/>
                <w:highlight w:val="none"/>
                <w:vertAlign w:val="subscript"/>
              </w:rPr>
              <w:t>3</w:t>
            </w:r>
          </w:p>
        </w:tc>
        <w:tc>
          <w:tcPr>
            <w:tcW w:w="1528" w:type="dxa"/>
            <w:vAlign w:val="center"/>
          </w:tcPr>
          <w:p w14:paraId="0F202C3F">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lang w:val="en-US" w:eastAsia="zh-CN"/>
              </w:rPr>
              <w:t>/</w:t>
            </w:r>
          </w:p>
        </w:tc>
        <w:tc>
          <w:tcPr>
            <w:tcW w:w="488" w:type="pct"/>
            <w:vAlign w:val="center"/>
          </w:tcPr>
          <w:p w14:paraId="49215D3A">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559" w:type="dxa"/>
            <w:vAlign w:val="center"/>
          </w:tcPr>
          <w:p w14:paraId="3A8B71B1">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lang w:val="en-US" w:eastAsia="zh-CN"/>
              </w:rPr>
              <w:t>57kg</w:t>
            </w:r>
            <w:r>
              <w:rPr>
                <w:rFonts w:ascii="Times New Roman" w:hAnsi="Times New Roman" w:eastAsia="宋体" w:cs="Times New Roman"/>
                <w:color w:val="auto"/>
                <w:sz w:val="21"/>
                <w:szCs w:val="21"/>
                <w:highlight w:val="none"/>
              </w:rPr>
              <w:t>/a</w:t>
            </w:r>
          </w:p>
        </w:tc>
        <w:tc>
          <w:tcPr>
            <w:tcW w:w="1562" w:type="dxa"/>
            <w:vAlign w:val="center"/>
          </w:tcPr>
          <w:p w14:paraId="4FBF0490">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eastAsia="宋体" w:cs="Times New Roman"/>
                <w:color w:val="auto"/>
                <w:sz w:val="21"/>
                <w:szCs w:val="21"/>
                <w:highlight w:val="none"/>
                <w:lang w:val="en-US" w:eastAsia="zh-CN"/>
              </w:rPr>
            </w:pPr>
            <w:r>
              <w:rPr>
                <w:rFonts w:hint="eastAsia" w:cs="Times New Roman"/>
                <w:color w:val="auto"/>
                <w:sz w:val="21"/>
                <w:szCs w:val="21"/>
                <w:highlight w:val="none"/>
                <w:vertAlign w:val="baseline"/>
                <w:lang w:val="en-US" w:eastAsia="zh-CN"/>
              </w:rPr>
              <w:t>0.2093</w:t>
            </w:r>
            <w:r>
              <w:rPr>
                <w:rStyle w:val="287"/>
                <w:rFonts w:hint="default" w:ascii="Times New Roman" w:hAnsi="Times New Roman" w:eastAsia="宋体" w:cs="Times New Roman"/>
                <w:color w:val="auto"/>
                <w:sz w:val="21"/>
                <w:szCs w:val="21"/>
                <w:highlight w:val="none"/>
              </w:rPr>
              <w:t>kg/a</w:t>
            </w:r>
          </w:p>
        </w:tc>
        <w:tc>
          <w:tcPr>
            <w:tcW w:w="585" w:type="pct"/>
            <w:vAlign w:val="center"/>
          </w:tcPr>
          <w:p w14:paraId="7E724019">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Fonts w:hint="default" w:eastAsia="宋体" w:cs="Times New Roman"/>
                <w:color w:val="auto"/>
                <w:sz w:val="21"/>
                <w:szCs w:val="21"/>
                <w:highlight w:val="none"/>
                <w:lang w:val="en-US" w:eastAsia="zh-CN"/>
              </w:rPr>
            </w:pPr>
            <w:r>
              <w:rPr>
                <w:rFonts w:hint="default" w:eastAsia="宋体" w:cs="Times New Roman"/>
                <w:color w:val="auto"/>
                <w:sz w:val="21"/>
                <w:szCs w:val="21"/>
                <w:highlight w:val="none"/>
                <w:lang w:val="en-US" w:eastAsia="zh-CN"/>
              </w:rPr>
              <w:t>0</w:t>
            </w:r>
          </w:p>
        </w:tc>
        <w:tc>
          <w:tcPr>
            <w:tcW w:w="1963" w:type="dxa"/>
            <w:vAlign w:val="center"/>
          </w:tcPr>
          <w:p w14:paraId="2433621A">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57.2093</w:t>
            </w:r>
            <w:r>
              <w:rPr>
                <w:rStyle w:val="287"/>
                <w:rFonts w:hint="default" w:ascii="Times New Roman" w:hAnsi="Times New Roman" w:eastAsia="宋体" w:cs="Times New Roman"/>
                <w:color w:val="auto"/>
                <w:sz w:val="21"/>
                <w:szCs w:val="21"/>
                <w:highlight w:val="none"/>
              </w:rPr>
              <w:t>kg/a</w:t>
            </w:r>
          </w:p>
        </w:tc>
        <w:tc>
          <w:tcPr>
            <w:tcW w:w="1244" w:type="dxa"/>
            <w:vAlign w:val="center"/>
          </w:tcPr>
          <w:p w14:paraId="02C4D4CE">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+0.2093</w:t>
            </w:r>
            <w:r>
              <w:rPr>
                <w:rStyle w:val="287"/>
                <w:rFonts w:hint="default" w:ascii="Times New Roman" w:hAnsi="Times New Roman" w:eastAsia="宋体" w:cs="Times New Roman"/>
                <w:color w:val="auto"/>
                <w:sz w:val="21"/>
                <w:szCs w:val="21"/>
                <w:highlight w:val="none"/>
              </w:rPr>
              <w:t>kg/a</w:t>
            </w:r>
          </w:p>
        </w:tc>
      </w:tr>
      <w:tr w14:paraId="6562F89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68" w:type="pct"/>
            <w:vMerge w:val="continue"/>
            <w:vAlign w:val="center"/>
          </w:tcPr>
          <w:p w14:paraId="01FF922C">
            <w:pPr>
              <w:pStyle w:val="44"/>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p>
        </w:tc>
        <w:tc>
          <w:tcPr>
            <w:tcW w:w="1980" w:type="dxa"/>
            <w:vAlign w:val="center"/>
          </w:tcPr>
          <w:p w14:paraId="1B50AA47">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硫酸雾</w:t>
            </w:r>
          </w:p>
        </w:tc>
        <w:tc>
          <w:tcPr>
            <w:tcW w:w="1528" w:type="dxa"/>
            <w:vAlign w:val="center"/>
          </w:tcPr>
          <w:p w14:paraId="2171F605">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lang w:val="en-US" w:eastAsia="zh-CN"/>
              </w:rPr>
              <w:t>64kg</w:t>
            </w:r>
            <w:r>
              <w:rPr>
                <w:rFonts w:ascii="Times New Roman" w:hAnsi="Times New Roman" w:eastAsia="宋体" w:cs="Times New Roman"/>
                <w:color w:val="auto"/>
                <w:sz w:val="21"/>
                <w:szCs w:val="21"/>
                <w:highlight w:val="none"/>
              </w:rPr>
              <w:t>/a</w:t>
            </w:r>
          </w:p>
        </w:tc>
        <w:tc>
          <w:tcPr>
            <w:tcW w:w="488" w:type="pct"/>
            <w:vAlign w:val="center"/>
          </w:tcPr>
          <w:p w14:paraId="5E81C45A">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559" w:type="dxa"/>
            <w:vAlign w:val="center"/>
          </w:tcPr>
          <w:p w14:paraId="1FBA3C26">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lang w:val="en-US" w:eastAsia="zh-CN"/>
              </w:rPr>
              <w:t>/</w:t>
            </w:r>
          </w:p>
        </w:tc>
        <w:tc>
          <w:tcPr>
            <w:tcW w:w="1562" w:type="dxa"/>
            <w:vAlign w:val="center"/>
          </w:tcPr>
          <w:p w14:paraId="788940ED">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Fonts w:hint="default" w:eastAsia="宋体" w:cs="Times New Roman"/>
                <w:color w:val="auto"/>
                <w:sz w:val="21"/>
                <w:szCs w:val="21"/>
                <w:highlight w:val="none"/>
                <w:lang w:val="en-US" w:eastAsia="zh-CN"/>
              </w:rPr>
            </w:pPr>
            <w:r>
              <w:rPr>
                <w:rFonts w:hint="eastAsia" w:cs="Times New Roman"/>
                <w:b w:val="0"/>
                <w:bCs/>
                <w:color w:val="auto"/>
                <w:spacing w:val="-9"/>
                <w:sz w:val="21"/>
                <w:szCs w:val="21"/>
                <w:highlight w:val="none"/>
                <w:vertAlign w:val="baseline"/>
                <w:lang w:val="en-US" w:eastAsia="zh-CN"/>
              </w:rPr>
              <w:t>0.805</w:t>
            </w:r>
            <w:r>
              <w:rPr>
                <w:rStyle w:val="287"/>
                <w:rFonts w:hint="default" w:ascii="Times New Roman" w:hAnsi="Times New Roman" w:eastAsia="宋体" w:cs="Times New Roman"/>
                <w:color w:val="auto"/>
                <w:sz w:val="21"/>
                <w:szCs w:val="21"/>
                <w:highlight w:val="none"/>
              </w:rPr>
              <w:t>kg/a</w:t>
            </w:r>
          </w:p>
        </w:tc>
        <w:tc>
          <w:tcPr>
            <w:tcW w:w="585" w:type="pct"/>
            <w:vAlign w:val="center"/>
          </w:tcPr>
          <w:p w14:paraId="28EE5814">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Fonts w:hint="default" w:eastAsia="宋体" w:cs="Times New Roman"/>
                <w:color w:val="auto"/>
                <w:sz w:val="21"/>
                <w:szCs w:val="21"/>
                <w:highlight w:val="none"/>
                <w:lang w:val="en-US" w:eastAsia="zh-CN"/>
              </w:rPr>
            </w:pPr>
            <w:r>
              <w:rPr>
                <w:rFonts w:hint="default" w:eastAsia="宋体" w:cs="Times New Roman"/>
                <w:color w:val="auto"/>
                <w:sz w:val="21"/>
                <w:szCs w:val="21"/>
                <w:highlight w:val="none"/>
                <w:lang w:val="en-US" w:eastAsia="zh-CN"/>
              </w:rPr>
              <w:t>0</w:t>
            </w:r>
          </w:p>
        </w:tc>
        <w:tc>
          <w:tcPr>
            <w:tcW w:w="1963" w:type="dxa"/>
            <w:vAlign w:val="center"/>
          </w:tcPr>
          <w:p w14:paraId="48D9C40B">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64.805</w:t>
            </w:r>
            <w:r>
              <w:rPr>
                <w:rStyle w:val="287"/>
                <w:rFonts w:hint="default" w:ascii="Times New Roman" w:hAnsi="Times New Roman" w:eastAsia="宋体" w:cs="Times New Roman"/>
                <w:color w:val="auto"/>
                <w:sz w:val="21"/>
                <w:szCs w:val="21"/>
                <w:highlight w:val="none"/>
              </w:rPr>
              <w:t>kg/a</w:t>
            </w:r>
          </w:p>
        </w:tc>
        <w:tc>
          <w:tcPr>
            <w:tcW w:w="1244" w:type="dxa"/>
            <w:vAlign w:val="center"/>
          </w:tcPr>
          <w:p w14:paraId="397704FB">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Fonts w:hint="default"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w:t>
            </w:r>
            <w:r>
              <w:rPr>
                <w:rFonts w:hint="eastAsia" w:cs="Times New Roman"/>
                <w:b w:val="0"/>
                <w:bCs/>
                <w:color w:val="auto"/>
                <w:spacing w:val="-9"/>
                <w:sz w:val="21"/>
                <w:szCs w:val="21"/>
                <w:highlight w:val="none"/>
                <w:vertAlign w:val="baseline"/>
                <w:lang w:val="en-US" w:eastAsia="zh-CN"/>
              </w:rPr>
              <w:t>0.805</w:t>
            </w:r>
            <w:r>
              <w:rPr>
                <w:rStyle w:val="287"/>
                <w:rFonts w:hint="default" w:ascii="Times New Roman" w:hAnsi="Times New Roman" w:eastAsia="宋体" w:cs="Times New Roman"/>
                <w:color w:val="auto"/>
                <w:sz w:val="21"/>
                <w:szCs w:val="21"/>
                <w:highlight w:val="none"/>
              </w:rPr>
              <w:t>kg/a</w:t>
            </w:r>
          </w:p>
        </w:tc>
      </w:tr>
      <w:tr w14:paraId="0E8E254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68" w:type="pct"/>
            <w:vMerge w:val="continue"/>
            <w:vAlign w:val="center"/>
          </w:tcPr>
          <w:p w14:paraId="30F40F9A">
            <w:pPr>
              <w:pStyle w:val="44"/>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p>
        </w:tc>
        <w:tc>
          <w:tcPr>
            <w:tcW w:w="1980" w:type="dxa"/>
            <w:vAlign w:val="center"/>
          </w:tcPr>
          <w:p w14:paraId="2A7E5901">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jc w:val="center"/>
              <w:textAlignment w:val="auto"/>
              <w:rPr>
                <w:rFonts w:hint="default" w:ascii="Times New Roman" w:hAnsi="Times New Roman" w:eastAsia="宋体" w:cs="Times New Roman"/>
                <w:b w:val="0"/>
                <w:color w:val="auto"/>
                <w:kern w:val="0"/>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氮氧化物</w:t>
            </w:r>
          </w:p>
        </w:tc>
        <w:tc>
          <w:tcPr>
            <w:tcW w:w="1528" w:type="dxa"/>
            <w:vAlign w:val="center"/>
          </w:tcPr>
          <w:p w14:paraId="2D4B8B37">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lang w:val="en-US" w:eastAsia="zh-CN"/>
              </w:rPr>
              <w:t>138kg</w:t>
            </w:r>
            <w:r>
              <w:rPr>
                <w:rFonts w:ascii="Times New Roman" w:hAnsi="Times New Roman" w:eastAsia="宋体" w:cs="Times New Roman"/>
                <w:color w:val="auto"/>
                <w:sz w:val="21"/>
                <w:szCs w:val="21"/>
                <w:highlight w:val="none"/>
              </w:rPr>
              <w:t>/a</w:t>
            </w:r>
          </w:p>
        </w:tc>
        <w:tc>
          <w:tcPr>
            <w:tcW w:w="488" w:type="pct"/>
            <w:vAlign w:val="center"/>
          </w:tcPr>
          <w:p w14:paraId="3DA32571">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559" w:type="dxa"/>
            <w:vAlign w:val="center"/>
          </w:tcPr>
          <w:p w14:paraId="140773A1">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lang w:val="en-US" w:eastAsia="zh-CN"/>
              </w:rPr>
              <w:t>/</w:t>
            </w:r>
          </w:p>
        </w:tc>
        <w:tc>
          <w:tcPr>
            <w:tcW w:w="1562" w:type="dxa"/>
            <w:vAlign w:val="center"/>
          </w:tcPr>
          <w:p w14:paraId="08A4D00C">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0.005</w:t>
            </w:r>
            <w:r>
              <w:rPr>
                <w:rStyle w:val="287"/>
                <w:rFonts w:hint="default" w:ascii="Times New Roman" w:hAnsi="Times New Roman" w:eastAsia="宋体" w:cs="Times New Roman"/>
                <w:color w:val="auto"/>
                <w:sz w:val="21"/>
                <w:szCs w:val="21"/>
                <w:highlight w:val="none"/>
              </w:rPr>
              <w:t>kg/a</w:t>
            </w:r>
          </w:p>
        </w:tc>
        <w:tc>
          <w:tcPr>
            <w:tcW w:w="585" w:type="pct"/>
            <w:vAlign w:val="center"/>
          </w:tcPr>
          <w:p w14:paraId="3B144BFC">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963" w:type="dxa"/>
            <w:vAlign w:val="center"/>
          </w:tcPr>
          <w:p w14:paraId="06E08AF7">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138.005</w:t>
            </w:r>
            <w:r>
              <w:rPr>
                <w:rStyle w:val="287"/>
                <w:rFonts w:hint="default" w:ascii="Times New Roman" w:hAnsi="Times New Roman" w:eastAsia="宋体" w:cs="Times New Roman"/>
                <w:color w:val="auto"/>
                <w:sz w:val="21"/>
                <w:szCs w:val="21"/>
                <w:highlight w:val="none"/>
              </w:rPr>
              <w:t>kg/a</w:t>
            </w:r>
          </w:p>
        </w:tc>
        <w:tc>
          <w:tcPr>
            <w:tcW w:w="1244" w:type="dxa"/>
            <w:vAlign w:val="center"/>
          </w:tcPr>
          <w:p w14:paraId="029D3B29">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Fonts w:hint="eastAsia"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w:t>
            </w:r>
            <w:r>
              <w:rPr>
                <w:rFonts w:hint="eastAsia" w:cs="Times New Roman"/>
                <w:color w:val="auto"/>
                <w:sz w:val="21"/>
                <w:szCs w:val="21"/>
                <w:highlight w:val="none"/>
                <w:lang w:val="en-US" w:eastAsia="zh-CN"/>
              </w:rPr>
              <w:t>0.005</w:t>
            </w:r>
            <w:r>
              <w:rPr>
                <w:rStyle w:val="287"/>
                <w:rFonts w:hint="default" w:ascii="Times New Roman" w:hAnsi="Times New Roman" w:eastAsia="宋体" w:cs="Times New Roman"/>
                <w:color w:val="auto"/>
                <w:sz w:val="21"/>
                <w:szCs w:val="21"/>
                <w:highlight w:val="none"/>
              </w:rPr>
              <w:t>kg/a</w:t>
            </w:r>
          </w:p>
        </w:tc>
      </w:tr>
      <w:tr w14:paraId="01B25BD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68" w:type="pct"/>
            <w:vMerge w:val="continue"/>
            <w:vAlign w:val="center"/>
          </w:tcPr>
          <w:p w14:paraId="6E6C5936">
            <w:pPr>
              <w:pStyle w:val="44"/>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p>
        </w:tc>
        <w:tc>
          <w:tcPr>
            <w:tcW w:w="1980" w:type="dxa"/>
            <w:vAlign w:val="center"/>
          </w:tcPr>
          <w:p w14:paraId="16A9D1B1">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jc w:val="center"/>
              <w:textAlignment w:val="auto"/>
              <w:rPr>
                <w:rStyle w:val="287"/>
                <w:rFonts w:hint="eastAsia" w:ascii="Times New Roman" w:hAnsi="Times New Roman" w:eastAsia="宋体" w:cs="Times New Roman"/>
                <w:color w:val="auto"/>
                <w:sz w:val="21"/>
                <w:szCs w:val="21"/>
                <w:highlight w:val="none"/>
                <w:lang w:val="en-US" w:eastAsia="zh-CN"/>
              </w:rPr>
            </w:pPr>
            <w:r>
              <w:rPr>
                <w:rStyle w:val="287"/>
                <w:rFonts w:hint="default" w:ascii="Times New Roman" w:hAnsi="Times New Roman" w:eastAsia="宋体" w:cs="Times New Roman"/>
                <w:color w:val="auto"/>
                <w:sz w:val="21"/>
                <w:szCs w:val="21"/>
                <w:highlight w:val="none"/>
              </w:rPr>
              <w:t>氯化氢</w:t>
            </w:r>
          </w:p>
        </w:tc>
        <w:tc>
          <w:tcPr>
            <w:tcW w:w="1528" w:type="dxa"/>
            <w:vAlign w:val="center"/>
          </w:tcPr>
          <w:p w14:paraId="07A70A58">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lang w:val="en-US" w:eastAsia="zh-CN"/>
              </w:rPr>
              <w:t>110kg</w:t>
            </w:r>
            <w:r>
              <w:rPr>
                <w:rFonts w:ascii="Times New Roman" w:hAnsi="Times New Roman" w:eastAsia="宋体" w:cs="Times New Roman"/>
                <w:color w:val="auto"/>
                <w:sz w:val="21"/>
                <w:szCs w:val="21"/>
                <w:highlight w:val="none"/>
              </w:rPr>
              <w:t>/a</w:t>
            </w:r>
          </w:p>
        </w:tc>
        <w:tc>
          <w:tcPr>
            <w:tcW w:w="488" w:type="pct"/>
            <w:vAlign w:val="center"/>
          </w:tcPr>
          <w:p w14:paraId="56664084">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559" w:type="dxa"/>
            <w:vAlign w:val="center"/>
          </w:tcPr>
          <w:p w14:paraId="678097BE">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lang w:val="en-US" w:eastAsia="zh-CN"/>
              </w:rPr>
              <w:t>/</w:t>
            </w:r>
          </w:p>
        </w:tc>
        <w:tc>
          <w:tcPr>
            <w:tcW w:w="1562" w:type="dxa"/>
            <w:vAlign w:val="center"/>
          </w:tcPr>
          <w:p w14:paraId="3356745F">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Fonts w:hint="default" w:cs="Times New Roman"/>
                <w:b w:val="0"/>
                <w:bCs/>
                <w:color w:val="auto"/>
                <w:spacing w:val="-9"/>
                <w:sz w:val="21"/>
                <w:szCs w:val="21"/>
                <w:highlight w:val="none"/>
                <w:vertAlign w:val="baseline"/>
                <w:lang w:val="en-US" w:eastAsia="zh-CN"/>
              </w:rPr>
            </w:pPr>
            <w:r>
              <w:rPr>
                <w:rFonts w:hint="eastAsia" w:cs="Times New Roman"/>
                <w:b w:val="0"/>
                <w:bCs/>
                <w:color w:val="auto"/>
                <w:spacing w:val="-9"/>
                <w:sz w:val="21"/>
                <w:szCs w:val="21"/>
                <w:highlight w:val="none"/>
                <w:vertAlign w:val="baseline"/>
                <w:lang w:val="en-US" w:eastAsia="zh-CN"/>
              </w:rPr>
              <w:t>0.0058</w:t>
            </w:r>
            <w:r>
              <w:rPr>
                <w:rStyle w:val="287"/>
                <w:rFonts w:hint="default" w:ascii="Times New Roman" w:hAnsi="Times New Roman" w:eastAsia="宋体" w:cs="Times New Roman"/>
                <w:color w:val="auto"/>
                <w:sz w:val="21"/>
                <w:szCs w:val="21"/>
                <w:highlight w:val="none"/>
              </w:rPr>
              <w:t>kg/a</w:t>
            </w:r>
          </w:p>
        </w:tc>
        <w:tc>
          <w:tcPr>
            <w:tcW w:w="585" w:type="pct"/>
            <w:vAlign w:val="center"/>
          </w:tcPr>
          <w:p w14:paraId="018E85D6">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963" w:type="dxa"/>
            <w:vAlign w:val="center"/>
          </w:tcPr>
          <w:p w14:paraId="3806A82D">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cs="Times New Roman"/>
                <w:b w:val="0"/>
                <w:bCs/>
                <w:color w:val="auto"/>
                <w:spacing w:val="-9"/>
                <w:sz w:val="21"/>
                <w:szCs w:val="21"/>
                <w:highlight w:val="none"/>
                <w:vertAlign w:val="baseline"/>
                <w:lang w:val="en-US" w:eastAsia="zh-CN"/>
              </w:rPr>
            </w:pPr>
            <w:r>
              <w:rPr>
                <w:rFonts w:hint="eastAsia" w:ascii="Times New Roman" w:hAnsi="Times New Roman" w:eastAsia="宋体" w:cs="Times New Roman"/>
                <w:color w:val="auto"/>
                <w:sz w:val="21"/>
                <w:szCs w:val="21"/>
                <w:highlight w:val="none"/>
                <w:lang w:val="en-US" w:eastAsia="zh-CN"/>
              </w:rPr>
              <w:t>110.0058</w:t>
            </w:r>
            <w:r>
              <w:rPr>
                <w:rStyle w:val="287"/>
                <w:rFonts w:hint="default" w:ascii="Times New Roman" w:hAnsi="Times New Roman" w:eastAsia="宋体" w:cs="Times New Roman"/>
                <w:color w:val="auto"/>
                <w:sz w:val="21"/>
                <w:szCs w:val="21"/>
                <w:highlight w:val="none"/>
              </w:rPr>
              <w:t>kg/a</w:t>
            </w:r>
          </w:p>
        </w:tc>
        <w:tc>
          <w:tcPr>
            <w:tcW w:w="1244" w:type="dxa"/>
            <w:vAlign w:val="center"/>
          </w:tcPr>
          <w:p w14:paraId="54CE92EA">
            <w:pPr>
              <w:pStyle w:val="44"/>
              <w:keepNext w:val="0"/>
              <w:keepLines w:val="0"/>
              <w:pageBreakBefore w:val="0"/>
              <w:widowControl w:val="0"/>
              <w:kinsoku/>
              <w:wordWrap/>
              <w:overflowPunct/>
              <w:topLinePunct w:val="0"/>
              <w:autoSpaceDE/>
              <w:autoSpaceDN/>
              <w:bidi w:val="0"/>
              <w:adjustRightInd w:val="0"/>
              <w:snapToGrid w:val="0"/>
              <w:spacing w:after="0" w:line="240" w:lineRule="auto"/>
              <w:ind w:left="-72" w:leftChars="-30" w:right="-72" w:rightChars="-30" w:firstLine="0" w:firstLineChars="0"/>
              <w:jc w:val="center"/>
              <w:textAlignment w:val="auto"/>
              <w:outlineLvl w:val="9"/>
              <w:rPr>
                <w:rFonts w:hint="eastAsia"/>
                <w:color w:val="auto"/>
                <w:spacing w:val="-9"/>
                <w:sz w:val="21"/>
                <w:szCs w:val="21"/>
                <w:highlight w:val="none"/>
                <w:lang w:val="en-US" w:eastAsia="zh-CN"/>
              </w:rPr>
            </w:pPr>
            <w:r>
              <w:rPr>
                <w:rFonts w:hint="eastAsia" w:cs="Times New Roman"/>
                <w:color w:val="auto"/>
                <w:sz w:val="21"/>
                <w:szCs w:val="21"/>
                <w:highlight w:val="none"/>
                <w:vertAlign w:val="baseline"/>
                <w:lang w:val="en-US" w:eastAsia="zh-CN"/>
              </w:rPr>
              <w:t>+</w:t>
            </w:r>
            <w:r>
              <w:rPr>
                <w:rFonts w:hint="eastAsia" w:cs="Times New Roman"/>
                <w:b w:val="0"/>
                <w:bCs/>
                <w:color w:val="auto"/>
                <w:spacing w:val="-9"/>
                <w:sz w:val="21"/>
                <w:szCs w:val="21"/>
                <w:highlight w:val="none"/>
                <w:vertAlign w:val="baseline"/>
                <w:lang w:val="en-US" w:eastAsia="zh-CN"/>
              </w:rPr>
              <w:t>0.0058</w:t>
            </w:r>
            <w:r>
              <w:rPr>
                <w:rStyle w:val="287"/>
                <w:rFonts w:hint="default" w:ascii="Times New Roman" w:hAnsi="Times New Roman" w:eastAsia="宋体" w:cs="Times New Roman"/>
                <w:color w:val="auto"/>
                <w:sz w:val="21"/>
                <w:szCs w:val="21"/>
                <w:highlight w:val="none"/>
              </w:rPr>
              <w:t>kg/a</w:t>
            </w:r>
          </w:p>
        </w:tc>
      </w:tr>
      <w:tr w14:paraId="185AB19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pct"/>
            <w:vMerge w:val="continue"/>
            <w:vAlign w:val="center"/>
          </w:tcPr>
          <w:p w14:paraId="398EA1E4">
            <w:pPr>
              <w:pStyle w:val="44"/>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p>
        </w:tc>
        <w:tc>
          <w:tcPr>
            <w:tcW w:w="1980" w:type="dxa"/>
            <w:vAlign w:val="center"/>
          </w:tcPr>
          <w:p w14:paraId="0755C40D">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b w:val="0"/>
                <w:color w:val="auto"/>
                <w:kern w:val="0"/>
                <w:sz w:val="21"/>
                <w:szCs w:val="21"/>
                <w:highlight w:val="none"/>
                <w:lang w:val="en-US" w:eastAsia="zh-CN" w:bidi="ar-SA"/>
              </w:rPr>
              <w:t>非甲烷总烃</w:t>
            </w:r>
          </w:p>
        </w:tc>
        <w:tc>
          <w:tcPr>
            <w:tcW w:w="1528" w:type="dxa"/>
            <w:vAlign w:val="center"/>
          </w:tcPr>
          <w:p w14:paraId="2364C056">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lang w:val="en-US" w:eastAsia="zh-CN"/>
              </w:rPr>
              <w:t>464kg</w:t>
            </w:r>
            <w:r>
              <w:rPr>
                <w:rFonts w:ascii="Times New Roman" w:hAnsi="Times New Roman" w:eastAsia="宋体" w:cs="Times New Roman"/>
                <w:color w:val="auto"/>
                <w:sz w:val="21"/>
                <w:szCs w:val="21"/>
                <w:highlight w:val="none"/>
              </w:rPr>
              <w:t>/a</w:t>
            </w:r>
          </w:p>
        </w:tc>
        <w:tc>
          <w:tcPr>
            <w:tcW w:w="488" w:type="pct"/>
            <w:vAlign w:val="center"/>
          </w:tcPr>
          <w:p w14:paraId="3A57DD1D">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559" w:type="dxa"/>
            <w:vAlign w:val="center"/>
          </w:tcPr>
          <w:p w14:paraId="5961CEB5">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lang w:val="en-US" w:eastAsia="zh-CN"/>
              </w:rPr>
              <w:t>/</w:t>
            </w:r>
          </w:p>
        </w:tc>
        <w:tc>
          <w:tcPr>
            <w:tcW w:w="1562" w:type="dxa"/>
            <w:vAlign w:val="center"/>
          </w:tcPr>
          <w:p w14:paraId="1CCD8760">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cs="Times New Roman"/>
                <w:color w:val="auto"/>
                <w:sz w:val="21"/>
                <w:szCs w:val="21"/>
                <w:highlight w:val="none"/>
                <w:vertAlign w:val="baseline"/>
                <w:lang w:val="en-US" w:eastAsia="zh-CN"/>
              </w:rPr>
            </w:pPr>
            <w:bookmarkStart w:id="10" w:name="_GoBack"/>
            <w:bookmarkEnd w:id="10"/>
            <w:r>
              <w:rPr>
                <w:rFonts w:hint="eastAsia" w:cs="Times New Roman"/>
                <w:color w:val="auto"/>
                <w:sz w:val="21"/>
                <w:szCs w:val="21"/>
                <w:highlight w:val="none"/>
                <w:lang w:val="en-US" w:eastAsia="zh-CN"/>
              </w:rPr>
              <w:t>0.0544k</w:t>
            </w:r>
            <w:r>
              <w:rPr>
                <w:rFonts w:hint="default" w:ascii="Times New Roman" w:hAnsi="Times New Roman" w:eastAsia="宋体" w:cs="Times New Roman"/>
                <w:color w:val="auto"/>
                <w:sz w:val="21"/>
                <w:szCs w:val="21"/>
                <w:highlight w:val="none"/>
              </w:rPr>
              <w:t>g/a</w:t>
            </w:r>
          </w:p>
        </w:tc>
        <w:tc>
          <w:tcPr>
            <w:tcW w:w="585" w:type="pct"/>
            <w:vAlign w:val="center"/>
          </w:tcPr>
          <w:p w14:paraId="4D62B130">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963" w:type="dxa"/>
            <w:vAlign w:val="center"/>
          </w:tcPr>
          <w:p w14:paraId="7F2C261D">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lang w:val="en-US" w:eastAsia="zh-CN"/>
              </w:rPr>
              <w:t>464.0544</w:t>
            </w:r>
            <w:r>
              <w:rPr>
                <w:rStyle w:val="287"/>
                <w:rFonts w:hint="default" w:ascii="Times New Roman" w:hAnsi="Times New Roman" w:eastAsia="宋体" w:cs="Times New Roman"/>
                <w:color w:val="auto"/>
                <w:sz w:val="21"/>
                <w:szCs w:val="21"/>
                <w:highlight w:val="none"/>
              </w:rPr>
              <w:t>kg/a</w:t>
            </w:r>
          </w:p>
        </w:tc>
        <w:tc>
          <w:tcPr>
            <w:tcW w:w="1244" w:type="dxa"/>
            <w:vAlign w:val="center"/>
          </w:tcPr>
          <w:p w14:paraId="45ACECD4">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w:t>
            </w:r>
            <w:r>
              <w:rPr>
                <w:rFonts w:hint="eastAsia" w:cs="Times New Roman"/>
                <w:color w:val="auto"/>
                <w:sz w:val="21"/>
                <w:szCs w:val="21"/>
                <w:highlight w:val="none"/>
                <w:lang w:val="en-US" w:eastAsia="zh-CN"/>
              </w:rPr>
              <w:t>0.0544k</w:t>
            </w:r>
            <w:r>
              <w:rPr>
                <w:rFonts w:hint="default" w:ascii="Times New Roman" w:hAnsi="Times New Roman" w:eastAsia="宋体" w:cs="Times New Roman"/>
                <w:color w:val="auto"/>
                <w:sz w:val="21"/>
                <w:szCs w:val="21"/>
                <w:highlight w:val="none"/>
              </w:rPr>
              <w:t>g/a</w:t>
            </w:r>
          </w:p>
        </w:tc>
      </w:tr>
      <w:tr w14:paraId="6A7B62F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pct"/>
            <w:vAlign w:val="center"/>
          </w:tcPr>
          <w:p w14:paraId="196DCD23">
            <w:pPr>
              <w:pStyle w:val="44"/>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废水</w:t>
            </w:r>
          </w:p>
        </w:tc>
        <w:tc>
          <w:tcPr>
            <w:tcW w:w="696" w:type="pct"/>
            <w:vAlign w:val="center"/>
          </w:tcPr>
          <w:p w14:paraId="42F4FFAC">
            <w:pPr>
              <w:keepNext w:val="0"/>
              <w:keepLines w:val="0"/>
              <w:pageBreakBefore w:val="0"/>
              <w:widowControl w:val="0"/>
              <w:kinsoku/>
              <w:wordWrap/>
              <w:overflowPunct/>
              <w:topLinePunct w:val="0"/>
              <w:autoSpaceDE/>
              <w:autoSpaceDN/>
              <w:bidi w:val="0"/>
              <w:adjustRightInd w:val="0"/>
              <w:snapToGrid w:val="0"/>
              <w:spacing w:line="240" w:lineRule="auto"/>
              <w:ind w:left="-72" w:leftChars="-30" w:right="-72" w:rightChars="-30"/>
              <w:jc w:val="center"/>
              <w:textAlignment w:val="auto"/>
              <w:rPr>
                <w:rFonts w:hint="eastAsia" w:eastAsia="宋体" w:cs="Times New Roman"/>
                <w:color w:val="auto"/>
                <w:sz w:val="21"/>
                <w:szCs w:val="21"/>
                <w:highlight w:val="none"/>
                <w:lang w:val="en-US" w:eastAsia="zh-CN"/>
              </w:rPr>
            </w:pPr>
            <w:r>
              <w:rPr>
                <w:rFonts w:hint="eastAsia" w:cs="Times New Roman"/>
                <w:snapToGrid w:val="0"/>
                <w:color w:val="auto"/>
                <w:sz w:val="21"/>
                <w:szCs w:val="21"/>
                <w:highlight w:val="none"/>
                <w:lang w:val="en-US" w:eastAsia="zh-CN"/>
              </w:rPr>
              <w:t>/</w:t>
            </w:r>
          </w:p>
        </w:tc>
        <w:tc>
          <w:tcPr>
            <w:tcW w:w="537" w:type="pct"/>
            <w:vAlign w:val="center"/>
          </w:tcPr>
          <w:p w14:paraId="258338D1">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488" w:type="pct"/>
            <w:vAlign w:val="center"/>
          </w:tcPr>
          <w:p w14:paraId="073D8728">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548" w:type="pct"/>
            <w:vAlign w:val="center"/>
          </w:tcPr>
          <w:p w14:paraId="11A51EB1">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549" w:type="pct"/>
            <w:vAlign w:val="center"/>
          </w:tcPr>
          <w:p w14:paraId="6296BBD9">
            <w:pPr>
              <w:adjustRightInd w:val="0"/>
              <w:snapToGrid w:val="0"/>
              <w:spacing w:line="240" w:lineRule="auto"/>
              <w:ind w:firstLine="0" w:firstLineChars="0"/>
              <w:jc w:val="center"/>
              <w:rPr>
                <w:rFonts w:hint="default"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585" w:type="pct"/>
            <w:vAlign w:val="center"/>
          </w:tcPr>
          <w:p w14:paraId="1D900092">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690" w:type="pct"/>
            <w:vAlign w:val="center"/>
          </w:tcPr>
          <w:p w14:paraId="3DA66BDE">
            <w:pPr>
              <w:adjustRightInd w:val="0"/>
              <w:snapToGrid w:val="0"/>
              <w:spacing w:line="240" w:lineRule="auto"/>
              <w:ind w:firstLine="0" w:firstLineChars="0"/>
              <w:jc w:val="center"/>
              <w:rPr>
                <w:rFonts w:hint="eastAsia"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437" w:type="pct"/>
            <w:vAlign w:val="center"/>
          </w:tcPr>
          <w:p w14:paraId="02B2FDFF">
            <w:pPr>
              <w:adjustRightInd w:val="0"/>
              <w:snapToGrid w:val="0"/>
              <w:spacing w:line="240" w:lineRule="auto"/>
              <w:ind w:firstLine="0" w:firstLineChars="0"/>
              <w:jc w:val="center"/>
              <w:rPr>
                <w:rFonts w:hint="eastAsia" w:cs="Times New Roman"/>
                <w:color w:val="auto"/>
                <w:sz w:val="21"/>
                <w:szCs w:val="21"/>
                <w:highlight w:val="none"/>
                <w:vertAlign w:val="baseline"/>
                <w:lang w:val="en-US" w:eastAsia="zh-CN"/>
              </w:rPr>
            </w:pPr>
            <w:r>
              <w:rPr>
                <w:rFonts w:hint="eastAsia"/>
                <w:color w:val="auto"/>
                <w:spacing w:val="-9"/>
                <w:sz w:val="21"/>
                <w:szCs w:val="21"/>
                <w:highlight w:val="none"/>
                <w:lang w:val="en-US" w:eastAsia="zh-CN"/>
              </w:rPr>
              <w:t>/</w:t>
            </w:r>
          </w:p>
        </w:tc>
      </w:tr>
      <w:tr w14:paraId="33BDB54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8" w:type="pct"/>
            <w:vAlign w:val="center"/>
          </w:tcPr>
          <w:p w14:paraId="1024131F">
            <w:pPr>
              <w:pStyle w:val="44"/>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一般工业固体废物</w:t>
            </w:r>
          </w:p>
        </w:tc>
        <w:tc>
          <w:tcPr>
            <w:tcW w:w="696" w:type="pct"/>
            <w:vAlign w:val="center"/>
          </w:tcPr>
          <w:p w14:paraId="77F0B98C">
            <w:pPr>
              <w:keepLines w:val="0"/>
              <w:pageBreakBefore w:val="0"/>
              <w:kinsoku/>
              <w:wordWrap/>
              <w:overflowPunct/>
              <w:topLinePunct w:val="0"/>
              <w:bidi w:val="0"/>
              <w:spacing w:line="320" w:lineRule="exact"/>
              <w:ind w:left="0" w:leftChars="0"/>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损坏的器皿</w:t>
            </w:r>
          </w:p>
        </w:tc>
        <w:tc>
          <w:tcPr>
            <w:tcW w:w="537" w:type="pct"/>
            <w:vAlign w:val="center"/>
          </w:tcPr>
          <w:p w14:paraId="48C19616">
            <w:pPr>
              <w:keepLines w:val="0"/>
              <w:pageBreakBefore w:val="0"/>
              <w:kinsoku/>
              <w:wordWrap/>
              <w:overflowPunct/>
              <w:topLinePunct w:val="0"/>
              <w:bidi w:val="0"/>
              <w:spacing w:line="320" w:lineRule="exact"/>
              <w:ind w:left="0" w:lef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0</w:t>
            </w:r>
          </w:p>
        </w:tc>
        <w:tc>
          <w:tcPr>
            <w:tcW w:w="488" w:type="pct"/>
            <w:vAlign w:val="center"/>
          </w:tcPr>
          <w:p w14:paraId="67E5635C">
            <w:pPr>
              <w:keepLines w:val="0"/>
              <w:pageBreakBefore w:val="0"/>
              <w:kinsoku/>
              <w:wordWrap/>
              <w:overflowPunct/>
              <w:topLinePunct w:val="0"/>
              <w:bidi w:val="0"/>
              <w:spacing w:line="320" w:lineRule="exact"/>
              <w:ind w:left="0" w:lef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0</w:t>
            </w:r>
          </w:p>
        </w:tc>
        <w:tc>
          <w:tcPr>
            <w:tcW w:w="548" w:type="pct"/>
            <w:vAlign w:val="center"/>
          </w:tcPr>
          <w:p w14:paraId="42129083">
            <w:pPr>
              <w:keepLines w:val="0"/>
              <w:pageBreakBefore w:val="0"/>
              <w:kinsoku/>
              <w:wordWrap/>
              <w:overflowPunct/>
              <w:topLinePunct w:val="0"/>
              <w:bidi w:val="0"/>
              <w:spacing w:line="320" w:lineRule="exact"/>
              <w:ind w:left="0" w:lef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0</w:t>
            </w:r>
          </w:p>
        </w:tc>
        <w:tc>
          <w:tcPr>
            <w:tcW w:w="549" w:type="pct"/>
            <w:vAlign w:val="center"/>
          </w:tcPr>
          <w:p w14:paraId="4F23487E">
            <w:pPr>
              <w:keepLines w:val="0"/>
              <w:pageBreakBefore w:val="0"/>
              <w:kinsoku/>
              <w:wordWrap/>
              <w:overflowPunct/>
              <w:topLinePunct w:val="0"/>
              <w:bidi w:val="0"/>
              <w:spacing w:line="320" w:lineRule="exact"/>
              <w:ind w:left="0" w:leftChars="0"/>
              <w:jc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2"/>
                <w:sz w:val="21"/>
                <w:szCs w:val="21"/>
                <w:highlight w:val="none"/>
                <w:lang w:val="en-US" w:eastAsia="zh-CN" w:bidi="ar-SA"/>
              </w:rPr>
              <w:t>0.02</w:t>
            </w:r>
            <w:r>
              <w:rPr>
                <w:rFonts w:hint="eastAsia" w:ascii="Times New Roman" w:hAnsi="Times New Roman" w:eastAsia="宋体" w:cs="Times New Roman"/>
                <w:color w:val="auto"/>
                <w:kern w:val="0"/>
                <w:sz w:val="21"/>
                <w:szCs w:val="21"/>
                <w:highlight w:val="none"/>
                <w:lang w:val="en-US" w:eastAsia="zh-CN"/>
              </w:rPr>
              <w:t>t/a</w:t>
            </w:r>
          </w:p>
        </w:tc>
        <w:tc>
          <w:tcPr>
            <w:tcW w:w="585" w:type="pct"/>
            <w:vAlign w:val="center"/>
          </w:tcPr>
          <w:p w14:paraId="44ECC8A2">
            <w:pPr>
              <w:keepLines w:val="0"/>
              <w:pageBreakBefore w:val="0"/>
              <w:kinsoku/>
              <w:wordWrap/>
              <w:overflowPunct/>
              <w:topLinePunct w:val="0"/>
              <w:bidi w:val="0"/>
              <w:spacing w:line="320" w:lineRule="exact"/>
              <w:ind w:left="0" w:lef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0</w:t>
            </w:r>
          </w:p>
        </w:tc>
        <w:tc>
          <w:tcPr>
            <w:tcW w:w="690" w:type="pct"/>
            <w:vAlign w:val="center"/>
          </w:tcPr>
          <w:p w14:paraId="05EF7D69">
            <w:pPr>
              <w:keepLines w:val="0"/>
              <w:pageBreakBefore w:val="0"/>
              <w:kinsoku/>
              <w:wordWrap/>
              <w:overflowPunct/>
              <w:topLinePunct w:val="0"/>
              <w:bidi w:val="0"/>
              <w:spacing w:line="320" w:lineRule="exact"/>
              <w:ind w:left="0" w:leftChars="0"/>
              <w:jc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2"/>
                <w:sz w:val="21"/>
                <w:szCs w:val="21"/>
                <w:highlight w:val="none"/>
                <w:lang w:val="en-US" w:eastAsia="zh-CN" w:bidi="ar-SA"/>
              </w:rPr>
              <w:t>0.02</w:t>
            </w:r>
            <w:r>
              <w:rPr>
                <w:rFonts w:hint="eastAsia" w:ascii="Times New Roman" w:hAnsi="Times New Roman" w:eastAsia="宋体" w:cs="Times New Roman"/>
                <w:color w:val="auto"/>
                <w:kern w:val="0"/>
                <w:sz w:val="21"/>
                <w:szCs w:val="21"/>
                <w:highlight w:val="none"/>
                <w:lang w:val="en-US" w:eastAsia="zh-CN"/>
              </w:rPr>
              <w:t>t/a</w:t>
            </w:r>
          </w:p>
        </w:tc>
        <w:tc>
          <w:tcPr>
            <w:tcW w:w="437" w:type="pct"/>
            <w:vAlign w:val="center"/>
          </w:tcPr>
          <w:p w14:paraId="2FED785D">
            <w:pPr>
              <w:keepLines w:val="0"/>
              <w:pageBreakBefore w:val="0"/>
              <w:kinsoku/>
              <w:wordWrap/>
              <w:overflowPunct/>
              <w:topLinePunct w:val="0"/>
              <w:bidi w:val="0"/>
              <w:spacing w:line="320" w:lineRule="exact"/>
              <w:ind w:left="0" w:leftChars="0"/>
              <w:jc w:val="center"/>
              <w:rPr>
                <w:rFonts w:hint="default" w:ascii="Times New Roman" w:hAnsi="Times New Roman" w:eastAsia="宋体" w:cs="Times New Roman"/>
                <w:color w:val="auto"/>
                <w:kern w:val="0"/>
                <w:sz w:val="21"/>
                <w:szCs w:val="21"/>
                <w:highlight w:val="none"/>
                <w:lang w:val="en-US" w:eastAsia="zh-CN"/>
              </w:rPr>
            </w:pPr>
            <w:r>
              <w:rPr>
                <w:rFonts w:hint="eastAsia"/>
                <w:color w:val="auto"/>
                <w:spacing w:val="-9"/>
                <w:sz w:val="21"/>
                <w:szCs w:val="21"/>
                <w:highlight w:val="none"/>
                <w:lang w:val="en-US" w:eastAsia="zh-CN"/>
              </w:rPr>
              <w:t>/</w:t>
            </w:r>
          </w:p>
        </w:tc>
      </w:tr>
      <w:tr w14:paraId="3BAA582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8" w:type="pct"/>
            <w:vMerge w:val="restart"/>
            <w:vAlign w:val="center"/>
          </w:tcPr>
          <w:p w14:paraId="7880E769">
            <w:pPr>
              <w:pStyle w:val="44"/>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bookmarkStart w:id="9" w:name="_Toc15388"/>
            <w:r>
              <w:rPr>
                <w:rFonts w:hint="eastAsia" w:cs="Times New Roman"/>
                <w:color w:val="auto"/>
                <w:sz w:val="21"/>
                <w:szCs w:val="21"/>
                <w:highlight w:val="none"/>
                <w:vertAlign w:val="baseline"/>
                <w:lang w:val="en-US" w:eastAsia="zh-CN"/>
              </w:rPr>
              <w:t>危险废物</w:t>
            </w:r>
          </w:p>
        </w:tc>
        <w:tc>
          <w:tcPr>
            <w:tcW w:w="696" w:type="pct"/>
            <w:vAlign w:val="center"/>
          </w:tcPr>
          <w:p w14:paraId="41D85690">
            <w:pPr>
              <w:keepLines w:val="0"/>
              <w:pageBreakBefore w:val="0"/>
              <w:kinsoku/>
              <w:wordWrap/>
              <w:overflowPunct/>
              <w:topLinePunct w:val="0"/>
              <w:bidi w:val="0"/>
              <w:spacing w:line="320" w:lineRule="exact"/>
              <w:ind w:left="0" w:left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实验废液和器皿清洗水</w:t>
            </w:r>
          </w:p>
        </w:tc>
        <w:tc>
          <w:tcPr>
            <w:tcW w:w="537" w:type="pct"/>
            <w:vAlign w:val="center"/>
          </w:tcPr>
          <w:p w14:paraId="68189DEC">
            <w:pPr>
              <w:keepLines w:val="0"/>
              <w:pageBreakBefore w:val="0"/>
              <w:kinsoku/>
              <w:wordWrap/>
              <w:overflowPunct/>
              <w:topLinePunct w:val="0"/>
              <w:bidi w:val="0"/>
              <w:spacing w:line="320" w:lineRule="exact"/>
              <w:ind w:left="0" w:lef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0</w:t>
            </w:r>
          </w:p>
        </w:tc>
        <w:tc>
          <w:tcPr>
            <w:tcW w:w="488" w:type="pct"/>
            <w:vAlign w:val="center"/>
          </w:tcPr>
          <w:p w14:paraId="1047DA05">
            <w:pPr>
              <w:keepLines w:val="0"/>
              <w:pageBreakBefore w:val="0"/>
              <w:kinsoku/>
              <w:wordWrap/>
              <w:overflowPunct/>
              <w:topLinePunct w:val="0"/>
              <w:bidi w:val="0"/>
              <w:spacing w:line="320" w:lineRule="exact"/>
              <w:ind w:left="0" w:lef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0</w:t>
            </w:r>
          </w:p>
        </w:tc>
        <w:tc>
          <w:tcPr>
            <w:tcW w:w="548" w:type="pct"/>
            <w:vAlign w:val="center"/>
          </w:tcPr>
          <w:p w14:paraId="41B33B56">
            <w:pPr>
              <w:keepLines w:val="0"/>
              <w:pageBreakBefore w:val="0"/>
              <w:kinsoku/>
              <w:wordWrap/>
              <w:overflowPunct/>
              <w:topLinePunct w:val="0"/>
              <w:bidi w:val="0"/>
              <w:spacing w:line="320" w:lineRule="exact"/>
              <w:ind w:left="0" w:lef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0</w:t>
            </w:r>
          </w:p>
        </w:tc>
        <w:tc>
          <w:tcPr>
            <w:tcW w:w="549" w:type="pct"/>
            <w:vAlign w:val="center"/>
          </w:tcPr>
          <w:p w14:paraId="66E37C00">
            <w:pPr>
              <w:keepLines w:val="0"/>
              <w:pageBreakBefore w:val="0"/>
              <w:kinsoku/>
              <w:wordWrap/>
              <w:overflowPunct/>
              <w:topLinePunct w:val="0"/>
              <w:bidi w:val="0"/>
              <w:spacing w:line="320" w:lineRule="exact"/>
              <w:ind w:left="0" w:leftChars="0"/>
              <w:jc w:val="center"/>
              <w:rPr>
                <w:rFonts w:hint="eastAsia"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8.2</w:t>
            </w:r>
            <w:r>
              <w:rPr>
                <w:rFonts w:hint="eastAsia" w:ascii="Times New Roman" w:hAnsi="Times New Roman" w:eastAsia="宋体" w:cs="Times New Roman"/>
                <w:color w:val="auto"/>
                <w:kern w:val="0"/>
                <w:sz w:val="21"/>
                <w:szCs w:val="21"/>
                <w:highlight w:val="none"/>
                <w:lang w:val="en-US" w:eastAsia="zh-CN"/>
              </w:rPr>
              <w:t>t/a</w:t>
            </w:r>
          </w:p>
        </w:tc>
        <w:tc>
          <w:tcPr>
            <w:tcW w:w="585" w:type="pct"/>
            <w:vAlign w:val="center"/>
          </w:tcPr>
          <w:p w14:paraId="12063AD5">
            <w:pPr>
              <w:keepLines w:val="0"/>
              <w:pageBreakBefore w:val="0"/>
              <w:kinsoku/>
              <w:wordWrap/>
              <w:overflowPunct/>
              <w:topLinePunct w:val="0"/>
              <w:bidi w:val="0"/>
              <w:spacing w:line="320" w:lineRule="exact"/>
              <w:ind w:left="0" w:lef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0</w:t>
            </w:r>
          </w:p>
        </w:tc>
        <w:tc>
          <w:tcPr>
            <w:tcW w:w="690" w:type="pct"/>
            <w:vAlign w:val="center"/>
          </w:tcPr>
          <w:p w14:paraId="2075B3ED">
            <w:pPr>
              <w:keepLines w:val="0"/>
              <w:pageBreakBefore w:val="0"/>
              <w:kinsoku/>
              <w:wordWrap/>
              <w:overflowPunct/>
              <w:topLinePunct w:val="0"/>
              <w:bidi w:val="0"/>
              <w:spacing w:line="320" w:lineRule="exact"/>
              <w:ind w:left="0" w:leftChars="0"/>
              <w:jc w:val="center"/>
              <w:rPr>
                <w:rFonts w:hint="eastAsia"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8.2</w:t>
            </w:r>
            <w:r>
              <w:rPr>
                <w:rFonts w:hint="eastAsia" w:ascii="Times New Roman" w:hAnsi="Times New Roman" w:eastAsia="宋体" w:cs="Times New Roman"/>
                <w:color w:val="auto"/>
                <w:kern w:val="0"/>
                <w:sz w:val="21"/>
                <w:szCs w:val="21"/>
                <w:highlight w:val="none"/>
                <w:lang w:val="en-US" w:eastAsia="zh-CN"/>
              </w:rPr>
              <w:t>t/a</w:t>
            </w:r>
          </w:p>
        </w:tc>
        <w:tc>
          <w:tcPr>
            <w:tcW w:w="437" w:type="pct"/>
            <w:vAlign w:val="center"/>
          </w:tcPr>
          <w:p w14:paraId="7958C944">
            <w:pPr>
              <w:keepLines w:val="0"/>
              <w:pageBreakBefore w:val="0"/>
              <w:kinsoku/>
              <w:wordWrap/>
              <w:overflowPunct/>
              <w:topLinePunct w:val="0"/>
              <w:bidi w:val="0"/>
              <w:spacing w:line="320" w:lineRule="exact"/>
              <w:ind w:left="0" w:leftChars="0"/>
              <w:jc w:val="center"/>
              <w:rPr>
                <w:rFonts w:hint="eastAsia" w:ascii="Times New Roman" w:hAnsi="Times New Roman" w:eastAsia="宋体" w:cs="Times New Roman"/>
                <w:color w:val="auto"/>
                <w:kern w:val="0"/>
                <w:sz w:val="21"/>
                <w:szCs w:val="21"/>
                <w:highlight w:val="none"/>
                <w:lang w:val="en-US" w:eastAsia="zh-CN"/>
              </w:rPr>
            </w:pPr>
            <w:r>
              <w:rPr>
                <w:rFonts w:hint="eastAsia"/>
                <w:color w:val="auto"/>
                <w:spacing w:val="-9"/>
                <w:sz w:val="21"/>
                <w:szCs w:val="21"/>
                <w:highlight w:val="none"/>
                <w:lang w:val="en-US" w:eastAsia="zh-CN"/>
              </w:rPr>
              <w:t>/</w:t>
            </w:r>
          </w:p>
        </w:tc>
      </w:tr>
      <w:tr w14:paraId="7C68BBE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8" w:type="pct"/>
            <w:vMerge w:val="continue"/>
            <w:vAlign w:val="center"/>
          </w:tcPr>
          <w:p w14:paraId="49376775">
            <w:pPr>
              <w:pStyle w:val="44"/>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cs="Times New Roman"/>
                <w:color w:val="0000FF"/>
                <w:sz w:val="21"/>
                <w:szCs w:val="21"/>
                <w:highlight w:val="none"/>
                <w:vertAlign w:val="baseline"/>
                <w:lang w:val="en-US" w:eastAsia="zh-CN"/>
              </w:rPr>
            </w:pPr>
          </w:p>
        </w:tc>
        <w:tc>
          <w:tcPr>
            <w:tcW w:w="696" w:type="pct"/>
            <w:vAlign w:val="center"/>
          </w:tcPr>
          <w:p w14:paraId="34790CF0">
            <w:pPr>
              <w:keepLines w:val="0"/>
              <w:pageBreakBefore w:val="0"/>
              <w:kinsoku/>
              <w:wordWrap/>
              <w:overflowPunct/>
              <w:topLinePunct w:val="0"/>
              <w:bidi w:val="0"/>
              <w:spacing w:line="320" w:lineRule="exact"/>
              <w:ind w:left="0" w:left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废耗材</w:t>
            </w:r>
          </w:p>
        </w:tc>
        <w:tc>
          <w:tcPr>
            <w:tcW w:w="537" w:type="pct"/>
            <w:vAlign w:val="center"/>
          </w:tcPr>
          <w:p w14:paraId="0FD1D18F">
            <w:pPr>
              <w:keepLines w:val="0"/>
              <w:pageBreakBefore w:val="0"/>
              <w:kinsoku/>
              <w:wordWrap/>
              <w:overflowPunct/>
              <w:topLinePunct w:val="0"/>
              <w:bidi w:val="0"/>
              <w:spacing w:line="320" w:lineRule="exact"/>
              <w:ind w:left="0" w:lef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0</w:t>
            </w:r>
          </w:p>
        </w:tc>
        <w:tc>
          <w:tcPr>
            <w:tcW w:w="488" w:type="pct"/>
            <w:vAlign w:val="center"/>
          </w:tcPr>
          <w:p w14:paraId="49A44320">
            <w:pPr>
              <w:keepLines w:val="0"/>
              <w:pageBreakBefore w:val="0"/>
              <w:kinsoku/>
              <w:wordWrap/>
              <w:overflowPunct/>
              <w:topLinePunct w:val="0"/>
              <w:bidi w:val="0"/>
              <w:spacing w:line="320" w:lineRule="exact"/>
              <w:ind w:left="0" w:lef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0</w:t>
            </w:r>
          </w:p>
        </w:tc>
        <w:tc>
          <w:tcPr>
            <w:tcW w:w="548" w:type="pct"/>
            <w:vAlign w:val="center"/>
          </w:tcPr>
          <w:p w14:paraId="2F7CC07D">
            <w:pPr>
              <w:keepLines w:val="0"/>
              <w:pageBreakBefore w:val="0"/>
              <w:kinsoku/>
              <w:wordWrap/>
              <w:overflowPunct/>
              <w:topLinePunct w:val="0"/>
              <w:bidi w:val="0"/>
              <w:spacing w:line="320" w:lineRule="exact"/>
              <w:ind w:left="0" w:lef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0</w:t>
            </w:r>
          </w:p>
        </w:tc>
        <w:tc>
          <w:tcPr>
            <w:tcW w:w="549" w:type="pct"/>
            <w:vAlign w:val="center"/>
          </w:tcPr>
          <w:p w14:paraId="5AA85166">
            <w:pPr>
              <w:keepLines w:val="0"/>
              <w:pageBreakBefore w:val="0"/>
              <w:kinsoku/>
              <w:wordWrap/>
              <w:overflowPunct/>
              <w:topLinePunct w:val="0"/>
              <w:bidi w:val="0"/>
              <w:spacing w:line="320" w:lineRule="exact"/>
              <w:ind w:left="0" w:leftChars="0"/>
              <w:jc w:val="center"/>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2"/>
                <w:sz w:val="21"/>
                <w:szCs w:val="21"/>
                <w:highlight w:val="none"/>
                <w:lang w:val="en-US" w:eastAsia="zh-CN" w:bidi="ar-SA"/>
              </w:rPr>
              <w:t>0.02</w:t>
            </w:r>
            <w:r>
              <w:rPr>
                <w:rFonts w:hint="eastAsia" w:ascii="Times New Roman" w:hAnsi="Times New Roman" w:eastAsia="宋体" w:cs="Times New Roman"/>
                <w:color w:val="auto"/>
                <w:kern w:val="0"/>
                <w:sz w:val="21"/>
                <w:szCs w:val="21"/>
                <w:highlight w:val="none"/>
                <w:lang w:val="en-US" w:eastAsia="zh-CN"/>
              </w:rPr>
              <w:t>t/a</w:t>
            </w:r>
          </w:p>
        </w:tc>
        <w:tc>
          <w:tcPr>
            <w:tcW w:w="585" w:type="pct"/>
            <w:vAlign w:val="center"/>
          </w:tcPr>
          <w:p w14:paraId="72B987CC">
            <w:pPr>
              <w:keepLines w:val="0"/>
              <w:pageBreakBefore w:val="0"/>
              <w:kinsoku/>
              <w:wordWrap/>
              <w:overflowPunct/>
              <w:topLinePunct w:val="0"/>
              <w:bidi w:val="0"/>
              <w:spacing w:line="320" w:lineRule="exact"/>
              <w:ind w:left="0" w:lef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0</w:t>
            </w:r>
          </w:p>
        </w:tc>
        <w:tc>
          <w:tcPr>
            <w:tcW w:w="690" w:type="pct"/>
            <w:vAlign w:val="center"/>
          </w:tcPr>
          <w:p w14:paraId="2EE5E92C">
            <w:pPr>
              <w:keepLines w:val="0"/>
              <w:pageBreakBefore w:val="0"/>
              <w:kinsoku/>
              <w:wordWrap/>
              <w:overflowPunct/>
              <w:topLinePunct w:val="0"/>
              <w:bidi w:val="0"/>
              <w:spacing w:line="320" w:lineRule="exact"/>
              <w:ind w:left="0" w:leftChars="0"/>
              <w:jc w:val="center"/>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2"/>
                <w:sz w:val="21"/>
                <w:szCs w:val="21"/>
                <w:highlight w:val="none"/>
                <w:lang w:val="en-US" w:eastAsia="zh-CN" w:bidi="ar-SA"/>
              </w:rPr>
              <w:t>0.02</w:t>
            </w:r>
            <w:r>
              <w:rPr>
                <w:rFonts w:hint="eastAsia" w:ascii="Times New Roman" w:hAnsi="Times New Roman" w:eastAsia="宋体" w:cs="Times New Roman"/>
                <w:color w:val="auto"/>
                <w:kern w:val="0"/>
                <w:sz w:val="21"/>
                <w:szCs w:val="21"/>
                <w:highlight w:val="none"/>
                <w:lang w:val="en-US" w:eastAsia="zh-CN"/>
              </w:rPr>
              <w:t>t/a</w:t>
            </w:r>
          </w:p>
        </w:tc>
        <w:tc>
          <w:tcPr>
            <w:tcW w:w="437" w:type="pct"/>
            <w:vAlign w:val="center"/>
          </w:tcPr>
          <w:p w14:paraId="0C5A617E">
            <w:pPr>
              <w:keepLines w:val="0"/>
              <w:pageBreakBefore w:val="0"/>
              <w:kinsoku/>
              <w:wordWrap/>
              <w:overflowPunct/>
              <w:topLinePunct w:val="0"/>
              <w:bidi w:val="0"/>
              <w:spacing w:line="320" w:lineRule="exact"/>
              <w:ind w:left="0" w:leftChars="0"/>
              <w:jc w:val="center"/>
              <w:rPr>
                <w:rFonts w:hint="eastAsia"/>
                <w:color w:val="auto"/>
                <w:spacing w:val="-9"/>
                <w:sz w:val="21"/>
                <w:szCs w:val="21"/>
                <w:highlight w:val="none"/>
                <w:lang w:val="en-US" w:eastAsia="zh-CN"/>
              </w:rPr>
            </w:pPr>
            <w:r>
              <w:rPr>
                <w:rFonts w:hint="eastAsia"/>
                <w:color w:val="auto"/>
                <w:spacing w:val="-9"/>
                <w:sz w:val="21"/>
                <w:szCs w:val="21"/>
                <w:highlight w:val="none"/>
                <w:lang w:val="en-US" w:eastAsia="zh-CN"/>
              </w:rPr>
              <w:t>/</w:t>
            </w:r>
          </w:p>
        </w:tc>
      </w:tr>
      <w:tr w14:paraId="3F8AA14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8" w:type="pct"/>
            <w:vMerge w:val="continue"/>
            <w:vAlign w:val="center"/>
          </w:tcPr>
          <w:p w14:paraId="21BCD9E4">
            <w:pPr>
              <w:pStyle w:val="44"/>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cs="Times New Roman"/>
                <w:color w:val="0000FF"/>
                <w:sz w:val="21"/>
                <w:szCs w:val="21"/>
                <w:highlight w:val="none"/>
                <w:vertAlign w:val="baseline"/>
                <w:lang w:val="en-US" w:eastAsia="zh-CN"/>
              </w:rPr>
            </w:pPr>
          </w:p>
        </w:tc>
        <w:tc>
          <w:tcPr>
            <w:tcW w:w="696" w:type="pct"/>
            <w:vAlign w:val="center"/>
          </w:tcPr>
          <w:p w14:paraId="42D85E25">
            <w:pPr>
              <w:keepLines w:val="0"/>
              <w:pageBreakBefore w:val="0"/>
              <w:kinsoku/>
              <w:wordWrap/>
              <w:overflowPunct/>
              <w:topLinePunct w:val="0"/>
              <w:bidi w:val="0"/>
              <w:spacing w:line="320" w:lineRule="exact"/>
              <w:ind w:left="0" w:leftChars="0"/>
              <w:jc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过期试剂</w:t>
            </w:r>
          </w:p>
        </w:tc>
        <w:tc>
          <w:tcPr>
            <w:tcW w:w="537" w:type="pct"/>
            <w:vAlign w:val="center"/>
          </w:tcPr>
          <w:p w14:paraId="2E7B28C9">
            <w:pPr>
              <w:keepLines w:val="0"/>
              <w:pageBreakBefore w:val="0"/>
              <w:kinsoku/>
              <w:wordWrap/>
              <w:overflowPunct/>
              <w:topLinePunct w:val="0"/>
              <w:bidi w:val="0"/>
              <w:spacing w:line="320" w:lineRule="exact"/>
              <w:ind w:left="0" w:lef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0</w:t>
            </w:r>
          </w:p>
        </w:tc>
        <w:tc>
          <w:tcPr>
            <w:tcW w:w="488" w:type="pct"/>
            <w:vAlign w:val="center"/>
          </w:tcPr>
          <w:p w14:paraId="2BBC35C6">
            <w:pPr>
              <w:keepLines w:val="0"/>
              <w:pageBreakBefore w:val="0"/>
              <w:kinsoku/>
              <w:wordWrap/>
              <w:overflowPunct/>
              <w:topLinePunct w:val="0"/>
              <w:bidi w:val="0"/>
              <w:spacing w:line="320" w:lineRule="exact"/>
              <w:ind w:left="0" w:lef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0</w:t>
            </w:r>
          </w:p>
        </w:tc>
        <w:tc>
          <w:tcPr>
            <w:tcW w:w="548" w:type="pct"/>
            <w:vAlign w:val="center"/>
          </w:tcPr>
          <w:p w14:paraId="4CF9F127">
            <w:pPr>
              <w:keepLines w:val="0"/>
              <w:pageBreakBefore w:val="0"/>
              <w:kinsoku/>
              <w:wordWrap/>
              <w:overflowPunct/>
              <w:topLinePunct w:val="0"/>
              <w:bidi w:val="0"/>
              <w:spacing w:line="320" w:lineRule="exact"/>
              <w:ind w:left="0" w:lef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0</w:t>
            </w:r>
          </w:p>
        </w:tc>
        <w:tc>
          <w:tcPr>
            <w:tcW w:w="549" w:type="pct"/>
            <w:vAlign w:val="center"/>
          </w:tcPr>
          <w:p w14:paraId="2CFA7BDB">
            <w:pPr>
              <w:keepLines w:val="0"/>
              <w:pageBreakBefore w:val="0"/>
              <w:kinsoku/>
              <w:wordWrap/>
              <w:overflowPunct/>
              <w:topLinePunct w:val="0"/>
              <w:bidi w:val="0"/>
              <w:spacing w:line="320" w:lineRule="exact"/>
              <w:ind w:left="0" w:leftChars="0"/>
              <w:jc w:val="center"/>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2"/>
                <w:sz w:val="21"/>
                <w:szCs w:val="21"/>
                <w:highlight w:val="none"/>
                <w:lang w:val="en-US" w:eastAsia="zh-CN" w:bidi="ar-SA"/>
              </w:rPr>
              <w:t>0.3</w:t>
            </w:r>
            <w:r>
              <w:rPr>
                <w:rFonts w:hint="eastAsia" w:ascii="Times New Roman" w:hAnsi="Times New Roman" w:eastAsia="宋体" w:cs="Times New Roman"/>
                <w:color w:val="auto"/>
                <w:kern w:val="0"/>
                <w:sz w:val="21"/>
                <w:szCs w:val="21"/>
                <w:highlight w:val="none"/>
                <w:lang w:val="en-US" w:eastAsia="zh-CN"/>
              </w:rPr>
              <w:t>t/a</w:t>
            </w:r>
          </w:p>
        </w:tc>
        <w:tc>
          <w:tcPr>
            <w:tcW w:w="585" w:type="pct"/>
            <w:vAlign w:val="center"/>
          </w:tcPr>
          <w:p w14:paraId="6F3B43CB">
            <w:pPr>
              <w:keepLines w:val="0"/>
              <w:pageBreakBefore w:val="0"/>
              <w:kinsoku/>
              <w:wordWrap/>
              <w:overflowPunct/>
              <w:topLinePunct w:val="0"/>
              <w:bidi w:val="0"/>
              <w:spacing w:line="320" w:lineRule="exact"/>
              <w:ind w:left="0" w:lef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0</w:t>
            </w:r>
          </w:p>
        </w:tc>
        <w:tc>
          <w:tcPr>
            <w:tcW w:w="690" w:type="pct"/>
            <w:vAlign w:val="center"/>
          </w:tcPr>
          <w:p w14:paraId="1BE2A6C1">
            <w:pPr>
              <w:keepLines w:val="0"/>
              <w:pageBreakBefore w:val="0"/>
              <w:kinsoku/>
              <w:wordWrap/>
              <w:overflowPunct/>
              <w:topLinePunct w:val="0"/>
              <w:bidi w:val="0"/>
              <w:spacing w:line="320" w:lineRule="exact"/>
              <w:ind w:left="0" w:leftChars="0"/>
              <w:jc w:val="center"/>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2"/>
                <w:sz w:val="21"/>
                <w:szCs w:val="21"/>
                <w:highlight w:val="none"/>
                <w:lang w:val="en-US" w:eastAsia="zh-CN" w:bidi="ar-SA"/>
              </w:rPr>
              <w:t>0.3</w:t>
            </w:r>
            <w:r>
              <w:rPr>
                <w:rFonts w:hint="eastAsia" w:ascii="Times New Roman" w:hAnsi="Times New Roman" w:eastAsia="宋体" w:cs="Times New Roman"/>
                <w:color w:val="auto"/>
                <w:kern w:val="0"/>
                <w:sz w:val="21"/>
                <w:szCs w:val="21"/>
                <w:highlight w:val="none"/>
                <w:lang w:val="en-US" w:eastAsia="zh-CN"/>
              </w:rPr>
              <w:t>t/a</w:t>
            </w:r>
          </w:p>
        </w:tc>
        <w:tc>
          <w:tcPr>
            <w:tcW w:w="437" w:type="pct"/>
            <w:vAlign w:val="center"/>
          </w:tcPr>
          <w:p w14:paraId="0C97CFE3">
            <w:pPr>
              <w:keepLines w:val="0"/>
              <w:pageBreakBefore w:val="0"/>
              <w:kinsoku/>
              <w:wordWrap/>
              <w:overflowPunct/>
              <w:topLinePunct w:val="0"/>
              <w:bidi w:val="0"/>
              <w:spacing w:line="320" w:lineRule="exact"/>
              <w:ind w:left="0" w:leftChars="0"/>
              <w:jc w:val="center"/>
              <w:rPr>
                <w:rFonts w:hint="eastAsia" w:ascii="Times New Roman" w:hAnsi="Times New Roman" w:eastAsia="宋体" w:cs="Times New Roman"/>
                <w:color w:val="auto"/>
                <w:kern w:val="0"/>
                <w:sz w:val="21"/>
                <w:szCs w:val="21"/>
                <w:highlight w:val="none"/>
                <w:lang w:val="en-US" w:eastAsia="zh-CN"/>
              </w:rPr>
            </w:pPr>
            <w:r>
              <w:rPr>
                <w:rFonts w:hint="eastAsia"/>
                <w:color w:val="auto"/>
                <w:spacing w:val="-9"/>
                <w:sz w:val="21"/>
                <w:szCs w:val="21"/>
                <w:highlight w:val="none"/>
                <w:lang w:val="en-US" w:eastAsia="zh-CN"/>
              </w:rPr>
              <w:t>/</w:t>
            </w:r>
          </w:p>
        </w:tc>
      </w:tr>
      <w:tr w14:paraId="1FA3511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8" w:type="pct"/>
            <w:vMerge w:val="continue"/>
            <w:vAlign w:val="center"/>
          </w:tcPr>
          <w:p w14:paraId="36BB097E">
            <w:pPr>
              <w:pStyle w:val="44"/>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cs="Times New Roman"/>
                <w:color w:val="0000FF"/>
                <w:sz w:val="21"/>
                <w:szCs w:val="21"/>
                <w:highlight w:val="none"/>
                <w:vertAlign w:val="baseline"/>
                <w:lang w:val="en-US" w:eastAsia="zh-CN"/>
              </w:rPr>
            </w:pPr>
          </w:p>
        </w:tc>
        <w:tc>
          <w:tcPr>
            <w:tcW w:w="696" w:type="pct"/>
            <w:vAlign w:val="center"/>
          </w:tcPr>
          <w:p w14:paraId="1B9342ED">
            <w:pPr>
              <w:keepLines w:val="0"/>
              <w:pageBreakBefore w:val="0"/>
              <w:kinsoku/>
              <w:wordWrap/>
              <w:overflowPunct/>
              <w:topLinePunct w:val="0"/>
              <w:bidi w:val="0"/>
              <w:spacing w:line="320" w:lineRule="exact"/>
              <w:ind w:left="0" w:leftChars="0"/>
              <w:jc w:val="center"/>
              <w:rPr>
                <w:rFonts w:hint="eastAsia"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废残留样品</w:t>
            </w:r>
          </w:p>
        </w:tc>
        <w:tc>
          <w:tcPr>
            <w:tcW w:w="537" w:type="pct"/>
            <w:vAlign w:val="center"/>
          </w:tcPr>
          <w:p w14:paraId="1D2A7735">
            <w:pPr>
              <w:keepLines w:val="0"/>
              <w:pageBreakBefore w:val="0"/>
              <w:kinsoku/>
              <w:wordWrap/>
              <w:overflowPunct/>
              <w:topLinePunct w:val="0"/>
              <w:bidi w:val="0"/>
              <w:spacing w:line="320" w:lineRule="exact"/>
              <w:ind w:left="0" w:lef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0</w:t>
            </w:r>
          </w:p>
        </w:tc>
        <w:tc>
          <w:tcPr>
            <w:tcW w:w="488" w:type="pct"/>
            <w:vAlign w:val="center"/>
          </w:tcPr>
          <w:p w14:paraId="4D1309F4">
            <w:pPr>
              <w:keepLines w:val="0"/>
              <w:pageBreakBefore w:val="0"/>
              <w:kinsoku/>
              <w:wordWrap/>
              <w:overflowPunct/>
              <w:topLinePunct w:val="0"/>
              <w:bidi w:val="0"/>
              <w:spacing w:line="320" w:lineRule="exact"/>
              <w:ind w:left="0" w:lef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0</w:t>
            </w:r>
          </w:p>
        </w:tc>
        <w:tc>
          <w:tcPr>
            <w:tcW w:w="548" w:type="pct"/>
            <w:vAlign w:val="center"/>
          </w:tcPr>
          <w:p w14:paraId="604588B6">
            <w:pPr>
              <w:keepLines w:val="0"/>
              <w:pageBreakBefore w:val="0"/>
              <w:kinsoku/>
              <w:wordWrap/>
              <w:overflowPunct/>
              <w:topLinePunct w:val="0"/>
              <w:bidi w:val="0"/>
              <w:spacing w:line="320" w:lineRule="exact"/>
              <w:ind w:left="0" w:lef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0</w:t>
            </w:r>
          </w:p>
        </w:tc>
        <w:tc>
          <w:tcPr>
            <w:tcW w:w="549" w:type="pct"/>
            <w:vAlign w:val="center"/>
          </w:tcPr>
          <w:p w14:paraId="5E0AD6EE">
            <w:pPr>
              <w:keepLines w:val="0"/>
              <w:pageBreakBefore w:val="0"/>
              <w:kinsoku/>
              <w:wordWrap/>
              <w:overflowPunct/>
              <w:topLinePunct w:val="0"/>
              <w:bidi w:val="0"/>
              <w:spacing w:line="320" w:lineRule="exact"/>
              <w:ind w:left="0" w:leftChars="0"/>
              <w:jc w:val="center"/>
              <w:rPr>
                <w:rFonts w:hint="eastAsia" w:cs="Times New Roman"/>
                <w:color w:val="auto"/>
                <w:kern w:val="0"/>
                <w:sz w:val="21"/>
                <w:szCs w:val="21"/>
                <w:highlight w:val="none"/>
                <w:lang w:val="en-US" w:eastAsia="zh-CN"/>
              </w:rPr>
            </w:pPr>
            <w:r>
              <w:rPr>
                <w:rFonts w:hint="eastAsia" w:ascii="Times New Roman" w:hAnsi="Times New Roman" w:cs="Times New Roman"/>
                <w:color w:val="auto"/>
                <w:kern w:val="2"/>
                <w:sz w:val="21"/>
                <w:szCs w:val="21"/>
                <w:highlight w:val="none"/>
                <w:lang w:val="en-US" w:eastAsia="zh-CN" w:bidi="ar-SA"/>
              </w:rPr>
              <w:t>0.3</w:t>
            </w:r>
            <w:r>
              <w:rPr>
                <w:rFonts w:hint="eastAsia" w:cs="Times New Roman"/>
                <w:color w:val="auto"/>
                <w:sz w:val="21"/>
                <w:szCs w:val="21"/>
                <w:highlight w:val="none"/>
                <w:lang w:val="en-US" w:eastAsia="zh-CN"/>
              </w:rPr>
              <w:t>t</w:t>
            </w:r>
            <w:r>
              <w:rPr>
                <w:rFonts w:hint="eastAsia" w:ascii="Times New Roman" w:hAnsi="Times New Roman" w:eastAsia="宋体" w:cs="Times New Roman"/>
                <w:color w:val="auto"/>
                <w:kern w:val="0"/>
                <w:sz w:val="21"/>
                <w:szCs w:val="21"/>
                <w:highlight w:val="none"/>
                <w:lang w:val="en-US" w:eastAsia="zh-CN"/>
              </w:rPr>
              <w:t>/a</w:t>
            </w:r>
          </w:p>
        </w:tc>
        <w:tc>
          <w:tcPr>
            <w:tcW w:w="585" w:type="pct"/>
            <w:vAlign w:val="center"/>
          </w:tcPr>
          <w:p w14:paraId="5BB52BFB">
            <w:pPr>
              <w:keepLines w:val="0"/>
              <w:pageBreakBefore w:val="0"/>
              <w:kinsoku/>
              <w:wordWrap/>
              <w:overflowPunct/>
              <w:topLinePunct w:val="0"/>
              <w:bidi w:val="0"/>
              <w:spacing w:line="320" w:lineRule="exact"/>
              <w:ind w:left="0" w:lef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0</w:t>
            </w:r>
          </w:p>
        </w:tc>
        <w:tc>
          <w:tcPr>
            <w:tcW w:w="690" w:type="pct"/>
            <w:vAlign w:val="center"/>
          </w:tcPr>
          <w:p w14:paraId="279C76A0">
            <w:pPr>
              <w:keepLines w:val="0"/>
              <w:pageBreakBefore w:val="0"/>
              <w:kinsoku/>
              <w:wordWrap/>
              <w:overflowPunct/>
              <w:topLinePunct w:val="0"/>
              <w:bidi w:val="0"/>
              <w:spacing w:line="320" w:lineRule="exact"/>
              <w:ind w:left="0" w:leftChars="0"/>
              <w:jc w:val="center"/>
              <w:rPr>
                <w:rFonts w:hint="eastAsia" w:cs="Times New Roman"/>
                <w:color w:val="auto"/>
                <w:kern w:val="0"/>
                <w:sz w:val="21"/>
                <w:szCs w:val="21"/>
                <w:highlight w:val="none"/>
                <w:lang w:val="en-US" w:eastAsia="zh-CN"/>
              </w:rPr>
            </w:pPr>
            <w:r>
              <w:rPr>
                <w:rFonts w:hint="eastAsia" w:ascii="Times New Roman" w:hAnsi="Times New Roman" w:cs="Times New Roman"/>
                <w:color w:val="auto"/>
                <w:kern w:val="2"/>
                <w:sz w:val="21"/>
                <w:szCs w:val="21"/>
                <w:highlight w:val="none"/>
                <w:lang w:val="en-US" w:eastAsia="zh-CN" w:bidi="ar-SA"/>
              </w:rPr>
              <w:t>0.3</w:t>
            </w:r>
            <w:r>
              <w:rPr>
                <w:rFonts w:hint="eastAsia" w:cs="Times New Roman"/>
                <w:color w:val="auto"/>
                <w:sz w:val="21"/>
                <w:szCs w:val="21"/>
                <w:highlight w:val="none"/>
                <w:lang w:val="en-US" w:eastAsia="zh-CN"/>
              </w:rPr>
              <w:t>t</w:t>
            </w:r>
            <w:r>
              <w:rPr>
                <w:rFonts w:hint="eastAsia" w:ascii="Times New Roman" w:hAnsi="Times New Roman" w:eastAsia="宋体" w:cs="Times New Roman"/>
                <w:color w:val="auto"/>
                <w:kern w:val="0"/>
                <w:sz w:val="21"/>
                <w:szCs w:val="21"/>
                <w:highlight w:val="none"/>
                <w:lang w:val="en-US" w:eastAsia="zh-CN"/>
              </w:rPr>
              <w:t>/a</w:t>
            </w:r>
          </w:p>
        </w:tc>
        <w:tc>
          <w:tcPr>
            <w:tcW w:w="437" w:type="pct"/>
            <w:vAlign w:val="center"/>
          </w:tcPr>
          <w:p w14:paraId="40AE3195">
            <w:pPr>
              <w:keepLines w:val="0"/>
              <w:pageBreakBefore w:val="0"/>
              <w:kinsoku/>
              <w:wordWrap/>
              <w:overflowPunct/>
              <w:topLinePunct w:val="0"/>
              <w:bidi w:val="0"/>
              <w:spacing w:line="320" w:lineRule="exact"/>
              <w:ind w:left="0" w:leftChars="0"/>
              <w:jc w:val="center"/>
              <w:rPr>
                <w:rFonts w:hint="eastAsia"/>
                <w:color w:val="auto"/>
                <w:spacing w:val="-9"/>
                <w:sz w:val="21"/>
                <w:szCs w:val="21"/>
                <w:highlight w:val="none"/>
                <w:lang w:val="en-US" w:eastAsia="zh-CN"/>
              </w:rPr>
            </w:pPr>
            <w:r>
              <w:rPr>
                <w:rFonts w:hint="eastAsia"/>
                <w:color w:val="auto"/>
                <w:spacing w:val="-9"/>
                <w:sz w:val="21"/>
                <w:szCs w:val="21"/>
                <w:highlight w:val="none"/>
                <w:lang w:val="en-US" w:eastAsia="zh-CN"/>
              </w:rPr>
              <w:t>/</w:t>
            </w:r>
          </w:p>
        </w:tc>
      </w:tr>
      <w:tr w14:paraId="0471FED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8" w:type="pct"/>
            <w:vMerge w:val="continue"/>
            <w:vAlign w:val="center"/>
          </w:tcPr>
          <w:p w14:paraId="078077DA">
            <w:pPr>
              <w:pStyle w:val="44"/>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cs="Times New Roman"/>
                <w:color w:val="0000FF"/>
                <w:sz w:val="21"/>
                <w:szCs w:val="21"/>
                <w:highlight w:val="none"/>
                <w:vertAlign w:val="baseline"/>
                <w:lang w:val="en-US" w:eastAsia="zh-CN"/>
              </w:rPr>
            </w:pPr>
          </w:p>
        </w:tc>
        <w:tc>
          <w:tcPr>
            <w:tcW w:w="696" w:type="pct"/>
            <w:vAlign w:val="center"/>
          </w:tcPr>
          <w:p w14:paraId="036AF8E1">
            <w:pPr>
              <w:keepLines w:val="0"/>
              <w:pageBreakBefore w:val="0"/>
              <w:kinsoku/>
              <w:wordWrap/>
              <w:overflowPunct/>
              <w:topLinePunct w:val="0"/>
              <w:bidi w:val="0"/>
              <w:spacing w:line="320" w:lineRule="exact"/>
              <w:ind w:left="0" w:leftChars="0"/>
              <w:jc w:val="center"/>
              <w:rPr>
                <w:rFonts w:hint="eastAsia"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废活性炭</w:t>
            </w:r>
          </w:p>
        </w:tc>
        <w:tc>
          <w:tcPr>
            <w:tcW w:w="537" w:type="pct"/>
            <w:vAlign w:val="center"/>
          </w:tcPr>
          <w:p w14:paraId="47800DD4">
            <w:pPr>
              <w:keepLines w:val="0"/>
              <w:pageBreakBefore w:val="0"/>
              <w:kinsoku/>
              <w:wordWrap/>
              <w:overflowPunct/>
              <w:topLinePunct w:val="0"/>
              <w:bidi w:val="0"/>
              <w:spacing w:line="320" w:lineRule="exact"/>
              <w:ind w:left="0" w:lef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0</w:t>
            </w:r>
          </w:p>
        </w:tc>
        <w:tc>
          <w:tcPr>
            <w:tcW w:w="488" w:type="pct"/>
            <w:vAlign w:val="center"/>
          </w:tcPr>
          <w:p w14:paraId="2FDF2DCA">
            <w:pPr>
              <w:keepLines w:val="0"/>
              <w:pageBreakBefore w:val="0"/>
              <w:kinsoku/>
              <w:wordWrap/>
              <w:overflowPunct/>
              <w:topLinePunct w:val="0"/>
              <w:bidi w:val="0"/>
              <w:spacing w:line="320" w:lineRule="exact"/>
              <w:ind w:left="0" w:lef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0</w:t>
            </w:r>
          </w:p>
        </w:tc>
        <w:tc>
          <w:tcPr>
            <w:tcW w:w="548" w:type="pct"/>
            <w:vAlign w:val="center"/>
          </w:tcPr>
          <w:p w14:paraId="42F6D0CB">
            <w:pPr>
              <w:keepLines w:val="0"/>
              <w:pageBreakBefore w:val="0"/>
              <w:kinsoku/>
              <w:wordWrap/>
              <w:overflowPunct/>
              <w:topLinePunct w:val="0"/>
              <w:bidi w:val="0"/>
              <w:spacing w:line="320" w:lineRule="exact"/>
              <w:ind w:left="0" w:lef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0</w:t>
            </w:r>
          </w:p>
        </w:tc>
        <w:tc>
          <w:tcPr>
            <w:tcW w:w="549" w:type="pct"/>
            <w:vAlign w:val="center"/>
          </w:tcPr>
          <w:p w14:paraId="29E053C9">
            <w:pPr>
              <w:keepLines w:val="0"/>
              <w:pageBreakBefore w:val="0"/>
              <w:kinsoku/>
              <w:wordWrap/>
              <w:overflowPunct/>
              <w:topLinePunct w:val="0"/>
              <w:bidi w:val="0"/>
              <w:spacing w:line="320" w:lineRule="exact"/>
              <w:ind w:left="0" w:leftChars="0"/>
              <w:jc w:val="center"/>
              <w:rPr>
                <w:rFonts w:hint="eastAsia" w:cs="Times New Roman"/>
                <w:color w:val="auto"/>
                <w:kern w:val="0"/>
                <w:sz w:val="21"/>
                <w:szCs w:val="21"/>
                <w:highlight w:val="none"/>
                <w:lang w:val="en-US" w:eastAsia="zh-CN"/>
              </w:rPr>
            </w:pPr>
            <w:r>
              <w:rPr>
                <w:rFonts w:hint="eastAsia" w:ascii="Times New Roman" w:hAnsi="Times New Roman" w:cs="Times New Roman"/>
                <w:color w:val="auto"/>
                <w:kern w:val="2"/>
                <w:sz w:val="21"/>
                <w:szCs w:val="21"/>
                <w:highlight w:val="none"/>
                <w:lang w:val="en-US" w:eastAsia="zh-CN" w:bidi="ar-SA"/>
              </w:rPr>
              <w:t>2</w:t>
            </w:r>
            <w:r>
              <w:rPr>
                <w:rFonts w:hint="eastAsia" w:cs="Times New Roman"/>
                <w:color w:val="auto"/>
                <w:sz w:val="21"/>
                <w:szCs w:val="21"/>
                <w:highlight w:val="none"/>
                <w:lang w:val="en-US" w:eastAsia="zh-CN"/>
              </w:rPr>
              <w:t>t</w:t>
            </w:r>
            <w:r>
              <w:rPr>
                <w:rFonts w:hint="eastAsia" w:ascii="Times New Roman" w:hAnsi="Times New Roman" w:eastAsia="宋体" w:cs="Times New Roman"/>
                <w:color w:val="auto"/>
                <w:kern w:val="0"/>
                <w:sz w:val="21"/>
                <w:szCs w:val="21"/>
                <w:highlight w:val="none"/>
                <w:lang w:val="en-US" w:eastAsia="zh-CN"/>
              </w:rPr>
              <w:t>/a</w:t>
            </w:r>
          </w:p>
        </w:tc>
        <w:tc>
          <w:tcPr>
            <w:tcW w:w="585" w:type="pct"/>
            <w:vAlign w:val="center"/>
          </w:tcPr>
          <w:p w14:paraId="6F3A87E2">
            <w:pPr>
              <w:keepLines w:val="0"/>
              <w:pageBreakBefore w:val="0"/>
              <w:kinsoku/>
              <w:wordWrap/>
              <w:overflowPunct/>
              <w:topLinePunct w:val="0"/>
              <w:bidi w:val="0"/>
              <w:spacing w:line="320" w:lineRule="exact"/>
              <w:ind w:left="0" w:lef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0</w:t>
            </w:r>
          </w:p>
        </w:tc>
        <w:tc>
          <w:tcPr>
            <w:tcW w:w="690" w:type="pct"/>
            <w:vAlign w:val="center"/>
          </w:tcPr>
          <w:p w14:paraId="1F35086D">
            <w:pPr>
              <w:keepLines w:val="0"/>
              <w:pageBreakBefore w:val="0"/>
              <w:kinsoku/>
              <w:wordWrap/>
              <w:overflowPunct/>
              <w:topLinePunct w:val="0"/>
              <w:bidi w:val="0"/>
              <w:spacing w:line="320" w:lineRule="exact"/>
              <w:ind w:left="0" w:leftChars="0"/>
              <w:jc w:val="center"/>
              <w:rPr>
                <w:rFonts w:hint="eastAsia" w:cs="Times New Roman"/>
                <w:color w:val="auto"/>
                <w:kern w:val="0"/>
                <w:sz w:val="21"/>
                <w:szCs w:val="21"/>
                <w:highlight w:val="none"/>
                <w:lang w:val="en-US" w:eastAsia="zh-CN"/>
              </w:rPr>
            </w:pPr>
            <w:r>
              <w:rPr>
                <w:rFonts w:hint="eastAsia" w:ascii="Times New Roman" w:hAnsi="Times New Roman" w:cs="Times New Roman"/>
                <w:color w:val="auto"/>
                <w:kern w:val="2"/>
                <w:sz w:val="21"/>
                <w:szCs w:val="21"/>
                <w:highlight w:val="none"/>
                <w:lang w:val="en-US" w:eastAsia="zh-CN" w:bidi="ar-SA"/>
              </w:rPr>
              <w:t>2</w:t>
            </w:r>
            <w:r>
              <w:rPr>
                <w:rFonts w:hint="eastAsia" w:cs="Times New Roman"/>
                <w:color w:val="auto"/>
                <w:sz w:val="21"/>
                <w:szCs w:val="21"/>
                <w:highlight w:val="none"/>
                <w:lang w:val="en-US" w:eastAsia="zh-CN"/>
              </w:rPr>
              <w:t>t</w:t>
            </w:r>
            <w:r>
              <w:rPr>
                <w:rFonts w:hint="eastAsia" w:ascii="Times New Roman" w:hAnsi="Times New Roman" w:eastAsia="宋体" w:cs="Times New Roman"/>
                <w:color w:val="auto"/>
                <w:kern w:val="0"/>
                <w:sz w:val="21"/>
                <w:szCs w:val="21"/>
                <w:highlight w:val="none"/>
                <w:lang w:val="en-US" w:eastAsia="zh-CN"/>
              </w:rPr>
              <w:t>/a</w:t>
            </w:r>
          </w:p>
        </w:tc>
        <w:tc>
          <w:tcPr>
            <w:tcW w:w="437" w:type="pct"/>
            <w:vAlign w:val="center"/>
          </w:tcPr>
          <w:p w14:paraId="24DE91C7">
            <w:pPr>
              <w:keepLines w:val="0"/>
              <w:pageBreakBefore w:val="0"/>
              <w:kinsoku/>
              <w:wordWrap/>
              <w:overflowPunct/>
              <w:topLinePunct w:val="0"/>
              <w:bidi w:val="0"/>
              <w:spacing w:line="320" w:lineRule="exact"/>
              <w:ind w:left="0" w:leftChars="0"/>
              <w:jc w:val="center"/>
              <w:rPr>
                <w:rFonts w:hint="eastAsia"/>
                <w:color w:val="auto"/>
                <w:spacing w:val="-9"/>
                <w:sz w:val="21"/>
                <w:szCs w:val="21"/>
                <w:highlight w:val="none"/>
                <w:lang w:val="en-US" w:eastAsia="zh-CN"/>
              </w:rPr>
            </w:pPr>
            <w:r>
              <w:rPr>
                <w:rFonts w:hint="eastAsia"/>
                <w:color w:val="auto"/>
                <w:spacing w:val="-9"/>
                <w:sz w:val="21"/>
                <w:szCs w:val="21"/>
                <w:highlight w:val="none"/>
                <w:lang w:val="en-US" w:eastAsia="zh-CN"/>
              </w:rPr>
              <w:t>/</w:t>
            </w:r>
          </w:p>
        </w:tc>
      </w:tr>
    </w:tbl>
    <w:p w14:paraId="0A631EA0">
      <w:pPr>
        <w:bidi w:val="0"/>
        <w:rPr>
          <w:color w:val="auto"/>
          <w:highlight w:val="none"/>
        </w:rPr>
      </w:pPr>
      <w:r>
        <w:rPr>
          <w:rFonts w:hint="default" w:ascii="Times New Roman" w:hAnsi="Times New Roman" w:eastAsia="宋体" w:cs="Times New Roman"/>
          <w:color w:val="auto"/>
          <w:spacing w:val="-7"/>
          <w:sz w:val="21"/>
          <w:szCs w:val="21"/>
          <w:highlight w:val="none"/>
        </w:rPr>
        <w:t>注：⑥=①+③+④-⑤；⑦=⑥-①</w:t>
      </w:r>
      <w:bookmarkEnd w:id="9"/>
    </w:p>
    <w:sectPr>
      <w:footerReference r:id="rId11" w:type="even"/>
      <w:pgSz w:w="16838" w:h="11910" w:orient="landscape"/>
      <w:pgMar w:top="1417" w:right="1417" w:bottom="1417" w:left="1417" w:header="720" w:footer="1043" w:gutter="0"/>
      <w:pgBorders>
        <w:top w:val="none" w:sz="0" w:space="0"/>
        <w:left w:val="none" w:sz="0" w:space="0"/>
        <w:bottom w:val="none" w:sz="0" w:space="0"/>
        <w:right w:val="none" w:sz="0" w:space="0"/>
      </w:pgBorders>
      <w:pgNumType w:fmt="numberInDash"/>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0000000000000000000"/>
    <w:charset w:val="86"/>
    <w:family w:val="auto"/>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TimesNewRoman">
    <w:altName w:val="Times New Roman"/>
    <w:panose1 w:val="00000000000000000000"/>
    <w:charset w:val="00"/>
    <w:family w:val="roman"/>
    <w:pitch w:val="default"/>
    <w:sig w:usb0="00000000" w:usb1="00000000" w:usb2="00000000" w:usb3="00000000" w:csb0="00000001" w:csb1="00000000"/>
  </w:font>
  <w:font w:name="TimesNewRomanPSMT">
    <w:altName w:val="宋体"/>
    <w:panose1 w:val="00000000000000000000"/>
    <w:charset w:val="86"/>
    <w:family w:val="roman"/>
    <w:pitch w:val="default"/>
    <w:sig w:usb0="00000000" w:usb1="00000000" w:usb2="00000010" w:usb3="00000000" w:csb0="00060001"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395EC17">
    <w:pPr>
      <w:spacing w:before="0" w:after="0"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CA46A03">
    <w:pPr>
      <w:spacing w:before="0" w:after="0"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2BD98AB">
    <w:pPr>
      <w:pStyle w:val="2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6CD9E63">
                          <w:pPr>
                            <w:pStyle w:val="2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14:paraId="56CD9E63">
                    <w:pPr>
                      <w:pStyle w:val="2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096BFCA">
    <w:pPr>
      <w:pStyle w:val="26"/>
      <w:jc w:val="center"/>
      <w:rPr>
        <w:rFonts w:hint="default"/>
        <w:lang w:val="en-US"/>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59AC492">
                          <w:pPr>
                            <w:pStyle w:val="26"/>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14:paraId="159AC492">
                    <w:pPr>
                      <w:pStyle w:val="26"/>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2F52A82">
    <w:pPr>
      <w:pStyle w:val="2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81FC524">
                          <w:pPr>
                            <w:pStyle w:val="26"/>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14:paraId="381FC524">
                    <w:pPr>
                      <w:pStyle w:val="26"/>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DB5B3C2">
    <w:pPr>
      <w:spacing w:before="0" w:after="0" w:line="14" w:lineRule="auto"/>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10699687">
                          <w:pPr>
                            <w:pStyle w:val="2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mEs+A5AgAAcQ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OmEs+A5AgAAcQQAAA4AAAAAAAAAAQAgAAAAHwEAAGRycy9lMm9Eb2Mu&#10;eG1sUEsFBgAAAAAGAAYAWQEAAMoFAAAAAA==&#10;">
              <v:fill on="f" focussize="0,0"/>
              <v:stroke on="f" weight="0.5pt"/>
              <v:imagedata o:title=""/>
              <o:lock v:ext="edit" aspectratio="f"/>
              <v:textbox inset="0mm,0mm,0mm,0mm" style="mso-fit-shape-to-text:t;">
                <w:txbxContent>
                  <w:p w14:paraId="10699687">
                    <w:pPr>
                      <w:pStyle w:val="2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12</w:t>
                    </w:r>
                    <w:r>
                      <w:rPr>
                        <w:rFonts w:hint="eastAsia" w:eastAsia="宋体"/>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6CB88B2">
    <w:pPr>
      <w:pStyle w:val="27"/>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92388B"/>
    <w:multiLevelType w:val="singleLevel"/>
    <w:tmpl w:val="F692388B"/>
    <w:lvl w:ilvl="0" w:tentative="0">
      <w:start w:val="5"/>
      <w:numFmt w:val="decimal"/>
      <w:suff w:val="nothing"/>
      <w:lvlText w:val="（%1）"/>
      <w:lvlJc w:val="left"/>
    </w:lvl>
  </w:abstractNum>
  <w:abstractNum w:abstractNumId="1">
    <w:nsid w:val="FFFFFFFB"/>
    <w:multiLevelType w:val="multilevel"/>
    <w:tmpl w:val="FFFFFFFB"/>
    <w:lvl w:ilvl="0" w:tentative="0">
      <w:start w:val="1"/>
      <w:numFmt w:val="chineseCountingThousand"/>
      <w:pStyle w:val="3"/>
      <w:lvlText w:val="%1"/>
      <w:lvlJc w:val="center"/>
      <w:pPr>
        <w:tabs>
          <w:tab w:val="left" w:pos="648"/>
        </w:tabs>
        <w:ind w:left="0" w:firstLine="288"/>
      </w:pPr>
      <w:rPr>
        <w:rFonts w:hint="default" w:ascii="Times New Roman" w:hAnsi="Times New Roman" w:eastAsia="华文行楷"/>
        <w:spacing w:val="0"/>
        <w:w w:val="100"/>
        <w:position w:val="0"/>
        <w:sz w:val="44"/>
      </w:rPr>
    </w:lvl>
    <w:lvl w:ilvl="1" w:tentative="0">
      <w:start w:val="1"/>
      <w:numFmt w:val="decimal"/>
      <w:pStyle w:val="2"/>
      <w:lvlText w:val="%2"/>
      <w:lvlJc w:val="left"/>
      <w:pPr>
        <w:tabs>
          <w:tab w:val="left" w:pos="0"/>
        </w:tabs>
        <w:ind w:left="0" w:firstLine="0"/>
      </w:pPr>
      <w:rPr>
        <w:rFonts w:hint="default" w:ascii="Times New Roman" w:hAnsi="Times New Roman"/>
      </w:rPr>
    </w:lvl>
    <w:lvl w:ilvl="2" w:tentative="0">
      <w:start w:val="1"/>
      <w:numFmt w:val="decimal"/>
      <w:lvlText w:val="%2.%3"/>
      <w:lvlJc w:val="left"/>
      <w:pPr>
        <w:tabs>
          <w:tab w:val="left" w:pos="0"/>
        </w:tabs>
        <w:ind w:left="0" w:firstLine="0"/>
      </w:pPr>
      <w:rPr>
        <w:rFonts w:hint="default" w:ascii="Times New Roman" w:hAnsi="Times New Roman"/>
      </w:rPr>
    </w:lvl>
    <w:lvl w:ilvl="3" w:tentative="0">
      <w:start w:val="1"/>
      <w:numFmt w:val="decimal"/>
      <w:pStyle w:val="5"/>
      <w:lvlText w:val="%2.%3.%4"/>
      <w:lvlJc w:val="left"/>
      <w:pPr>
        <w:tabs>
          <w:tab w:val="left" w:pos="0"/>
        </w:tabs>
        <w:ind w:left="0" w:firstLine="0"/>
      </w:pPr>
      <w:rPr>
        <w:rFonts w:hint="default" w:ascii="Times New Roman" w:hAnsi="Times New Roman"/>
      </w:rPr>
    </w:lvl>
    <w:lvl w:ilvl="4" w:tentative="0">
      <w:start w:val="1"/>
      <w:numFmt w:val="decimal"/>
      <w:lvlText w:val="%2.%3.%4.%5"/>
      <w:lvlJc w:val="left"/>
      <w:pPr>
        <w:tabs>
          <w:tab w:val="left" w:pos="0"/>
        </w:tabs>
        <w:ind w:left="0" w:firstLine="0"/>
      </w:pPr>
      <w:rPr>
        <w:rFonts w:hint="default" w:ascii="Times New Roman" w:hAnsi="Times New Roman"/>
      </w:rPr>
    </w:lvl>
    <w:lvl w:ilvl="5" w:tentative="0">
      <w:start w:val="1"/>
      <w:numFmt w:val="decimal"/>
      <w:lvlText w:val="%2.%3.%4.%5.%6"/>
      <w:lvlJc w:val="left"/>
      <w:pPr>
        <w:tabs>
          <w:tab w:val="left" w:pos="0"/>
        </w:tabs>
        <w:ind w:left="0" w:firstLine="0"/>
      </w:pPr>
      <w:rPr>
        <w:rFonts w:hint="eastAsia"/>
      </w:rPr>
    </w:lvl>
    <w:lvl w:ilvl="6" w:tentative="0">
      <w:start w:val="1"/>
      <w:numFmt w:val="decimal"/>
      <w:lvlText w:val="%2.%3.%4.%5.%6.%7"/>
      <w:lvlJc w:val="left"/>
      <w:pPr>
        <w:tabs>
          <w:tab w:val="left" w:pos="0"/>
        </w:tabs>
        <w:ind w:left="0" w:firstLine="0"/>
      </w:pPr>
      <w:rPr>
        <w:rFonts w:hint="eastAsia"/>
      </w:rPr>
    </w:lvl>
    <w:lvl w:ilvl="7" w:tentative="0">
      <w:start w:val="1"/>
      <w:numFmt w:val="decimal"/>
      <w:lvlText w:val="%2.%3.%4.%5.%6.%7.%8"/>
      <w:lvlJc w:val="left"/>
      <w:pPr>
        <w:tabs>
          <w:tab w:val="left" w:pos="0"/>
        </w:tabs>
        <w:ind w:left="0" w:firstLine="0"/>
      </w:pPr>
      <w:rPr>
        <w:rFonts w:hint="eastAsia"/>
      </w:rPr>
    </w:lvl>
    <w:lvl w:ilvl="8" w:tentative="0">
      <w:start w:val="1"/>
      <w:numFmt w:val="decimal"/>
      <w:lvlText w:val="%2.%3.%4.%5.%6.%7.%8.%9"/>
      <w:lvlJc w:val="left"/>
      <w:pPr>
        <w:tabs>
          <w:tab w:val="left" w:pos="0"/>
        </w:tabs>
        <w:ind w:left="0" w:firstLine="0"/>
      </w:pPr>
      <w:rPr>
        <w:rFonts w:hint="eastAsia"/>
      </w:rPr>
    </w:lvl>
  </w:abstractNum>
  <w:abstractNum w:abstractNumId="2">
    <w:nsid w:val="1C0DB0E2"/>
    <w:multiLevelType w:val="singleLevel"/>
    <w:tmpl w:val="1C0DB0E2"/>
    <w:lvl w:ilvl="0" w:tentative="0">
      <w:start w:val="1"/>
      <w:numFmt w:val="bullet"/>
      <w:pStyle w:val="21"/>
      <w:lvlText w:val=""/>
      <w:lvlJc w:val="left"/>
      <w:pPr>
        <w:tabs>
          <w:tab w:val="left" w:pos="2040"/>
        </w:tabs>
        <w:ind w:left="2040" w:hanging="360"/>
      </w:pPr>
      <w:rPr>
        <w:rFonts w:hint="default" w:ascii="Wingdings" w:hAnsi="Wingdings"/>
      </w:rPr>
    </w:lvl>
  </w:abstractNum>
  <w:abstractNum w:abstractNumId="3">
    <w:nsid w:val="2D295033"/>
    <w:multiLevelType w:val="singleLevel"/>
    <w:tmpl w:val="2D295033"/>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hideSpellingErrors/>
  <w:documentProtection w:enforcement="0"/>
  <w:defaultTabStop w:val="420"/>
  <w:drawingGridHorizontalSpacing w:val="120"/>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0Njg2MWRhNmYxZmQ0NDYxYmFkYTQyZjM5MGYyM2EifQ=="/>
  </w:docVars>
  <w:rsids>
    <w:rsidRoot w:val="00172A27"/>
    <w:rsid w:val="000008F7"/>
    <w:rsid w:val="00000ADF"/>
    <w:rsid w:val="00000AF2"/>
    <w:rsid w:val="00000ED6"/>
    <w:rsid w:val="00001864"/>
    <w:rsid w:val="0000199D"/>
    <w:rsid w:val="00002282"/>
    <w:rsid w:val="0000294C"/>
    <w:rsid w:val="0000315D"/>
    <w:rsid w:val="000036DD"/>
    <w:rsid w:val="0000382E"/>
    <w:rsid w:val="0000393A"/>
    <w:rsid w:val="0000398A"/>
    <w:rsid w:val="00003A98"/>
    <w:rsid w:val="00003FF7"/>
    <w:rsid w:val="00005446"/>
    <w:rsid w:val="00005AF6"/>
    <w:rsid w:val="00005CB3"/>
    <w:rsid w:val="00005E0D"/>
    <w:rsid w:val="00006490"/>
    <w:rsid w:val="00006CFF"/>
    <w:rsid w:val="000070EE"/>
    <w:rsid w:val="000072D6"/>
    <w:rsid w:val="00007400"/>
    <w:rsid w:val="00007D4C"/>
    <w:rsid w:val="00007EA8"/>
    <w:rsid w:val="000100A7"/>
    <w:rsid w:val="00010128"/>
    <w:rsid w:val="00010171"/>
    <w:rsid w:val="000107FA"/>
    <w:rsid w:val="000109F8"/>
    <w:rsid w:val="000114C4"/>
    <w:rsid w:val="000114DF"/>
    <w:rsid w:val="00011967"/>
    <w:rsid w:val="00011A53"/>
    <w:rsid w:val="00012624"/>
    <w:rsid w:val="00012877"/>
    <w:rsid w:val="00012B66"/>
    <w:rsid w:val="00013CF0"/>
    <w:rsid w:val="00014B65"/>
    <w:rsid w:val="000156FE"/>
    <w:rsid w:val="00015D92"/>
    <w:rsid w:val="0001623B"/>
    <w:rsid w:val="00017F26"/>
    <w:rsid w:val="0002008C"/>
    <w:rsid w:val="000205ED"/>
    <w:rsid w:val="00020669"/>
    <w:rsid w:val="00021AFF"/>
    <w:rsid w:val="00021EB5"/>
    <w:rsid w:val="000222B2"/>
    <w:rsid w:val="000226D7"/>
    <w:rsid w:val="00023662"/>
    <w:rsid w:val="0002386D"/>
    <w:rsid w:val="00023AD9"/>
    <w:rsid w:val="00023B64"/>
    <w:rsid w:val="000250B2"/>
    <w:rsid w:val="0002537D"/>
    <w:rsid w:val="000255A6"/>
    <w:rsid w:val="000255B9"/>
    <w:rsid w:val="00025E40"/>
    <w:rsid w:val="00026C28"/>
    <w:rsid w:val="00026D5E"/>
    <w:rsid w:val="00027082"/>
    <w:rsid w:val="0002797B"/>
    <w:rsid w:val="0003018A"/>
    <w:rsid w:val="00031067"/>
    <w:rsid w:val="00031579"/>
    <w:rsid w:val="000317A3"/>
    <w:rsid w:val="0003198C"/>
    <w:rsid w:val="00031D22"/>
    <w:rsid w:val="00032854"/>
    <w:rsid w:val="000329A6"/>
    <w:rsid w:val="000338F2"/>
    <w:rsid w:val="00033AC8"/>
    <w:rsid w:val="00034078"/>
    <w:rsid w:val="000344FC"/>
    <w:rsid w:val="00034BE1"/>
    <w:rsid w:val="00034E1D"/>
    <w:rsid w:val="00034E40"/>
    <w:rsid w:val="0003542E"/>
    <w:rsid w:val="00035F52"/>
    <w:rsid w:val="00036160"/>
    <w:rsid w:val="00036D86"/>
    <w:rsid w:val="000375F5"/>
    <w:rsid w:val="00037D90"/>
    <w:rsid w:val="0004070D"/>
    <w:rsid w:val="00040E6C"/>
    <w:rsid w:val="000412F8"/>
    <w:rsid w:val="000412F9"/>
    <w:rsid w:val="00042D7A"/>
    <w:rsid w:val="00042F7F"/>
    <w:rsid w:val="0004368F"/>
    <w:rsid w:val="0004389C"/>
    <w:rsid w:val="00043A4A"/>
    <w:rsid w:val="00044AB6"/>
    <w:rsid w:val="00045351"/>
    <w:rsid w:val="000456D7"/>
    <w:rsid w:val="00045745"/>
    <w:rsid w:val="0004672F"/>
    <w:rsid w:val="00046833"/>
    <w:rsid w:val="00046B57"/>
    <w:rsid w:val="00046D9B"/>
    <w:rsid w:val="000472AA"/>
    <w:rsid w:val="00047787"/>
    <w:rsid w:val="00047CA2"/>
    <w:rsid w:val="00050287"/>
    <w:rsid w:val="0005039B"/>
    <w:rsid w:val="00050481"/>
    <w:rsid w:val="00051BCD"/>
    <w:rsid w:val="00051DAA"/>
    <w:rsid w:val="000526BD"/>
    <w:rsid w:val="00053678"/>
    <w:rsid w:val="00053ABF"/>
    <w:rsid w:val="00053ED5"/>
    <w:rsid w:val="000544EA"/>
    <w:rsid w:val="000548D7"/>
    <w:rsid w:val="0005499A"/>
    <w:rsid w:val="00055442"/>
    <w:rsid w:val="000563C1"/>
    <w:rsid w:val="000578E6"/>
    <w:rsid w:val="00057906"/>
    <w:rsid w:val="00060098"/>
    <w:rsid w:val="000604F4"/>
    <w:rsid w:val="000614D6"/>
    <w:rsid w:val="00061577"/>
    <w:rsid w:val="00061953"/>
    <w:rsid w:val="000624B6"/>
    <w:rsid w:val="00062889"/>
    <w:rsid w:val="00062FF3"/>
    <w:rsid w:val="00063BAE"/>
    <w:rsid w:val="00063DD2"/>
    <w:rsid w:val="00064454"/>
    <w:rsid w:val="00064B80"/>
    <w:rsid w:val="00064BB2"/>
    <w:rsid w:val="00064CB0"/>
    <w:rsid w:val="00064E71"/>
    <w:rsid w:val="00065715"/>
    <w:rsid w:val="00065BA7"/>
    <w:rsid w:val="0006654A"/>
    <w:rsid w:val="000666B4"/>
    <w:rsid w:val="00066B22"/>
    <w:rsid w:val="00066F0D"/>
    <w:rsid w:val="00067B74"/>
    <w:rsid w:val="00067D46"/>
    <w:rsid w:val="00067E9F"/>
    <w:rsid w:val="00067F93"/>
    <w:rsid w:val="000706D9"/>
    <w:rsid w:val="0007105A"/>
    <w:rsid w:val="00071F54"/>
    <w:rsid w:val="00072019"/>
    <w:rsid w:val="0007208F"/>
    <w:rsid w:val="00072B1C"/>
    <w:rsid w:val="00073138"/>
    <w:rsid w:val="0007354F"/>
    <w:rsid w:val="000742E0"/>
    <w:rsid w:val="000747C4"/>
    <w:rsid w:val="00074BC6"/>
    <w:rsid w:val="0007537F"/>
    <w:rsid w:val="00075B03"/>
    <w:rsid w:val="0007678B"/>
    <w:rsid w:val="0007689F"/>
    <w:rsid w:val="00076D2D"/>
    <w:rsid w:val="000800AD"/>
    <w:rsid w:val="000802C4"/>
    <w:rsid w:val="0008063E"/>
    <w:rsid w:val="0008106F"/>
    <w:rsid w:val="0008129E"/>
    <w:rsid w:val="00081335"/>
    <w:rsid w:val="00081765"/>
    <w:rsid w:val="00081FAE"/>
    <w:rsid w:val="00082AA5"/>
    <w:rsid w:val="00082F1A"/>
    <w:rsid w:val="000835B0"/>
    <w:rsid w:val="00083890"/>
    <w:rsid w:val="00086126"/>
    <w:rsid w:val="00086382"/>
    <w:rsid w:val="00086530"/>
    <w:rsid w:val="0008715D"/>
    <w:rsid w:val="0009033C"/>
    <w:rsid w:val="000910C5"/>
    <w:rsid w:val="000921BA"/>
    <w:rsid w:val="00092697"/>
    <w:rsid w:val="000927C7"/>
    <w:rsid w:val="00093C7E"/>
    <w:rsid w:val="00094C0B"/>
    <w:rsid w:val="00095253"/>
    <w:rsid w:val="000953D5"/>
    <w:rsid w:val="00095E4C"/>
    <w:rsid w:val="00095FBE"/>
    <w:rsid w:val="00096109"/>
    <w:rsid w:val="00096277"/>
    <w:rsid w:val="00096885"/>
    <w:rsid w:val="00096C87"/>
    <w:rsid w:val="00096CAF"/>
    <w:rsid w:val="00097000"/>
    <w:rsid w:val="000977C7"/>
    <w:rsid w:val="00097B4F"/>
    <w:rsid w:val="00097E3F"/>
    <w:rsid w:val="000A00D5"/>
    <w:rsid w:val="000A056A"/>
    <w:rsid w:val="000A0903"/>
    <w:rsid w:val="000A0ABA"/>
    <w:rsid w:val="000A0C61"/>
    <w:rsid w:val="000A1810"/>
    <w:rsid w:val="000A198E"/>
    <w:rsid w:val="000A1991"/>
    <w:rsid w:val="000A1F82"/>
    <w:rsid w:val="000A2218"/>
    <w:rsid w:val="000A25C9"/>
    <w:rsid w:val="000A26B6"/>
    <w:rsid w:val="000A281E"/>
    <w:rsid w:val="000A2A8C"/>
    <w:rsid w:val="000A2B39"/>
    <w:rsid w:val="000A3036"/>
    <w:rsid w:val="000A356A"/>
    <w:rsid w:val="000A37B1"/>
    <w:rsid w:val="000A3911"/>
    <w:rsid w:val="000A3E27"/>
    <w:rsid w:val="000A3EC1"/>
    <w:rsid w:val="000A4077"/>
    <w:rsid w:val="000A43CD"/>
    <w:rsid w:val="000A4878"/>
    <w:rsid w:val="000A4AA0"/>
    <w:rsid w:val="000A4CD9"/>
    <w:rsid w:val="000A5271"/>
    <w:rsid w:val="000A54E2"/>
    <w:rsid w:val="000A5D3B"/>
    <w:rsid w:val="000A5D81"/>
    <w:rsid w:val="000A5F54"/>
    <w:rsid w:val="000A6213"/>
    <w:rsid w:val="000A6297"/>
    <w:rsid w:val="000A683A"/>
    <w:rsid w:val="000A6A80"/>
    <w:rsid w:val="000A6A8B"/>
    <w:rsid w:val="000A6B0F"/>
    <w:rsid w:val="000A6C24"/>
    <w:rsid w:val="000A6CE4"/>
    <w:rsid w:val="000A6D97"/>
    <w:rsid w:val="000A6FF4"/>
    <w:rsid w:val="000A7168"/>
    <w:rsid w:val="000A78C8"/>
    <w:rsid w:val="000B05DD"/>
    <w:rsid w:val="000B119F"/>
    <w:rsid w:val="000B151B"/>
    <w:rsid w:val="000B1601"/>
    <w:rsid w:val="000B1677"/>
    <w:rsid w:val="000B17A5"/>
    <w:rsid w:val="000B1B23"/>
    <w:rsid w:val="000B1FBA"/>
    <w:rsid w:val="000B2EC0"/>
    <w:rsid w:val="000B342B"/>
    <w:rsid w:val="000B3A91"/>
    <w:rsid w:val="000B456B"/>
    <w:rsid w:val="000B4653"/>
    <w:rsid w:val="000B485E"/>
    <w:rsid w:val="000B4AE1"/>
    <w:rsid w:val="000B5A82"/>
    <w:rsid w:val="000B5CC6"/>
    <w:rsid w:val="000B66D4"/>
    <w:rsid w:val="000C024B"/>
    <w:rsid w:val="000C1765"/>
    <w:rsid w:val="000C1B39"/>
    <w:rsid w:val="000C1B9E"/>
    <w:rsid w:val="000C23D6"/>
    <w:rsid w:val="000C3104"/>
    <w:rsid w:val="000C3292"/>
    <w:rsid w:val="000C41C8"/>
    <w:rsid w:val="000C552B"/>
    <w:rsid w:val="000C5654"/>
    <w:rsid w:val="000C62D1"/>
    <w:rsid w:val="000C6554"/>
    <w:rsid w:val="000C6981"/>
    <w:rsid w:val="000C6B17"/>
    <w:rsid w:val="000C73D3"/>
    <w:rsid w:val="000C7DCD"/>
    <w:rsid w:val="000D1570"/>
    <w:rsid w:val="000D1768"/>
    <w:rsid w:val="000D2575"/>
    <w:rsid w:val="000D3D87"/>
    <w:rsid w:val="000D4065"/>
    <w:rsid w:val="000D4332"/>
    <w:rsid w:val="000D4C61"/>
    <w:rsid w:val="000D5148"/>
    <w:rsid w:val="000D55B2"/>
    <w:rsid w:val="000D5925"/>
    <w:rsid w:val="000D5960"/>
    <w:rsid w:val="000D64D9"/>
    <w:rsid w:val="000D65C7"/>
    <w:rsid w:val="000D65E0"/>
    <w:rsid w:val="000D6F30"/>
    <w:rsid w:val="000D7718"/>
    <w:rsid w:val="000D7B38"/>
    <w:rsid w:val="000D7F7C"/>
    <w:rsid w:val="000E033A"/>
    <w:rsid w:val="000E08F3"/>
    <w:rsid w:val="000E0AC0"/>
    <w:rsid w:val="000E0AF3"/>
    <w:rsid w:val="000E0C91"/>
    <w:rsid w:val="000E149C"/>
    <w:rsid w:val="000E18F3"/>
    <w:rsid w:val="000E2E67"/>
    <w:rsid w:val="000E2F97"/>
    <w:rsid w:val="000E35C6"/>
    <w:rsid w:val="000E3B99"/>
    <w:rsid w:val="000E46FA"/>
    <w:rsid w:val="000E4D84"/>
    <w:rsid w:val="000E4E90"/>
    <w:rsid w:val="000E5798"/>
    <w:rsid w:val="000E57D0"/>
    <w:rsid w:val="000E58FC"/>
    <w:rsid w:val="000E5CFE"/>
    <w:rsid w:val="000E5D6B"/>
    <w:rsid w:val="000E6279"/>
    <w:rsid w:val="000E6460"/>
    <w:rsid w:val="000E658B"/>
    <w:rsid w:val="000E7356"/>
    <w:rsid w:val="000E738D"/>
    <w:rsid w:val="000E78FB"/>
    <w:rsid w:val="000E7BCB"/>
    <w:rsid w:val="000E7F64"/>
    <w:rsid w:val="000F02D7"/>
    <w:rsid w:val="000F0399"/>
    <w:rsid w:val="000F05EC"/>
    <w:rsid w:val="000F09B6"/>
    <w:rsid w:val="000F0C32"/>
    <w:rsid w:val="000F0CEC"/>
    <w:rsid w:val="000F157A"/>
    <w:rsid w:val="000F171F"/>
    <w:rsid w:val="000F1824"/>
    <w:rsid w:val="000F1BAA"/>
    <w:rsid w:val="000F1E40"/>
    <w:rsid w:val="000F254C"/>
    <w:rsid w:val="000F2640"/>
    <w:rsid w:val="000F3409"/>
    <w:rsid w:val="000F37FB"/>
    <w:rsid w:val="000F385C"/>
    <w:rsid w:val="000F3D12"/>
    <w:rsid w:val="000F460D"/>
    <w:rsid w:val="000F4ECB"/>
    <w:rsid w:val="000F5ADF"/>
    <w:rsid w:val="000F6346"/>
    <w:rsid w:val="000F7047"/>
    <w:rsid w:val="000F79F0"/>
    <w:rsid w:val="00100258"/>
    <w:rsid w:val="001004A6"/>
    <w:rsid w:val="0010060C"/>
    <w:rsid w:val="00100E1B"/>
    <w:rsid w:val="0010158E"/>
    <w:rsid w:val="001015FD"/>
    <w:rsid w:val="00101852"/>
    <w:rsid w:val="0010187C"/>
    <w:rsid w:val="0010193A"/>
    <w:rsid w:val="00101BCF"/>
    <w:rsid w:val="00102354"/>
    <w:rsid w:val="00102EDE"/>
    <w:rsid w:val="00103585"/>
    <w:rsid w:val="00103A22"/>
    <w:rsid w:val="00103E8E"/>
    <w:rsid w:val="0010404A"/>
    <w:rsid w:val="001040DA"/>
    <w:rsid w:val="001041D8"/>
    <w:rsid w:val="001045A4"/>
    <w:rsid w:val="001045AF"/>
    <w:rsid w:val="00105060"/>
    <w:rsid w:val="00105D0D"/>
    <w:rsid w:val="00105D79"/>
    <w:rsid w:val="001075A8"/>
    <w:rsid w:val="001075ED"/>
    <w:rsid w:val="00111644"/>
    <w:rsid w:val="00111C56"/>
    <w:rsid w:val="001130B4"/>
    <w:rsid w:val="00113354"/>
    <w:rsid w:val="00113486"/>
    <w:rsid w:val="001137EA"/>
    <w:rsid w:val="00113CE9"/>
    <w:rsid w:val="00114423"/>
    <w:rsid w:val="00114E02"/>
    <w:rsid w:val="00114E7D"/>
    <w:rsid w:val="00114FBF"/>
    <w:rsid w:val="0011561B"/>
    <w:rsid w:val="00115A49"/>
    <w:rsid w:val="0011653B"/>
    <w:rsid w:val="001175D7"/>
    <w:rsid w:val="001178CE"/>
    <w:rsid w:val="0012033D"/>
    <w:rsid w:val="0012100E"/>
    <w:rsid w:val="00121467"/>
    <w:rsid w:val="00121B15"/>
    <w:rsid w:val="0012269B"/>
    <w:rsid w:val="00122B5C"/>
    <w:rsid w:val="00123CEA"/>
    <w:rsid w:val="001240C2"/>
    <w:rsid w:val="0012431B"/>
    <w:rsid w:val="00124469"/>
    <w:rsid w:val="00126238"/>
    <w:rsid w:val="00126333"/>
    <w:rsid w:val="00126C4A"/>
    <w:rsid w:val="00126C60"/>
    <w:rsid w:val="00126E60"/>
    <w:rsid w:val="001273A8"/>
    <w:rsid w:val="001274DA"/>
    <w:rsid w:val="00127786"/>
    <w:rsid w:val="00127B91"/>
    <w:rsid w:val="001305D9"/>
    <w:rsid w:val="00131525"/>
    <w:rsid w:val="001315E8"/>
    <w:rsid w:val="00131BC3"/>
    <w:rsid w:val="00131EED"/>
    <w:rsid w:val="00131F7B"/>
    <w:rsid w:val="00132214"/>
    <w:rsid w:val="00132B5B"/>
    <w:rsid w:val="00132C14"/>
    <w:rsid w:val="00132F2B"/>
    <w:rsid w:val="0013361B"/>
    <w:rsid w:val="001336A9"/>
    <w:rsid w:val="001338BA"/>
    <w:rsid w:val="00134835"/>
    <w:rsid w:val="00134DDF"/>
    <w:rsid w:val="00135425"/>
    <w:rsid w:val="00135592"/>
    <w:rsid w:val="001355BB"/>
    <w:rsid w:val="0013738C"/>
    <w:rsid w:val="0013749F"/>
    <w:rsid w:val="00137701"/>
    <w:rsid w:val="001378F6"/>
    <w:rsid w:val="00137B95"/>
    <w:rsid w:val="00137F31"/>
    <w:rsid w:val="001407E0"/>
    <w:rsid w:val="00140A11"/>
    <w:rsid w:val="001413F9"/>
    <w:rsid w:val="00141BFB"/>
    <w:rsid w:val="001432A7"/>
    <w:rsid w:val="00143928"/>
    <w:rsid w:val="00143CDB"/>
    <w:rsid w:val="00143F6F"/>
    <w:rsid w:val="0014451C"/>
    <w:rsid w:val="00144FF5"/>
    <w:rsid w:val="00145259"/>
    <w:rsid w:val="00146030"/>
    <w:rsid w:val="0014622E"/>
    <w:rsid w:val="001476AF"/>
    <w:rsid w:val="001477F5"/>
    <w:rsid w:val="001478A6"/>
    <w:rsid w:val="0015063B"/>
    <w:rsid w:val="00151336"/>
    <w:rsid w:val="00151544"/>
    <w:rsid w:val="00151546"/>
    <w:rsid w:val="00151709"/>
    <w:rsid w:val="00151A22"/>
    <w:rsid w:val="00151C38"/>
    <w:rsid w:val="001520A6"/>
    <w:rsid w:val="001526F9"/>
    <w:rsid w:val="00152ECF"/>
    <w:rsid w:val="001538F6"/>
    <w:rsid w:val="00153C34"/>
    <w:rsid w:val="00153E66"/>
    <w:rsid w:val="00153EC0"/>
    <w:rsid w:val="00154187"/>
    <w:rsid w:val="001544B3"/>
    <w:rsid w:val="00154B2D"/>
    <w:rsid w:val="00155351"/>
    <w:rsid w:val="00157117"/>
    <w:rsid w:val="00157371"/>
    <w:rsid w:val="00157661"/>
    <w:rsid w:val="00157A86"/>
    <w:rsid w:val="00157C79"/>
    <w:rsid w:val="001600EB"/>
    <w:rsid w:val="001602B4"/>
    <w:rsid w:val="00160426"/>
    <w:rsid w:val="00160D95"/>
    <w:rsid w:val="00160E6C"/>
    <w:rsid w:val="00160FBD"/>
    <w:rsid w:val="0016126E"/>
    <w:rsid w:val="001614F6"/>
    <w:rsid w:val="00161CE4"/>
    <w:rsid w:val="00161FB1"/>
    <w:rsid w:val="00162704"/>
    <w:rsid w:val="001641E1"/>
    <w:rsid w:val="00164240"/>
    <w:rsid w:val="0016430A"/>
    <w:rsid w:val="00165677"/>
    <w:rsid w:val="00165722"/>
    <w:rsid w:val="00165A89"/>
    <w:rsid w:val="00165AAB"/>
    <w:rsid w:val="00165E46"/>
    <w:rsid w:val="001664B1"/>
    <w:rsid w:val="00166B21"/>
    <w:rsid w:val="0016716C"/>
    <w:rsid w:val="001671C4"/>
    <w:rsid w:val="00167895"/>
    <w:rsid w:val="00170753"/>
    <w:rsid w:val="001715B6"/>
    <w:rsid w:val="00171F2D"/>
    <w:rsid w:val="00172477"/>
    <w:rsid w:val="0017281E"/>
    <w:rsid w:val="0017285F"/>
    <w:rsid w:val="00172A27"/>
    <w:rsid w:val="00172EAD"/>
    <w:rsid w:val="00174818"/>
    <w:rsid w:val="00174BB0"/>
    <w:rsid w:val="00174BFE"/>
    <w:rsid w:val="00174F17"/>
    <w:rsid w:val="00174FBF"/>
    <w:rsid w:val="0017511E"/>
    <w:rsid w:val="00175367"/>
    <w:rsid w:val="001757D2"/>
    <w:rsid w:val="0017594D"/>
    <w:rsid w:val="00175F1A"/>
    <w:rsid w:val="00176872"/>
    <w:rsid w:val="00176EAE"/>
    <w:rsid w:val="00177089"/>
    <w:rsid w:val="0017795B"/>
    <w:rsid w:val="00180082"/>
    <w:rsid w:val="001807D4"/>
    <w:rsid w:val="00181202"/>
    <w:rsid w:val="00181498"/>
    <w:rsid w:val="001819DE"/>
    <w:rsid w:val="00181C75"/>
    <w:rsid w:val="00181F7F"/>
    <w:rsid w:val="00182D69"/>
    <w:rsid w:val="00183217"/>
    <w:rsid w:val="00183284"/>
    <w:rsid w:val="001839F5"/>
    <w:rsid w:val="00183EC7"/>
    <w:rsid w:val="00184710"/>
    <w:rsid w:val="00184A72"/>
    <w:rsid w:val="001852FF"/>
    <w:rsid w:val="0018550F"/>
    <w:rsid w:val="00185576"/>
    <w:rsid w:val="001858A4"/>
    <w:rsid w:val="0018635B"/>
    <w:rsid w:val="0018691B"/>
    <w:rsid w:val="00187343"/>
    <w:rsid w:val="001873DB"/>
    <w:rsid w:val="00187C3F"/>
    <w:rsid w:val="00190112"/>
    <w:rsid w:val="001904BE"/>
    <w:rsid w:val="00190CD3"/>
    <w:rsid w:val="00190DEA"/>
    <w:rsid w:val="001910E6"/>
    <w:rsid w:val="001913F3"/>
    <w:rsid w:val="0019187C"/>
    <w:rsid w:val="00192047"/>
    <w:rsid w:val="00192635"/>
    <w:rsid w:val="00192A23"/>
    <w:rsid w:val="00193116"/>
    <w:rsid w:val="00193F42"/>
    <w:rsid w:val="00194707"/>
    <w:rsid w:val="001947F0"/>
    <w:rsid w:val="00194E12"/>
    <w:rsid w:val="00194F7C"/>
    <w:rsid w:val="00195180"/>
    <w:rsid w:val="0019519F"/>
    <w:rsid w:val="001953B6"/>
    <w:rsid w:val="00195BA1"/>
    <w:rsid w:val="00195F5A"/>
    <w:rsid w:val="00197186"/>
    <w:rsid w:val="001975C0"/>
    <w:rsid w:val="001977D8"/>
    <w:rsid w:val="00197832"/>
    <w:rsid w:val="00197A75"/>
    <w:rsid w:val="00197E5B"/>
    <w:rsid w:val="001A07FC"/>
    <w:rsid w:val="001A13B3"/>
    <w:rsid w:val="001A1841"/>
    <w:rsid w:val="001A33A6"/>
    <w:rsid w:val="001A3A83"/>
    <w:rsid w:val="001A3B30"/>
    <w:rsid w:val="001A3EBC"/>
    <w:rsid w:val="001A488B"/>
    <w:rsid w:val="001A4DDA"/>
    <w:rsid w:val="001A4EA1"/>
    <w:rsid w:val="001A4F0B"/>
    <w:rsid w:val="001A5259"/>
    <w:rsid w:val="001A558A"/>
    <w:rsid w:val="001A6347"/>
    <w:rsid w:val="001A6839"/>
    <w:rsid w:val="001A6BF1"/>
    <w:rsid w:val="001A6E5F"/>
    <w:rsid w:val="001A7209"/>
    <w:rsid w:val="001A74E3"/>
    <w:rsid w:val="001B0417"/>
    <w:rsid w:val="001B06E0"/>
    <w:rsid w:val="001B075A"/>
    <w:rsid w:val="001B07E7"/>
    <w:rsid w:val="001B08DF"/>
    <w:rsid w:val="001B0D5D"/>
    <w:rsid w:val="001B1608"/>
    <w:rsid w:val="001B1C16"/>
    <w:rsid w:val="001B212F"/>
    <w:rsid w:val="001B2B2E"/>
    <w:rsid w:val="001B2EB4"/>
    <w:rsid w:val="001B2EE4"/>
    <w:rsid w:val="001B3374"/>
    <w:rsid w:val="001B3A5E"/>
    <w:rsid w:val="001B3A83"/>
    <w:rsid w:val="001B3A8B"/>
    <w:rsid w:val="001B3DBC"/>
    <w:rsid w:val="001B4359"/>
    <w:rsid w:val="001B5372"/>
    <w:rsid w:val="001B5694"/>
    <w:rsid w:val="001B6682"/>
    <w:rsid w:val="001B6734"/>
    <w:rsid w:val="001B68FB"/>
    <w:rsid w:val="001B6D65"/>
    <w:rsid w:val="001B72AE"/>
    <w:rsid w:val="001B7C19"/>
    <w:rsid w:val="001B7D65"/>
    <w:rsid w:val="001C050A"/>
    <w:rsid w:val="001C0944"/>
    <w:rsid w:val="001C0EDC"/>
    <w:rsid w:val="001C1383"/>
    <w:rsid w:val="001C1713"/>
    <w:rsid w:val="001C1BA1"/>
    <w:rsid w:val="001C2541"/>
    <w:rsid w:val="001C268E"/>
    <w:rsid w:val="001C29F3"/>
    <w:rsid w:val="001C3043"/>
    <w:rsid w:val="001C3A46"/>
    <w:rsid w:val="001C5034"/>
    <w:rsid w:val="001C56A3"/>
    <w:rsid w:val="001C57BC"/>
    <w:rsid w:val="001C585B"/>
    <w:rsid w:val="001C5CB7"/>
    <w:rsid w:val="001C621C"/>
    <w:rsid w:val="001D0142"/>
    <w:rsid w:val="001D0582"/>
    <w:rsid w:val="001D179F"/>
    <w:rsid w:val="001D1F1C"/>
    <w:rsid w:val="001D1F3E"/>
    <w:rsid w:val="001D28C7"/>
    <w:rsid w:val="001D2C4D"/>
    <w:rsid w:val="001D32A9"/>
    <w:rsid w:val="001D3CBB"/>
    <w:rsid w:val="001D418A"/>
    <w:rsid w:val="001D4405"/>
    <w:rsid w:val="001D47D6"/>
    <w:rsid w:val="001D4D83"/>
    <w:rsid w:val="001D51D9"/>
    <w:rsid w:val="001D5518"/>
    <w:rsid w:val="001D5787"/>
    <w:rsid w:val="001D6019"/>
    <w:rsid w:val="001D6467"/>
    <w:rsid w:val="001D66CF"/>
    <w:rsid w:val="001D73FD"/>
    <w:rsid w:val="001D7D7E"/>
    <w:rsid w:val="001E036F"/>
    <w:rsid w:val="001E0947"/>
    <w:rsid w:val="001E1F0E"/>
    <w:rsid w:val="001E2849"/>
    <w:rsid w:val="001E2D7E"/>
    <w:rsid w:val="001E2EE2"/>
    <w:rsid w:val="001E5250"/>
    <w:rsid w:val="001E58A0"/>
    <w:rsid w:val="001E5D47"/>
    <w:rsid w:val="001E6250"/>
    <w:rsid w:val="001E6A49"/>
    <w:rsid w:val="001E6C5D"/>
    <w:rsid w:val="001E6D0C"/>
    <w:rsid w:val="001E71D5"/>
    <w:rsid w:val="001E741A"/>
    <w:rsid w:val="001E7A0F"/>
    <w:rsid w:val="001E7EB2"/>
    <w:rsid w:val="001F05DF"/>
    <w:rsid w:val="001F1938"/>
    <w:rsid w:val="001F2832"/>
    <w:rsid w:val="001F2AC8"/>
    <w:rsid w:val="001F311F"/>
    <w:rsid w:val="001F3A6C"/>
    <w:rsid w:val="001F3A94"/>
    <w:rsid w:val="001F4B92"/>
    <w:rsid w:val="001F51B3"/>
    <w:rsid w:val="001F5926"/>
    <w:rsid w:val="001F7182"/>
    <w:rsid w:val="001F71D2"/>
    <w:rsid w:val="001F7338"/>
    <w:rsid w:val="001F79BC"/>
    <w:rsid w:val="001F79E3"/>
    <w:rsid w:val="001F7DDF"/>
    <w:rsid w:val="002000AC"/>
    <w:rsid w:val="002007FB"/>
    <w:rsid w:val="00200AE2"/>
    <w:rsid w:val="00200EAB"/>
    <w:rsid w:val="0020130F"/>
    <w:rsid w:val="002027E4"/>
    <w:rsid w:val="00202AA9"/>
    <w:rsid w:val="00202FD3"/>
    <w:rsid w:val="00203B4F"/>
    <w:rsid w:val="002048E3"/>
    <w:rsid w:val="00204AC1"/>
    <w:rsid w:val="00204C74"/>
    <w:rsid w:val="00204F5E"/>
    <w:rsid w:val="0020502A"/>
    <w:rsid w:val="0020504B"/>
    <w:rsid w:val="002058D3"/>
    <w:rsid w:val="002059AF"/>
    <w:rsid w:val="00205A96"/>
    <w:rsid w:val="00205F0E"/>
    <w:rsid w:val="0020651F"/>
    <w:rsid w:val="00206939"/>
    <w:rsid w:val="00206BD7"/>
    <w:rsid w:val="00206CFF"/>
    <w:rsid w:val="002075EF"/>
    <w:rsid w:val="00207ECD"/>
    <w:rsid w:val="00210D49"/>
    <w:rsid w:val="0021103E"/>
    <w:rsid w:val="00211E30"/>
    <w:rsid w:val="00211FCE"/>
    <w:rsid w:val="002122F0"/>
    <w:rsid w:val="00212622"/>
    <w:rsid w:val="002129E7"/>
    <w:rsid w:val="00212AB0"/>
    <w:rsid w:val="002132DE"/>
    <w:rsid w:val="002135BD"/>
    <w:rsid w:val="00213936"/>
    <w:rsid w:val="00213DFC"/>
    <w:rsid w:val="00213F3D"/>
    <w:rsid w:val="002147B5"/>
    <w:rsid w:val="002149A3"/>
    <w:rsid w:val="00214FE2"/>
    <w:rsid w:val="002151AE"/>
    <w:rsid w:val="002151CD"/>
    <w:rsid w:val="00215DE1"/>
    <w:rsid w:val="0021678E"/>
    <w:rsid w:val="00216F9A"/>
    <w:rsid w:val="00217893"/>
    <w:rsid w:val="002179E2"/>
    <w:rsid w:val="00217D3E"/>
    <w:rsid w:val="00220F0F"/>
    <w:rsid w:val="00220F3A"/>
    <w:rsid w:val="00221381"/>
    <w:rsid w:val="00221E7F"/>
    <w:rsid w:val="002220AD"/>
    <w:rsid w:val="002234F1"/>
    <w:rsid w:val="00223958"/>
    <w:rsid w:val="00223C3F"/>
    <w:rsid w:val="00224702"/>
    <w:rsid w:val="002247CA"/>
    <w:rsid w:val="00224AB8"/>
    <w:rsid w:val="00224ACF"/>
    <w:rsid w:val="00224EBA"/>
    <w:rsid w:val="00224EE7"/>
    <w:rsid w:val="00225F6A"/>
    <w:rsid w:val="00226674"/>
    <w:rsid w:val="002268F3"/>
    <w:rsid w:val="00226E11"/>
    <w:rsid w:val="00226FDE"/>
    <w:rsid w:val="00227916"/>
    <w:rsid w:val="00227B97"/>
    <w:rsid w:val="00230074"/>
    <w:rsid w:val="002303C1"/>
    <w:rsid w:val="00230D47"/>
    <w:rsid w:val="00230D76"/>
    <w:rsid w:val="002310EA"/>
    <w:rsid w:val="0023110F"/>
    <w:rsid w:val="00231426"/>
    <w:rsid w:val="00231789"/>
    <w:rsid w:val="00231A43"/>
    <w:rsid w:val="00231D79"/>
    <w:rsid w:val="002322EC"/>
    <w:rsid w:val="00232322"/>
    <w:rsid w:val="00232CA3"/>
    <w:rsid w:val="00232CCE"/>
    <w:rsid w:val="0023339D"/>
    <w:rsid w:val="002337E7"/>
    <w:rsid w:val="002343BF"/>
    <w:rsid w:val="002345B4"/>
    <w:rsid w:val="00234B15"/>
    <w:rsid w:val="0023519D"/>
    <w:rsid w:val="002354B2"/>
    <w:rsid w:val="002360CF"/>
    <w:rsid w:val="002365FD"/>
    <w:rsid w:val="0023670A"/>
    <w:rsid w:val="00236BFB"/>
    <w:rsid w:val="002373D0"/>
    <w:rsid w:val="00237C03"/>
    <w:rsid w:val="00237CA1"/>
    <w:rsid w:val="00237DD9"/>
    <w:rsid w:val="00240846"/>
    <w:rsid w:val="00240A84"/>
    <w:rsid w:val="002412C5"/>
    <w:rsid w:val="00242FE9"/>
    <w:rsid w:val="0024330E"/>
    <w:rsid w:val="002434BB"/>
    <w:rsid w:val="0024386B"/>
    <w:rsid w:val="002440ED"/>
    <w:rsid w:val="002446AE"/>
    <w:rsid w:val="00244E47"/>
    <w:rsid w:val="00246EE0"/>
    <w:rsid w:val="00247E5D"/>
    <w:rsid w:val="00247EE2"/>
    <w:rsid w:val="00250071"/>
    <w:rsid w:val="0025015F"/>
    <w:rsid w:val="002501F3"/>
    <w:rsid w:val="002504E1"/>
    <w:rsid w:val="002504EC"/>
    <w:rsid w:val="00250D68"/>
    <w:rsid w:val="00251363"/>
    <w:rsid w:val="00251A75"/>
    <w:rsid w:val="0025208B"/>
    <w:rsid w:val="0025224C"/>
    <w:rsid w:val="002523C0"/>
    <w:rsid w:val="00252E1A"/>
    <w:rsid w:val="00252F16"/>
    <w:rsid w:val="00253B67"/>
    <w:rsid w:val="00254028"/>
    <w:rsid w:val="0025432D"/>
    <w:rsid w:val="00254809"/>
    <w:rsid w:val="002552C1"/>
    <w:rsid w:val="00255871"/>
    <w:rsid w:val="002559AF"/>
    <w:rsid w:val="00255C19"/>
    <w:rsid w:val="002560FC"/>
    <w:rsid w:val="00256B3D"/>
    <w:rsid w:val="00257A21"/>
    <w:rsid w:val="00257D01"/>
    <w:rsid w:val="00260941"/>
    <w:rsid w:val="00261D27"/>
    <w:rsid w:val="0026237C"/>
    <w:rsid w:val="0026247D"/>
    <w:rsid w:val="00262D7C"/>
    <w:rsid w:val="00262EAC"/>
    <w:rsid w:val="002632B3"/>
    <w:rsid w:val="0026340F"/>
    <w:rsid w:val="0026390A"/>
    <w:rsid w:val="00263CF7"/>
    <w:rsid w:val="00263F1D"/>
    <w:rsid w:val="00263FC3"/>
    <w:rsid w:val="002644D6"/>
    <w:rsid w:val="00264580"/>
    <w:rsid w:val="002645C8"/>
    <w:rsid w:val="0026495E"/>
    <w:rsid w:val="00265B6E"/>
    <w:rsid w:val="0026628C"/>
    <w:rsid w:val="0026674B"/>
    <w:rsid w:val="00266979"/>
    <w:rsid w:val="00267097"/>
    <w:rsid w:val="0026738C"/>
    <w:rsid w:val="002703E7"/>
    <w:rsid w:val="00270571"/>
    <w:rsid w:val="00270D1A"/>
    <w:rsid w:val="00271745"/>
    <w:rsid w:val="00271C08"/>
    <w:rsid w:val="00272E74"/>
    <w:rsid w:val="00272EC6"/>
    <w:rsid w:val="00273B66"/>
    <w:rsid w:val="00274077"/>
    <w:rsid w:val="002749C5"/>
    <w:rsid w:val="00274BF0"/>
    <w:rsid w:val="00274F35"/>
    <w:rsid w:val="0027510C"/>
    <w:rsid w:val="00275E91"/>
    <w:rsid w:val="00275FC1"/>
    <w:rsid w:val="002763C9"/>
    <w:rsid w:val="00276D5A"/>
    <w:rsid w:val="00277410"/>
    <w:rsid w:val="002777EF"/>
    <w:rsid w:val="00277BDC"/>
    <w:rsid w:val="00280050"/>
    <w:rsid w:val="002809F2"/>
    <w:rsid w:val="00281797"/>
    <w:rsid w:val="00281AB7"/>
    <w:rsid w:val="0028257D"/>
    <w:rsid w:val="00282E3A"/>
    <w:rsid w:val="00282F38"/>
    <w:rsid w:val="002853F3"/>
    <w:rsid w:val="002858B2"/>
    <w:rsid w:val="002867B9"/>
    <w:rsid w:val="0028693E"/>
    <w:rsid w:val="00286D80"/>
    <w:rsid w:val="00287264"/>
    <w:rsid w:val="002872AD"/>
    <w:rsid w:val="00287C76"/>
    <w:rsid w:val="002905F6"/>
    <w:rsid w:val="002908A2"/>
    <w:rsid w:val="002909E6"/>
    <w:rsid w:val="00290E0A"/>
    <w:rsid w:val="00290F76"/>
    <w:rsid w:val="0029145B"/>
    <w:rsid w:val="00291DD2"/>
    <w:rsid w:val="00292639"/>
    <w:rsid w:val="00292D9B"/>
    <w:rsid w:val="00292FE0"/>
    <w:rsid w:val="00293505"/>
    <w:rsid w:val="002937A8"/>
    <w:rsid w:val="00293E1F"/>
    <w:rsid w:val="002940EE"/>
    <w:rsid w:val="00294831"/>
    <w:rsid w:val="00294ECF"/>
    <w:rsid w:val="00295EC9"/>
    <w:rsid w:val="00296BE4"/>
    <w:rsid w:val="00297DD8"/>
    <w:rsid w:val="00297E82"/>
    <w:rsid w:val="002A0265"/>
    <w:rsid w:val="002A0906"/>
    <w:rsid w:val="002A2F53"/>
    <w:rsid w:val="002A313B"/>
    <w:rsid w:val="002A362A"/>
    <w:rsid w:val="002A393D"/>
    <w:rsid w:val="002A3BDA"/>
    <w:rsid w:val="002A4346"/>
    <w:rsid w:val="002A4589"/>
    <w:rsid w:val="002A4E32"/>
    <w:rsid w:val="002A548D"/>
    <w:rsid w:val="002A56F8"/>
    <w:rsid w:val="002A5789"/>
    <w:rsid w:val="002A5861"/>
    <w:rsid w:val="002A5E79"/>
    <w:rsid w:val="002A6009"/>
    <w:rsid w:val="002A6339"/>
    <w:rsid w:val="002A6872"/>
    <w:rsid w:val="002A68D2"/>
    <w:rsid w:val="002A6B16"/>
    <w:rsid w:val="002A6C2F"/>
    <w:rsid w:val="002A6F7C"/>
    <w:rsid w:val="002B00C1"/>
    <w:rsid w:val="002B0274"/>
    <w:rsid w:val="002B0558"/>
    <w:rsid w:val="002B072E"/>
    <w:rsid w:val="002B0BE5"/>
    <w:rsid w:val="002B0BE9"/>
    <w:rsid w:val="002B16C1"/>
    <w:rsid w:val="002B22E2"/>
    <w:rsid w:val="002B2CD7"/>
    <w:rsid w:val="002B2FC9"/>
    <w:rsid w:val="002B3D53"/>
    <w:rsid w:val="002B4F7E"/>
    <w:rsid w:val="002B515B"/>
    <w:rsid w:val="002B59CB"/>
    <w:rsid w:val="002B5A32"/>
    <w:rsid w:val="002B70C1"/>
    <w:rsid w:val="002B7D10"/>
    <w:rsid w:val="002B7FBA"/>
    <w:rsid w:val="002C02E3"/>
    <w:rsid w:val="002C0410"/>
    <w:rsid w:val="002C119B"/>
    <w:rsid w:val="002C1595"/>
    <w:rsid w:val="002C1862"/>
    <w:rsid w:val="002C1868"/>
    <w:rsid w:val="002C1E67"/>
    <w:rsid w:val="002C20E3"/>
    <w:rsid w:val="002C2110"/>
    <w:rsid w:val="002C2400"/>
    <w:rsid w:val="002C2736"/>
    <w:rsid w:val="002C2AA8"/>
    <w:rsid w:val="002C30ED"/>
    <w:rsid w:val="002C336A"/>
    <w:rsid w:val="002C377F"/>
    <w:rsid w:val="002C3DDD"/>
    <w:rsid w:val="002C3F81"/>
    <w:rsid w:val="002C4199"/>
    <w:rsid w:val="002C44B7"/>
    <w:rsid w:val="002C5621"/>
    <w:rsid w:val="002C5ECA"/>
    <w:rsid w:val="002C6033"/>
    <w:rsid w:val="002C6BD5"/>
    <w:rsid w:val="002D08F9"/>
    <w:rsid w:val="002D0A75"/>
    <w:rsid w:val="002D0DC1"/>
    <w:rsid w:val="002D21CA"/>
    <w:rsid w:val="002D244C"/>
    <w:rsid w:val="002D2502"/>
    <w:rsid w:val="002D27B2"/>
    <w:rsid w:val="002D2EAA"/>
    <w:rsid w:val="002D32E0"/>
    <w:rsid w:val="002D3BC7"/>
    <w:rsid w:val="002D3F70"/>
    <w:rsid w:val="002D418A"/>
    <w:rsid w:val="002D475A"/>
    <w:rsid w:val="002D5D7B"/>
    <w:rsid w:val="002D6384"/>
    <w:rsid w:val="002D699E"/>
    <w:rsid w:val="002D6D1D"/>
    <w:rsid w:val="002D6D9F"/>
    <w:rsid w:val="002D75DF"/>
    <w:rsid w:val="002D77B9"/>
    <w:rsid w:val="002D7D52"/>
    <w:rsid w:val="002E1244"/>
    <w:rsid w:val="002E17E5"/>
    <w:rsid w:val="002E1CA0"/>
    <w:rsid w:val="002E1F3A"/>
    <w:rsid w:val="002E21A1"/>
    <w:rsid w:val="002E2666"/>
    <w:rsid w:val="002E2CB6"/>
    <w:rsid w:val="002E2D6B"/>
    <w:rsid w:val="002E3CF6"/>
    <w:rsid w:val="002E3F88"/>
    <w:rsid w:val="002E433D"/>
    <w:rsid w:val="002E43D3"/>
    <w:rsid w:val="002E458A"/>
    <w:rsid w:val="002E4913"/>
    <w:rsid w:val="002E502F"/>
    <w:rsid w:val="002E52B1"/>
    <w:rsid w:val="002E57C2"/>
    <w:rsid w:val="002E61D0"/>
    <w:rsid w:val="002E6CB6"/>
    <w:rsid w:val="002E6EB7"/>
    <w:rsid w:val="002E7077"/>
    <w:rsid w:val="002E7171"/>
    <w:rsid w:val="002E743B"/>
    <w:rsid w:val="002E7576"/>
    <w:rsid w:val="002E7605"/>
    <w:rsid w:val="002E7788"/>
    <w:rsid w:val="002E7EDC"/>
    <w:rsid w:val="002F01CA"/>
    <w:rsid w:val="002F0C00"/>
    <w:rsid w:val="002F0EE6"/>
    <w:rsid w:val="002F10EF"/>
    <w:rsid w:val="002F24FB"/>
    <w:rsid w:val="002F2556"/>
    <w:rsid w:val="002F2799"/>
    <w:rsid w:val="002F3104"/>
    <w:rsid w:val="002F3792"/>
    <w:rsid w:val="002F4482"/>
    <w:rsid w:val="002F5658"/>
    <w:rsid w:val="002F573B"/>
    <w:rsid w:val="002F576E"/>
    <w:rsid w:val="002F65F6"/>
    <w:rsid w:val="002F718C"/>
    <w:rsid w:val="00300ABB"/>
    <w:rsid w:val="00300CB5"/>
    <w:rsid w:val="00300E99"/>
    <w:rsid w:val="00301A49"/>
    <w:rsid w:val="0030232B"/>
    <w:rsid w:val="003025F6"/>
    <w:rsid w:val="003028D0"/>
    <w:rsid w:val="00303178"/>
    <w:rsid w:val="00303ABB"/>
    <w:rsid w:val="00305601"/>
    <w:rsid w:val="00305AC8"/>
    <w:rsid w:val="0030659E"/>
    <w:rsid w:val="003068EC"/>
    <w:rsid w:val="003069AA"/>
    <w:rsid w:val="00306D0F"/>
    <w:rsid w:val="00306D97"/>
    <w:rsid w:val="00307145"/>
    <w:rsid w:val="0030742B"/>
    <w:rsid w:val="00307878"/>
    <w:rsid w:val="00307A59"/>
    <w:rsid w:val="00310039"/>
    <w:rsid w:val="003100AA"/>
    <w:rsid w:val="0031095D"/>
    <w:rsid w:val="00310E7E"/>
    <w:rsid w:val="0031125D"/>
    <w:rsid w:val="00311295"/>
    <w:rsid w:val="00311570"/>
    <w:rsid w:val="0031178D"/>
    <w:rsid w:val="0031188C"/>
    <w:rsid w:val="00312133"/>
    <w:rsid w:val="003121DD"/>
    <w:rsid w:val="003126B4"/>
    <w:rsid w:val="00312B2F"/>
    <w:rsid w:val="00312EDC"/>
    <w:rsid w:val="003132F5"/>
    <w:rsid w:val="00313327"/>
    <w:rsid w:val="00313372"/>
    <w:rsid w:val="00314A61"/>
    <w:rsid w:val="00314DB9"/>
    <w:rsid w:val="00314DC0"/>
    <w:rsid w:val="00315EF8"/>
    <w:rsid w:val="0031694D"/>
    <w:rsid w:val="0031710E"/>
    <w:rsid w:val="00317620"/>
    <w:rsid w:val="0032014A"/>
    <w:rsid w:val="003207BD"/>
    <w:rsid w:val="003215CF"/>
    <w:rsid w:val="00321915"/>
    <w:rsid w:val="00321B0B"/>
    <w:rsid w:val="00321F95"/>
    <w:rsid w:val="0032285B"/>
    <w:rsid w:val="00322E8A"/>
    <w:rsid w:val="00325B52"/>
    <w:rsid w:val="00325C8B"/>
    <w:rsid w:val="00325F87"/>
    <w:rsid w:val="003264F0"/>
    <w:rsid w:val="00326A84"/>
    <w:rsid w:val="00327CD9"/>
    <w:rsid w:val="0033097B"/>
    <w:rsid w:val="00330A5F"/>
    <w:rsid w:val="00330BAA"/>
    <w:rsid w:val="00330D63"/>
    <w:rsid w:val="00331137"/>
    <w:rsid w:val="003317FB"/>
    <w:rsid w:val="00331CD9"/>
    <w:rsid w:val="00332339"/>
    <w:rsid w:val="00332544"/>
    <w:rsid w:val="003329CE"/>
    <w:rsid w:val="00332B38"/>
    <w:rsid w:val="00332CA7"/>
    <w:rsid w:val="00332D2F"/>
    <w:rsid w:val="0033321E"/>
    <w:rsid w:val="00334653"/>
    <w:rsid w:val="00334677"/>
    <w:rsid w:val="00334693"/>
    <w:rsid w:val="003347B5"/>
    <w:rsid w:val="00335434"/>
    <w:rsid w:val="00335A82"/>
    <w:rsid w:val="00335DA4"/>
    <w:rsid w:val="00336444"/>
    <w:rsid w:val="00337080"/>
    <w:rsid w:val="00337315"/>
    <w:rsid w:val="0033787B"/>
    <w:rsid w:val="00337DC7"/>
    <w:rsid w:val="003403DA"/>
    <w:rsid w:val="00341A62"/>
    <w:rsid w:val="00341BA7"/>
    <w:rsid w:val="00341E8C"/>
    <w:rsid w:val="00341F18"/>
    <w:rsid w:val="00342782"/>
    <w:rsid w:val="00342B04"/>
    <w:rsid w:val="00342BB9"/>
    <w:rsid w:val="003434A8"/>
    <w:rsid w:val="00343C50"/>
    <w:rsid w:val="00343FB4"/>
    <w:rsid w:val="00344079"/>
    <w:rsid w:val="003440FA"/>
    <w:rsid w:val="0034444D"/>
    <w:rsid w:val="0034464C"/>
    <w:rsid w:val="00345679"/>
    <w:rsid w:val="003459BF"/>
    <w:rsid w:val="00345B02"/>
    <w:rsid w:val="0034604E"/>
    <w:rsid w:val="003461A1"/>
    <w:rsid w:val="0034652D"/>
    <w:rsid w:val="00346E28"/>
    <w:rsid w:val="00347427"/>
    <w:rsid w:val="00347862"/>
    <w:rsid w:val="003479C6"/>
    <w:rsid w:val="003508EF"/>
    <w:rsid w:val="0035186A"/>
    <w:rsid w:val="00352321"/>
    <w:rsid w:val="00352C50"/>
    <w:rsid w:val="00353D25"/>
    <w:rsid w:val="0035423D"/>
    <w:rsid w:val="00354320"/>
    <w:rsid w:val="00354820"/>
    <w:rsid w:val="003551DF"/>
    <w:rsid w:val="00355BEB"/>
    <w:rsid w:val="00356046"/>
    <w:rsid w:val="003570C6"/>
    <w:rsid w:val="00357A35"/>
    <w:rsid w:val="003620F2"/>
    <w:rsid w:val="003625E7"/>
    <w:rsid w:val="0036261C"/>
    <w:rsid w:val="0036322E"/>
    <w:rsid w:val="003632AF"/>
    <w:rsid w:val="00364060"/>
    <w:rsid w:val="0036611A"/>
    <w:rsid w:val="00366223"/>
    <w:rsid w:val="00366525"/>
    <w:rsid w:val="00367378"/>
    <w:rsid w:val="0037051C"/>
    <w:rsid w:val="00370E42"/>
    <w:rsid w:val="0037186F"/>
    <w:rsid w:val="003718F8"/>
    <w:rsid w:val="00372549"/>
    <w:rsid w:val="0037260B"/>
    <w:rsid w:val="00373498"/>
    <w:rsid w:val="00373751"/>
    <w:rsid w:val="00374CD7"/>
    <w:rsid w:val="00375451"/>
    <w:rsid w:val="0037554E"/>
    <w:rsid w:val="00376528"/>
    <w:rsid w:val="003771DD"/>
    <w:rsid w:val="0037773B"/>
    <w:rsid w:val="00377FDD"/>
    <w:rsid w:val="00380593"/>
    <w:rsid w:val="003805AE"/>
    <w:rsid w:val="003807A2"/>
    <w:rsid w:val="00380C19"/>
    <w:rsid w:val="00380EC5"/>
    <w:rsid w:val="00381321"/>
    <w:rsid w:val="00382CB5"/>
    <w:rsid w:val="003832BF"/>
    <w:rsid w:val="00384927"/>
    <w:rsid w:val="00384A5C"/>
    <w:rsid w:val="00385224"/>
    <w:rsid w:val="003852CF"/>
    <w:rsid w:val="003853FD"/>
    <w:rsid w:val="00385C3B"/>
    <w:rsid w:val="0038645C"/>
    <w:rsid w:val="0038645E"/>
    <w:rsid w:val="00386FC6"/>
    <w:rsid w:val="003871C2"/>
    <w:rsid w:val="003875E1"/>
    <w:rsid w:val="00387D7F"/>
    <w:rsid w:val="00390067"/>
    <w:rsid w:val="00390276"/>
    <w:rsid w:val="0039047E"/>
    <w:rsid w:val="00390BC3"/>
    <w:rsid w:val="00390BFD"/>
    <w:rsid w:val="00390DCA"/>
    <w:rsid w:val="00390F1D"/>
    <w:rsid w:val="00390F81"/>
    <w:rsid w:val="00391130"/>
    <w:rsid w:val="00391286"/>
    <w:rsid w:val="003914DD"/>
    <w:rsid w:val="00391D5E"/>
    <w:rsid w:val="003921FD"/>
    <w:rsid w:val="003927E6"/>
    <w:rsid w:val="003928D5"/>
    <w:rsid w:val="00392C86"/>
    <w:rsid w:val="00392CBB"/>
    <w:rsid w:val="00394156"/>
    <w:rsid w:val="00394D9B"/>
    <w:rsid w:val="00395CB2"/>
    <w:rsid w:val="00396B44"/>
    <w:rsid w:val="00396CA7"/>
    <w:rsid w:val="003A02E8"/>
    <w:rsid w:val="003A0763"/>
    <w:rsid w:val="003A079B"/>
    <w:rsid w:val="003A0B0D"/>
    <w:rsid w:val="003A1366"/>
    <w:rsid w:val="003A208C"/>
    <w:rsid w:val="003A2361"/>
    <w:rsid w:val="003A292C"/>
    <w:rsid w:val="003A2E07"/>
    <w:rsid w:val="003A2F20"/>
    <w:rsid w:val="003A2FB0"/>
    <w:rsid w:val="003A3202"/>
    <w:rsid w:val="003A36F8"/>
    <w:rsid w:val="003A3D4E"/>
    <w:rsid w:val="003A3E13"/>
    <w:rsid w:val="003A3EC0"/>
    <w:rsid w:val="003A4C11"/>
    <w:rsid w:val="003A5792"/>
    <w:rsid w:val="003A582B"/>
    <w:rsid w:val="003A5B3C"/>
    <w:rsid w:val="003A5B68"/>
    <w:rsid w:val="003A5DC0"/>
    <w:rsid w:val="003A5E22"/>
    <w:rsid w:val="003A5E48"/>
    <w:rsid w:val="003A6330"/>
    <w:rsid w:val="003A635D"/>
    <w:rsid w:val="003A6378"/>
    <w:rsid w:val="003A6E50"/>
    <w:rsid w:val="003A707A"/>
    <w:rsid w:val="003A730C"/>
    <w:rsid w:val="003A74D3"/>
    <w:rsid w:val="003A7AB8"/>
    <w:rsid w:val="003B0ACC"/>
    <w:rsid w:val="003B0EB3"/>
    <w:rsid w:val="003B136A"/>
    <w:rsid w:val="003B1B86"/>
    <w:rsid w:val="003B1DA3"/>
    <w:rsid w:val="003B231C"/>
    <w:rsid w:val="003B2B17"/>
    <w:rsid w:val="003B33B8"/>
    <w:rsid w:val="003B33FC"/>
    <w:rsid w:val="003B3514"/>
    <w:rsid w:val="003B362E"/>
    <w:rsid w:val="003B4040"/>
    <w:rsid w:val="003B442C"/>
    <w:rsid w:val="003B4978"/>
    <w:rsid w:val="003B4DE4"/>
    <w:rsid w:val="003B4EB3"/>
    <w:rsid w:val="003B5010"/>
    <w:rsid w:val="003B5260"/>
    <w:rsid w:val="003B541F"/>
    <w:rsid w:val="003B5BA8"/>
    <w:rsid w:val="003B5C15"/>
    <w:rsid w:val="003B63A2"/>
    <w:rsid w:val="003B65E0"/>
    <w:rsid w:val="003B6CB8"/>
    <w:rsid w:val="003B6FAE"/>
    <w:rsid w:val="003B7316"/>
    <w:rsid w:val="003B7434"/>
    <w:rsid w:val="003B763E"/>
    <w:rsid w:val="003B78DA"/>
    <w:rsid w:val="003B7AD6"/>
    <w:rsid w:val="003B7C87"/>
    <w:rsid w:val="003C033F"/>
    <w:rsid w:val="003C067E"/>
    <w:rsid w:val="003C0CDB"/>
    <w:rsid w:val="003C102A"/>
    <w:rsid w:val="003C1035"/>
    <w:rsid w:val="003C103A"/>
    <w:rsid w:val="003C14E4"/>
    <w:rsid w:val="003C1920"/>
    <w:rsid w:val="003C197D"/>
    <w:rsid w:val="003C2921"/>
    <w:rsid w:val="003C2BB0"/>
    <w:rsid w:val="003C2FD0"/>
    <w:rsid w:val="003C35BE"/>
    <w:rsid w:val="003C3846"/>
    <w:rsid w:val="003C3994"/>
    <w:rsid w:val="003C3E78"/>
    <w:rsid w:val="003C401C"/>
    <w:rsid w:val="003C4353"/>
    <w:rsid w:val="003C4803"/>
    <w:rsid w:val="003C4A55"/>
    <w:rsid w:val="003C4C0C"/>
    <w:rsid w:val="003C4F53"/>
    <w:rsid w:val="003C5BCC"/>
    <w:rsid w:val="003C5D85"/>
    <w:rsid w:val="003C5EB1"/>
    <w:rsid w:val="003C6F20"/>
    <w:rsid w:val="003C6F94"/>
    <w:rsid w:val="003C701F"/>
    <w:rsid w:val="003D051A"/>
    <w:rsid w:val="003D0D68"/>
    <w:rsid w:val="003D0FE6"/>
    <w:rsid w:val="003D1BE3"/>
    <w:rsid w:val="003D1D05"/>
    <w:rsid w:val="003D1D9A"/>
    <w:rsid w:val="003D2291"/>
    <w:rsid w:val="003D2728"/>
    <w:rsid w:val="003D2A10"/>
    <w:rsid w:val="003D3008"/>
    <w:rsid w:val="003D307C"/>
    <w:rsid w:val="003D34C2"/>
    <w:rsid w:val="003D3D66"/>
    <w:rsid w:val="003D413D"/>
    <w:rsid w:val="003D4E0A"/>
    <w:rsid w:val="003D51D0"/>
    <w:rsid w:val="003D640E"/>
    <w:rsid w:val="003D69A9"/>
    <w:rsid w:val="003D6B7E"/>
    <w:rsid w:val="003D721F"/>
    <w:rsid w:val="003D778A"/>
    <w:rsid w:val="003D7FB7"/>
    <w:rsid w:val="003E04FB"/>
    <w:rsid w:val="003E0B2E"/>
    <w:rsid w:val="003E0CA9"/>
    <w:rsid w:val="003E1944"/>
    <w:rsid w:val="003E1D8D"/>
    <w:rsid w:val="003E21B4"/>
    <w:rsid w:val="003E22AF"/>
    <w:rsid w:val="003E22B6"/>
    <w:rsid w:val="003E22D1"/>
    <w:rsid w:val="003E294E"/>
    <w:rsid w:val="003E2E0D"/>
    <w:rsid w:val="003E31B1"/>
    <w:rsid w:val="003E31DA"/>
    <w:rsid w:val="003E33B7"/>
    <w:rsid w:val="003E3882"/>
    <w:rsid w:val="003E4286"/>
    <w:rsid w:val="003E4BD5"/>
    <w:rsid w:val="003E4CF9"/>
    <w:rsid w:val="003E4EA5"/>
    <w:rsid w:val="003E4F75"/>
    <w:rsid w:val="003E501F"/>
    <w:rsid w:val="003E5355"/>
    <w:rsid w:val="003E5EFF"/>
    <w:rsid w:val="003E6188"/>
    <w:rsid w:val="003E6251"/>
    <w:rsid w:val="003E65D1"/>
    <w:rsid w:val="003E7254"/>
    <w:rsid w:val="003E7799"/>
    <w:rsid w:val="003E7FF6"/>
    <w:rsid w:val="003F04DA"/>
    <w:rsid w:val="003F0520"/>
    <w:rsid w:val="003F0779"/>
    <w:rsid w:val="003F08E5"/>
    <w:rsid w:val="003F0FA1"/>
    <w:rsid w:val="003F27E4"/>
    <w:rsid w:val="003F2CA5"/>
    <w:rsid w:val="003F39DC"/>
    <w:rsid w:val="003F4098"/>
    <w:rsid w:val="003F438C"/>
    <w:rsid w:val="003F4594"/>
    <w:rsid w:val="003F4914"/>
    <w:rsid w:val="003F5D9A"/>
    <w:rsid w:val="003F6D32"/>
    <w:rsid w:val="003F6E03"/>
    <w:rsid w:val="003F7862"/>
    <w:rsid w:val="003F7B5D"/>
    <w:rsid w:val="004000E5"/>
    <w:rsid w:val="004001E9"/>
    <w:rsid w:val="0040036D"/>
    <w:rsid w:val="00400615"/>
    <w:rsid w:val="004006B4"/>
    <w:rsid w:val="004007FF"/>
    <w:rsid w:val="0040080B"/>
    <w:rsid w:val="00400A10"/>
    <w:rsid w:val="004017FD"/>
    <w:rsid w:val="00401851"/>
    <w:rsid w:val="00402842"/>
    <w:rsid w:val="004036A5"/>
    <w:rsid w:val="0040452F"/>
    <w:rsid w:val="00404FDC"/>
    <w:rsid w:val="004050F5"/>
    <w:rsid w:val="004058AC"/>
    <w:rsid w:val="0040602C"/>
    <w:rsid w:val="004066E1"/>
    <w:rsid w:val="00406AF6"/>
    <w:rsid w:val="00406F8A"/>
    <w:rsid w:val="004077E0"/>
    <w:rsid w:val="00407892"/>
    <w:rsid w:val="00407A0F"/>
    <w:rsid w:val="00407A20"/>
    <w:rsid w:val="004104DE"/>
    <w:rsid w:val="004107E3"/>
    <w:rsid w:val="0041094B"/>
    <w:rsid w:val="00411467"/>
    <w:rsid w:val="0041147D"/>
    <w:rsid w:val="0041157E"/>
    <w:rsid w:val="00411645"/>
    <w:rsid w:val="0041185E"/>
    <w:rsid w:val="00411A18"/>
    <w:rsid w:val="00412878"/>
    <w:rsid w:val="0041308A"/>
    <w:rsid w:val="0041347F"/>
    <w:rsid w:val="00413676"/>
    <w:rsid w:val="00413A67"/>
    <w:rsid w:val="00413D6A"/>
    <w:rsid w:val="004141CD"/>
    <w:rsid w:val="0041468C"/>
    <w:rsid w:val="00414C6C"/>
    <w:rsid w:val="0041534C"/>
    <w:rsid w:val="00415998"/>
    <w:rsid w:val="00416273"/>
    <w:rsid w:val="0041663C"/>
    <w:rsid w:val="004169C7"/>
    <w:rsid w:val="00417370"/>
    <w:rsid w:val="004178FD"/>
    <w:rsid w:val="00417D4C"/>
    <w:rsid w:val="00420630"/>
    <w:rsid w:val="00420D95"/>
    <w:rsid w:val="00421299"/>
    <w:rsid w:val="0042156E"/>
    <w:rsid w:val="00421C31"/>
    <w:rsid w:val="00421FD8"/>
    <w:rsid w:val="004221EF"/>
    <w:rsid w:val="00422BBC"/>
    <w:rsid w:val="00422CBD"/>
    <w:rsid w:val="00422FA5"/>
    <w:rsid w:val="004232D7"/>
    <w:rsid w:val="00423AA9"/>
    <w:rsid w:val="00424E5C"/>
    <w:rsid w:val="004263E2"/>
    <w:rsid w:val="00426976"/>
    <w:rsid w:val="00427196"/>
    <w:rsid w:val="00430062"/>
    <w:rsid w:val="00430AE2"/>
    <w:rsid w:val="00431190"/>
    <w:rsid w:val="00431895"/>
    <w:rsid w:val="004319F8"/>
    <w:rsid w:val="0043215F"/>
    <w:rsid w:val="00432367"/>
    <w:rsid w:val="004325B2"/>
    <w:rsid w:val="00432790"/>
    <w:rsid w:val="004334BA"/>
    <w:rsid w:val="0043360F"/>
    <w:rsid w:val="00433A74"/>
    <w:rsid w:val="0043412A"/>
    <w:rsid w:val="004348CE"/>
    <w:rsid w:val="00435015"/>
    <w:rsid w:val="00435422"/>
    <w:rsid w:val="0043542D"/>
    <w:rsid w:val="00435789"/>
    <w:rsid w:val="00435A61"/>
    <w:rsid w:val="00435B85"/>
    <w:rsid w:val="004369CE"/>
    <w:rsid w:val="004375CD"/>
    <w:rsid w:val="004379E7"/>
    <w:rsid w:val="00437A6E"/>
    <w:rsid w:val="00437C0D"/>
    <w:rsid w:val="00437DDB"/>
    <w:rsid w:val="004401C6"/>
    <w:rsid w:val="00440287"/>
    <w:rsid w:val="00440932"/>
    <w:rsid w:val="00441091"/>
    <w:rsid w:val="00441C06"/>
    <w:rsid w:val="004421BE"/>
    <w:rsid w:val="004424EA"/>
    <w:rsid w:val="00442B9E"/>
    <w:rsid w:val="00442C64"/>
    <w:rsid w:val="00442E05"/>
    <w:rsid w:val="00443126"/>
    <w:rsid w:val="00443228"/>
    <w:rsid w:val="004438B0"/>
    <w:rsid w:val="00444FF5"/>
    <w:rsid w:val="0044517B"/>
    <w:rsid w:val="004454E4"/>
    <w:rsid w:val="0044567A"/>
    <w:rsid w:val="00445A6C"/>
    <w:rsid w:val="00446442"/>
    <w:rsid w:val="00446689"/>
    <w:rsid w:val="00447007"/>
    <w:rsid w:val="0044701C"/>
    <w:rsid w:val="00447132"/>
    <w:rsid w:val="004472BE"/>
    <w:rsid w:val="004500BB"/>
    <w:rsid w:val="00450FF8"/>
    <w:rsid w:val="00451262"/>
    <w:rsid w:val="00451AD8"/>
    <w:rsid w:val="00451AE4"/>
    <w:rsid w:val="00451BBB"/>
    <w:rsid w:val="004529F5"/>
    <w:rsid w:val="00452A2B"/>
    <w:rsid w:val="004535F2"/>
    <w:rsid w:val="004536DA"/>
    <w:rsid w:val="0045382D"/>
    <w:rsid w:val="00453E38"/>
    <w:rsid w:val="00454801"/>
    <w:rsid w:val="00454950"/>
    <w:rsid w:val="00454A40"/>
    <w:rsid w:val="00454A65"/>
    <w:rsid w:val="00454AB3"/>
    <w:rsid w:val="00454F52"/>
    <w:rsid w:val="0045547E"/>
    <w:rsid w:val="004562B4"/>
    <w:rsid w:val="00456AA9"/>
    <w:rsid w:val="00456C05"/>
    <w:rsid w:val="00456C70"/>
    <w:rsid w:val="00456CAD"/>
    <w:rsid w:val="00457709"/>
    <w:rsid w:val="00457926"/>
    <w:rsid w:val="00457C6A"/>
    <w:rsid w:val="00460E43"/>
    <w:rsid w:val="00461AF8"/>
    <w:rsid w:val="00461B6E"/>
    <w:rsid w:val="00461BF7"/>
    <w:rsid w:val="00462350"/>
    <w:rsid w:val="00462691"/>
    <w:rsid w:val="00463024"/>
    <w:rsid w:val="004632BC"/>
    <w:rsid w:val="00463683"/>
    <w:rsid w:val="00463E50"/>
    <w:rsid w:val="0046470F"/>
    <w:rsid w:val="00465708"/>
    <w:rsid w:val="0046596C"/>
    <w:rsid w:val="00465E4A"/>
    <w:rsid w:val="0046617D"/>
    <w:rsid w:val="00466270"/>
    <w:rsid w:val="00466807"/>
    <w:rsid w:val="00467763"/>
    <w:rsid w:val="00467EDB"/>
    <w:rsid w:val="00467F4F"/>
    <w:rsid w:val="00470050"/>
    <w:rsid w:val="004706C8"/>
    <w:rsid w:val="004707B3"/>
    <w:rsid w:val="00470DDA"/>
    <w:rsid w:val="004713FC"/>
    <w:rsid w:val="00471404"/>
    <w:rsid w:val="0047143D"/>
    <w:rsid w:val="00471D4D"/>
    <w:rsid w:val="00472488"/>
    <w:rsid w:val="00474660"/>
    <w:rsid w:val="0047475A"/>
    <w:rsid w:val="00474B70"/>
    <w:rsid w:val="004751D5"/>
    <w:rsid w:val="00475285"/>
    <w:rsid w:val="00475506"/>
    <w:rsid w:val="00475AEC"/>
    <w:rsid w:val="00475DFF"/>
    <w:rsid w:val="00476550"/>
    <w:rsid w:val="00476920"/>
    <w:rsid w:val="00477005"/>
    <w:rsid w:val="00477054"/>
    <w:rsid w:val="00477717"/>
    <w:rsid w:val="004778FC"/>
    <w:rsid w:val="00477BBB"/>
    <w:rsid w:val="00480989"/>
    <w:rsid w:val="004816E4"/>
    <w:rsid w:val="00481885"/>
    <w:rsid w:val="004819E1"/>
    <w:rsid w:val="00482304"/>
    <w:rsid w:val="00482DAF"/>
    <w:rsid w:val="00482E11"/>
    <w:rsid w:val="00482F2C"/>
    <w:rsid w:val="00483730"/>
    <w:rsid w:val="00483B36"/>
    <w:rsid w:val="00483F01"/>
    <w:rsid w:val="004844DC"/>
    <w:rsid w:val="004845C2"/>
    <w:rsid w:val="00484D8D"/>
    <w:rsid w:val="004851A4"/>
    <w:rsid w:val="0048531C"/>
    <w:rsid w:val="004865F6"/>
    <w:rsid w:val="00486A66"/>
    <w:rsid w:val="004870BC"/>
    <w:rsid w:val="00487216"/>
    <w:rsid w:val="004872A6"/>
    <w:rsid w:val="004901FA"/>
    <w:rsid w:val="004904F3"/>
    <w:rsid w:val="00490C6D"/>
    <w:rsid w:val="0049114F"/>
    <w:rsid w:val="00491702"/>
    <w:rsid w:val="00492279"/>
    <w:rsid w:val="004923C9"/>
    <w:rsid w:val="0049283E"/>
    <w:rsid w:val="00492981"/>
    <w:rsid w:val="00492A91"/>
    <w:rsid w:val="00493751"/>
    <w:rsid w:val="00493950"/>
    <w:rsid w:val="004940DB"/>
    <w:rsid w:val="00494D38"/>
    <w:rsid w:val="00494E40"/>
    <w:rsid w:val="00495E5F"/>
    <w:rsid w:val="00495EAB"/>
    <w:rsid w:val="00496084"/>
    <w:rsid w:val="0049651A"/>
    <w:rsid w:val="00496E15"/>
    <w:rsid w:val="00497CAA"/>
    <w:rsid w:val="004A074D"/>
    <w:rsid w:val="004A0C4E"/>
    <w:rsid w:val="004A11C2"/>
    <w:rsid w:val="004A1234"/>
    <w:rsid w:val="004A172B"/>
    <w:rsid w:val="004A175D"/>
    <w:rsid w:val="004A1CD4"/>
    <w:rsid w:val="004A2064"/>
    <w:rsid w:val="004A3496"/>
    <w:rsid w:val="004A3E33"/>
    <w:rsid w:val="004A447C"/>
    <w:rsid w:val="004A464D"/>
    <w:rsid w:val="004A4BA1"/>
    <w:rsid w:val="004A585D"/>
    <w:rsid w:val="004A65CC"/>
    <w:rsid w:val="004A7B15"/>
    <w:rsid w:val="004B004A"/>
    <w:rsid w:val="004B0158"/>
    <w:rsid w:val="004B0509"/>
    <w:rsid w:val="004B0E69"/>
    <w:rsid w:val="004B164B"/>
    <w:rsid w:val="004B1D82"/>
    <w:rsid w:val="004B2CC6"/>
    <w:rsid w:val="004B2F3E"/>
    <w:rsid w:val="004B3629"/>
    <w:rsid w:val="004B3A80"/>
    <w:rsid w:val="004B3BA8"/>
    <w:rsid w:val="004B4079"/>
    <w:rsid w:val="004B44D3"/>
    <w:rsid w:val="004B4560"/>
    <w:rsid w:val="004B500C"/>
    <w:rsid w:val="004B545F"/>
    <w:rsid w:val="004B588B"/>
    <w:rsid w:val="004B5B42"/>
    <w:rsid w:val="004B6300"/>
    <w:rsid w:val="004B76DB"/>
    <w:rsid w:val="004B7BB0"/>
    <w:rsid w:val="004B7C3C"/>
    <w:rsid w:val="004B7DA7"/>
    <w:rsid w:val="004B7E60"/>
    <w:rsid w:val="004C021E"/>
    <w:rsid w:val="004C040A"/>
    <w:rsid w:val="004C19D0"/>
    <w:rsid w:val="004C1C34"/>
    <w:rsid w:val="004C2B44"/>
    <w:rsid w:val="004C2CD5"/>
    <w:rsid w:val="004C31D9"/>
    <w:rsid w:val="004C3472"/>
    <w:rsid w:val="004C3D82"/>
    <w:rsid w:val="004C42BE"/>
    <w:rsid w:val="004C42D6"/>
    <w:rsid w:val="004C535B"/>
    <w:rsid w:val="004C54D2"/>
    <w:rsid w:val="004C6636"/>
    <w:rsid w:val="004C6C32"/>
    <w:rsid w:val="004C7BD1"/>
    <w:rsid w:val="004C7E25"/>
    <w:rsid w:val="004C7E9B"/>
    <w:rsid w:val="004C7FC4"/>
    <w:rsid w:val="004D0142"/>
    <w:rsid w:val="004D0428"/>
    <w:rsid w:val="004D094F"/>
    <w:rsid w:val="004D0A79"/>
    <w:rsid w:val="004D0F1B"/>
    <w:rsid w:val="004D1807"/>
    <w:rsid w:val="004D18E6"/>
    <w:rsid w:val="004D2EE3"/>
    <w:rsid w:val="004D4247"/>
    <w:rsid w:val="004D4478"/>
    <w:rsid w:val="004D472C"/>
    <w:rsid w:val="004D4CFE"/>
    <w:rsid w:val="004D5870"/>
    <w:rsid w:val="004D5A58"/>
    <w:rsid w:val="004D5FF1"/>
    <w:rsid w:val="004D6190"/>
    <w:rsid w:val="004D6722"/>
    <w:rsid w:val="004E0450"/>
    <w:rsid w:val="004E047F"/>
    <w:rsid w:val="004E1A4F"/>
    <w:rsid w:val="004E29C6"/>
    <w:rsid w:val="004E2E91"/>
    <w:rsid w:val="004E3132"/>
    <w:rsid w:val="004E33B1"/>
    <w:rsid w:val="004E3BAA"/>
    <w:rsid w:val="004E48F4"/>
    <w:rsid w:val="004E5D82"/>
    <w:rsid w:val="004E5DF3"/>
    <w:rsid w:val="004E62B2"/>
    <w:rsid w:val="004E6772"/>
    <w:rsid w:val="004E7C61"/>
    <w:rsid w:val="004F096A"/>
    <w:rsid w:val="004F159F"/>
    <w:rsid w:val="004F198E"/>
    <w:rsid w:val="004F1B9E"/>
    <w:rsid w:val="004F1BA2"/>
    <w:rsid w:val="004F1D43"/>
    <w:rsid w:val="004F1D96"/>
    <w:rsid w:val="004F2322"/>
    <w:rsid w:val="004F316D"/>
    <w:rsid w:val="004F3245"/>
    <w:rsid w:val="004F4657"/>
    <w:rsid w:val="004F46A7"/>
    <w:rsid w:val="004F5138"/>
    <w:rsid w:val="004F5388"/>
    <w:rsid w:val="004F5804"/>
    <w:rsid w:val="004F5958"/>
    <w:rsid w:val="004F5E57"/>
    <w:rsid w:val="004F5EAB"/>
    <w:rsid w:val="004F612B"/>
    <w:rsid w:val="004F6529"/>
    <w:rsid w:val="004F6934"/>
    <w:rsid w:val="004F7139"/>
    <w:rsid w:val="004F799B"/>
    <w:rsid w:val="004F7E88"/>
    <w:rsid w:val="004F7FB3"/>
    <w:rsid w:val="0050075F"/>
    <w:rsid w:val="0050095E"/>
    <w:rsid w:val="00500B2A"/>
    <w:rsid w:val="00500BBE"/>
    <w:rsid w:val="00500EA9"/>
    <w:rsid w:val="00501BD8"/>
    <w:rsid w:val="00501C0F"/>
    <w:rsid w:val="00502489"/>
    <w:rsid w:val="00502A19"/>
    <w:rsid w:val="0050303D"/>
    <w:rsid w:val="00503C9F"/>
    <w:rsid w:val="00504005"/>
    <w:rsid w:val="00504813"/>
    <w:rsid w:val="00504A2E"/>
    <w:rsid w:val="00504F03"/>
    <w:rsid w:val="00504FBB"/>
    <w:rsid w:val="00505069"/>
    <w:rsid w:val="00505483"/>
    <w:rsid w:val="00505940"/>
    <w:rsid w:val="0050596A"/>
    <w:rsid w:val="00506585"/>
    <w:rsid w:val="005067A9"/>
    <w:rsid w:val="00507DEE"/>
    <w:rsid w:val="00510EBE"/>
    <w:rsid w:val="00511C3A"/>
    <w:rsid w:val="0051225C"/>
    <w:rsid w:val="005128F0"/>
    <w:rsid w:val="0051298B"/>
    <w:rsid w:val="00512DE8"/>
    <w:rsid w:val="00512DF6"/>
    <w:rsid w:val="0051311A"/>
    <w:rsid w:val="0051367E"/>
    <w:rsid w:val="005138AC"/>
    <w:rsid w:val="0051419E"/>
    <w:rsid w:val="00514B87"/>
    <w:rsid w:val="005154D7"/>
    <w:rsid w:val="0051614D"/>
    <w:rsid w:val="005162BA"/>
    <w:rsid w:val="005162ED"/>
    <w:rsid w:val="0052061E"/>
    <w:rsid w:val="00520EE4"/>
    <w:rsid w:val="00521589"/>
    <w:rsid w:val="00521889"/>
    <w:rsid w:val="00522455"/>
    <w:rsid w:val="00523751"/>
    <w:rsid w:val="0052380A"/>
    <w:rsid w:val="00523B2A"/>
    <w:rsid w:val="00523E1D"/>
    <w:rsid w:val="00523E8B"/>
    <w:rsid w:val="005248E7"/>
    <w:rsid w:val="00525367"/>
    <w:rsid w:val="005259D6"/>
    <w:rsid w:val="0052644B"/>
    <w:rsid w:val="00526A94"/>
    <w:rsid w:val="00527262"/>
    <w:rsid w:val="00527266"/>
    <w:rsid w:val="0052750A"/>
    <w:rsid w:val="005276C1"/>
    <w:rsid w:val="00527842"/>
    <w:rsid w:val="00527A8C"/>
    <w:rsid w:val="00527C32"/>
    <w:rsid w:val="00530A70"/>
    <w:rsid w:val="00531365"/>
    <w:rsid w:val="005315E5"/>
    <w:rsid w:val="005318A5"/>
    <w:rsid w:val="005319AD"/>
    <w:rsid w:val="005319D6"/>
    <w:rsid w:val="00531E24"/>
    <w:rsid w:val="00532051"/>
    <w:rsid w:val="0053242F"/>
    <w:rsid w:val="00532794"/>
    <w:rsid w:val="00532FF0"/>
    <w:rsid w:val="00533255"/>
    <w:rsid w:val="00533B8B"/>
    <w:rsid w:val="00533F23"/>
    <w:rsid w:val="00534901"/>
    <w:rsid w:val="0053528A"/>
    <w:rsid w:val="00535E17"/>
    <w:rsid w:val="005365D3"/>
    <w:rsid w:val="0053682A"/>
    <w:rsid w:val="00536BB6"/>
    <w:rsid w:val="00536F19"/>
    <w:rsid w:val="00537065"/>
    <w:rsid w:val="005371F9"/>
    <w:rsid w:val="005377F6"/>
    <w:rsid w:val="00537C1B"/>
    <w:rsid w:val="00537FF5"/>
    <w:rsid w:val="005407BB"/>
    <w:rsid w:val="005409EC"/>
    <w:rsid w:val="00540B46"/>
    <w:rsid w:val="00540C78"/>
    <w:rsid w:val="00540D96"/>
    <w:rsid w:val="00541002"/>
    <w:rsid w:val="005414BA"/>
    <w:rsid w:val="0054261B"/>
    <w:rsid w:val="00542803"/>
    <w:rsid w:val="00542963"/>
    <w:rsid w:val="00542B0A"/>
    <w:rsid w:val="00542D25"/>
    <w:rsid w:val="00544505"/>
    <w:rsid w:val="0054488D"/>
    <w:rsid w:val="005448C3"/>
    <w:rsid w:val="00544E6B"/>
    <w:rsid w:val="0054522B"/>
    <w:rsid w:val="00545860"/>
    <w:rsid w:val="00546372"/>
    <w:rsid w:val="005466C3"/>
    <w:rsid w:val="00546A1D"/>
    <w:rsid w:val="00546C04"/>
    <w:rsid w:val="00546C15"/>
    <w:rsid w:val="005473A4"/>
    <w:rsid w:val="00547453"/>
    <w:rsid w:val="00547CBA"/>
    <w:rsid w:val="0055058B"/>
    <w:rsid w:val="00550DDF"/>
    <w:rsid w:val="005512AC"/>
    <w:rsid w:val="00551346"/>
    <w:rsid w:val="0055175D"/>
    <w:rsid w:val="00552243"/>
    <w:rsid w:val="00552517"/>
    <w:rsid w:val="0055314D"/>
    <w:rsid w:val="00553400"/>
    <w:rsid w:val="00553C85"/>
    <w:rsid w:val="005547CA"/>
    <w:rsid w:val="00554930"/>
    <w:rsid w:val="00554E41"/>
    <w:rsid w:val="00554E91"/>
    <w:rsid w:val="005550C4"/>
    <w:rsid w:val="005559B7"/>
    <w:rsid w:val="00555B65"/>
    <w:rsid w:val="00555BDC"/>
    <w:rsid w:val="005560B0"/>
    <w:rsid w:val="00556AED"/>
    <w:rsid w:val="00556F0C"/>
    <w:rsid w:val="005573B5"/>
    <w:rsid w:val="00557460"/>
    <w:rsid w:val="005575B5"/>
    <w:rsid w:val="00557995"/>
    <w:rsid w:val="00557D60"/>
    <w:rsid w:val="005600A4"/>
    <w:rsid w:val="00560856"/>
    <w:rsid w:val="0056092E"/>
    <w:rsid w:val="00560C28"/>
    <w:rsid w:val="00560C4E"/>
    <w:rsid w:val="0056211A"/>
    <w:rsid w:val="00562F6D"/>
    <w:rsid w:val="005633B5"/>
    <w:rsid w:val="005635B5"/>
    <w:rsid w:val="00563B17"/>
    <w:rsid w:val="00563C02"/>
    <w:rsid w:val="00563C49"/>
    <w:rsid w:val="00563D28"/>
    <w:rsid w:val="00563D60"/>
    <w:rsid w:val="00564053"/>
    <w:rsid w:val="0056446A"/>
    <w:rsid w:val="005649A2"/>
    <w:rsid w:val="0056528D"/>
    <w:rsid w:val="005653D9"/>
    <w:rsid w:val="005666B2"/>
    <w:rsid w:val="00566ADF"/>
    <w:rsid w:val="00567067"/>
    <w:rsid w:val="005673CB"/>
    <w:rsid w:val="00567598"/>
    <w:rsid w:val="0057164B"/>
    <w:rsid w:val="00571CEB"/>
    <w:rsid w:val="00571F06"/>
    <w:rsid w:val="0057200C"/>
    <w:rsid w:val="005720AD"/>
    <w:rsid w:val="005729EB"/>
    <w:rsid w:val="00573735"/>
    <w:rsid w:val="0057375B"/>
    <w:rsid w:val="0057397F"/>
    <w:rsid w:val="00573B47"/>
    <w:rsid w:val="00574241"/>
    <w:rsid w:val="005742D6"/>
    <w:rsid w:val="0057439C"/>
    <w:rsid w:val="00574603"/>
    <w:rsid w:val="00574BBE"/>
    <w:rsid w:val="00574E59"/>
    <w:rsid w:val="005751BD"/>
    <w:rsid w:val="00576219"/>
    <w:rsid w:val="00576BA6"/>
    <w:rsid w:val="00577606"/>
    <w:rsid w:val="005777D0"/>
    <w:rsid w:val="0057780B"/>
    <w:rsid w:val="00580542"/>
    <w:rsid w:val="00580A97"/>
    <w:rsid w:val="00580B62"/>
    <w:rsid w:val="00581138"/>
    <w:rsid w:val="00581D72"/>
    <w:rsid w:val="00581F7F"/>
    <w:rsid w:val="005824AD"/>
    <w:rsid w:val="005824C2"/>
    <w:rsid w:val="00582578"/>
    <w:rsid w:val="0058278A"/>
    <w:rsid w:val="00583A23"/>
    <w:rsid w:val="00583F64"/>
    <w:rsid w:val="00584463"/>
    <w:rsid w:val="0058448B"/>
    <w:rsid w:val="0058697D"/>
    <w:rsid w:val="0058728B"/>
    <w:rsid w:val="00587D49"/>
    <w:rsid w:val="00587E8B"/>
    <w:rsid w:val="005900FE"/>
    <w:rsid w:val="00590402"/>
    <w:rsid w:val="0059047A"/>
    <w:rsid w:val="00590C32"/>
    <w:rsid w:val="005915B9"/>
    <w:rsid w:val="00592090"/>
    <w:rsid w:val="0059247E"/>
    <w:rsid w:val="00592AF1"/>
    <w:rsid w:val="00592FD1"/>
    <w:rsid w:val="005931DA"/>
    <w:rsid w:val="00593430"/>
    <w:rsid w:val="00593457"/>
    <w:rsid w:val="00593650"/>
    <w:rsid w:val="00593A64"/>
    <w:rsid w:val="00593E86"/>
    <w:rsid w:val="00593EB3"/>
    <w:rsid w:val="00593EBA"/>
    <w:rsid w:val="00594767"/>
    <w:rsid w:val="00594798"/>
    <w:rsid w:val="00594CFF"/>
    <w:rsid w:val="00595ACA"/>
    <w:rsid w:val="00596567"/>
    <w:rsid w:val="005973F0"/>
    <w:rsid w:val="005974EA"/>
    <w:rsid w:val="0059772E"/>
    <w:rsid w:val="005A069F"/>
    <w:rsid w:val="005A0A04"/>
    <w:rsid w:val="005A1651"/>
    <w:rsid w:val="005A1719"/>
    <w:rsid w:val="005A1749"/>
    <w:rsid w:val="005A28E6"/>
    <w:rsid w:val="005A2F51"/>
    <w:rsid w:val="005A33A7"/>
    <w:rsid w:val="005A3438"/>
    <w:rsid w:val="005A34D5"/>
    <w:rsid w:val="005A3592"/>
    <w:rsid w:val="005A373D"/>
    <w:rsid w:val="005A3A86"/>
    <w:rsid w:val="005A3CCF"/>
    <w:rsid w:val="005A4D32"/>
    <w:rsid w:val="005A4EB0"/>
    <w:rsid w:val="005A5258"/>
    <w:rsid w:val="005A5D2E"/>
    <w:rsid w:val="005A5DAD"/>
    <w:rsid w:val="005A5EB9"/>
    <w:rsid w:val="005A5F3B"/>
    <w:rsid w:val="005A5FA7"/>
    <w:rsid w:val="005A763C"/>
    <w:rsid w:val="005A7CF9"/>
    <w:rsid w:val="005B014B"/>
    <w:rsid w:val="005B0503"/>
    <w:rsid w:val="005B058E"/>
    <w:rsid w:val="005B11D3"/>
    <w:rsid w:val="005B11E7"/>
    <w:rsid w:val="005B189E"/>
    <w:rsid w:val="005B1BBE"/>
    <w:rsid w:val="005B1D81"/>
    <w:rsid w:val="005B1FEF"/>
    <w:rsid w:val="005B252A"/>
    <w:rsid w:val="005B2AB4"/>
    <w:rsid w:val="005B33E3"/>
    <w:rsid w:val="005B34D5"/>
    <w:rsid w:val="005B3F1C"/>
    <w:rsid w:val="005B3F5D"/>
    <w:rsid w:val="005B495D"/>
    <w:rsid w:val="005B568A"/>
    <w:rsid w:val="005B5A84"/>
    <w:rsid w:val="005B5FC9"/>
    <w:rsid w:val="005B6329"/>
    <w:rsid w:val="005B69CE"/>
    <w:rsid w:val="005B6A24"/>
    <w:rsid w:val="005B6BA9"/>
    <w:rsid w:val="005B6FBB"/>
    <w:rsid w:val="005B7249"/>
    <w:rsid w:val="005B7E82"/>
    <w:rsid w:val="005C04FC"/>
    <w:rsid w:val="005C0F7B"/>
    <w:rsid w:val="005C19A3"/>
    <w:rsid w:val="005C1BCB"/>
    <w:rsid w:val="005C1EC5"/>
    <w:rsid w:val="005C1ECF"/>
    <w:rsid w:val="005C21FA"/>
    <w:rsid w:val="005C32F9"/>
    <w:rsid w:val="005C3437"/>
    <w:rsid w:val="005C35E8"/>
    <w:rsid w:val="005C37F8"/>
    <w:rsid w:val="005C386C"/>
    <w:rsid w:val="005C3AB9"/>
    <w:rsid w:val="005C3D1A"/>
    <w:rsid w:val="005C48F5"/>
    <w:rsid w:val="005C50FC"/>
    <w:rsid w:val="005C528F"/>
    <w:rsid w:val="005C5403"/>
    <w:rsid w:val="005C5632"/>
    <w:rsid w:val="005C6439"/>
    <w:rsid w:val="005C6850"/>
    <w:rsid w:val="005C71BB"/>
    <w:rsid w:val="005C7AA4"/>
    <w:rsid w:val="005C7BC7"/>
    <w:rsid w:val="005D013E"/>
    <w:rsid w:val="005D0243"/>
    <w:rsid w:val="005D02F8"/>
    <w:rsid w:val="005D0304"/>
    <w:rsid w:val="005D03CA"/>
    <w:rsid w:val="005D084E"/>
    <w:rsid w:val="005D1288"/>
    <w:rsid w:val="005D14D9"/>
    <w:rsid w:val="005D156D"/>
    <w:rsid w:val="005D1753"/>
    <w:rsid w:val="005D18F3"/>
    <w:rsid w:val="005D271B"/>
    <w:rsid w:val="005D35F1"/>
    <w:rsid w:val="005D385D"/>
    <w:rsid w:val="005D3871"/>
    <w:rsid w:val="005D47F5"/>
    <w:rsid w:val="005D59A5"/>
    <w:rsid w:val="005D59F3"/>
    <w:rsid w:val="005D5AA3"/>
    <w:rsid w:val="005D5B3D"/>
    <w:rsid w:val="005D5E98"/>
    <w:rsid w:val="005D5FE3"/>
    <w:rsid w:val="005D64E1"/>
    <w:rsid w:val="005D6662"/>
    <w:rsid w:val="005D6E0E"/>
    <w:rsid w:val="005D720F"/>
    <w:rsid w:val="005D7548"/>
    <w:rsid w:val="005D78EE"/>
    <w:rsid w:val="005D7B69"/>
    <w:rsid w:val="005E017B"/>
    <w:rsid w:val="005E061F"/>
    <w:rsid w:val="005E0D2F"/>
    <w:rsid w:val="005E0D93"/>
    <w:rsid w:val="005E1484"/>
    <w:rsid w:val="005E1966"/>
    <w:rsid w:val="005E245A"/>
    <w:rsid w:val="005E269D"/>
    <w:rsid w:val="005E2CDF"/>
    <w:rsid w:val="005E2DB3"/>
    <w:rsid w:val="005E30F2"/>
    <w:rsid w:val="005E3103"/>
    <w:rsid w:val="005E332D"/>
    <w:rsid w:val="005E3376"/>
    <w:rsid w:val="005E3829"/>
    <w:rsid w:val="005E386E"/>
    <w:rsid w:val="005E39B8"/>
    <w:rsid w:val="005E4447"/>
    <w:rsid w:val="005E4D00"/>
    <w:rsid w:val="005E4F46"/>
    <w:rsid w:val="005E57E2"/>
    <w:rsid w:val="005E5F93"/>
    <w:rsid w:val="005E6865"/>
    <w:rsid w:val="005E69F9"/>
    <w:rsid w:val="005E6EC0"/>
    <w:rsid w:val="005E770E"/>
    <w:rsid w:val="005E79D8"/>
    <w:rsid w:val="005E7C7F"/>
    <w:rsid w:val="005E7FE8"/>
    <w:rsid w:val="005F019E"/>
    <w:rsid w:val="005F042A"/>
    <w:rsid w:val="005F0677"/>
    <w:rsid w:val="005F09AE"/>
    <w:rsid w:val="005F11A7"/>
    <w:rsid w:val="005F135C"/>
    <w:rsid w:val="005F1B7C"/>
    <w:rsid w:val="005F1E07"/>
    <w:rsid w:val="005F243E"/>
    <w:rsid w:val="005F2587"/>
    <w:rsid w:val="005F273A"/>
    <w:rsid w:val="005F289E"/>
    <w:rsid w:val="005F3423"/>
    <w:rsid w:val="005F3DFC"/>
    <w:rsid w:val="005F4A62"/>
    <w:rsid w:val="005F4F2B"/>
    <w:rsid w:val="005F5936"/>
    <w:rsid w:val="005F6601"/>
    <w:rsid w:val="005F6698"/>
    <w:rsid w:val="005F68CA"/>
    <w:rsid w:val="005F6B81"/>
    <w:rsid w:val="005F6D26"/>
    <w:rsid w:val="005F7341"/>
    <w:rsid w:val="005F7B07"/>
    <w:rsid w:val="006007E6"/>
    <w:rsid w:val="00600A90"/>
    <w:rsid w:val="006022AD"/>
    <w:rsid w:val="00602AF9"/>
    <w:rsid w:val="00604387"/>
    <w:rsid w:val="00604483"/>
    <w:rsid w:val="00604BEB"/>
    <w:rsid w:val="00604F6E"/>
    <w:rsid w:val="006059A2"/>
    <w:rsid w:val="00605CCD"/>
    <w:rsid w:val="00606A78"/>
    <w:rsid w:val="00607A92"/>
    <w:rsid w:val="00607FD9"/>
    <w:rsid w:val="00610990"/>
    <w:rsid w:val="00611364"/>
    <w:rsid w:val="00611BCA"/>
    <w:rsid w:val="00612193"/>
    <w:rsid w:val="00612683"/>
    <w:rsid w:val="00612818"/>
    <w:rsid w:val="00613769"/>
    <w:rsid w:val="00613B34"/>
    <w:rsid w:val="006146BC"/>
    <w:rsid w:val="006146C8"/>
    <w:rsid w:val="00614E7D"/>
    <w:rsid w:val="006150E9"/>
    <w:rsid w:val="006159B6"/>
    <w:rsid w:val="00615C6E"/>
    <w:rsid w:val="006160A5"/>
    <w:rsid w:val="006160EB"/>
    <w:rsid w:val="0061649B"/>
    <w:rsid w:val="00617272"/>
    <w:rsid w:val="006210E2"/>
    <w:rsid w:val="00621615"/>
    <w:rsid w:val="00621E3D"/>
    <w:rsid w:val="006226FB"/>
    <w:rsid w:val="00623585"/>
    <w:rsid w:val="00623736"/>
    <w:rsid w:val="006237F8"/>
    <w:rsid w:val="00623E0B"/>
    <w:rsid w:val="00625497"/>
    <w:rsid w:val="006255E2"/>
    <w:rsid w:val="00625617"/>
    <w:rsid w:val="0062562E"/>
    <w:rsid w:val="00625712"/>
    <w:rsid w:val="00625C43"/>
    <w:rsid w:val="00625EFC"/>
    <w:rsid w:val="0062609A"/>
    <w:rsid w:val="006266C5"/>
    <w:rsid w:val="00626FA4"/>
    <w:rsid w:val="006272EB"/>
    <w:rsid w:val="006275C2"/>
    <w:rsid w:val="006277D8"/>
    <w:rsid w:val="00627ED2"/>
    <w:rsid w:val="00630265"/>
    <w:rsid w:val="00630DCA"/>
    <w:rsid w:val="0063163E"/>
    <w:rsid w:val="006316E7"/>
    <w:rsid w:val="006327BD"/>
    <w:rsid w:val="0063309A"/>
    <w:rsid w:val="00634342"/>
    <w:rsid w:val="006345A7"/>
    <w:rsid w:val="00634A90"/>
    <w:rsid w:val="00634EB7"/>
    <w:rsid w:val="0063536F"/>
    <w:rsid w:val="006360CA"/>
    <w:rsid w:val="00636278"/>
    <w:rsid w:val="00636CE6"/>
    <w:rsid w:val="00637319"/>
    <w:rsid w:val="0063763B"/>
    <w:rsid w:val="00637B13"/>
    <w:rsid w:val="0064013C"/>
    <w:rsid w:val="00640246"/>
    <w:rsid w:val="00640712"/>
    <w:rsid w:val="006408DC"/>
    <w:rsid w:val="00640AE4"/>
    <w:rsid w:val="00640F04"/>
    <w:rsid w:val="0064251B"/>
    <w:rsid w:val="00643076"/>
    <w:rsid w:val="0064363D"/>
    <w:rsid w:val="00643759"/>
    <w:rsid w:val="00643C3B"/>
    <w:rsid w:val="00643DDE"/>
    <w:rsid w:val="00644BF8"/>
    <w:rsid w:val="00645779"/>
    <w:rsid w:val="006458EE"/>
    <w:rsid w:val="00645D0B"/>
    <w:rsid w:val="006468B8"/>
    <w:rsid w:val="00646A2A"/>
    <w:rsid w:val="00647AB2"/>
    <w:rsid w:val="00652109"/>
    <w:rsid w:val="00652126"/>
    <w:rsid w:val="006522DD"/>
    <w:rsid w:val="00652509"/>
    <w:rsid w:val="00652CF6"/>
    <w:rsid w:val="00652DA9"/>
    <w:rsid w:val="00652E72"/>
    <w:rsid w:val="0065330F"/>
    <w:rsid w:val="006534F9"/>
    <w:rsid w:val="00653636"/>
    <w:rsid w:val="00653BEC"/>
    <w:rsid w:val="00654545"/>
    <w:rsid w:val="00655036"/>
    <w:rsid w:val="00655D67"/>
    <w:rsid w:val="006560E0"/>
    <w:rsid w:val="00656D97"/>
    <w:rsid w:val="00656E15"/>
    <w:rsid w:val="00657525"/>
    <w:rsid w:val="00660B18"/>
    <w:rsid w:val="00660C58"/>
    <w:rsid w:val="006615D2"/>
    <w:rsid w:val="0066170D"/>
    <w:rsid w:val="006617B4"/>
    <w:rsid w:val="0066182E"/>
    <w:rsid w:val="00662154"/>
    <w:rsid w:val="00662651"/>
    <w:rsid w:val="00662AEA"/>
    <w:rsid w:val="00663A22"/>
    <w:rsid w:val="0066439D"/>
    <w:rsid w:val="00664B6A"/>
    <w:rsid w:val="00664C98"/>
    <w:rsid w:val="00664D9C"/>
    <w:rsid w:val="0066632D"/>
    <w:rsid w:val="006663BE"/>
    <w:rsid w:val="00666797"/>
    <w:rsid w:val="00666AEB"/>
    <w:rsid w:val="00666D62"/>
    <w:rsid w:val="00666DD0"/>
    <w:rsid w:val="0066703A"/>
    <w:rsid w:val="006671F4"/>
    <w:rsid w:val="00667957"/>
    <w:rsid w:val="00667A1A"/>
    <w:rsid w:val="00667F06"/>
    <w:rsid w:val="00667F68"/>
    <w:rsid w:val="00670643"/>
    <w:rsid w:val="00670679"/>
    <w:rsid w:val="00670926"/>
    <w:rsid w:val="00670A02"/>
    <w:rsid w:val="006712F0"/>
    <w:rsid w:val="00671643"/>
    <w:rsid w:val="00671BDD"/>
    <w:rsid w:val="0067204E"/>
    <w:rsid w:val="0067243E"/>
    <w:rsid w:val="0067253C"/>
    <w:rsid w:val="0067285D"/>
    <w:rsid w:val="00672CEA"/>
    <w:rsid w:val="00672E05"/>
    <w:rsid w:val="00672E2F"/>
    <w:rsid w:val="00673039"/>
    <w:rsid w:val="006736C9"/>
    <w:rsid w:val="0067380D"/>
    <w:rsid w:val="00673868"/>
    <w:rsid w:val="00673B18"/>
    <w:rsid w:val="00674539"/>
    <w:rsid w:val="0067542F"/>
    <w:rsid w:val="006754F7"/>
    <w:rsid w:val="00675C41"/>
    <w:rsid w:val="006760DF"/>
    <w:rsid w:val="00676930"/>
    <w:rsid w:val="00676CD7"/>
    <w:rsid w:val="006778A4"/>
    <w:rsid w:val="0068070B"/>
    <w:rsid w:val="0068094B"/>
    <w:rsid w:val="00681079"/>
    <w:rsid w:val="00681366"/>
    <w:rsid w:val="0068171D"/>
    <w:rsid w:val="00681CAD"/>
    <w:rsid w:val="0068204B"/>
    <w:rsid w:val="0068245D"/>
    <w:rsid w:val="00682E2C"/>
    <w:rsid w:val="00683354"/>
    <w:rsid w:val="00683DBF"/>
    <w:rsid w:val="00684185"/>
    <w:rsid w:val="0068528E"/>
    <w:rsid w:val="006854CE"/>
    <w:rsid w:val="00685564"/>
    <w:rsid w:val="00685B8B"/>
    <w:rsid w:val="00685DF1"/>
    <w:rsid w:val="00685FF4"/>
    <w:rsid w:val="0068624C"/>
    <w:rsid w:val="006866FA"/>
    <w:rsid w:val="00686AF6"/>
    <w:rsid w:val="00687411"/>
    <w:rsid w:val="00687585"/>
    <w:rsid w:val="00687E3F"/>
    <w:rsid w:val="006902B1"/>
    <w:rsid w:val="00690DCD"/>
    <w:rsid w:val="0069188A"/>
    <w:rsid w:val="00692301"/>
    <w:rsid w:val="006928BE"/>
    <w:rsid w:val="00692A3E"/>
    <w:rsid w:val="00692E39"/>
    <w:rsid w:val="00692EBA"/>
    <w:rsid w:val="00693543"/>
    <w:rsid w:val="0069364C"/>
    <w:rsid w:val="0069368B"/>
    <w:rsid w:val="0069404D"/>
    <w:rsid w:val="0069441C"/>
    <w:rsid w:val="006945C0"/>
    <w:rsid w:val="00694682"/>
    <w:rsid w:val="006946CB"/>
    <w:rsid w:val="00694F41"/>
    <w:rsid w:val="00694F56"/>
    <w:rsid w:val="006950C5"/>
    <w:rsid w:val="00695AEE"/>
    <w:rsid w:val="00696125"/>
    <w:rsid w:val="006961E1"/>
    <w:rsid w:val="006963EA"/>
    <w:rsid w:val="00696592"/>
    <w:rsid w:val="00696BF1"/>
    <w:rsid w:val="00696C82"/>
    <w:rsid w:val="00696F55"/>
    <w:rsid w:val="0069718C"/>
    <w:rsid w:val="00697243"/>
    <w:rsid w:val="00697A47"/>
    <w:rsid w:val="006A028B"/>
    <w:rsid w:val="006A0942"/>
    <w:rsid w:val="006A0D1F"/>
    <w:rsid w:val="006A1594"/>
    <w:rsid w:val="006A1A18"/>
    <w:rsid w:val="006A1D27"/>
    <w:rsid w:val="006A236F"/>
    <w:rsid w:val="006A2598"/>
    <w:rsid w:val="006A2D55"/>
    <w:rsid w:val="006A312E"/>
    <w:rsid w:val="006A3BE0"/>
    <w:rsid w:val="006A4070"/>
    <w:rsid w:val="006A4EEB"/>
    <w:rsid w:val="006A500E"/>
    <w:rsid w:val="006A52A9"/>
    <w:rsid w:val="006A5A21"/>
    <w:rsid w:val="006A63B7"/>
    <w:rsid w:val="006A6AE8"/>
    <w:rsid w:val="006A7196"/>
    <w:rsid w:val="006B0B09"/>
    <w:rsid w:val="006B0DD7"/>
    <w:rsid w:val="006B1A83"/>
    <w:rsid w:val="006B1F52"/>
    <w:rsid w:val="006B2043"/>
    <w:rsid w:val="006B20BE"/>
    <w:rsid w:val="006B2861"/>
    <w:rsid w:val="006B2F0A"/>
    <w:rsid w:val="006B32BA"/>
    <w:rsid w:val="006B355F"/>
    <w:rsid w:val="006B38F0"/>
    <w:rsid w:val="006B3C94"/>
    <w:rsid w:val="006B3D9E"/>
    <w:rsid w:val="006B4215"/>
    <w:rsid w:val="006B4269"/>
    <w:rsid w:val="006B44AA"/>
    <w:rsid w:val="006B4508"/>
    <w:rsid w:val="006B490A"/>
    <w:rsid w:val="006B4CD9"/>
    <w:rsid w:val="006B5031"/>
    <w:rsid w:val="006B52EA"/>
    <w:rsid w:val="006B55F6"/>
    <w:rsid w:val="006B5CA3"/>
    <w:rsid w:val="006B6334"/>
    <w:rsid w:val="006B63BF"/>
    <w:rsid w:val="006B650E"/>
    <w:rsid w:val="006B65AB"/>
    <w:rsid w:val="006B66CD"/>
    <w:rsid w:val="006B6B07"/>
    <w:rsid w:val="006B6C0F"/>
    <w:rsid w:val="006B74F2"/>
    <w:rsid w:val="006B79CB"/>
    <w:rsid w:val="006B7A1C"/>
    <w:rsid w:val="006B7AEF"/>
    <w:rsid w:val="006C041E"/>
    <w:rsid w:val="006C046F"/>
    <w:rsid w:val="006C0C38"/>
    <w:rsid w:val="006C11C4"/>
    <w:rsid w:val="006C1D33"/>
    <w:rsid w:val="006C21E8"/>
    <w:rsid w:val="006C2960"/>
    <w:rsid w:val="006C372E"/>
    <w:rsid w:val="006C37F1"/>
    <w:rsid w:val="006C3900"/>
    <w:rsid w:val="006C46E9"/>
    <w:rsid w:val="006C47B1"/>
    <w:rsid w:val="006C4C8F"/>
    <w:rsid w:val="006C4EE3"/>
    <w:rsid w:val="006C4F22"/>
    <w:rsid w:val="006C510B"/>
    <w:rsid w:val="006C599B"/>
    <w:rsid w:val="006C5A70"/>
    <w:rsid w:val="006C5EB5"/>
    <w:rsid w:val="006C72D1"/>
    <w:rsid w:val="006C7C09"/>
    <w:rsid w:val="006C7DE4"/>
    <w:rsid w:val="006D062E"/>
    <w:rsid w:val="006D06FF"/>
    <w:rsid w:val="006D0EC7"/>
    <w:rsid w:val="006D1999"/>
    <w:rsid w:val="006D19DC"/>
    <w:rsid w:val="006D1A59"/>
    <w:rsid w:val="006D240E"/>
    <w:rsid w:val="006D354E"/>
    <w:rsid w:val="006D38E4"/>
    <w:rsid w:val="006D3EDD"/>
    <w:rsid w:val="006D4369"/>
    <w:rsid w:val="006D44E5"/>
    <w:rsid w:val="006D4762"/>
    <w:rsid w:val="006D47F4"/>
    <w:rsid w:val="006D4801"/>
    <w:rsid w:val="006D4C9A"/>
    <w:rsid w:val="006D4DE6"/>
    <w:rsid w:val="006D4F41"/>
    <w:rsid w:val="006D5C18"/>
    <w:rsid w:val="006D72A1"/>
    <w:rsid w:val="006E0208"/>
    <w:rsid w:val="006E039D"/>
    <w:rsid w:val="006E0549"/>
    <w:rsid w:val="006E0FE3"/>
    <w:rsid w:val="006E10C5"/>
    <w:rsid w:val="006E13FB"/>
    <w:rsid w:val="006E1D39"/>
    <w:rsid w:val="006E25FD"/>
    <w:rsid w:val="006E260E"/>
    <w:rsid w:val="006E269C"/>
    <w:rsid w:val="006E369A"/>
    <w:rsid w:val="006E38A3"/>
    <w:rsid w:val="006E41E6"/>
    <w:rsid w:val="006E4367"/>
    <w:rsid w:val="006E4542"/>
    <w:rsid w:val="006E494A"/>
    <w:rsid w:val="006E546C"/>
    <w:rsid w:val="006E5635"/>
    <w:rsid w:val="006E69C9"/>
    <w:rsid w:val="006E7368"/>
    <w:rsid w:val="006E7378"/>
    <w:rsid w:val="006E75AD"/>
    <w:rsid w:val="006E762B"/>
    <w:rsid w:val="006E7895"/>
    <w:rsid w:val="006E7D6E"/>
    <w:rsid w:val="006E7F44"/>
    <w:rsid w:val="006F01E2"/>
    <w:rsid w:val="006F033B"/>
    <w:rsid w:val="006F077F"/>
    <w:rsid w:val="006F0FAE"/>
    <w:rsid w:val="006F1463"/>
    <w:rsid w:val="006F14EE"/>
    <w:rsid w:val="006F20BF"/>
    <w:rsid w:val="006F2B62"/>
    <w:rsid w:val="006F3033"/>
    <w:rsid w:val="006F4425"/>
    <w:rsid w:val="006F47E8"/>
    <w:rsid w:val="006F4C32"/>
    <w:rsid w:val="006F4D6D"/>
    <w:rsid w:val="006F4E3E"/>
    <w:rsid w:val="006F52F1"/>
    <w:rsid w:val="006F54E1"/>
    <w:rsid w:val="006F5973"/>
    <w:rsid w:val="006F5E99"/>
    <w:rsid w:val="006F68D5"/>
    <w:rsid w:val="006F757D"/>
    <w:rsid w:val="006F79A4"/>
    <w:rsid w:val="0070056D"/>
    <w:rsid w:val="00700920"/>
    <w:rsid w:val="007009E4"/>
    <w:rsid w:val="00700EBA"/>
    <w:rsid w:val="00700F92"/>
    <w:rsid w:val="0070106B"/>
    <w:rsid w:val="0070138C"/>
    <w:rsid w:val="007018BA"/>
    <w:rsid w:val="00701D80"/>
    <w:rsid w:val="007021C9"/>
    <w:rsid w:val="00702AEC"/>
    <w:rsid w:val="00702F8B"/>
    <w:rsid w:val="00703231"/>
    <w:rsid w:val="007032A7"/>
    <w:rsid w:val="0070356E"/>
    <w:rsid w:val="00703AB6"/>
    <w:rsid w:val="00703FB8"/>
    <w:rsid w:val="0070483B"/>
    <w:rsid w:val="00704D60"/>
    <w:rsid w:val="007053ED"/>
    <w:rsid w:val="00705E66"/>
    <w:rsid w:val="00706001"/>
    <w:rsid w:val="007062FE"/>
    <w:rsid w:val="00706320"/>
    <w:rsid w:val="0070640F"/>
    <w:rsid w:val="00706637"/>
    <w:rsid w:val="00706686"/>
    <w:rsid w:val="0070764D"/>
    <w:rsid w:val="007076E2"/>
    <w:rsid w:val="00707C6F"/>
    <w:rsid w:val="00710245"/>
    <w:rsid w:val="00712468"/>
    <w:rsid w:val="00712BDB"/>
    <w:rsid w:val="00712F1A"/>
    <w:rsid w:val="007133B5"/>
    <w:rsid w:val="007137B7"/>
    <w:rsid w:val="00713A51"/>
    <w:rsid w:val="00715542"/>
    <w:rsid w:val="00715585"/>
    <w:rsid w:val="0071599F"/>
    <w:rsid w:val="00715B6A"/>
    <w:rsid w:val="00715D62"/>
    <w:rsid w:val="00715E7D"/>
    <w:rsid w:val="00716469"/>
    <w:rsid w:val="00716AF0"/>
    <w:rsid w:val="00716DB4"/>
    <w:rsid w:val="00717628"/>
    <w:rsid w:val="00720545"/>
    <w:rsid w:val="00721131"/>
    <w:rsid w:val="007213D7"/>
    <w:rsid w:val="007214F5"/>
    <w:rsid w:val="0072248F"/>
    <w:rsid w:val="007229EE"/>
    <w:rsid w:val="007229FE"/>
    <w:rsid w:val="00722BEF"/>
    <w:rsid w:val="00722C1D"/>
    <w:rsid w:val="00722CF5"/>
    <w:rsid w:val="00722E37"/>
    <w:rsid w:val="00722F89"/>
    <w:rsid w:val="00724A0E"/>
    <w:rsid w:val="00725108"/>
    <w:rsid w:val="007258E8"/>
    <w:rsid w:val="00725E77"/>
    <w:rsid w:val="00725F63"/>
    <w:rsid w:val="00727F4A"/>
    <w:rsid w:val="0073017E"/>
    <w:rsid w:val="00730363"/>
    <w:rsid w:val="0073049F"/>
    <w:rsid w:val="0073085B"/>
    <w:rsid w:val="00730E0E"/>
    <w:rsid w:val="00731246"/>
    <w:rsid w:val="00731567"/>
    <w:rsid w:val="00731AF5"/>
    <w:rsid w:val="00731F50"/>
    <w:rsid w:val="0073309B"/>
    <w:rsid w:val="00733202"/>
    <w:rsid w:val="007332F1"/>
    <w:rsid w:val="00733782"/>
    <w:rsid w:val="00733795"/>
    <w:rsid w:val="00734224"/>
    <w:rsid w:val="007342D3"/>
    <w:rsid w:val="00735376"/>
    <w:rsid w:val="00735383"/>
    <w:rsid w:val="007358E4"/>
    <w:rsid w:val="0073655E"/>
    <w:rsid w:val="0073676D"/>
    <w:rsid w:val="00737920"/>
    <w:rsid w:val="00740027"/>
    <w:rsid w:val="007402D3"/>
    <w:rsid w:val="007404D9"/>
    <w:rsid w:val="00740842"/>
    <w:rsid w:val="00740EFE"/>
    <w:rsid w:val="007424DA"/>
    <w:rsid w:val="0074263B"/>
    <w:rsid w:val="007426A5"/>
    <w:rsid w:val="007426C6"/>
    <w:rsid w:val="007428C3"/>
    <w:rsid w:val="00742D13"/>
    <w:rsid w:val="0074304A"/>
    <w:rsid w:val="0074310E"/>
    <w:rsid w:val="00743BBF"/>
    <w:rsid w:val="00743FD9"/>
    <w:rsid w:val="0074481D"/>
    <w:rsid w:val="00744A91"/>
    <w:rsid w:val="00744DB0"/>
    <w:rsid w:val="00744F9B"/>
    <w:rsid w:val="00745D97"/>
    <w:rsid w:val="00747557"/>
    <w:rsid w:val="00747C40"/>
    <w:rsid w:val="00747CFF"/>
    <w:rsid w:val="00747F36"/>
    <w:rsid w:val="0075035D"/>
    <w:rsid w:val="00750B59"/>
    <w:rsid w:val="00750F4B"/>
    <w:rsid w:val="0075155E"/>
    <w:rsid w:val="00752DDA"/>
    <w:rsid w:val="00752E97"/>
    <w:rsid w:val="00752ECF"/>
    <w:rsid w:val="007532E3"/>
    <w:rsid w:val="00753491"/>
    <w:rsid w:val="00753DCC"/>
    <w:rsid w:val="00753EE0"/>
    <w:rsid w:val="00754002"/>
    <w:rsid w:val="007542AF"/>
    <w:rsid w:val="00754653"/>
    <w:rsid w:val="007546DC"/>
    <w:rsid w:val="00754C6B"/>
    <w:rsid w:val="00754D7F"/>
    <w:rsid w:val="007553B8"/>
    <w:rsid w:val="00755944"/>
    <w:rsid w:val="00755B38"/>
    <w:rsid w:val="00755BAE"/>
    <w:rsid w:val="00755D4D"/>
    <w:rsid w:val="00755FA6"/>
    <w:rsid w:val="007560DA"/>
    <w:rsid w:val="007564E0"/>
    <w:rsid w:val="007565BA"/>
    <w:rsid w:val="0075661B"/>
    <w:rsid w:val="00756AE8"/>
    <w:rsid w:val="00756DA9"/>
    <w:rsid w:val="00757B47"/>
    <w:rsid w:val="00757BF7"/>
    <w:rsid w:val="00757D1C"/>
    <w:rsid w:val="00757E78"/>
    <w:rsid w:val="0076030B"/>
    <w:rsid w:val="00761634"/>
    <w:rsid w:val="007618A0"/>
    <w:rsid w:val="00762153"/>
    <w:rsid w:val="007626B5"/>
    <w:rsid w:val="00762AF3"/>
    <w:rsid w:val="00762C96"/>
    <w:rsid w:val="00762ED8"/>
    <w:rsid w:val="007634EF"/>
    <w:rsid w:val="00763733"/>
    <w:rsid w:val="00763DB6"/>
    <w:rsid w:val="00764C82"/>
    <w:rsid w:val="00764CE6"/>
    <w:rsid w:val="00765216"/>
    <w:rsid w:val="007652DA"/>
    <w:rsid w:val="0076542E"/>
    <w:rsid w:val="00765998"/>
    <w:rsid w:val="00765E83"/>
    <w:rsid w:val="0076675E"/>
    <w:rsid w:val="00766A56"/>
    <w:rsid w:val="00766FE3"/>
    <w:rsid w:val="007670AC"/>
    <w:rsid w:val="00767242"/>
    <w:rsid w:val="00767278"/>
    <w:rsid w:val="00767335"/>
    <w:rsid w:val="007677BB"/>
    <w:rsid w:val="00767EE9"/>
    <w:rsid w:val="00770189"/>
    <w:rsid w:val="00770541"/>
    <w:rsid w:val="00772BA4"/>
    <w:rsid w:val="00772E5C"/>
    <w:rsid w:val="007735AD"/>
    <w:rsid w:val="00774738"/>
    <w:rsid w:val="00774800"/>
    <w:rsid w:val="00774D3F"/>
    <w:rsid w:val="0077564C"/>
    <w:rsid w:val="0077585D"/>
    <w:rsid w:val="00775B57"/>
    <w:rsid w:val="00775FE1"/>
    <w:rsid w:val="00776956"/>
    <w:rsid w:val="00776B06"/>
    <w:rsid w:val="00776F42"/>
    <w:rsid w:val="007773FD"/>
    <w:rsid w:val="007775C8"/>
    <w:rsid w:val="00777627"/>
    <w:rsid w:val="007777AC"/>
    <w:rsid w:val="007807E2"/>
    <w:rsid w:val="00780911"/>
    <w:rsid w:val="00780921"/>
    <w:rsid w:val="00780967"/>
    <w:rsid w:val="0078111A"/>
    <w:rsid w:val="0078182D"/>
    <w:rsid w:val="0078196B"/>
    <w:rsid w:val="00781A38"/>
    <w:rsid w:val="00781A94"/>
    <w:rsid w:val="00781C8B"/>
    <w:rsid w:val="00781FB0"/>
    <w:rsid w:val="0078285E"/>
    <w:rsid w:val="00782B45"/>
    <w:rsid w:val="007834BA"/>
    <w:rsid w:val="00783AB1"/>
    <w:rsid w:val="00783D15"/>
    <w:rsid w:val="00784052"/>
    <w:rsid w:val="007842C7"/>
    <w:rsid w:val="00784DD8"/>
    <w:rsid w:val="0078523B"/>
    <w:rsid w:val="0078554C"/>
    <w:rsid w:val="00785B1A"/>
    <w:rsid w:val="00786B19"/>
    <w:rsid w:val="00786E5F"/>
    <w:rsid w:val="00786F57"/>
    <w:rsid w:val="007873CD"/>
    <w:rsid w:val="007878CF"/>
    <w:rsid w:val="00787951"/>
    <w:rsid w:val="00787AF5"/>
    <w:rsid w:val="00787F1C"/>
    <w:rsid w:val="00790995"/>
    <w:rsid w:val="007911B7"/>
    <w:rsid w:val="00791606"/>
    <w:rsid w:val="007935FF"/>
    <w:rsid w:val="007939F3"/>
    <w:rsid w:val="00793B7C"/>
    <w:rsid w:val="0079411E"/>
    <w:rsid w:val="00794CC0"/>
    <w:rsid w:val="00794D68"/>
    <w:rsid w:val="00794E6A"/>
    <w:rsid w:val="007958D4"/>
    <w:rsid w:val="00795BA6"/>
    <w:rsid w:val="00795DF1"/>
    <w:rsid w:val="00795E6B"/>
    <w:rsid w:val="0079609B"/>
    <w:rsid w:val="00797696"/>
    <w:rsid w:val="00797C07"/>
    <w:rsid w:val="007A06BD"/>
    <w:rsid w:val="007A129D"/>
    <w:rsid w:val="007A15F4"/>
    <w:rsid w:val="007A16D2"/>
    <w:rsid w:val="007A1872"/>
    <w:rsid w:val="007A1DAF"/>
    <w:rsid w:val="007A1E3B"/>
    <w:rsid w:val="007A26F3"/>
    <w:rsid w:val="007A2E09"/>
    <w:rsid w:val="007A2E4A"/>
    <w:rsid w:val="007A2F46"/>
    <w:rsid w:val="007A35A3"/>
    <w:rsid w:val="007A35CE"/>
    <w:rsid w:val="007A3680"/>
    <w:rsid w:val="007A3B87"/>
    <w:rsid w:val="007A432A"/>
    <w:rsid w:val="007A4E4B"/>
    <w:rsid w:val="007A52E4"/>
    <w:rsid w:val="007A5303"/>
    <w:rsid w:val="007A583D"/>
    <w:rsid w:val="007A5BF3"/>
    <w:rsid w:val="007A61C4"/>
    <w:rsid w:val="007A6386"/>
    <w:rsid w:val="007A6A78"/>
    <w:rsid w:val="007A729D"/>
    <w:rsid w:val="007A7B91"/>
    <w:rsid w:val="007B038E"/>
    <w:rsid w:val="007B062C"/>
    <w:rsid w:val="007B0D96"/>
    <w:rsid w:val="007B0E4F"/>
    <w:rsid w:val="007B0F25"/>
    <w:rsid w:val="007B115E"/>
    <w:rsid w:val="007B11D6"/>
    <w:rsid w:val="007B15A4"/>
    <w:rsid w:val="007B236A"/>
    <w:rsid w:val="007B2BCE"/>
    <w:rsid w:val="007B385C"/>
    <w:rsid w:val="007B43CD"/>
    <w:rsid w:val="007B4631"/>
    <w:rsid w:val="007B4662"/>
    <w:rsid w:val="007B5759"/>
    <w:rsid w:val="007B5B39"/>
    <w:rsid w:val="007B61DC"/>
    <w:rsid w:val="007B6818"/>
    <w:rsid w:val="007B7F48"/>
    <w:rsid w:val="007C014A"/>
    <w:rsid w:val="007C037E"/>
    <w:rsid w:val="007C061B"/>
    <w:rsid w:val="007C0788"/>
    <w:rsid w:val="007C082F"/>
    <w:rsid w:val="007C0F77"/>
    <w:rsid w:val="007C10F5"/>
    <w:rsid w:val="007C196B"/>
    <w:rsid w:val="007C232A"/>
    <w:rsid w:val="007C247C"/>
    <w:rsid w:val="007C2640"/>
    <w:rsid w:val="007C2AD3"/>
    <w:rsid w:val="007C2BC6"/>
    <w:rsid w:val="007C2DCE"/>
    <w:rsid w:val="007C3081"/>
    <w:rsid w:val="007C33D2"/>
    <w:rsid w:val="007C3B4D"/>
    <w:rsid w:val="007C3EEE"/>
    <w:rsid w:val="007C4881"/>
    <w:rsid w:val="007C4907"/>
    <w:rsid w:val="007C4F43"/>
    <w:rsid w:val="007C5FAC"/>
    <w:rsid w:val="007C61A3"/>
    <w:rsid w:val="007C62B5"/>
    <w:rsid w:val="007C7D74"/>
    <w:rsid w:val="007D0155"/>
    <w:rsid w:val="007D094B"/>
    <w:rsid w:val="007D0AE2"/>
    <w:rsid w:val="007D0E2A"/>
    <w:rsid w:val="007D101F"/>
    <w:rsid w:val="007D12F7"/>
    <w:rsid w:val="007D1366"/>
    <w:rsid w:val="007D14A4"/>
    <w:rsid w:val="007D18A0"/>
    <w:rsid w:val="007D1D6C"/>
    <w:rsid w:val="007D2DD3"/>
    <w:rsid w:val="007D3E24"/>
    <w:rsid w:val="007D41AC"/>
    <w:rsid w:val="007D471C"/>
    <w:rsid w:val="007D4C38"/>
    <w:rsid w:val="007D4D13"/>
    <w:rsid w:val="007D53B9"/>
    <w:rsid w:val="007D5479"/>
    <w:rsid w:val="007D55BB"/>
    <w:rsid w:val="007D57F4"/>
    <w:rsid w:val="007D5EA5"/>
    <w:rsid w:val="007D6037"/>
    <w:rsid w:val="007D60A2"/>
    <w:rsid w:val="007D613D"/>
    <w:rsid w:val="007D62D1"/>
    <w:rsid w:val="007D6609"/>
    <w:rsid w:val="007D6810"/>
    <w:rsid w:val="007D6C8C"/>
    <w:rsid w:val="007D7008"/>
    <w:rsid w:val="007D7864"/>
    <w:rsid w:val="007E01A1"/>
    <w:rsid w:val="007E1688"/>
    <w:rsid w:val="007E18CD"/>
    <w:rsid w:val="007E2B53"/>
    <w:rsid w:val="007E2E2A"/>
    <w:rsid w:val="007E3DAB"/>
    <w:rsid w:val="007E4639"/>
    <w:rsid w:val="007E46F0"/>
    <w:rsid w:val="007E4A1F"/>
    <w:rsid w:val="007E66CA"/>
    <w:rsid w:val="007E7092"/>
    <w:rsid w:val="007E74A7"/>
    <w:rsid w:val="007E78F7"/>
    <w:rsid w:val="007F06CE"/>
    <w:rsid w:val="007F0906"/>
    <w:rsid w:val="007F1643"/>
    <w:rsid w:val="007F16C5"/>
    <w:rsid w:val="007F2899"/>
    <w:rsid w:val="007F2A1E"/>
    <w:rsid w:val="007F2A78"/>
    <w:rsid w:val="007F314B"/>
    <w:rsid w:val="007F31D9"/>
    <w:rsid w:val="007F3AC8"/>
    <w:rsid w:val="007F3C20"/>
    <w:rsid w:val="007F3F29"/>
    <w:rsid w:val="007F42D5"/>
    <w:rsid w:val="007F4324"/>
    <w:rsid w:val="007F4E10"/>
    <w:rsid w:val="007F56C7"/>
    <w:rsid w:val="007F5A34"/>
    <w:rsid w:val="007F5C2A"/>
    <w:rsid w:val="007F65FB"/>
    <w:rsid w:val="007F68D2"/>
    <w:rsid w:val="007F712A"/>
    <w:rsid w:val="00800C2E"/>
    <w:rsid w:val="00800C9D"/>
    <w:rsid w:val="00801104"/>
    <w:rsid w:val="00801D1F"/>
    <w:rsid w:val="00801E5F"/>
    <w:rsid w:val="00802380"/>
    <w:rsid w:val="00802CDD"/>
    <w:rsid w:val="00802E58"/>
    <w:rsid w:val="00803400"/>
    <w:rsid w:val="0080380D"/>
    <w:rsid w:val="00803921"/>
    <w:rsid w:val="008044D4"/>
    <w:rsid w:val="00804CF8"/>
    <w:rsid w:val="00805AD0"/>
    <w:rsid w:val="00806BED"/>
    <w:rsid w:val="0080772E"/>
    <w:rsid w:val="00807821"/>
    <w:rsid w:val="00807DFE"/>
    <w:rsid w:val="00807E9E"/>
    <w:rsid w:val="00807F72"/>
    <w:rsid w:val="008101E8"/>
    <w:rsid w:val="0081118B"/>
    <w:rsid w:val="008111E6"/>
    <w:rsid w:val="008118D4"/>
    <w:rsid w:val="00811CA7"/>
    <w:rsid w:val="00811EB8"/>
    <w:rsid w:val="00811F17"/>
    <w:rsid w:val="00811FAD"/>
    <w:rsid w:val="00812332"/>
    <w:rsid w:val="00812478"/>
    <w:rsid w:val="00812B9A"/>
    <w:rsid w:val="00812C19"/>
    <w:rsid w:val="00812EE3"/>
    <w:rsid w:val="00813751"/>
    <w:rsid w:val="00813B9A"/>
    <w:rsid w:val="0081408C"/>
    <w:rsid w:val="008142A7"/>
    <w:rsid w:val="00814C50"/>
    <w:rsid w:val="008151A7"/>
    <w:rsid w:val="00817229"/>
    <w:rsid w:val="00817555"/>
    <w:rsid w:val="00817D16"/>
    <w:rsid w:val="0082004B"/>
    <w:rsid w:val="008207B9"/>
    <w:rsid w:val="00820CB1"/>
    <w:rsid w:val="008214B2"/>
    <w:rsid w:val="008215E3"/>
    <w:rsid w:val="00821EC8"/>
    <w:rsid w:val="008229DE"/>
    <w:rsid w:val="00822A61"/>
    <w:rsid w:val="00823A8C"/>
    <w:rsid w:val="00823C6F"/>
    <w:rsid w:val="0082424E"/>
    <w:rsid w:val="00824482"/>
    <w:rsid w:val="00825D35"/>
    <w:rsid w:val="00825F0E"/>
    <w:rsid w:val="00826543"/>
    <w:rsid w:val="00826DC0"/>
    <w:rsid w:val="00827318"/>
    <w:rsid w:val="00827C5D"/>
    <w:rsid w:val="00830410"/>
    <w:rsid w:val="008306B8"/>
    <w:rsid w:val="00830AA7"/>
    <w:rsid w:val="00830E8A"/>
    <w:rsid w:val="00831598"/>
    <w:rsid w:val="00831735"/>
    <w:rsid w:val="008320E1"/>
    <w:rsid w:val="00832618"/>
    <w:rsid w:val="00833205"/>
    <w:rsid w:val="00833672"/>
    <w:rsid w:val="00833A1C"/>
    <w:rsid w:val="00833D69"/>
    <w:rsid w:val="008340F9"/>
    <w:rsid w:val="008342AF"/>
    <w:rsid w:val="00834F82"/>
    <w:rsid w:val="00835C03"/>
    <w:rsid w:val="0083686A"/>
    <w:rsid w:val="00836A6D"/>
    <w:rsid w:val="00836D94"/>
    <w:rsid w:val="00836F2D"/>
    <w:rsid w:val="00837297"/>
    <w:rsid w:val="00837948"/>
    <w:rsid w:val="00837DB0"/>
    <w:rsid w:val="00841060"/>
    <w:rsid w:val="00841106"/>
    <w:rsid w:val="0084169C"/>
    <w:rsid w:val="008429DD"/>
    <w:rsid w:val="00842BBD"/>
    <w:rsid w:val="00842EE3"/>
    <w:rsid w:val="00843165"/>
    <w:rsid w:val="008438B2"/>
    <w:rsid w:val="00843DED"/>
    <w:rsid w:val="0084402E"/>
    <w:rsid w:val="008444D7"/>
    <w:rsid w:val="00844678"/>
    <w:rsid w:val="00845105"/>
    <w:rsid w:val="0084525D"/>
    <w:rsid w:val="0084669B"/>
    <w:rsid w:val="0084757C"/>
    <w:rsid w:val="00850947"/>
    <w:rsid w:val="00850B9F"/>
    <w:rsid w:val="008512D8"/>
    <w:rsid w:val="008515E1"/>
    <w:rsid w:val="008517DC"/>
    <w:rsid w:val="00851976"/>
    <w:rsid w:val="00851C68"/>
    <w:rsid w:val="008524B4"/>
    <w:rsid w:val="00852826"/>
    <w:rsid w:val="00852894"/>
    <w:rsid w:val="00852895"/>
    <w:rsid w:val="00852964"/>
    <w:rsid w:val="00852A74"/>
    <w:rsid w:val="0085354D"/>
    <w:rsid w:val="008535C3"/>
    <w:rsid w:val="00853AE4"/>
    <w:rsid w:val="00853CC1"/>
    <w:rsid w:val="0085466A"/>
    <w:rsid w:val="00855143"/>
    <w:rsid w:val="00855371"/>
    <w:rsid w:val="008555C9"/>
    <w:rsid w:val="00855F0D"/>
    <w:rsid w:val="00856567"/>
    <w:rsid w:val="0085672B"/>
    <w:rsid w:val="00857C95"/>
    <w:rsid w:val="00857E0D"/>
    <w:rsid w:val="0086001A"/>
    <w:rsid w:val="00860068"/>
    <w:rsid w:val="00860A7C"/>
    <w:rsid w:val="00860D2A"/>
    <w:rsid w:val="0086134E"/>
    <w:rsid w:val="00861D4F"/>
    <w:rsid w:val="0086216F"/>
    <w:rsid w:val="00862424"/>
    <w:rsid w:val="00862BED"/>
    <w:rsid w:val="00862E4A"/>
    <w:rsid w:val="0086300E"/>
    <w:rsid w:val="008630A5"/>
    <w:rsid w:val="008630D9"/>
    <w:rsid w:val="0086354A"/>
    <w:rsid w:val="008635FC"/>
    <w:rsid w:val="00863730"/>
    <w:rsid w:val="00863ADA"/>
    <w:rsid w:val="00863E1C"/>
    <w:rsid w:val="008647D7"/>
    <w:rsid w:val="0086492A"/>
    <w:rsid w:val="0086497A"/>
    <w:rsid w:val="008667E7"/>
    <w:rsid w:val="00866ABA"/>
    <w:rsid w:val="0086723B"/>
    <w:rsid w:val="0086728E"/>
    <w:rsid w:val="00867462"/>
    <w:rsid w:val="008679A8"/>
    <w:rsid w:val="008679F8"/>
    <w:rsid w:val="0087035D"/>
    <w:rsid w:val="0087091D"/>
    <w:rsid w:val="008711E2"/>
    <w:rsid w:val="00871326"/>
    <w:rsid w:val="008716A7"/>
    <w:rsid w:val="00871AF6"/>
    <w:rsid w:val="00872048"/>
    <w:rsid w:val="0087263A"/>
    <w:rsid w:val="00872A56"/>
    <w:rsid w:val="008731A8"/>
    <w:rsid w:val="00873B42"/>
    <w:rsid w:val="008750FA"/>
    <w:rsid w:val="008752A5"/>
    <w:rsid w:val="0087596D"/>
    <w:rsid w:val="008767DB"/>
    <w:rsid w:val="0087695B"/>
    <w:rsid w:val="00877C7A"/>
    <w:rsid w:val="008801F5"/>
    <w:rsid w:val="00881262"/>
    <w:rsid w:val="00881386"/>
    <w:rsid w:val="008820BA"/>
    <w:rsid w:val="00882AAE"/>
    <w:rsid w:val="00883011"/>
    <w:rsid w:val="00883ED5"/>
    <w:rsid w:val="0088402E"/>
    <w:rsid w:val="00884309"/>
    <w:rsid w:val="00884350"/>
    <w:rsid w:val="0088519A"/>
    <w:rsid w:val="008851FF"/>
    <w:rsid w:val="008857A9"/>
    <w:rsid w:val="00885CAE"/>
    <w:rsid w:val="00886BD8"/>
    <w:rsid w:val="00886E02"/>
    <w:rsid w:val="00887285"/>
    <w:rsid w:val="008874A0"/>
    <w:rsid w:val="008874D5"/>
    <w:rsid w:val="00887729"/>
    <w:rsid w:val="00887AFA"/>
    <w:rsid w:val="0089025A"/>
    <w:rsid w:val="00890944"/>
    <w:rsid w:val="00891067"/>
    <w:rsid w:val="0089143F"/>
    <w:rsid w:val="00891BB4"/>
    <w:rsid w:val="00892117"/>
    <w:rsid w:val="00892287"/>
    <w:rsid w:val="0089287E"/>
    <w:rsid w:val="00892B42"/>
    <w:rsid w:val="008933BC"/>
    <w:rsid w:val="00893868"/>
    <w:rsid w:val="0089412C"/>
    <w:rsid w:val="0089443A"/>
    <w:rsid w:val="00894992"/>
    <w:rsid w:val="00894E55"/>
    <w:rsid w:val="00894E84"/>
    <w:rsid w:val="008953D8"/>
    <w:rsid w:val="0089635B"/>
    <w:rsid w:val="008966FD"/>
    <w:rsid w:val="0089692C"/>
    <w:rsid w:val="00896CBB"/>
    <w:rsid w:val="008A0231"/>
    <w:rsid w:val="008A175E"/>
    <w:rsid w:val="008A1A9E"/>
    <w:rsid w:val="008A1FB3"/>
    <w:rsid w:val="008A2128"/>
    <w:rsid w:val="008A23CF"/>
    <w:rsid w:val="008A2675"/>
    <w:rsid w:val="008A2CAB"/>
    <w:rsid w:val="008A2DC6"/>
    <w:rsid w:val="008A3238"/>
    <w:rsid w:val="008A33ED"/>
    <w:rsid w:val="008A387B"/>
    <w:rsid w:val="008A3B95"/>
    <w:rsid w:val="008A4111"/>
    <w:rsid w:val="008A4600"/>
    <w:rsid w:val="008A4772"/>
    <w:rsid w:val="008A484C"/>
    <w:rsid w:val="008A4BB2"/>
    <w:rsid w:val="008A593B"/>
    <w:rsid w:val="008A5C4B"/>
    <w:rsid w:val="008A6091"/>
    <w:rsid w:val="008A6196"/>
    <w:rsid w:val="008A62C2"/>
    <w:rsid w:val="008A7494"/>
    <w:rsid w:val="008A7853"/>
    <w:rsid w:val="008A7FE1"/>
    <w:rsid w:val="008B0401"/>
    <w:rsid w:val="008B12B2"/>
    <w:rsid w:val="008B143E"/>
    <w:rsid w:val="008B1A20"/>
    <w:rsid w:val="008B1CA3"/>
    <w:rsid w:val="008B2AF1"/>
    <w:rsid w:val="008B304C"/>
    <w:rsid w:val="008B33AE"/>
    <w:rsid w:val="008B35E9"/>
    <w:rsid w:val="008B372D"/>
    <w:rsid w:val="008B4233"/>
    <w:rsid w:val="008B4418"/>
    <w:rsid w:val="008B444D"/>
    <w:rsid w:val="008B4AE1"/>
    <w:rsid w:val="008B56AE"/>
    <w:rsid w:val="008B5E89"/>
    <w:rsid w:val="008B639D"/>
    <w:rsid w:val="008B6734"/>
    <w:rsid w:val="008B68C5"/>
    <w:rsid w:val="008B6AB6"/>
    <w:rsid w:val="008B6BB0"/>
    <w:rsid w:val="008B7513"/>
    <w:rsid w:val="008C00FC"/>
    <w:rsid w:val="008C0266"/>
    <w:rsid w:val="008C0905"/>
    <w:rsid w:val="008C0E74"/>
    <w:rsid w:val="008C211B"/>
    <w:rsid w:val="008C2251"/>
    <w:rsid w:val="008C283A"/>
    <w:rsid w:val="008C2DB6"/>
    <w:rsid w:val="008C2EB2"/>
    <w:rsid w:val="008C3818"/>
    <w:rsid w:val="008C3B62"/>
    <w:rsid w:val="008C48FC"/>
    <w:rsid w:val="008C4A72"/>
    <w:rsid w:val="008C4C3B"/>
    <w:rsid w:val="008C4C72"/>
    <w:rsid w:val="008C4E58"/>
    <w:rsid w:val="008C5116"/>
    <w:rsid w:val="008C51FD"/>
    <w:rsid w:val="008C5A0E"/>
    <w:rsid w:val="008C61D1"/>
    <w:rsid w:val="008C6678"/>
    <w:rsid w:val="008C6C0F"/>
    <w:rsid w:val="008C6F29"/>
    <w:rsid w:val="008C7121"/>
    <w:rsid w:val="008C793D"/>
    <w:rsid w:val="008C7CFD"/>
    <w:rsid w:val="008D02EA"/>
    <w:rsid w:val="008D09F1"/>
    <w:rsid w:val="008D0AC9"/>
    <w:rsid w:val="008D133A"/>
    <w:rsid w:val="008D170B"/>
    <w:rsid w:val="008D2486"/>
    <w:rsid w:val="008D2CC7"/>
    <w:rsid w:val="008D2DF8"/>
    <w:rsid w:val="008D35D7"/>
    <w:rsid w:val="008D452B"/>
    <w:rsid w:val="008D4CF5"/>
    <w:rsid w:val="008D5376"/>
    <w:rsid w:val="008D57BF"/>
    <w:rsid w:val="008D580C"/>
    <w:rsid w:val="008D6247"/>
    <w:rsid w:val="008D6999"/>
    <w:rsid w:val="008D7474"/>
    <w:rsid w:val="008D75B7"/>
    <w:rsid w:val="008D7CA1"/>
    <w:rsid w:val="008D7CC7"/>
    <w:rsid w:val="008E071B"/>
    <w:rsid w:val="008E0B3B"/>
    <w:rsid w:val="008E0C20"/>
    <w:rsid w:val="008E115E"/>
    <w:rsid w:val="008E1836"/>
    <w:rsid w:val="008E20D5"/>
    <w:rsid w:val="008E2697"/>
    <w:rsid w:val="008E2923"/>
    <w:rsid w:val="008E2D4B"/>
    <w:rsid w:val="008E31A9"/>
    <w:rsid w:val="008E3E0E"/>
    <w:rsid w:val="008E4288"/>
    <w:rsid w:val="008E4F16"/>
    <w:rsid w:val="008E54E9"/>
    <w:rsid w:val="008E5596"/>
    <w:rsid w:val="008E588E"/>
    <w:rsid w:val="008E5979"/>
    <w:rsid w:val="008E5998"/>
    <w:rsid w:val="008E5C09"/>
    <w:rsid w:val="008E6639"/>
    <w:rsid w:val="008E70BA"/>
    <w:rsid w:val="008E77B2"/>
    <w:rsid w:val="008E78B4"/>
    <w:rsid w:val="008E79AA"/>
    <w:rsid w:val="008E7C0D"/>
    <w:rsid w:val="008E7E49"/>
    <w:rsid w:val="008F0C07"/>
    <w:rsid w:val="008F0FBD"/>
    <w:rsid w:val="008F1955"/>
    <w:rsid w:val="008F2305"/>
    <w:rsid w:val="008F29CD"/>
    <w:rsid w:val="008F2C71"/>
    <w:rsid w:val="008F3806"/>
    <w:rsid w:val="008F383A"/>
    <w:rsid w:val="008F3C20"/>
    <w:rsid w:val="008F45DD"/>
    <w:rsid w:val="008F4B9C"/>
    <w:rsid w:val="008F502A"/>
    <w:rsid w:val="008F58A3"/>
    <w:rsid w:val="008F5AE9"/>
    <w:rsid w:val="008F61A8"/>
    <w:rsid w:val="008F6421"/>
    <w:rsid w:val="008F691F"/>
    <w:rsid w:val="008F6F77"/>
    <w:rsid w:val="008F6F9B"/>
    <w:rsid w:val="008F7038"/>
    <w:rsid w:val="008F7789"/>
    <w:rsid w:val="008F7AC1"/>
    <w:rsid w:val="0090011E"/>
    <w:rsid w:val="00900BED"/>
    <w:rsid w:val="00900CEC"/>
    <w:rsid w:val="00901201"/>
    <w:rsid w:val="00901594"/>
    <w:rsid w:val="009016E2"/>
    <w:rsid w:val="00901713"/>
    <w:rsid w:val="0090256F"/>
    <w:rsid w:val="009027F0"/>
    <w:rsid w:val="00902B96"/>
    <w:rsid w:val="00902FA2"/>
    <w:rsid w:val="00902FBE"/>
    <w:rsid w:val="009031FA"/>
    <w:rsid w:val="00903236"/>
    <w:rsid w:val="00903B9F"/>
    <w:rsid w:val="00904132"/>
    <w:rsid w:val="009042AF"/>
    <w:rsid w:val="0090484C"/>
    <w:rsid w:val="00904C84"/>
    <w:rsid w:val="009051D6"/>
    <w:rsid w:val="00905337"/>
    <w:rsid w:val="00906003"/>
    <w:rsid w:val="0090627B"/>
    <w:rsid w:val="00906BC3"/>
    <w:rsid w:val="00906F66"/>
    <w:rsid w:val="00907048"/>
    <w:rsid w:val="009072EA"/>
    <w:rsid w:val="00910930"/>
    <w:rsid w:val="00910EE8"/>
    <w:rsid w:val="00911495"/>
    <w:rsid w:val="009116B6"/>
    <w:rsid w:val="009118D4"/>
    <w:rsid w:val="00911C22"/>
    <w:rsid w:val="00911EA6"/>
    <w:rsid w:val="00912105"/>
    <w:rsid w:val="009122EE"/>
    <w:rsid w:val="0091232E"/>
    <w:rsid w:val="00912CCB"/>
    <w:rsid w:val="00912DFD"/>
    <w:rsid w:val="009130C9"/>
    <w:rsid w:val="00913A21"/>
    <w:rsid w:val="009140D3"/>
    <w:rsid w:val="009141E3"/>
    <w:rsid w:val="009145FB"/>
    <w:rsid w:val="00914699"/>
    <w:rsid w:val="0091482B"/>
    <w:rsid w:val="00914CE7"/>
    <w:rsid w:val="00915543"/>
    <w:rsid w:val="00915585"/>
    <w:rsid w:val="009159F5"/>
    <w:rsid w:val="00916301"/>
    <w:rsid w:val="0091636D"/>
    <w:rsid w:val="00916A11"/>
    <w:rsid w:val="00916E9C"/>
    <w:rsid w:val="00917706"/>
    <w:rsid w:val="00917A6C"/>
    <w:rsid w:val="00917B78"/>
    <w:rsid w:val="00917C06"/>
    <w:rsid w:val="00917C7B"/>
    <w:rsid w:val="00917D8B"/>
    <w:rsid w:val="00917EDE"/>
    <w:rsid w:val="00917F3A"/>
    <w:rsid w:val="00920C93"/>
    <w:rsid w:val="00921132"/>
    <w:rsid w:val="009218F4"/>
    <w:rsid w:val="00921B16"/>
    <w:rsid w:val="00922600"/>
    <w:rsid w:val="00922F1E"/>
    <w:rsid w:val="0092333B"/>
    <w:rsid w:val="0092341F"/>
    <w:rsid w:val="009240A0"/>
    <w:rsid w:val="00924166"/>
    <w:rsid w:val="009248E0"/>
    <w:rsid w:val="0092519E"/>
    <w:rsid w:val="00925611"/>
    <w:rsid w:val="009257F9"/>
    <w:rsid w:val="009258EE"/>
    <w:rsid w:val="00925B13"/>
    <w:rsid w:val="00925CC1"/>
    <w:rsid w:val="00925F9A"/>
    <w:rsid w:val="00926158"/>
    <w:rsid w:val="00926571"/>
    <w:rsid w:val="00926811"/>
    <w:rsid w:val="0092693B"/>
    <w:rsid w:val="00927326"/>
    <w:rsid w:val="00930937"/>
    <w:rsid w:val="00930BB8"/>
    <w:rsid w:val="00931498"/>
    <w:rsid w:val="009316BA"/>
    <w:rsid w:val="00931931"/>
    <w:rsid w:val="00932718"/>
    <w:rsid w:val="00932AA4"/>
    <w:rsid w:val="00932ABB"/>
    <w:rsid w:val="00932D48"/>
    <w:rsid w:val="009331E0"/>
    <w:rsid w:val="0093340F"/>
    <w:rsid w:val="009336CC"/>
    <w:rsid w:val="00933799"/>
    <w:rsid w:val="0093489B"/>
    <w:rsid w:val="00934BDC"/>
    <w:rsid w:val="00934D2E"/>
    <w:rsid w:val="00934F29"/>
    <w:rsid w:val="00935ACE"/>
    <w:rsid w:val="0093648D"/>
    <w:rsid w:val="00936A03"/>
    <w:rsid w:val="0093717B"/>
    <w:rsid w:val="0093782B"/>
    <w:rsid w:val="00937E18"/>
    <w:rsid w:val="00940D3F"/>
    <w:rsid w:val="0094139C"/>
    <w:rsid w:val="009418FD"/>
    <w:rsid w:val="00941900"/>
    <w:rsid w:val="00941E0C"/>
    <w:rsid w:val="00942114"/>
    <w:rsid w:val="00942258"/>
    <w:rsid w:val="00942A6A"/>
    <w:rsid w:val="00942E2A"/>
    <w:rsid w:val="009436A8"/>
    <w:rsid w:val="00943DEC"/>
    <w:rsid w:val="00944951"/>
    <w:rsid w:val="00944E19"/>
    <w:rsid w:val="00944FE3"/>
    <w:rsid w:val="0094604C"/>
    <w:rsid w:val="00946936"/>
    <w:rsid w:val="00946C1C"/>
    <w:rsid w:val="00950493"/>
    <w:rsid w:val="00950B86"/>
    <w:rsid w:val="00950F7E"/>
    <w:rsid w:val="00951418"/>
    <w:rsid w:val="009518C8"/>
    <w:rsid w:val="00951A42"/>
    <w:rsid w:val="00951E2E"/>
    <w:rsid w:val="00952508"/>
    <w:rsid w:val="00952513"/>
    <w:rsid w:val="00952A29"/>
    <w:rsid w:val="00953883"/>
    <w:rsid w:val="00954A01"/>
    <w:rsid w:val="00954C3F"/>
    <w:rsid w:val="00954E3E"/>
    <w:rsid w:val="009563B3"/>
    <w:rsid w:val="00956693"/>
    <w:rsid w:val="00956C38"/>
    <w:rsid w:val="00956EC3"/>
    <w:rsid w:val="00957735"/>
    <w:rsid w:val="009577B4"/>
    <w:rsid w:val="00957A2A"/>
    <w:rsid w:val="00960E67"/>
    <w:rsid w:val="00961715"/>
    <w:rsid w:val="00961886"/>
    <w:rsid w:val="00961DB1"/>
    <w:rsid w:val="00961F3A"/>
    <w:rsid w:val="009624E3"/>
    <w:rsid w:val="009629D8"/>
    <w:rsid w:val="00962CC8"/>
    <w:rsid w:val="009630BE"/>
    <w:rsid w:val="009636D5"/>
    <w:rsid w:val="00963F5C"/>
    <w:rsid w:val="0096403B"/>
    <w:rsid w:val="00964265"/>
    <w:rsid w:val="00964D5F"/>
    <w:rsid w:val="00964F79"/>
    <w:rsid w:val="0096506B"/>
    <w:rsid w:val="00965306"/>
    <w:rsid w:val="00965A43"/>
    <w:rsid w:val="00965C64"/>
    <w:rsid w:val="00966B83"/>
    <w:rsid w:val="009678B3"/>
    <w:rsid w:val="00970450"/>
    <w:rsid w:val="009709F1"/>
    <w:rsid w:val="00971806"/>
    <w:rsid w:val="00971AFC"/>
    <w:rsid w:val="00971DCB"/>
    <w:rsid w:val="0097262B"/>
    <w:rsid w:val="009726DE"/>
    <w:rsid w:val="00973891"/>
    <w:rsid w:val="00973906"/>
    <w:rsid w:val="009740B6"/>
    <w:rsid w:val="00974232"/>
    <w:rsid w:val="00974F57"/>
    <w:rsid w:val="00975442"/>
    <w:rsid w:val="0097693E"/>
    <w:rsid w:val="009771DD"/>
    <w:rsid w:val="00977761"/>
    <w:rsid w:val="00977A4F"/>
    <w:rsid w:val="00980631"/>
    <w:rsid w:val="009806E9"/>
    <w:rsid w:val="00980798"/>
    <w:rsid w:val="00980994"/>
    <w:rsid w:val="00980EEA"/>
    <w:rsid w:val="00981A69"/>
    <w:rsid w:val="00982463"/>
    <w:rsid w:val="0098313D"/>
    <w:rsid w:val="00984089"/>
    <w:rsid w:val="00984838"/>
    <w:rsid w:val="009849A2"/>
    <w:rsid w:val="0098598D"/>
    <w:rsid w:val="00985E21"/>
    <w:rsid w:val="009864B1"/>
    <w:rsid w:val="00986A63"/>
    <w:rsid w:val="00986C2A"/>
    <w:rsid w:val="00986C30"/>
    <w:rsid w:val="00986E20"/>
    <w:rsid w:val="00986E49"/>
    <w:rsid w:val="00986E65"/>
    <w:rsid w:val="00987064"/>
    <w:rsid w:val="009870E6"/>
    <w:rsid w:val="00987800"/>
    <w:rsid w:val="0098786E"/>
    <w:rsid w:val="00987C86"/>
    <w:rsid w:val="00987D23"/>
    <w:rsid w:val="00987F06"/>
    <w:rsid w:val="00990345"/>
    <w:rsid w:val="009906E2"/>
    <w:rsid w:val="00990E8C"/>
    <w:rsid w:val="00990FE3"/>
    <w:rsid w:val="0099147E"/>
    <w:rsid w:val="009921FA"/>
    <w:rsid w:val="00992A25"/>
    <w:rsid w:val="009930A8"/>
    <w:rsid w:val="009945DB"/>
    <w:rsid w:val="00994684"/>
    <w:rsid w:val="00994969"/>
    <w:rsid w:val="00994F7A"/>
    <w:rsid w:val="0099500C"/>
    <w:rsid w:val="0099555E"/>
    <w:rsid w:val="00995BD7"/>
    <w:rsid w:val="009966A3"/>
    <w:rsid w:val="00996854"/>
    <w:rsid w:val="00996986"/>
    <w:rsid w:val="00996DAB"/>
    <w:rsid w:val="00997182"/>
    <w:rsid w:val="009976DF"/>
    <w:rsid w:val="00997A6D"/>
    <w:rsid w:val="00997D77"/>
    <w:rsid w:val="00997E06"/>
    <w:rsid w:val="009A0CFB"/>
    <w:rsid w:val="009A0D6B"/>
    <w:rsid w:val="009A10CE"/>
    <w:rsid w:val="009A21E2"/>
    <w:rsid w:val="009A29AA"/>
    <w:rsid w:val="009A431D"/>
    <w:rsid w:val="009A489B"/>
    <w:rsid w:val="009A4FD5"/>
    <w:rsid w:val="009A5E85"/>
    <w:rsid w:val="009A6A21"/>
    <w:rsid w:val="009A6EC1"/>
    <w:rsid w:val="009A702D"/>
    <w:rsid w:val="009A73F3"/>
    <w:rsid w:val="009A7969"/>
    <w:rsid w:val="009A7DEF"/>
    <w:rsid w:val="009A7FEA"/>
    <w:rsid w:val="009B0301"/>
    <w:rsid w:val="009B05C5"/>
    <w:rsid w:val="009B08FB"/>
    <w:rsid w:val="009B0C72"/>
    <w:rsid w:val="009B0CCD"/>
    <w:rsid w:val="009B0D45"/>
    <w:rsid w:val="009B135C"/>
    <w:rsid w:val="009B14C5"/>
    <w:rsid w:val="009B1601"/>
    <w:rsid w:val="009B1E6F"/>
    <w:rsid w:val="009B20DC"/>
    <w:rsid w:val="009B2B0D"/>
    <w:rsid w:val="009B338C"/>
    <w:rsid w:val="009B3BC1"/>
    <w:rsid w:val="009B4623"/>
    <w:rsid w:val="009B4897"/>
    <w:rsid w:val="009B5E56"/>
    <w:rsid w:val="009B6B39"/>
    <w:rsid w:val="009B6BF2"/>
    <w:rsid w:val="009B7FDE"/>
    <w:rsid w:val="009C0103"/>
    <w:rsid w:val="009C025D"/>
    <w:rsid w:val="009C0991"/>
    <w:rsid w:val="009C19EC"/>
    <w:rsid w:val="009C1E00"/>
    <w:rsid w:val="009C2037"/>
    <w:rsid w:val="009C22BC"/>
    <w:rsid w:val="009C2714"/>
    <w:rsid w:val="009C29A0"/>
    <w:rsid w:val="009C36FF"/>
    <w:rsid w:val="009C3A55"/>
    <w:rsid w:val="009C3F50"/>
    <w:rsid w:val="009C44AF"/>
    <w:rsid w:val="009C50C1"/>
    <w:rsid w:val="009C5A6C"/>
    <w:rsid w:val="009C6847"/>
    <w:rsid w:val="009C699B"/>
    <w:rsid w:val="009C6F2C"/>
    <w:rsid w:val="009C6F93"/>
    <w:rsid w:val="009C778C"/>
    <w:rsid w:val="009C7A8D"/>
    <w:rsid w:val="009D0F41"/>
    <w:rsid w:val="009D146B"/>
    <w:rsid w:val="009D2E1B"/>
    <w:rsid w:val="009D340F"/>
    <w:rsid w:val="009D3BFF"/>
    <w:rsid w:val="009D3F45"/>
    <w:rsid w:val="009D4AD0"/>
    <w:rsid w:val="009D4F6A"/>
    <w:rsid w:val="009D6509"/>
    <w:rsid w:val="009D69AD"/>
    <w:rsid w:val="009D6BD6"/>
    <w:rsid w:val="009D71E9"/>
    <w:rsid w:val="009D7434"/>
    <w:rsid w:val="009D7589"/>
    <w:rsid w:val="009D77D5"/>
    <w:rsid w:val="009D7B10"/>
    <w:rsid w:val="009E064D"/>
    <w:rsid w:val="009E1C73"/>
    <w:rsid w:val="009E1CC2"/>
    <w:rsid w:val="009E1E78"/>
    <w:rsid w:val="009E2709"/>
    <w:rsid w:val="009E3D14"/>
    <w:rsid w:val="009E5CA9"/>
    <w:rsid w:val="009E651F"/>
    <w:rsid w:val="009E65C8"/>
    <w:rsid w:val="009E6ABF"/>
    <w:rsid w:val="009E79BC"/>
    <w:rsid w:val="009F0133"/>
    <w:rsid w:val="009F06A6"/>
    <w:rsid w:val="009F06BE"/>
    <w:rsid w:val="009F0E97"/>
    <w:rsid w:val="009F0EC9"/>
    <w:rsid w:val="009F10E2"/>
    <w:rsid w:val="009F1361"/>
    <w:rsid w:val="009F2248"/>
    <w:rsid w:val="009F241E"/>
    <w:rsid w:val="009F2569"/>
    <w:rsid w:val="009F2955"/>
    <w:rsid w:val="009F3039"/>
    <w:rsid w:val="009F365B"/>
    <w:rsid w:val="009F3682"/>
    <w:rsid w:val="009F3D35"/>
    <w:rsid w:val="009F492E"/>
    <w:rsid w:val="009F4DF0"/>
    <w:rsid w:val="009F4E38"/>
    <w:rsid w:val="009F4EAA"/>
    <w:rsid w:val="009F4F5C"/>
    <w:rsid w:val="009F50A2"/>
    <w:rsid w:val="009F61F1"/>
    <w:rsid w:val="009F62E1"/>
    <w:rsid w:val="009F67E5"/>
    <w:rsid w:val="009F6D84"/>
    <w:rsid w:val="009F7CDD"/>
    <w:rsid w:val="00A00288"/>
    <w:rsid w:val="00A010A4"/>
    <w:rsid w:val="00A0111E"/>
    <w:rsid w:val="00A01396"/>
    <w:rsid w:val="00A014ED"/>
    <w:rsid w:val="00A017CB"/>
    <w:rsid w:val="00A02530"/>
    <w:rsid w:val="00A0256B"/>
    <w:rsid w:val="00A025C2"/>
    <w:rsid w:val="00A02EDB"/>
    <w:rsid w:val="00A03928"/>
    <w:rsid w:val="00A03A8B"/>
    <w:rsid w:val="00A03C3E"/>
    <w:rsid w:val="00A04955"/>
    <w:rsid w:val="00A04D8F"/>
    <w:rsid w:val="00A0528D"/>
    <w:rsid w:val="00A0573E"/>
    <w:rsid w:val="00A061C7"/>
    <w:rsid w:val="00A072F0"/>
    <w:rsid w:val="00A0748A"/>
    <w:rsid w:val="00A07614"/>
    <w:rsid w:val="00A07850"/>
    <w:rsid w:val="00A07E8C"/>
    <w:rsid w:val="00A103FC"/>
    <w:rsid w:val="00A10DEA"/>
    <w:rsid w:val="00A114BD"/>
    <w:rsid w:val="00A1187A"/>
    <w:rsid w:val="00A120B5"/>
    <w:rsid w:val="00A1217F"/>
    <w:rsid w:val="00A12570"/>
    <w:rsid w:val="00A13151"/>
    <w:rsid w:val="00A134EC"/>
    <w:rsid w:val="00A13E35"/>
    <w:rsid w:val="00A13EBC"/>
    <w:rsid w:val="00A14776"/>
    <w:rsid w:val="00A14942"/>
    <w:rsid w:val="00A15841"/>
    <w:rsid w:val="00A15ACA"/>
    <w:rsid w:val="00A1633B"/>
    <w:rsid w:val="00A16B14"/>
    <w:rsid w:val="00A16F6A"/>
    <w:rsid w:val="00A17205"/>
    <w:rsid w:val="00A1773C"/>
    <w:rsid w:val="00A17923"/>
    <w:rsid w:val="00A17CD5"/>
    <w:rsid w:val="00A205D4"/>
    <w:rsid w:val="00A205EA"/>
    <w:rsid w:val="00A20D7B"/>
    <w:rsid w:val="00A216E7"/>
    <w:rsid w:val="00A218F4"/>
    <w:rsid w:val="00A21B57"/>
    <w:rsid w:val="00A22255"/>
    <w:rsid w:val="00A22911"/>
    <w:rsid w:val="00A22D32"/>
    <w:rsid w:val="00A22E29"/>
    <w:rsid w:val="00A2318A"/>
    <w:rsid w:val="00A23242"/>
    <w:rsid w:val="00A24DB0"/>
    <w:rsid w:val="00A24DD2"/>
    <w:rsid w:val="00A24E9F"/>
    <w:rsid w:val="00A2513E"/>
    <w:rsid w:val="00A259AC"/>
    <w:rsid w:val="00A26098"/>
    <w:rsid w:val="00A26107"/>
    <w:rsid w:val="00A266A6"/>
    <w:rsid w:val="00A27251"/>
    <w:rsid w:val="00A278CA"/>
    <w:rsid w:val="00A27F4B"/>
    <w:rsid w:val="00A30180"/>
    <w:rsid w:val="00A3065F"/>
    <w:rsid w:val="00A30F0D"/>
    <w:rsid w:val="00A312AA"/>
    <w:rsid w:val="00A313F0"/>
    <w:rsid w:val="00A31C79"/>
    <w:rsid w:val="00A32ABA"/>
    <w:rsid w:val="00A32EC1"/>
    <w:rsid w:val="00A33AC6"/>
    <w:rsid w:val="00A33BBC"/>
    <w:rsid w:val="00A351DB"/>
    <w:rsid w:val="00A35293"/>
    <w:rsid w:val="00A35637"/>
    <w:rsid w:val="00A35897"/>
    <w:rsid w:val="00A3598A"/>
    <w:rsid w:val="00A36037"/>
    <w:rsid w:val="00A369FF"/>
    <w:rsid w:val="00A36ACD"/>
    <w:rsid w:val="00A36B1A"/>
    <w:rsid w:val="00A37321"/>
    <w:rsid w:val="00A37B6C"/>
    <w:rsid w:val="00A4028C"/>
    <w:rsid w:val="00A40396"/>
    <w:rsid w:val="00A403F7"/>
    <w:rsid w:val="00A408C9"/>
    <w:rsid w:val="00A40AF2"/>
    <w:rsid w:val="00A411DE"/>
    <w:rsid w:val="00A4171B"/>
    <w:rsid w:val="00A419EB"/>
    <w:rsid w:val="00A42008"/>
    <w:rsid w:val="00A4221D"/>
    <w:rsid w:val="00A42B99"/>
    <w:rsid w:val="00A430AB"/>
    <w:rsid w:val="00A43A5F"/>
    <w:rsid w:val="00A43F67"/>
    <w:rsid w:val="00A43F81"/>
    <w:rsid w:val="00A44C06"/>
    <w:rsid w:val="00A453D2"/>
    <w:rsid w:val="00A45720"/>
    <w:rsid w:val="00A4599C"/>
    <w:rsid w:val="00A45BA6"/>
    <w:rsid w:val="00A46257"/>
    <w:rsid w:val="00A46509"/>
    <w:rsid w:val="00A465D4"/>
    <w:rsid w:val="00A46673"/>
    <w:rsid w:val="00A46732"/>
    <w:rsid w:val="00A46C41"/>
    <w:rsid w:val="00A46CF9"/>
    <w:rsid w:val="00A470EF"/>
    <w:rsid w:val="00A473C6"/>
    <w:rsid w:val="00A47777"/>
    <w:rsid w:val="00A47E8A"/>
    <w:rsid w:val="00A47F3F"/>
    <w:rsid w:val="00A50609"/>
    <w:rsid w:val="00A50E5D"/>
    <w:rsid w:val="00A519F8"/>
    <w:rsid w:val="00A52132"/>
    <w:rsid w:val="00A52EB9"/>
    <w:rsid w:val="00A53084"/>
    <w:rsid w:val="00A533BF"/>
    <w:rsid w:val="00A5397E"/>
    <w:rsid w:val="00A53B94"/>
    <w:rsid w:val="00A53ED2"/>
    <w:rsid w:val="00A54B02"/>
    <w:rsid w:val="00A55218"/>
    <w:rsid w:val="00A557C6"/>
    <w:rsid w:val="00A560AF"/>
    <w:rsid w:val="00A56531"/>
    <w:rsid w:val="00A5697B"/>
    <w:rsid w:val="00A57261"/>
    <w:rsid w:val="00A575AA"/>
    <w:rsid w:val="00A57814"/>
    <w:rsid w:val="00A57D75"/>
    <w:rsid w:val="00A62312"/>
    <w:rsid w:val="00A62C26"/>
    <w:rsid w:val="00A631F8"/>
    <w:rsid w:val="00A63A1A"/>
    <w:rsid w:val="00A64448"/>
    <w:rsid w:val="00A644D8"/>
    <w:rsid w:val="00A64976"/>
    <w:rsid w:val="00A6499A"/>
    <w:rsid w:val="00A64DC6"/>
    <w:rsid w:val="00A65714"/>
    <w:rsid w:val="00A66064"/>
    <w:rsid w:val="00A6668A"/>
    <w:rsid w:val="00A66717"/>
    <w:rsid w:val="00A669CF"/>
    <w:rsid w:val="00A66B3F"/>
    <w:rsid w:val="00A6755A"/>
    <w:rsid w:val="00A67612"/>
    <w:rsid w:val="00A7011E"/>
    <w:rsid w:val="00A709C8"/>
    <w:rsid w:val="00A712B8"/>
    <w:rsid w:val="00A713BE"/>
    <w:rsid w:val="00A7148C"/>
    <w:rsid w:val="00A716F4"/>
    <w:rsid w:val="00A729D0"/>
    <w:rsid w:val="00A739CA"/>
    <w:rsid w:val="00A74551"/>
    <w:rsid w:val="00A74918"/>
    <w:rsid w:val="00A74A9B"/>
    <w:rsid w:val="00A74D62"/>
    <w:rsid w:val="00A758A1"/>
    <w:rsid w:val="00A75BA7"/>
    <w:rsid w:val="00A76544"/>
    <w:rsid w:val="00A76AA9"/>
    <w:rsid w:val="00A76E39"/>
    <w:rsid w:val="00A76E81"/>
    <w:rsid w:val="00A776C9"/>
    <w:rsid w:val="00A776F6"/>
    <w:rsid w:val="00A777F2"/>
    <w:rsid w:val="00A77924"/>
    <w:rsid w:val="00A8015E"/>
    <w:rsid w:val="00A80B34"/>
    <w:rsid w:val="00A80DAE"/>
    <w:rsid w:val="00A815C2"/>
    <w:rsid w:val="00A818C0"/>
    <w:rsid w:val="00A81BAB"/>
    <w:rsid w:val="00A81CA7"/>
    <w:rsid w:val="00A821FC"/>
    <w:rsid w:val="00A8297C"/>
    <w:rsid w:val="00A82BC5"/>
    <w:rsid w:val="00A83670"/>
    <w:rsid w:val="00A83871"/>
    <w:rsid w:val="00A83DB7"/>
    <w:rsid w:val="00A85398"/>
    <w:rsid w:val="00A85A61"/>
    <w:rsid w:val="00A85B51"/>
    <w:rsid w:val="00A85CEF"/>
    <w:rsid w:val="00A85D4C"/>
    <w:rsid w:val="00A86D7A"/>
    <w:rsid w:val="00A86DC3"/>
    <w:rsid w:val="00A87032"/>
    <w:rsid w:val="00A871F4"/>
    <w:rsid w:val="00A87794"/>
    <w:rsid w:val="00A87998"/>
    <w:rsid w:val="00A90532"/>
    <w:rsid w:val="00A91146"/>
    <w:rsid w:val="00A9216F"/>
    <w:rsid w:val="00A92D2C"/>
    <w:rsid w:val="00A93687"/>
    <w:rsid w:val="00A93ECE"/>
    <w:rsid w:val="00A94386"/>
    <w:rsid w:val="00A94A1C"/>
    <w:rsid w:val="00A94C13"/>
    <w:rsid w:val="00A94F9E"/>
    <w:rsid w:val="00A952A8"/>
    <w:rsid w:val="00A95753"/>
    <w:rsid w:val="00A958B9"/>
    <w:rsid w:val="00A96F03"/>
    <w:rsid w:val="00A9741B"/>
    <w:rsid w:val="00A97497"/>
    <w:rsid w:val="00A97534"/>
    <w:rsid w:val="00AA0779"/>
    <w:rsid w:val="00AA0C2E"/>
    <w:rsid w:val="00AA217C"/>
    <w:rsid w:val="00AA2590"/>
    <w:rsid w:val="00AA298E"/>
    <w:rsid w:val="00AA36AE"/>
    <w:rsid w:val="00AA3964"/>
    <w:rsid w:val="00AA4106"/>
    <w:rsid w:val="00AA47C8"/>
    <w:rsid w:val="00AA549F"/>
    <w:rsid w:val="00AA54CC"/>
    <w:rsid w:val="00AA630D"/>
    <w:rsid w:val="00AA68E8"/>
    <w:rsid w:val="00AA6B8F"/>
    <w:rsid w:val="00AA6EBC"/>
    <w:rsid w:val="00AA721F"/>
    <w:rsid w:val="00AA7716"/>
    <w:rsid w:val="00AA7CED"/>
    <w:rsid w:val="00AA7D79"/>
    <w:rsid w:val="00AA7EBD"/>
    <w:rsid w:val="00AB067C"/>
    <w:rsid w:val="00AB0B7D"/>
    <w:rsid w:val="00AB120F"/>
    <w:rsid w:val="00AB1559"/>
    <w:rsid w:val="00AB15A2"/>
    <w:rsid w:val="00AB18F8"/>
    <w:rsid w:val="00AB2F79"/>
    <w:rsid w:val="00AB339F"/>
    <w:rsid w:val="00AB424D"/>
    <w:rsid w:val="00AB4363"/>
    <w:rsid w:val="00AB476C"/>
    <w:rsid w:val="00AB4B98"/>
    <w:rsid w:val="00AB4F03"/>
    <w:rsid w:val="00AB52F1"/>
    <w:rsid w:val="00AB7983"/>
    <w:rsid w:val="00AC04C7"/>
    <w:rsid w:val="00AC0548"/>
    <w:rsid w:val="00AC0E82"/>
    <w:rsid w:val="00AC15D7"/>
    <w:rsid w:val="00AC1A7D"/>
    <w:rsid w:val="00AC1D52"/>
    <w:rsid w:val="00AC1ECF"/>
    <w:rsid w:val="00AC1F1A"/>
    <w:rsid w:val="00AC207B"/>
    <w:rsid w:val="00AC2FD6"/>
    <w:rsid w:val="00AC3471"/>
    <w:rsid w:val="00AC3C17"/>
    <w:rsid w:val="00AC407C"/>
    <w:rsid w:val="00AC5600"/>
    <w:rsid w:val="00AC5EC3"/>
    <w:rsid w:val="00AC6241"/>
    <w:rsid w:val="00AC6458"/>
    <w:rsid w:val="00AC685A"/>
    <w:rsid w:val="00AC6B5D"/>
    <w:rsid w:val="00AC6C25"/>
    <w:rsid w:val="00AC6F71"/>
    <w:rsid w:val="00AC7A9A"/>
    <w:rsid w:val="00AD060C"/>
    <w:rsid w:val="00AD0B58"/>
    <w:rsid w:val="00AD0FED"/>
    <w:rsid w:val="00AD15A7"/>
    <w:rsid w:val="00AD2052"/>
    <w:rsid w:val="00AD2736"/>
    <w:rsid w:val="00AD34A7"/>
    <w:rsid w:val="00AD3C8E"/>
    <w:rsid w:val="00AD51BE"/>
    <w:rsid w:val="00AD58B2"/>
    <w:rsid w:val="00AD5A32"/>
    <w:rsid w:val="00AD5BC5"/>
    <w:rsid w:val="00AD5C7C"/>
    <w:rsid w:val="00AD5F18"/>
    <w:rsid w:val="00AD62DE"/>
    <w:rsid w:val="00AD6AD0"/>
    <w:rsid w:val="00AD6BEB"/>
    <w:rsid w:val="00AD6BF8"/>
    <w:rsid w:val="00AE03D2"/>
    <w:rsid w:val="00AE05E4"/>
    <w:rsid w:val="00AE067E"/>
    <w:rsid w:val="00AE0710"/>
    <w:rsid w:val="00AE079D"/>
    <w:rsid w:val="00AE09AF"/>
    <w:rsid w:val="00AE0DE8"/>
    <w:rsid w:val="00AE106B"/>
    <w:rsid w:val="00AE1728"/>
    <w:rsid w:val="00AE1913"/>
    <w:rsid w:val="00AE19D3"/>
    <w:rsid w:val="00AE1AC9"/>
    <w:rsid w:val="00AE2263"/>
    <w:rsid w:val="00AE24AC"/>
    <w:rsid w:val="00AE2976"/>
    <w:rsid w:val="00AE382F"/>
    <w:rsid w:val="00AE4880"/>
    <w:rsid w:val="00AE48E6"/>
    <w:rsid w:val="00AE4A64"/>
    <w:rsid w:val="00AE53DA"/>
    <w:rsid w:val="00AE551B"/>
    <w:rsid w:val="00AE5DB7"/>
    <w:rsid w:val="00AE5FA3"/>
    <w:rsid w:val="00AE6327"/>
    <w:rsid w:val="00AE6586"/>
    <w:rsid w:val="00AE68B7"/>
    <w:rsid w:val="00AE6B97"/>
    <w:rsid w:val="00AE7227"/>
    <w:rsid w:val="00AE725D"/>
    <w:rsid w:val="00AE72D2"/>
    <w:rsid w:val="00AE7BB1"/>
    <w:rsid w:val="00AE7EE0"/>
    <w:rsid w:val="00AF06E7"/>
    <w:rsid w:val="00AF0805"/>
    <w:rsid w:val="00AF10DD"/>
    <w:rsid w:val="00AF1F2B"/>
    <w:rsid w:val="00AF2245"/>
    <w:rsid w:val="00AF2ABA"/>
    <w:rsid w:val="00AF2C9A"/>
    <w:rsid w:val="00AF33DB"/>
    <w:rsid w:val="00AF3D4E"/>
    <w:rsid w:val="00AF3DF8"/>
    <w:rsid w:val="00AF40FD"/>
    <w:rsid w:val="00AF41EA"/>
    <w:rsid w:val="00AF4229"/>
    <w:rsid w:val="00AF4D22"/>
    <w:rsid w:val="00AF4DE5"/>
    <w:rsid w:val="00AF4E6F"/>
    <w:rsid w:val="00AF4FDE"/>
    <w:rsid w:val="00AF50E2"/>
    <w:rsid w:val="00AF5648"/>
    <w:rsid w:val="00AF6301"/>
    <w:rsid w:val="00AF7417"/>
    <w:rsid w:val="00AF7440"/>
    <w:rsid w:val="00AF78BE"/>
    <w:rsid w:val="00AF7A2C"/>
    <w:rsid w:val="00B00467"/>
    <w:rsid w:val="00B008F8"/>
    <w:rsid w:val="00B00A68"/>
    <w:rsid w:val="00B010F8"/>
    <w:rsid w:val="00B01313"/>
    <w:rsid w:val="00B015D9"/>
    <w:rsid w:val="00B01788"/>
    <w:rsid w:val="00B01949"/>
    <w:rsid w:val="00B01A8B"/>
    <w:rsid w:val="00B01EBD"/>
    <w:rsid w:val="00B02349"/>
    <w:rsid w:val="00B02546"/>
    <w:rsid w:val="00B02880"/>
    <w:rsid w:val="00B02BF7"/>
    <w:rsid w:val="00B02D25"/>
    <w:rsid w:val="00B030E4"/>
    <w:rsid w:val="00B0345F"/>
    <w:rsid w:val="00B04A04"/>
    <w:rsid w:val="00B05092"/>
    <w:rsid w:val="00B069BE"/>
    <w:rsid w:val="00B06C7D"/>
    <w:rsid w:val="00B06CE8"/>
    <w:rsid w:val="00B07067"/>
    <w:rsid w:val="00B073F2"/>
    <w:rsid w:val="00B07569"/>
    <w:rsid w:val="00B11E19"/>
    <w:rsid w:val="00B12052"/>
    <w:rsid w:val="00B12254"/>
    <w:rsid w:val="00B1254D"/>
    <w:rsid w:val="00B133BE"/>
    <w:rsid w:val="00B14036"/>
    <w:rsid w:val="00B15064"/>
    <w:rsid w:val="00B1605F"/>
    <w:rsid w:val="00B1629B"/>
    <w:rsid w:val="00B165EB"/>
    <w:rsid w:val="00B16A23"/>
    <w:rsid w:val="00B16AD1"/>
    <w:rsid w:val="00B16BC8"/>
    <w:rsid w:val="00B16DED"/>
    <w:rsid w:val="00B16E6D"/>
    <w:rsid w:val="00B1793F"/>
    <w:rsid w:val="00B17C81"/>
    <w:rsid w:val="00B2052B"/>
    <w:rsid w:val="00B20B37"/>
    <w:rsid w:val="00B21776"/>
    <w:rsid w:val="00B21BD1"/>
    <w:rsid w:val="00B22BFE"/>
    <w:rsid w:val="00B22E30"/>
    <w:rsid w:val="00B236C9"/>
    <w:rsid w:val="00B23ED0"/>
    <w:rsid w:val="00B24C48"/>
    <w:rsid w:val="00B254A7"/>
    <w:rsid w:val="00B26311"/>
    <w:rsid w:val="00B26377"/>
    <w:rsid w:val="00B2646F"/>
    <w:rsid w:val="00B264C4"/>
    <w:rsid w:val="00B267F8"/>
    <w:rsid w:val="00B2686C"/>
    <w:rsid w:val="00B26925"/>
    <w:rsid w:val="00B27090"/>
    <w:rsid w:val="00B2751D"/>
    <w:rsid w:val="00B27C47"/>
    <w:rsid w:val="00B27F6A"/>
    <w:rsid w:val="00B3001E"/>
    <w:rsid w:val="00B3026F"/>
    <w:rsid w:val="00B303DF"/>
    <w:rsid w:val="00B30454"/>
    <w:rsid w:val="00B315EB"/>
    <w:rsid w:val="00B31B4C"/>
    <w:rsid w:val="00B32237"/>
    <w:rsid w:val="00B325D4"/>
    <w:rsid w:val="00B32D3D"/>
    <w:rsid w:val="00B32F00"/>
    <w:rsid w:val="00B334FE"/>
    <w:rsid w:val="00B338EE"/>
    <w:rsid w:val="00B342FC"/>
    <w:rsid w:val="00B34314"/>
    <w:rsid w:val="00B34403"/>
    <w:rsid w:val="00B3471D"/>
    <w:rsid w:val="00B34CC2"/>
    <w:rsid w:val="00B35C95"/>
    <w:rsid w:val="00B36075"/>
    <w:rsid w:val="00B36236"/>
    <w:rsid w:val="00B369AC"/>
    <w:rsid w:val="00B3773B"/>
    <w:rsid w:val="00B37AAF"/>
    <w:rsid w:val="00B37E50"/>
    <w:rsid w:val="00B41448"/>
    <w:rsid w:val="00B41CA0"/>
    <w:rsid w:val="00B42407"/>
    <w:rsid w:val="00B42728"/>
    <w:rsid w:val="00B427B8"/>
    <w:rsid w:val="00B42F3A"/>
    <w:rsid w:val="00B432E2"/>
    <w:rsid w:val="00B43592"/>
    <w:rsid w:val="00B437F9"/>
    <w:rsid w:val="00B43B38"/>
    <w:rsid w:val="00B447A2"/>
    <w:rsid w:val="00B4500A"/>
    <w:rsid w:val="00B45EDF"/>
    <w:rsid w:val="00B46415"/>
    <w:rsid w:val="00B465E7"/>
    <w:rsid w:val="00B46684"/>
    <w:rsid w:val="00B468C8"/>
    <w:rsid w:val="00B469EC"/>
    <w:rsid w:val="00B46E6D"/>
    <w:rsid w:val="00B46FB2"/>
    <w:rsid w:val="00B4777C"/>
    <w:rsid w:val="00B47D9D"/>
    <w:rsid w:val="00B506DD"/>
    <w:rsid w:val="00B5072F"/>
    <w:rsid w:val="00B50C61"/>
    <w:rsid w:val="00B50D30"/>
    <w:rsid w:val="00B50EC8"/>
    <w:rsid w:val="00B510E1"/>
    <w:rsid w:val="00B51120"/>
    <w:rsid w:val="00B522AB"/>
    <w:rsid w:val="00B5257F"/>
    <w:rsid w:val="00B528EF"/>
    <w:rsid w:val="00B5306D"/>
    <w:rsid w:val="00B5375A"/>
    <w:rsid w:val="00B541B7"/>
    <w:rsid w:val="00B54258"/>
    <w:rsid w:val="00B542C1"/>
    <w:rsid w:val="00B5552E"/>
    <w:rsid w:val="00B55704"/>
    <w:rsid w:val="00B56471"/>
    <w:rsid w:val="00B5714A"/>
    <w:rsid w:val="00B578C9"/>
    <w:rsid w:val="00B57C18"/>
    <w:rsid w:val="00B601B7"/>
    <w:rsid w:val="00B606F4"/>
    <w:rsid w:val="00B60910"/>
    <w:rsid w:val="00B609C3"/>
    <w:rsid w:val="00B60BAE"/>
    <w:rsid w:val="00B61553"/>
    <w:rsid w:val="00B61F6A"/>
    <w:rsid w:val="00B62A1A"/>
    <w:rsid w:val="00B62C13"/>
    <w:rsid w:val="00B63BE1"/>
    <w:rsid w:val="00B63BEF"/>
    <w:rsid w:val="00B63DED"/>
    <w:rsid w:val="00B64100"/>
    <w:rsid w:val="00B6428B"/>
    <w:rsid w:val="00B642E5"/>
    <w:rsid w:val="00B64454"/>
    <w:rsid w:val="00B6494E"/>
    <w:rsid w:val="00B64D91"/>
    <w:rsid w:val="00B65902"/>
    <w:rsid w:val="00B65D0A"/>
    <w:rsid w:val="00B66286"/>
    <w:rsid w:val="00B678DA"/>
    <w:rsid w:val="00B70A89"/>
    <w:rsid w:val="00B70CF3"/>
    <w:rsid w:val="00B715C3"/>
    <w:rsid w:val="00B71B4A"/>
    <w:rsid w:val="00B7283A"/>
    <w:rsid w:val="00B72A4C"/>
    <w:rsid w:val="00B72CAF"/>
    <w:rsid w:val="00B7300F"/>
    <w:rsid w:val="00B73407"/>
    <w:rsid w:val="00B739C2"/>
    <w:rsid w:val="00B73F2C"/>
    <w:rsid w:val="00B743F7"/>
    <w:rsid w:val="00B75870"/>
    <w:rsid w:val="00B75BCE"/>
    <w:rsid w:val="00B76297"/>
    <w:rsid w:val="00B7649B"/>
    <w:rsid w:val="00B77661"/>
    <w:rsid w:val="00B77909"/>
    <w:rsid w:val="00B77B00"/>
    <w:rsid w:val="00B77C56"/>
    <w:rsid w:val="00B81951"/>
    <w:rsid w:val="00B82040"/>
    <w:rsid w:val="00B8232B"/>
    <w:rsid w:val="00B82572"/>
    <w:rsid w:val="00B82955"/>
    <w:rsid w:val="00B82A81"/>
    <w:rsid w:val="00B82E11"/>
    <w:rsid w:val="00B82EB7"/>
    <w:rsid w:val="00B83563"/>
    <w:rsid w:val="00B83AD9"/>
    <w:rsid w:val="00B844FC"/>
    <w:rsid w:val="00B845D5"/>
    <w:rsid w:val="00B84801"/>
    <w:rsid w:val="00B84A8C"/>
    <w:rsid w:val="00B8558A"/>
    <w:rsid w:val="00B85CAC"/>
    <w:rsid w:val="00B860F4"/>
    <w:rsid w:val="00B861B8"/>
    <w:rsid w:val="00B87568"/>
    <w:rsid w:val="00B87A7F"/>
    <w:rsid w:val="00B90560"/>
    <w:rsid w:val="00B9085F"/>
    <w:rsid w:val="00B908F1"/>
    <w:rsid w:val="00B91506"/>
    <w:rsid w:val="00B916A7"/>
    <w:rsid w:val="00B91D32"/>
    <w:rsid w:val="00B92390"/>
    <w:rsid w:val="00B93257"/>
    <w:rsid w:val="00B93D3C"/>
    <w:rsid w:val="00B93D73"/>
    <w:rsid w:val="00B942F8"/>
    <w:rsid w:val="00B945EA"/>
    <w:rsid w:val="00B9559D"/>
    <w:rsid w:val="00B960AE"/>
    <w:rsid w:val="00B96286"/>
    <w:rsid w:val="00B96567"/>
    <w:rsid w:val="00B967C2"/>
    <w:rsid w:val="00B976F2"/>
    <w:rsid w:val="00B97708"/>
    <w:rsid w:val="00B97E79"/>
    <w:rsid w:val="00B97ED6"/>
    <w:rsid w:val="00BA0939"/>
    <w:rsid w:val="00BA0B55"/>
    <w:rsid w:val="00BA0D89"/>
    <w:rsid w:val="00BA1183"/>
    <w:rsid w:val="00BA1307"/>
    <w:rsid w:val="00BA27B1"/>
    <w:rsid w:val="00BA2A67"/>
    <w:rsid w:val="00BA3CC3"/>
    <w:rsid w:val="00BA4260"/>
    <w:rsid w:val="00BA4273"/>
    <w:rsid w:val="00BA570A"/>
    <w:rsid w:val="00BA6E24"/>
    <w:rsid w:val="00BA7279"/>
    <w:rsid w:val="00BB0886"/>
    <w:rsid w:val="00BB0C44"/>
    <w:rsid w:val="00BB0F59"/>
    <w:rsid w:val="00BB1138"/>
    <w:rsid w:val="00BB144D"/>
    <w:rsid w:val="00BB18A0"/>
    <w:rsid w:val="00BB1981"/>
    <w:rsid w:val="00BB1FCD"/>
    <w:rsid w:val="00BB223D"/>
    <w:rsid w:val="00BB29FC"/>
    <w:rsid w:val="00BB2E59"/>
    <w:rsid w:val="00BB306C"/>
    <w:rsid w:val="00BB36F1"/>
    <w:rsid w:val="00BB3C82"/>
    <w:rsid w:val="00BB3D38"/>
    <w:rsid w:val="00BB44E3"/>
    <w:rsid w:val="00BB4B97"/>
    <w:rsid w:val="00BB50C0"/>
    <w:rsid w:val="00BB5BBE"/>
    <w:rsid w:val="00BB6167"/>
    <w:rsid w:val="00BB6C94"/>
    <w:rsid w:val="00BB70B3"/>
    <w:rsid w:val="00BC0019"/>
    <w:rsid w:val="00BC0242"/>
    <w:rsid w:val="00BC09E2"/>
    <w:rsid w:val="00BC0DCF"/>
    <w:rsid w:val="00BC0E54"/>
    <w:rsid w:val="00BC1259"/>
    <w:rsid w:val="00BC16CE"/>
    <w:rsid w:val="00BC2941"/>
    <w:rsid w:val="00BC2B07"/>
    <w:rsid w:val="00BC376C"/>
    <w:rsid w:val="00BC3C1B"/>
    <w:rsid w:val="00BC3D05"/>
    <w:rsid w:val="00BC4088"/>
    <w:rsid w:val="00BC46BD"/>
    <w:rsid w:val="00BC46F9"/>
    <w:rsid w:val="00BC49AD"/>
    <w:rsid w:val="00BC4BFC"/>
    <w:rsid w:val="00BC518E"/>
    <w:rsid w:val="00BC544A"/>
    <w:rsid w:val="00BC55D4"/>
    <w:rsid w:val="00BC5648"/>
    <w:rsid w:val="00BC5D96"/>
    <w:rsid w:val="00BC6224"/>
    <w:rsid w:val="00BC6410"/>
    <w:rsid w:val="00BC70CA"/>
    <w:rsid w:val="00BC7577"/>
    <w:rsid w:val="00BD01D8"/>
    <w:rsid w:val="00BD0C7A"/>
    <w:rsid w:val="00BD10FB"/>
    <w:rsid w:val="00BD1491"/>
    <w:rsid w:val="00BD14AA"/>
    <w:rsid w:val="00BD15A0"/>
    <w:rsid w:val="00BD2468"/>
    <w:rsid w:val="00BD275B"/>
    <w:rsid w:val="00BD289C"/>
    <w:rsid w:val="00BD2C11"/>
    <w:rsid w:val="00BD2F08"/>
    <w:rsid w:val="00BD34B2"/>
    <w:rsid w:val="00BD3ED5"/>
    <w:rsid w:val="00BD43CB"/>
    <w:rsid w:val="00BD46B2"/>
    <w:rsid w:val="00BD5355"/>
    <w:rsid w:val="00BD56FC"/>
    <w:rsid w:val="00BD5B5B"/>
    <w:rsid w:val="00BD5D17"/>
    <w:rsid w:val="00BD76D9"/>
    <w:rsid w:val="00BE01DB"/>
    <w:rsid w:val="00BE1932"/>
    <w:rsid w:val="00BE20D9"/>
    <w:rsid w:val="00BE2202"/>
    <w:rsid w:val="00BE2364"/>
    <w:rsid w:val="00BE25CD"/>
    <w:rsid w:val="00BE270E"/>
    <w:rsid w:val="00BE28D3"/>
    <w:rsid w:val="00BE2B1E"/>
    <w:rsid w:val="00BE2F36"/>
    <w:rsid w:val="00BE3544"/>
    <w:rsid w:val="00BE3C25"/>
    <w:rsid w:val="00BE3E55"/>
    <w:rsid w:val="00BE48DD"/>
    <w:rsid w:val="00BE4B70"/>
    <w:rsid w:val="00BE4C6D"/>
    <w:rsid w:val="00BE5154"/>
    <w:rsid w:val="00BE518C"/>
    <w:rsid w:val="00BE5303"/>
    <w:rsid w:val="00BE61D3"/>
    <w:rsid w:val="00BE672D"/>
    <w:rsid w:val="00BE673E"/>
    <w:rsid w:val="00BE6A52"/>
    <w:rsid w:val="00BE73CC"/>
    <w:rsid w:val="00BE7576"/>
    <w:rsid w:val="00BF041D"/>
    <w:rsid w:val="00BF0F9B"/>
    <w:rsid w:val="00BF14DC"/>
    <w:rsid w:val="00BF1636"/>
    <w:rsid w:val="00BF2385"/>
    <w:rsid w:val="00BF2676"/>
    <w:rsid w:val="00BF2CA3"/>
    <w:rsid w:val="00BF36D7"/>
    <w:rsid w:val="00BF3A5F"/>
    <w:rsid w:val="00BF46E7"/>
    <w:rsid w:val="00BF4B55"/>
    <w:rsid w:val="00BF545F"/>
    <w:rsid w:val="00BF55C5"/>
    <w:rsid w:val="00BF5ECE"/>
    <w:rsid w:val="00BF6C07"/>
    <w:rsid w:val="00BF6D4C"/>
    <w:rsid w:val="00BF6F87"/>
    <w:rsid w:val="00BF71E2"/>
    <w:rsid w:val="00BF778E"/>
    <w:rsid w:val="00BF78EA"/>
    <w:rsid w:val="00BF7E4A"/>
    <w:rsid w:val="00BF7F15"/>
    <w:rsid w:val="00C000A0"/>
    <w:rsid w:val="00C0082D"/>
    <w:rsid w:val="00C00FCE"/>
    <w:rsid w:val="00C0170F"/>
    <w:rsid w:val="00C0239D"/>
    <w:rsid w:val="00C02583"/>
    <w:rsid w:val="00C02650"/>
    <w:rsid w:val="00C02AA9"/>
    <w:rsid w:val="00C034FD"/>
    <w:rsid w:val="00C03719"/>
    <w:rsid w:val="00C03C3D"/>
    <w:rsid w:val="00C046F0"/>
    <w:rsid w:val="00C0470F"/>
    <w:rsid w:val="00C04CA0"/>
    <w:rsid w:val="00C0506E"/>
    <w:rsid w:val="00C052E9"/>
    <w:rsid w:val="00C0759B"/>
    <w:rsid w:val="00C077F2"/>
    <w:rsid w:val="00C10C69"/>
    <w:rsid w:val="00C1148A"/>
    <w:rsid w:val="00C116C7"/>
    <w:rsid w:val="00C118CB"/>
    <w:rsid w:val="00C12893"/>
    <w:rsid w:val="00C12F9F"/>
    <w:rsid w:val="00C13521"/>
    <w:rsid w:val="00C13F36"/>
    <w:rsid w:val="00C142A9"/>
    <w:rsid w:val="00C14B45"/>
    <w:rsid w:val="00C14BB9"/>
    <w:rsid w:val="00C14CAB"/>
    <w:rsid w:val="00C1587D"/>
    <w:rsid w:val="00C15DE6"/>
    <w:rsid w:val="00C15E3F"/>
    <w:rsid w:val="00C1627C"/>
    <w:rsid w:val="00C163DA"/>
    <w:rsid w:val="00C16903"/>
    <w:rsid w:val="00C16F2C"/>
    <w:rsid w:val="00C17C9A"/>
    <w:rsid w:val="00C20166"/>
    <w:rsid w:val="00C202E3"/>
    <w:rsid w:val="00C20538"/>
    <w:rsid w:val="00C208EF"/>
    <w:rsid w:val="00C20A1A"/>
    <w:rsid w:val="00C20AD2"/>
    <w:rsid w:val="00C21504"/>
    <w:rsid w:val="00C21B6B"/>
    <w:rsid w:val="00C223B4"/>
    <w:rsid w:val="00C226AA"/>
    <w:rsid w:val="00C22AFE"/>
    <w:rsid w:val="00C239B7"/>
    <w:rsid w:val="00C23B4E"/>
    <w:rsid w:val="00C2472C"/>
    <w:rsid w:val="00C24A57"/>
    <w:rsid w:val="00C24E94"/>
    <w:rsid w:val="00C2569D"/>
    <w:rsid w:val="00C26049"/>
    <w:rsid w:val="00C261C5"/>
    <w:rsid w:val="00C262E7"/>
    <w:rsid w:val="00C262F8"/>
    <w:rsid w:val="00C26592"/>
    <w:rsid w:val="00C26F56"/>
    <w:rsid w:val="00C26F61"/>
    <w:rsid w:val="00C271B5"/>
    <w:rsid w:val="00C276D3"/>
    <w:rsid w:val="00C2781E"/>
    <w:rsid w:val="00C301F0"/>
    <w:rsid w:val="00C3049B"/>
    <w:rsid w:val="00C30659"/>
    <w:rsid w:val="00C30808"/>
    <w:rsid w:val="00C30833"/>
    <w:rsid w:val="00C30D03"/>
    <w:rsid w:val="00C318F5"/>
    <w:rsid w:val="00C31C78"/>
    <w:rsid w:val="00C323AD"/>
    <w:rsid w:val="00C33941"/>
    <w:rsid w:val="00C343BD"/>
    <w:rsid w:val="00C34C22"/>
    <w:rsid w:val="00C35143"/>
    <w:rsid w:val="00C3526F"/>
    <w:rsid w:val="00C3636F"/>
    <w:rsid w:val="00C36675"/>
    <w:rsid w:val="00C36F53"/>
    <w:rsid w:val="00C3768C"/>
    <w:rsid w:val="00C378E6"/>
    <w:rsid w:val="00C37C5B"/>
    <w:rsid w:val="00C401F5"/>
    <w:rsid w:val="00C4059B"/>
    <w:rsid w:val="00C405C8"/>
    <w:rsid w:val="00C40BBA"/>
    <w:rsid w:val="00C410BE"/>
    <w:rsid w:val="00C41644"/>
    <w:rsid w:val="00C41D67"/>
    <w:rsid w:val="00C41E95"/>
    <w:rsid w:val="00C421AF"/>
    <w:rsid w:val="00C43988"/>
    <w:rsid w:val="00C441CC"/>
    <w:rsid w:val="00C44EC3"/>
    <w:rsid w:val="00C45851"/>
    <w:rsid w:val="00C45EB5"/>
    <w:rsid w:val="00C46195"/>
    <w:rsid w:val="00C4675D"/>
    <w:rsid w:val="00C4694A"/>
    <w:rsid w:val="00C46DED"/>
    <w:rsid w:val="00C47416"/>
    <w:rsid w:val="00C47578"/>
    <w:rsid w:val="00C47810"/>
    <w:rsid w:val="00C479CF"/>
    <w:rsid w:val="00C50005"/>
    <w:rsid w:val="00C500DF"/>
    <w:rsid w:val="00C507D1"/>
    <w:rsid w:val="00C50963"/>
    <w:rsid w:val="00C50B32"/>
    <w:rsid w:val="00C50C6C"/>
    <w:rsid w:val="00C518FC"/>
    <w:rsid w:val="00C51E06"/>
    <w:rsid w:val="00C5203F"/>
    <w:rsid w:val="00C52A4B"/>
    <w:rsid w:val="00C53535"/>
    <w:rsid w:val="00C53A11"/>
    <w:rsid w:val="00C53BC5"/>
    <w:rsid w:val="00C54AD3"/>
    <w:rsid w:val="00C54C85"/>
    <w:rsid w:val="00C54E87"/>
    <w:rsid w:val="00C54EDC"/>
    <w:rsid w:val="00C5502F"/>
    <w:rsid w:val="00C55272"/>
    <w:rsid w:val="00C552C8"/>
    <w:rsid w:val="00C55816"/>
    <w:rsid w:val="00C560BB"/>
    <w:rsid w:val="00C56885"/>
    <w:rsid w:val="00C56ADE"/>
    <w:rsid w:val="00C5712E"/>
    <w:rsid w:val="00C57D11"/>
    <w:rsid w:val="00C57D6A"/>
    <w:rsid w:val="00C57DE5"/>
    <w:rsid w:val="00C57E57"/>
    <w:rsid w:val="00C6086F"/>
    <w:rsid w:val="00C609BA"/>
    <w:rsid w:val="00C60CE5"/>
    <w:rsid w:val="00C6123F"/>
    <w:rsid w:val="00C61551"/>
    <w:rsid w:val="00C62227"/>
    <w:rsid w:val="00C62774"/>
    <w:rsid w:val="00C632C1"/>
    <w:rsid w:val="00C63790"/>
    <w:rsid w:val="00C637EA"/>
    <w:rsid w:val="00C63E32"/>
    <w:rsid w:val="00C6419F"/>
    <w:rsid w:val="00C64E58"/>
    <w:rsid w:val="00C65145"/>
    <w:rsid w:val="00C66674"/>
    <w:rsid w:val="00C666CA"/>
    <w:rsid w:val="00C67264"/>
    <w:rsid w:val="00C6777E"/>
    <w:rsid w:val="00C70177"/>
    <w:rsid w:val="00C70B6C"/>
    <w:rsid w:val="00C716F8"/>
    <w:rsid w:val="00C71FE4"/>
    <w:rsid w:val="00C72773"/>
    <w:rsid w:val="00C727F1"/>
    <w:rsid w:val="00C72F0C"/>
    <w:rsid w:val="00C73FA4"/>
    <w:rsid w:val="00C7426D"/>
    <w:rsid w:val="00C74390"/>
    <w:rsid w:val="00C744D7"/>
    <w:rsid w:val="00C7485E"/>
    <w:rsid w:val="00C74DA5"/>
    <w:rsid w:val="00C7564D"/>
    <w:rsid w:val="00C75D42"/>
    <w:rsid w:val="00C762EA"/>
    <w:rsid w:val="00C77E58"/>
    <w:rsid w:val="00C77F82"/>
    <w:rsid w:val="00C77FF2"/>
    <w:rsid w:val="00C808D9"/>
    <w:rsid w:val="00C80B1F"/>
    <w:rsid w:val="00C80C24"/>
    <w:rsid w:val="00C80F68"/>
    <w:rsid w:val="00C8141A"/>
    <w:rsid w:val="00C814F6"/>
    <w:rsid w:val="00C81798"/>
    <w:rsid w:val="00C819D2"/>
    <w:rsid w:val="00C81DD3"/>
    <w:rsid w:val="00C82CDD"/>
    <w:rsid w:val="00C833D4"/>
    <w:rsid w:val="00C83471"/>
    <w:rsid w:val="00C8353F"/>
    <w:rsid w:val="00C83CB2"/>
    <w:rsid w:val="00C8414C"/>
    <w:rsid w:val="00C847BD"/>
    <w:rsid w:val="00C84D67"/>
    <w:rsid w:val="00C84FB8"/>
    <w:rsid w:val="00C85422"/>
    <w:rsid w:val="00C8568C"/>
    <w:rsid w:val="00C857CF"/>
    <w:rsid w:val="00C86CD9"/>
    <w:rsid w:val="00C8709E"/>
    <w:rsid w:val="00C871B9"/>
    <w:rsid w:val="00C872C2"/>
    <w:rsid w:val="00C87402"/>
    <w:rsid w:val="00C87A46"/>
    <w:rsid w:val="00C87F25"/>
    <w:rsid w:val="00C90879"/>
    <w:rsid w:val="00C90C68"/>
    <w:rsid w:val="00C91B3E"/>
    <w:rsid w:val="00C91D06"/>
    <w:rsid w:val="00C91E34"/>
    <w:rsid w:val="00C91FD6"/>
    <w:rsid w:val="00C926DA"/>
    <w:rsid w:val="00C932DF"/>
    <w:rsid w:val="00C93926"/>
    <w:rsid w:val="00C94BE8"/>
    <w:rsid w:val="00C94F2C"/>
    <w:rsid w:val="00C95A3A"/>
    <w:rsid w:val="00C95A79"/>
    <w:rsid w:val="00C96EA2"/>
    <w:rsid w:val="00C97062"/>
    <w:rsid w:val="00C979A6"/>
    <w:rsid w:val="00CA02E5"/>
    <w:rsid w:val="00CA1469"/>
    <w:rsid w:val="00CA16D4"/>
    <w:rsid w:val="00CA1D6F"/>
    <w:rsid w:val="00CA206E"/>
    <w:rsid w:val="00CA3668"/>
    <w:rsid w:val="00CA397D"/>
    <w:rsid w:val="00CA3A6A"/>
    <w:rsid w:val="00CA3AF3"/>
    <w:rsid w:val="00CA3D08"/>
    <w:rsid w:val="00CA4345"/>
    <w:rsid w:val="00CA496C"/>
    <w:rsid w:val="00CA4DAF"/>
    <w:rsid w:val="00CA4DD3"/>
    <w:rsid w:val="00CA5DF1"/>
    <w:rsid w:val="00CA763F"/>
    <w:rsid w:val="00CB0086"/>
    <w:rsid w:val="00CB0A39"/>
    <w:rsid w:val="00CB120B"/>
    <w:rsid w:val="00CB136A"/>
    <w:rsid w:val="00CB1588"/>
    <w:rsid w:val="00CB17D0"/>
    <w:rsid w:val="00CB1938"/>
    <w:rsid w:val="00CB1FAF"/>
    <w:rsid w:val="00CB209C"/>
    <w:rsid w:val="00CB2249"/>
    <w:rsid w:val="00CB2E4A"/>
    <w:rsid w:val="00CB3646"/>
    <w:rsid w:val="00CB3850"/>
    <w:rsid w:val="00CB4EAE"/>
    <w:rsid w:val="00CB5166"/>
    <w:rsid w:val="00CB56B6"/>
    <w:rsid w:val="00CB5B83"/>
    <w:rsid w:val="00CB5F5A"/>
    <w:rsid w:val="00CB61E8"/>
    <w:rsid w:val="00CB62CF"/>
    <w:rsid w:val="00CB6333"/>
    <w:rsid w:val="00CB6A6F"/>
    <w:rsid w:val="00CB6DAD"/>
    <w:rsid w:val="00CB6FA9"/>
    <w:rsid w:val="00CB77F7"/>
    <w:rsid w:val="00CC0C6C"/>
    <w:rsid w:val="00CC100C"/>
    <w:rsid w:val="00CC14BA"/>
    <w:rsid w:val="00CC19D3"/>
    <w:rsid w:val="00CC1B4A"/>
    <w:rsid w:val="00CC1CCB"/>
    <w:rsid w:val="00CC2A75"/>
    <w:rsid w:val="00CC2BC0"/>
    <w:rsid w:val="00CC2FA1"/>
    <w:rsid w:val="00CC32F6"/>
    <w:rsid w:val="00CC3D45"/>
    <w:rsid w:val="00CC4397"/>
    <w:rsid w:val="00CC4A89"/>
    <w:rsid w:val="00CC5474"/>
    <w:rsid w:val="00CC5E67"/>
    <w:rsid w:val="00CC62DA"/>
    <w:rsid w:val="00CC6A48"/>
    <w:rsid w:val="00CC7012"/>
    <w:rsid w:val="00CC734D"/>
    <w:rsid w:val="00CC7881"/>
    <w:rsid w:val="00CC7C20"/>
    <w:rsid w:val="00CC7D26"/>
    <w:rsid w:val="00CC7D84"/>
    <w:rsid w:val="00CC7DE8"/>
    <w:rsid w:val="00CC7EAA"/>
    <w:rsid w:val="00CD08D1"/>
    <w:rsid w:val="00CD0A4D"/>
    <w:rsid w:val="00CD0AD6"/>
    <w:rsid w:val="00CD0AE0"/>
    <w:rsid w:val="00CD0F99"/>
    <w:rsid w:val="00CD1245"/>
    <w:rsid w:val="00CD188D"/>
    <w:rsid w:val="00CD1F09"/>
    <w:rsid w:val="00CD1F15"/>
    <w:rsid w:val="00CD2123"/>
    <w:rsid w:val="00CD23BD"/>
    <w:rsid w:val="00CD2B1E"/>
    <w:rsid w:val="00CD2D06"/>
    <w:rsid w:val="00CD3A81"/>
    <w:rsid w:val="00CD3B68"/>
    <w:rsid w:val="00CD3BCB"/>
    <w:rsid w:val="00CD41DA"/>
    <w:rsid w:val="00CD4A3E"/>
    <w:rsid w:val="00CD4AB4"/>
    <w:rsid w:val="00CD5444"/>
    <w:rsid w:val="00CD574B"/>
    <w:rsid w:val="00CD5C53"/>
    <w:rsid w:val="00CD60B1"/>
    <w:rsid w:val="00CD6A8F"/>
    <w:rsid w:val="00CD6B40"/>
    <w:rsid w:val="00CD6C02"/>
    <w:rsid w:val="00CD6E9E"/>
    <w:rsid w:val="00CD708A"/>
    <w:rsid w:val="00CD74EB"/>
    <w:rsid w:val="00CD7F0B"/>
    <w:rsid w:val="00CE006B"/>
    <w:rsid w:val="00CE1035"/>
    <w:rsid w:val="00CE1A50"/>
    <w:rsid w:val="00CE2108"/>
    <w:rsid w:val="00CE2323"/>
    <w:rsid w:val="00CE2DA1"/>
    <w:rsid w:val="00CE3167"/>
    <w:rsid w:val="00CE3306"/>
    <w:rsid w:val="00CE3349"/>
    <w:rsid w:val="00CE36C8"/>
    <w:rsid w:val="00CE38E7"/>
    <w:rsid w:val="00CE3BEA"/>
    <w:rsid w:val="00CE41EF"/>
    <w:rsid w:val="00CE4B56"/>
    <w:rsid w:val="00CE53C8"/>
    <w:rsid w:val="00CE5D41"/>
    <w:rsid w:val="00CE5DB8"/>
    <w:rsid w:val="00CE5DBA"/>
    <w:rsid w:val="00CE7639"/>
    <w:rsid w:val="00CE7FCD"/>
    <w:rsid w:val="00CF004D"/>
    <w:rsid w:val="00CF00B4"/>
    <w:rsid w:val="00CF1043"/>
    <w:rsid w:val="00CF1203"/>
    <w:rsid w:val="00CF1289"/>
    <w:rsid w:val="00CF135C"/>
    <w:rsid w:val="00CF189E"/>
    <w:rsid w:val="00CF24B5"/>
    <w:rsid w:val="00CF259E"/>
    <w:rsid w:val="00CF27FA"/>
    <w:rsid w:val="00CF34E2"/>
    <w:rsid w:val="00CF3C5B"/>
    <w:rsid w:val="00CF4284"/>
    <w:rsid w:val="00CF44A2"/>
    <w:rsid w:val="00CF4ACD"/>
    <w:rsid w:val="00CF5BE0"/>
    <w:rsid w:val="00CF5D51"/>
    <w:rsid w:val="00CF6010"/>
    <w:rsid w:val="00CF64FC"/>
    <w:rsid w:val="00CF6693"/>
    <w:rsid w:val="00CF6D79"/>
    <w:rsid w:val="00D007B3"/>
    <w:rsid w:val="00D00B1E"/>
    <w:rsid w:val="00D00B74"/>
    <w:rsid w:val="00D00C8B"/>
    <w:rsid w:val="00D00F97"/>
    <w:rsid w:val="00D010C0"/>
    <w:rsid w:val="00D01925"/>
    <w:rsid w:val="00D024D7"/>
    <w:rsid w:val="00D02D6D"/>
    <w:rsid w:val="00D032AE"/>
    <w:rsid w:val="00D03452"/>
    <w:rsid w:val="00D039E3"/>
    <w:rsid w:val="00D03D8E"/>
    <w:rsid w:val="00D04592"/>
    <w:rsid w:val="00D06F54"/>
    <w:rsid w:val="00D06F71"/>
    <w:rsid w:val="00D07033"/>
    <w:rsid w:val="00D07129"/>
    <w:rsid w:val="00D072EC"/>
    <w:rsid w:val="00D075C4"/>
    <w:rsid w:val="00D10502"/>
    <w:rsid w:val="00D10EBD"/>
    <w:rsid w:val="00D116B2"/>
    <w:rsid w:val="00D11F76"/>
    <w:rsid w:val="00D1211C"/>
    <w:rsid w:val="00D12241"/>
    <w:rsid w:val="00D122A7"/>
    <w:rsid w:val="00D12401"/>
    <w:rsid w:val="00D12707"/>
    <w:rsid w:val="00D12799"/>
    <w:rsid w:val="00D12CDF"/>
    <w:rsid w:val="00D12E25"/>
    <w:rsid w:val="00D130C6"/>
    <w:rsid w:val="00D13215"/>
    <w:rsid w:val="00D13B47"/>
    <w:rsid w:val="00D13B9D"/>
    <w:rsid w:val="00D13CA9"/>
    <w:rsid w:val="00D13CB5"/>
    <w:rsid w:val="00D14310"/>
    <w:rsid w:val="00D1437B"/>
    <w:rsid w:val="00D14F9F"/>
    <w:rsid w:val="00D155E8"/>
    <w:rsid w:val="00D15C04"/>
    <w:rsid w:val="00D16BD0"/>
    <w:rsid w:val="00D17E1C"/>
    <w:rsid w:val="00D17F25"/>
    <w:rsid w:val="00D2025D"/>
    <w:rsid w:val="00D2065E"/>
    <w:rsid w:val="00D20893"/>
    <w:rsid w:val="00D2185C"/>
    <w:rsid w:val="00D22213"/>
    <w:rsid w:val="00D224C6"/>
    <w:rsid w:val="00D22553"/>
    <w:rsid w:val="00D22F8B"/>
    <w:rsid w:val="00D231B2"/>
    <w:rsid w:val="00D23693"/>
    <w:rsid w:val="00D24657"/>
    <w:rsid w:val="00D24ABE"/>
    <w:rsid w:val="00D25B72"/>
    <w:rsid w:val="00D26D98"/>
    <w:rsid w:val="00D272E3"/>
    <w:rsid w:val="00D27822"/>
    <w:rsid w:val="00D3010C"/>
    <w:rsid w:val="00D30267"/>
    <w:rsid w:val="00D30680"/>
    <w:rsid w:val="00D30853"/>
    <w:rsid w:val="00D31DCC"/>
    <w:rsid w:val="00D31F06"/>
    <w:rsid w:val="00D3290B"/>
    <w:rsid w:val="00D33344"/>
    <w:rsid w:val="00D33848"/>
    <w:rsid w:val="00D33DA4"/>
    <w:rsid w:val="00D33EB4"/>
    <w:rsid w:val="00D33ED7"/>
    <w:rsid w:val="00D34219"/>
    <w:rsid w:val="00D3454A"/>
    <w:rsid w:val="00D34727"/>
    <w:rsid w:val="00D34C64"/>
    <w:rsid w:val="00D354E6"/>
    <w:rsid w:val="00D36A60"/>
    <w:rsid w:val="00D36EF5"/>
    <w:rsid w:val="00D37A95"/>
    <w:rsid w:val="00D37AFA"/>
    <w:rsid w:val="00D37D9D"/>
    <w:rsid w:val="00D40554"/>
    <w:rsid w:val="00D40654"/>
    <w:rsid w:val="00D4074C"/>
    <w:rsid w:val="00D41756"/>
    <w:rsid w:val="00D41A95"/>
    <w:rsid w:val="00D41BE5"/>
    <w:rsid w:val="00D41C6A"/>
    <w:rsid w:val="00D4222F"/>
    <w:rsid w:val="00D42807"/>
    <w:rsid w:val="00D429CF"/>
    <w:rsid w:val="00D42C8D"/>
    <w:rsid w:val="00D42D0B"/>
    <w:rsid w:val="00D42D95"/>
    <w:rsid w:val="00D43026"/>
    <w:rsid w:val="00D434F7"/>
    <w:rsid w:val="00D435B9"/>
    <w:rsid w:val="00D43716"/>
    <w:rsid w:val="00D43CEC"/>
    <w:rsid w:val="00D44250"/>
    <w:rsid w:val="00D44A60"/>
    <w:rsid w:val="00D469D7"/>
    <w:rsid w:val="00D469F1"/>
    <w:rsid w:val="00D46A2C"/>
    <w:rsid w:val="00D46D7C"/>
    <w:rsid w:val="00D47809"/>
    <w:rsid w:val="00D47C78"/>
    <w:rsid w:val="00D50478"/>
    <w:rsid w:val="00D504F9"/>
    <w:rsid w:val="00D515BC"/>
    <w:rsid w:val="00D51A52"/>
    <w:rsid w:val="00D51DEB"/>
    <w:rsid w:val="00D534D5"/>
    <w:rsid w:val="00D53F96"/>
    <w:rsid w:val="00D5461E"/>
    <w:rsid w:val="00D54A2B"/>
    <w:rsid w:val="00D55016"/>
    <w:rsid w:val="00D55474"/>
    <w:rsid w:val="00D563A6"/>
    <w:rsid w:val="00D56AB1"/>
    <w:rsid w:val="00D571ED"/>
    <w:rsid w:val="00D57359"/>
    <w:rsid w:val="00D601E1"/>
    <w:rsid w:val="00D60543"/>
    <w:rsid w:val="00D6063B"/>
    <w:rsid w:val="00D60AF5"/>
    <w:rsid w:val="00D60DFF"/>
    <w:rsid w:val="00D61744"/>
    <w:rsid w:val="00D61820"/>
    <w:rsid w:val="00D62220"/>
    <w:rsid w:val="00D62369"/>
    <w:rsid w:val="00D62DF0"/>
    <w:rsid w:val="00D63833"/>
    <w:rsid w:val="00D63D66"/>
    <w:rsid w:val="00D63DCC"/>
    <w:rsid w:val="00D65CEB"/>
    <w:rsid w:val="00D65E06"/>
    <w:rsid w:val="00D66586"/>
    <w:rsid w:val="00D668DF"/>
    <w:rsid w:val="00D6694C"/>
    <w:rsid w:val="00D66FA0"/>
    <w:rsid w:val="00D67124"/>
    <w:rsid w:val="00D6738A"/>
    <w:rsid w:val="00D67642"/>
    <w:rsid w:val="00D6780B"/>
    <w:rsid w:val="00D67F25"/>
    <w:rsid w:val="00D67F98"/>
    <w:rsid w:val="00D70F63"/>
    <w:rsid w:val="00D71049"/>
    <w:rsid w:val="00D713F9"/>
    <w:rsid w:val="00D7223C"/>
    <w:rsid w:val="00D7224A"/>
    <w:rsid w:val="00D730B8"/>
    <w:rsid w:val="00D73B5A"/>
    <w:rsid w:val="00D73F77"/>
    <w:rsid w:val="00D7400C"/>
    <w:rsid w:val="00D75013"/>
    <w:rsid w:val="00D754A1"/>
    <w:rsid w:val="00D75D80"/>
    <w:rsid w:val="00D76129"/>
    <w:rsid w:val="00D76B86"/>
    <w:rsid w:val="00D7720A"/>
    <w:rsid w:val="00D777BB"/>
    <w:rsid w:val="00D778D9"/>
    <w:rsid w:val="00D80B6A"/>
    <w:rsid w:val="00D811D0"/>
    <w:rsid w:val="00D81C7E"/>
    <w:rsid w:val="00D82040"/>
    <w:rsid w:val="00D82940"/>
    <w:rsid w:val="00D82F81"/>
    <w:rsid w:val="00D82FBD"/>
    <w:rsid w:val="00D836C6"/>
    <w:rsid w:val="00D83ACD"/>
    <w:rsid w:val="00D84E9C"/>
    <w:rsid w:val="00D850A2"/>
    <w:rsid w:val="00D86875"/>
    <w:rsid w:val="00D870C1"/>
    <w:rsid w:val="00D876EF"/>
    <w:rsid w:val="00D87B2E"/>
    <w:rsid w:val="00D87DB4"/>
    <w:rsid w:val="00D87DCF"/>
    <w:rsid w:val="00D903B7"/>
    <w:rsid w:val="00D907CF"/>
    <w:rsid w:val="00D907DC"/>
    <w:rsid w:val="00D90966"/>
    <w:rsid w:val="00D90AF8"/>
    <w:rsid w:val="00D91374"/>
    <w:rsid w:val="00D919EB"/>
    <w:rsid w:val="00D92253"/>
    <w:rsid w:val="00D9239E"/>
    <w:rsid w:val="00D92A1D"/>
    <w:rsid w:val="00D938AF"/>
    <w:rsid w:val="00D93E08"/>
    <w:rsid w:val="00D93EF0"/>
    <w:rsid w:val="00D94370"/>
    <w:rsid w:val="00D944AD"/>
    <w:rsid w:val="00D9481A"/>
    <w:rsid w:val="00D95582"/>
    <w:rsid w:val="00D95834"/>
    <w:rsid w:val="00D967AD"/>
    <w:rsid w:val="00D969B1"/>
    <w:rsid w:val="00D971E9"/>
    <w:rsid w:val="00D97E7E"/>
    <w:rsid w:val="00DA0EFC"/>
    <w:rsid w:val="00DA1183"/>
    <w:rsid w:val="00DA15CC"/>
    <w:rsid w:val="00DA1E47"/>
    <w:rsid w:val="00DA23E9"/>
    <w:rsid w:val="00DA2FCA"/>
    <w:rsid w:val="00DA3125"/>
    <w:rsid w:val="00DA3296"/>
    <w:rsid w:val="00DA3BA1"/>
    <w:rsid w:val="00DA4452"/>
    <w:rsid w:val="00DA454E"/>
    <w:rsid w:val="00DA4CC8"/>
    <w:rsid w:val="00DA5949"/>
    <w:rsid w:val="00DA6533"/>
    <w:rsid w:val="00DA6BD2"/>
    <w:rsid w:val="00DA6E0E"/>
    <w:rsid w:val="00DA72A4"/>
    <w:rsid w:val="00DA768A"/>
    <w:rsid w:val="00DA7F3A"/>
    <w:rsid w:val="00DB1128"/>
    <w:rsid w:val="00DB11D1"/>
    <w:rsid w:val="00DB1C75"/>
    <w:rsid w:val="00DB1E03"/>
    <w:rsid w:val="00DB2052"/>
    <w:rsid w:val="00DB21C7"/>
    <w:rsid w:val="00DB22AF"/>
    <w:rsid w:val="00DB2854"/>
    <w:rsid w:val="00DB28EE"/>
    <w:rsid w:val="00DB473E"/>
    <w:rsid w:val="00DB47D0"/>
    <w:rsid w:val="00DB526A"/>
    <w:rsid w:val="00DB5468"/>
    <w:rsid w:val="00DB5C65"/>
    <w:rsid w:val="00DB5E6B"/>
    <w:rsid w:val="00DB605E"/>
    <w:rsid w:val="00DB62AC"/>
    <w:rsid w:val="00DB6340"/>
    <w:rsid w:val="00DB66E8"/>
    <w:rsid w:val="00DB67C9"/>
    <w:rsid w:val="00DB6831"/>
    <w:rsid w:val="00DB6AC2"/>
    <w:rsid w:val="00DB762F"/>
    <w:rsid w:val="00DB7A18"/>
    <w:rsid w:val="00DC016E"/>
    <w:rsid w:val="00DC0DA4"/>
    <w:rsid w:val="00DC1372"/>
    <w:rsid w:val="00DC1848"/>
    <w:rsid w:val="00DC20A8"/>
    <w:rsid w:val="00DC260B"/>
    <w:rsid w:val="00DC3350"/>
    <w:rsid w:val="00DC393F"/>
    <w:rsid w:val="00DC479F"/>
    <w:rsid w:val="00DC47BE"/>
    <w:rsid w:val="00DC4AB4"/>
    <w:rsid w:val="00DC4E1A"/>
    <w:rsid w:val="00DC4F24"/>
    <w:rsid w:val="00DC5A83"/>
    <w:rsid w:val="00DC5F04"/>
    <w:rsid w:val="00DC6351"/>
    <w:rsid w:val="00DC69FA"/>
    <w:rsid w:val="00DC6E1E"/>
    <w:rsid w:val="00DC6EB8"/>
    <w:rsid w:val="00DD00F7"/>
    <w:rsid w:val="00DD0484"/>
    <w:rsid w:val="00DD0545"/>
    <w:rsid w:val="00DD103B"/>
    <w:rsid w:val="00DD1F45"/>
    <w:rsid w:val="00DD1F93"/>
    <w:rsid w:val="00DD2262"/>
    <w:rsid w:val="00DD2A9A"/>
    <w:rsid w:val="00DD2F2C"/>
    <w:rsid w:val="00DD3399"/>
    <w:rsid w:val="00DD3AAE"/>
    <w:rsid w:val="00DD3C63"/>
    <w:rsid w:val="00DD514E"/>
    <w:rsid w:val="00DD5685"/>
    <w:rsid w:val="00DD56A9"/>
    <w:rsid w:val="00DD5F6B"/>
    <w:rsid w:val="00DD6425"/>
    <w:rsid w:val="00DD6F4B"/>
    <w:rsid w:val="00DD737F"/>
    <w:rsid w:val="00DD7612"/>
    <w:rsid w:val="00DD7CDF"/>
    <w:rsid w:val="00DE15DA"/>
    <w:rsid w:val="00DE19A4"/>
    <w:rsid w:val="00DE1A6B"/>
    <w:rsid w:val="00DE2442"/>
    <w:rsid w:val="00DE285F"/>
    <w:rsid w:val="00DE380A"/>
    <w:rsid w:val="00DE508E"/>
    <w:rsid w:val="00DE50A3"/>
    <w:rsid w:val="00DE60D5"/>
    <w:rsid w:val="00DE6747"/>
    <w:rsid w:val="00DE6955"/>
    <w:rsid w:val="00DE6BC9"/>
    <w:rsid w:val="00DE6E7A"/>
    <w:rsid w:val="00DF0213"/>
    <w:rsid w:val="00DF188F"/>
    <w:rsid w:val="00DF22D9"/>
    <w:rsid w:val="00DF2700"/>
    <w:rsid w:val="00DF290A"/>
    <w:rsid w:val="00DF2BDF"/>
    <w:rsid w:val="00DF2F34"/>
    <w:rsid w:val="00DF3235"/>
    <w:rsid w:val="00DF32B1"/>
    <w:rsid w:val="00DF3987"/>
    <w:rsid w:val="00DF3BED"/>
    <w:rsid w:val="00DF3FCE"/>
    <w:rsid w:val="00DF40E5"/>
    <w:rsid w:val="00DF44DD"/>
    <w:rsid w:val="00DF4AE2"/>
    <w:rsid w:val="00DF5A70"/>
    <w:rsid w:val="00DF5E5B"/>
    <w:rsid w:val="00DF6542"/>
    <w:rsid w:val="00DF688F"/>
    <w:rsid w:val="00DF692E"/>
    <w:rsid w:val="00DF7B5E"/>
    <w:rsid w:val="00DF7BFE"/>
    <w:rsid w:val="00E00001"/>
    <w:rsid w:val="00E00B1B"/>
    <w:rsid w:val="00E00BC4"/>
    <w:rsid w:val="00E0173B"/>
    <w:rsid w:val="00E0198C"/>
    <w:rsid w:val="00E02870"/>
    <w:rsid w:val="00E032E3"/>
    <w:rsid w:val="00E03DDC"/>
    <w:rsid w:val="00E0402F"/>
    <w:rsid w:val="00E04160"/>
    <w:rsid w:val="00E04B80"/>
    <w:rsid w:val="00E04D61"/>
    <w:rsid w:val="00E05D44"/>
    <w:rsid w:val="00E061F7"/>
    <w:rsid w:val="00E06A71"/>
    <w:rsid w:val="00E06AA0"/>
    <w:rsid w:val="00E074E7"/>
    <w:rsid w:val="00E10027"/>
    <w:rsid w:val="00E10272"/>
    <w:rsid w:val="00E10D0E"/>
    <w:rsid w:val="00E10DA6"/>
    <w:rsid w:val="00E1143E"/>
    <w:rsid w:val="00E11661"/>
    <w:rsid w:val="00E11C96"/>
    <w:rsid w:val="00E11DA7"/>
    <w:rsid w:val="00E12109"/>
    <w:rsid w:val="00E1321C"/>
    <w:rsid w:val="00E134E1"/>
    <w:rsid w:val="00E1353A"/>
    <w:rsid w:val="00E136E1"/>
    <w:rsid w:val="00E13AD4"/>
    <w:rsid w:val="00E13CDA"/>
    <w:rsid w:val="00E13FA9"/>
    <w:rsid w:val="00E14181"/>
    <w:rsid w:val="00E145B3"/>
    <w:rsid w:val="00E15310"/>
    <w:rsid w:val="00E15AEA"/>
    <w:rsid w:val="00E16E65"/>
    <w:rsid w:val="00E170F3"/>
    <w:rsid w:val="00E1792A"/>
    <w:rsid w:val="00E17D8D"/>
    <w:rsid w:val="00E20078"/>
    <w:rsid w:val="00E200B2"/>
    <w:rsid w:val="00E201D1"/>
    <w:rsid w:val="00E205EB"/>
    <w:rsid w:val="00E207DF"/>
    <w:rsid w:val="00E20C4B"/>
    <w:rsid w:val="00E2140F"/>
    <w:rsid w:val="00E2232A"/>
    <w:rsid w:val="00E2283E"/>
    <w:rsid w:val="00E22B6E"/>
    <w:rsid w:val="00E22BA3"/>
    <w:rsid w:val="00E23D31"/>
    <w:rsid w:val="00E23F46"/>
    <w:rsid w:val="00E24B9B"/>
    <w:rsid w:val="00E2501E"/>
    <w:rsid w:val="00E25785"/>
    <w:rsid w:val="00E259AD"/>
    <w:rsid w:val="00E25C69"/>
    <w:rsid w:val="00E262E2"/>
    <w:rsid w:val="00E2744F"/>
    <w:rsid w:val="00E30622"/>
    <w:rsid w:val="00E30AB1"/>
    <w:rsid w:val="00E31262"/>
    <w:rsid w:val="00E33AE6"/>
    <w:rsid w:val="00E34393"/>
    <w:rsid w:val="00E345D1"/>
    <w:rsid w:val="00E34756"/>
    <w:rsid w:val="00E35F26"/>
    <w:rsid w:val="00E35FA4"/>
    <w:rsid w:val="00E36930"/>
    <w:rsid w:val="00E372FF"/>
    <w:rsid w:val="00E377C9"/>
    <w:rsid w:val="00E37F4C"/>
    <w:rsid w:val="00E4030D"/>
    <w:rsid w:val="00E40943"/>
    <w:rsid w:val="00E40D8B"/>
    <w:rsid w:val="00E41165"/>
    <w:rsid w:val="00E41D01"/>
    <w:rsid w:val="00E41D35"/>
    <w:rsid w:val="00E42124"/>
    <w:rsid w:val="00E4279E"/>
    <w:rsid w:val="00E431A8"/>
    <w:rsid w:val="00E4336C"/>
    <w:rsid w:val="00E4339B"/>
    <w:rsid w:val="00E43855"/>
    <w:rsid w:val="00E441DD"/>
    <w:rsid w:val="00E4499B"/>
    <w:rsid w:val="00E44D50"/>
    <w:rsid w:val="00E45193"/>
    <w:rsid w:val="00E4521E"/>
    <w:rsid w:val="00E45281"/>
    <w:rsid w:val="00E453A6"/>
    <w:rsid w:val="00E45B30"/>
    <w:rsid w:val="00E45EB1"/>
    <w:rsid w:val="00E45F7A"/>
    <w:rsid w:val="00E46246"/>
    <w:rsid w:val="00E467F2"/>
    <w:rsid w:val="00E46BEC"/>
    <w:rsid w:val="00E46C1E"/>
    <w:rsid w:val="00E47797"/>
    <w:rsid w:val="00E47BA2"/>
    <w:rsid w:val="00E502EC"/>
    <w:rsid w:val="00E502F3"/>
    <w:rsid w:val="00E51348"/>
    <w:rsid w:val="00E517F0"/>
    <w:rsid w:val="00E51928"/>
    <w:rsid w:val="00E51B29"/>
    <w:rsid w:val="00E5200A"/>
    <w:rsid w:val="00E521CA"/>
    <w:rsid w:val="00E5243B"/>
    <w:rsid w:val="00E53061"/>
    <w:rsid w:val="00E532C4"/>
    <w:rsid w:val="00E541EB"/>
    <w:rsid w:val="00E543E1"/>
    <w:rsid w:val="00E546B5"/>
    <w:rsid w:val="00E54A3A"/>
    <w:rsid w:val="00E54BDB"/>
    <w:rsid w:val="00E555CF"/>
    <w:rsid w:val="00E56AD9"/>
    <w:rsid w:val="00E56FA6"/>
    <w:rsid w:val="00E572DB"/>
    <w:rsid w:val="00E57F7B"/>
    <w:rsid w:val="00E60000"/>
    <w:rsid w:val="00E607F5"/>
    <w:rsid w:val="00E61254"/>
    <w:rsid w:val="00E616E9"/>
    <w:rsid w:val="00E62A3D"/>
    <w:rsid w:val="00E62B76"/>
    <w:rsid w:val="00E631DE"/>
    <w:rsid w:val="00E63762"/>
    <w:rsid w:val="00E63D5E"/>
    <w:rsid w:val="00E6416F"/>
    <w:rsid w:val="00E647AB"/>
    <w:rsid w:val="00E64AC8"/>
    <w:rsid w:val="00E64AFD"/>
    <w:rsid w:val="00E64D3F"/>
    <w:rsid w:val="00E64EAD"/>
    <w:rsid w:val="00E652FC"/>
    <w:rsid w:val="00E657C5"/>
    <w:rsid w:val="00E65D69"/>
    <w:rsid w:val="00E661EE"/>
    <w:rsid w:val="00E66FDE"/>
    <w:rsid w:val="00E67100"/>
    <w:rsid w:val="00E6789A"/>
    <w:rsid w:val="00E67ABA"/>
    <w:rsid w:val="00E70B86"/>
    <w:rsid w:val="00E7104F"/>
    <w:rsid w:val="00E71124"/>
    <w:rsid w:val="00E71217"/>
    <w:rsid w:val="00E715C4"/>
    <w:rsid w:val="00E71885"/>
    <w:rsid w:val="00E72918"/>
    <w:rsid w:val="00E72DAD"/>
    <w:rsid w:val="00E73B09"/>
    <w:rsid w:val="00E73B22"/>
    <w:rsid w:val="00E73E31"/>
    <w:rsid w:val="00E741C9"/>
    <w:rsid w:val="00E742F5"/>
    <w:rsid w:val="00E74548"/>
    <w:rsid w:val="00E74830"/>
    <w:rsid w:val="00E74E9A"/>
    <w:rsid w:val="00E74F78"/>
    <w:rsid w:val="00E75607"/>
    <w:rsid w:val="00E758B7"/>
    <w:rsid w:val="00E75A4B"/>
    <w:rsid w:val="00E761B8"/>
    <w:rsid w:val="00E7645B"/>
    <w:rsid w:val="00E76F1C"/>
    <w:rsid w:val="00E77048"/>
    <w:rsid w:val="00E77BC0"/>
    <w:rsid w:val="00E819D4"/>
    <w:rsid w:val="00E81A81"/>
    <w:rsid w:val="00E81FE8"/>
    <w:rsid w:val="00E82254"/>
    <w:rsid w:val="00E828BB"/>
    <w:rsid w:val="00E82D0E"/>
    <w:rsid w:val="00E838F7"/>
    <w:rsid w:val="00E839D8"/>
    <w:rsid w:val="00E83A92"/>
    <w:rsid w:val="00E83FA7"/>
    <w:rsid w:val="00E84064"/>
    <w:rsid w:val="00E84A99"/>
    <w:rsid w:val="00E84E62"/>
    <w:rsid w:val="00E852D4"/>
    <w:rsid w:val="00E86140"/>
    <w:rsid w:val="00E865BB"/>
    <w:rsid w:val="00E86DB0"/>
    <w:rsid w:val="00E86EB3"/>
    <w:rsid w:val="00E87E82"/>
    <w:rsid w:val="00E87EC7"/>
    <w:rsid w:val="00E9061F"/>
    <w:rsid w:val="00E90654"/>
    <w:rsid w:val="00E91140"/>
    <w:rsid w:val="00E91143"/>
    <w:rsid w:val="00E9120B"/>
    <w:rsid w:val="00E9131D"/>
    <w:rsid w:val="00E9157B"/>
    <w:rsid w:val="00E92DEA"/>
    <w:rsid w:val="00E92EC7"/>
    <w:rsid w:val="00E9300D"/>
    <w:rsid w:val="00E94226"/>
    <w:rsid w:val="00E947C9"/>
    <w:rsid w:val="00E951F9"/>
    <w:rsid w:val="00E95654"/>
    <w:rsid w:val="00E968C4"/>
    <w:rsid w:val="00E96C79"/>
    <w:rsid w:val="00EA0314"/>
    <w:rsid w:val="00EA0C76"/>
    <w:rsid w:val="00EA114B"/>
    <w:rsid w:val="00EA15E9"/>
    <w:rsid w:val="00EA2344"/>
    <w:rsid w:val="00EA2449"/>
    <w:rsid w:val="00EA25EC"/>
    <w:rsid w:val="00EA3EEF"/>
    <w:rsid w:val="00EA40E8"/>
    <w:rsid w:val="00EA4618"/>
    <w:rsid w:val="00EA47F5"/>
    <w:rsid w:val="00EA51F9"/>
    <w:rsid w:val="00EA5983"/>
    <w:rsid w:val="00EA6066"/>
    <w:rsid w:val="00EA6326"/>
    <w:rsid w:val="00EA7422"/>
    <w:rsid w:val="00EA7E8C"/>
    <w:rsid w:val="00EA7F73"/>
    <w:rsid w:val="00EB03C8"/>
    <w:rsid w:val="00EB11CE"/>
    <w:rsid w:val="00EB13A4"/>
    <w:rsid w:val="00EB1A24"/>
    <w:rsid w:val="00EB1A2F"/>
    <w:rsid w:val="00EB1AAA"/>
    <w:rsid w:val="00EB22B5"/>
    <w:rsid w:val="00EB26FE"/>
    <w:rsid w:val="00EB2F9E"/>
    <w:rsid w:val="00EB36EB"/>
    <w:rsid w:val="00EB3A57"/>
    <w:rsid w:val="00EB4176"/>
    <w:rsid w:val="00EB4181"/>
    <w:rsid w:val="00EB481D"/>
    <w:rsid w:val="00EB4C4A"/>
    <w:rsid w:val="00EB5763"/>
    <w:rsid w:val="00EB5BE1"/>
    <w:rsid w:val="00EB6542"/>
    <w:rsid w:val="00EB67D3"/>
    <w:rsid w:val="00EB71CF"/>
    <w:rsid w:val="00EB7DE5"/>
    <w:rsid w:val="00EC0F09"/>
    <w:rsid w:val="00EC27EE"/>
    <w:rsid w:val="00EC2AA5"/>
    <w:rsid w:val="00EC2B5D"/>
    <w:rsid w:val="00EC31F0"/>
    <w:rsid w:val="00EC34BA"/>
    <w:rsid w:val="00EC34DB"/>
    <w:rsid w:val="00EC3787"/>
    <w:rsid w:val="00EC37F7"/>
    <w:rsid w:val="00EC3B91"/>
    <w:rsid w:val="00EC451A"/>
    <w:rsid w:val="00EC64A3"/>
    <w:rsid w:val="00EC667B"/>
    <w:rsid w:val="00EC676B"/>
    <w:rsid w:val="00EC6A9D"/>
    <w:rsid w:val="00EC7002"/>
    <w:rsid w:val="00ED02F3"/>
    <w:rsid w:val="00ED1ADA"/>
    <w:rsid w:val="00ED27D9"/>
    <w:rsid w:val="00ED2A7D"/>
    <w:rsid w:val="00ED2C05"/>
    <w:rsid w:val="00ED329F"/>
    <w:rsid w:val="00ED3FDF"/>
    <w:rsid w:val="00ED4A4F"/>
    <w:rsid w:val="00ED601C"/>
    <w:rsid w:val="00ED6A4E"/>
    <w:rsid w:val="00ED6CA7"/>
    <w:rsid w:val="00ED74C6"/>
    <w:rsid w:val="00ED765A"/>
    <w:rsid w:val="00ED783B"/>
    <w:rsid w:val="00ED7C0A"/>
    <w:rsid w:val="00EE01F7"/>
    <w:rsid w:val="00EE070A"/>
    <w:rsid w:val="00EE0730"/>
    <w:rsid w:val="00EE1002"/>
    <w:rsid w:val="00EE102F"/>
    <w:rsid w:val="00EE13B9"/>
    <w:rsid w:val="00EE2BAC"/>
    <w:rsid w:val="00EE2FE3"/>
    <w:rsid w:val="00EE333A"/>
    <w:rsid w:val="00EE34E2"/>
    <w:rsid w:val="00EE430B"/>
    <w:rsid w:val="00EE4973"/>
    <w:rsid w:val="00EE5F37"/>
    <w:rsid w:val="00EE5F47"/>
    <w:rsid w:val="00EE6933"/>
    <w:rsid w:val="00EE73C8"/>
    <w:rsid w:val="00EE7C1C"/>
    <w:rsid w:val="00EF17BC"/>
    <w:rsid w:val="00EF181F"/>
    <w:rsid w:val="00EF19D1"/>
    <w:rsid w:val="00EF1B1A"/>
    <w:rsid w:val="00EF1C2A"/>
    <w:rsid w:val="00EF1E81"/>
    <w:rsid w:val="00EF2732"/>
    <w:rsid w:val="00EF406A"/>
    <w:rsid w:val="00EF413B"/>
    <w:rsid w:val="00EF5050"/>
    <w:rsid w:val="00EF5680"/>
    <w:rsid w:val="00EF6560"/>
    <w:rsid w:val="00EF713D"/>
    <w:rsid w:val="00F00765"/>
    <w:rsid w:val="00F00F33"/>
    <w:rsid w:val="00F0103E"/>
    <w:rsid w:val="00F01484"/>
    <w:rsid w:val="00F01607"/>
    <w:rsid w:val="00F01A44"/>
    <w:rsid w:val="00F01D80"/>
    <w:rsid w:val="00F02203"/>
    <w:rsid w:val="00F024A3"/>
    <w:rsid w:val="00F02A30"/>
    <w:rsid w:val="00F03475"/>
    <w:rsid w:val="00F04DB6"/>
    <w:rsid w:val="00F04E22"/>
    <w:rsid w:val="00F04FAF"/>
    <w:rsid w:val="00F04FE7"/>
    <w:rsid w:val="00F050E9"/>
    <w:rsid w:val="00F05262"/>
    <w:rsid w:val="00F053DF"/>
    <w:rsid w:val="00F05662"/>
    <w:rsid w:val="00F0601B"/>
    <w:rsid w:val="00F070CE"/>
    <w:rsid w:val="00F07CC5"/>
    <w:rsid w:val="00F07D47"/>
    <w:rsid w:val="00F103A2"/>
    <w:rsid w:val="00F116EA"/>
    <w:rsid w:val="00F11882"/>
    <w:rsid w:val="00F11B08"/>
    <w:rsid w:val="00F11F92"/>
    <w:rsid w:val="00F12053"/>
    <w:rsid w:val="00F120B1"/>
    <w:rsid w:val="00F13546"/>
    <w:rsid w:val="00F13BF3"/>
    <w:rsid w:val="00F13F05"/>
    <w:rsid w:val="00F14187"/>
    <w:rsid w:val="00F142BC"/>
    <w:rsid w:val="00F14397"/>
    <w:rsid w:val="00F143CD"/>
    <w:rsid w:val="00F147E3"/>
    <w:rsid w:val="00F1484A"/>
    <w:rsid w:val="00F14DE2"/>
    <w:rsid w:val="00F1561B"/>
    <w:rsid w:val="00F15977"/>
    <w:rsid w:val="00F16533"/>
    <w:rsid w:val="00F17242"/>
    <w:rsid w:val="00F17778"/>
    <w:rsid w:val="00F201EF"/>
    <w:rsid w:val="00F20207"/>
    <w:rsid w:val="00F20DFC"/>
    <w:rsid w:val="00F21D77"/>
    <w:rsid w:val="00F21EBE"/>
    <w:rsid w:val="00F21FF3"/>
    <w:rsid w:val="00F22960"/>
    <w:rsid w:val="00F23311"/>
    <w:rsid w:val="00F234F2"/>
    <w:rsid w:val="00F23BF4"/>
    <w:rsid w:val="00F23C9A"/>
    <w:rsid w:val="00F23CF4"/>
    <w:rsid w:val="00F24414"/>
    <w:rsid w:val="00F2506F"/>
    <w:rsid w:val="00F25491"/>
    <w:rsid w:val="00F25597"/>
    <w:rsid w:val="00F25A49"/>
    <w:rsid w:val="00F25A95"/>
    <w:rsid w:val="00F25FCC"/>
    <w:rsid w:val="00F26F69"/>
    <w:rsid w:val="00F27EED"/>
    <w:rsid w:val="00F30009"/>
    <w:rsid w:val="00F305F5"/>
    <w:rsid w:val="00F318EA"/>
    <w:rsid w:val="00F31A77"/>
    <w:rsid w:val="00F31BF1"/>
    <w:rsid w:val="00F31EF2"/>
    <w:rsid w:val="00F32788"/>
    <w:rsid w:val="00F32909"/>
    <w:rsid w:val="00F32DCA"/>
    <w:rsid w:val="00F3307E"/>
    <w:rsid w:val="00F335D8"/>
    <w:rsid w:val="00F3363D"/>
    <w:rsid w:val="00F338BF"/>
    <w:rsid w:val="00F34043"/>
    <w:rsid w:val="00F34563"/>
    <w:rsid w:val="00F34C93"/>
    <w:rsid w:val="00F350CC"/>
    <w:rsid w:val="00F354E2"/>
    <w:rsid w:val="00F35A35"/>
    <w:rsid w:val="00F36A16"/>
    <w:rsid w:val="00F370BC"/>
    <w:rsid w:val="00F37696"/>
    <w:rsid w:val="00F40178"/>
    <w:rsid w:val="00F40E4D"/>
    <w:rsid w:val="00F428F1"/>
    <w:rsid w:val="00F430EB"/>
    <w:rsid w:val="00F44078"/>
    <w:rsid w:val="00F446E0"/>
    <w:rsid w:val="00F44702"/>
    <w:rsid w:val="00F44767"/>
    <w:rsid w:val="00F44978"/>
    <w:rsid w:val="00F44A9D"/>
    <w:rsid w:val="00F458CD"/>
    <w:rsid w:val="00F458F7"/>
    <w:rsid w:val="00F45DF8"/>
    <w:rsid w:val="00F45E5F"/>
    <w:rsid w:val="00F46313"/>
    <w:rsid w:val="00F465F7"/>
    <w:rsid w:val="00F4665E"/>
    <w:rsid w:val="00F468B6"/>
    <w:rsid w:val="00F46ED7"/>
    <w:rsid w:val="00F46EED"/>
    <w:rsid w:val="00F47C20"/>
    <w:rsid w:val="00F5056F"/>
    <w:rsid w:val="00F509EB"/>
    <w:rsid w:val="00F50F80"/>
    <w:rsid w:val="00F51059"/>
    <w:rsid w:val="00F511B4"/>
    <w:rsid w:val="00F51A60"/>
    <w:rsid w:val="00F5224B"/>
    <w:rsid w:val="00F52731"/>
    <w:rsid w:val="00F5311F"/>
    <w:rsid w:val="00F5313A"/>
    <w:rsid w:val="00F531B0"/>
    <w:rsid w:val="00F53A41"/>
    <w:rsid w:val="00F54203"/>
    <w:rsid w:val="00F5462F"/>
    <w:rsid w:val="00F5472A"/>
    <w:rsid w:val="00F54936"/>
    <w:rsid w:val="00F55409"/>
    <w:rsid w:val="00F554D3"/>
    <w:rsid w:val="00F56092"/>
    <w:rsid w:val="00F56700"/>
    <w:rsid w:val="00F56C40"/>
    <w:rsid w:val="00F56D71"/>
    <w:rsid w:val="00F56E52"/>
    <w:rsid w:val="00F576C5"/>
    <w:rsid w:val="00F57986"/>
    <w:rsid w:val="00F57AE1"/>
    <w:rsid w:val="00F603C6"/>
    <w:rsid w:val="00F60ADB"/>
    <w:rsid w:val="00F60C45"/>
    <w:rsid w:val="00F611F5"/>
    <w:rsid w:val="00F6128C"/>
    <w:rsid w:val="00F61399"/>
    <w:rsid w:val="00F61879"/>
    <w:rsid w:val="00F61988"/>
    <w:rsid w:val="00F61F35"/>
    <w:rsid w:val="00F62572"/>
    <w:rsid w:val="00F62864"/>
    <w:rsid w:val="00F62BD1"/>
    <w:rsid w:val="00F62DE8"/>
    <w:rsid w:val="00F630F2"/>
    <w:rsid w:val="00F64181"/>
    <w:rsid w:val="00F6468D"/>
    <w:rsid w:val="00F65798"/>
    <w:rsid w:val="00F65F03"/>
    <w:rsid w:val="00F66C26"/>
    <w:rsid w:val="00F674A1"/>
    <w:rsid w:val="00F67E12"/>
    <w:rsid w:val="00F67ECD"/>
    <w:rsid w:val="00F67EE3"/>
    <w:rsid w:val="00F70172"/>
    <w:rsid w:val="00F704B1"/>
    <w:rsid w:val="00F70DDC"/>
    <w:rsid w:val="00F712AA"/>
    <w:rsid w:val="00F713FB"/>
    <w:rsid w:val="00F71A7D"/>
    <w:rsid w:val="00F722BE"/>
    <w:rsid w:val="00F73268"/>
    <w:rsid w:val="00F73609"/>
    <w:rsid w:val="00F74386"/>
    <w:rsid w:val="00F74B0D"/>
    <w:rsid w:val="00F74E93"/>
    <w:rsid w:val="00F75ADF"/>
    <w:rsid w:val="00F76DCE"/>
    <w:rsid w:val="00F76E47"/>
    <w:rsid w:val="00F7704F"/>
    <w:rsid w:val="00F77125"/>
    <w:rsid w:val="00F81A09"/>
    <w:rsid w:val="00F81E27"/>
    <w:rsid w:val="00F82099"/>
    <w:rsid w:val="00F82383"/>
    <w:rsid w:val="00F8284D"/>
    <w:rsid w:val="00F82D4C"/>
    <w:rsid w:val="00F82D72"/>
    <w:rsid w:val="00F834FC"/>
    <w:rsid w:val="00F83C01"/>
    <w:rsid w:val="00F83F36"/>
    <w:rsid w:val="00F84018"/>
    <w:rsid w:val="00F84121"/>
    <w:rsid w:val="00F843AB"/>
    <w:rsid w:val="00F8510F"/>
    <w:rsid w:val="00F85438"/>
    <w:rsid w:val="00F85589"/>
    <w:rsid w:val="00F857D5"/>
    <w:rsid w:val="00F8607C"/>
    <w:rsid w:val="00F86224"/>
    <w:rsid w:val="00F86680"/>
    <w:rsid w:val="00F86BFD"/>
    <w:rsid w:val="00F902E2"/>
    <w:rsid w:val="00F90B27"/>
    <w:rsid w:val="00F90EE8"/>
    <w:rsid w:val="00F910BD"/>
    <w:rsid w:val="00F93518"/>
    <w:rsid w:val="00F93575"/>
    <w:rsid w:val="00F93DC1"/>
    <w:rsid w:val="00F94C76"/>
    <w:rsid w:val="00F95D96"/>
    <w:rsid w:val="00F96B61"/>
    <w:rsid w:val="00F97795"/>
    <w:rsid w:val="00FA0C0E"/>
    <w:rsid w:val="00FA135B"/>
    <w:rsid w:val="00FA344C"/>
    <w:rsid w:val="00FA3B09"/>
    <w:rsid w:val="00FA4380"/>
    <w:rsid w:val="00FA457B"/>
    <w:rsid w:val="00FA4811"/>
    <w:rsid w:val="00FA52D8"/>
    <w:rsid w:val="00FA5869"/>
    <w:rsid w:val="00FA5A8B"/>
    <w:rsid w:val="00FA64AA"/>
    <w:rsid w:val="00FA6604"/>
    <w:rsid w:val="00FA6EEC"/>
    <w:rsid w:val="00FA7242"/>
    <w:rsid w:val="00FA7529"/>
    <w:rsid w:val="00FB01EC"/>
    <w:rsid w:val="00FB0E18"/>
    <w:rsid w:val="00FB1086"/>
    <w:rsid w:val="00FB1A97"/>
    <w:rsid w:val="00FB1D5F"/>
    <w:rsid w:val="00FB1FA1"/>
    <w:rsid w:val="00FB2559"/>
    <w:rsid w:val="00FB2754"/>
    <w:rsid w:val="00FB29F6"/>
    <w:rsid w:val="00FB3156"/>
    <w:rsid w:val="00FB393A"/>
    <w:rsid w:val="00FB411E"/>
    <w:rsid w:val="00FB48A9"/>
    <w:rsid w:val="00FB53CF"/>
    <w:rsid w:val="00FB56A9"/>
    <w:rsid w:val="00FB5997"/>
    <w:rsid w:val="00FB5D73"/>
    <w:rsid w:val="00FB5E8C"/>
    <w:rsid w:val="00FB6469"/>
    <w:rsid w:val="00FB6480"/>
    <w:rsid w:val="00FB673E"/>
    <w:rsid w:val="00FB702D"/>
    <w:rsid w:val="00FB71E5"/>
    <w:rsid w:val="00FB74D3"/>
    <w:rsid w:val="00FC0781"/>
    <w:rsid w:val="00FC08B1"/>
    <w:rsid w:val="00FC0BF2"/>
    <w:rsid w:val="00FC0C77"/>
    <w:rsid w:val="00FC0FBA"/>
    <w:rsid w:val="00FC2C68"/>
    <w:rsid w:val="00FC34B9"/>
    <w:rsid w:val="00FC3B83"/>
    <w:rsid w:val="00FC452A"/>
    <w:rsid w:val="00FC477D"/>
    <w:rsid w:val="00FC4A4A"/>
    <w:rsid w:val="00FC5680"/>
    <w:rsid w:val="00FC6A7A"/>
    <w:rsid w:val="00FC6AE9"/>
    <w:rsid w:val="00FC6D3D"/>
    <w:rsid w:val="00FC7EC6"/>
    <w:rsid w:val="00FD0020"/>
    <w:rsid w:val="00FD081C"/>
    <w:rsid w:val="00FD0A1D"/>
    <w:rsid w:val="00FD0EE1"/>
    <w:rsid w:val="00FD1B58"/>
    <w:rsid w:val="00FD1FE3"/>
    <w:rsid w:val="00FD2093"/>
    <w:rsid w:val="00FD281D"/>
    <w:rsid w:val="00FD2A2F"/>
    <w:rsid w:val="00FD2A57"/>
    <w:rsid w:val="00FD2C76"/>
    <w:rsid w:val="00FD2D17"/>
    <w:rsid w:val="00FD5F35"/>
    <w:rsid w:val="00FD60A8"/>
    <w:rsid w:val="00FD6ECF"/>
    <w:rsid w:val="00FD6FE1"/>
    <w:rsid w:val="00FD7331"/>
    <w:rsid w:val="00FE0205"/>
    <w:rsid w:val="00FE03B5"/>
    <w:rsid w:val="00FE043F"/>
    <w:rsid w:val="00FE0C52"/>
    <w:rsid w:val="00FE0E6C"/>
    <w:rsid w:val="00FE1070"/>
    <w:rsid w:val="00FE126B"/>
    <w:rsid w:val="00FE1E93"/>
    <w:rsid w:val="00FE24EC"/>
    <w:rsid w:val="00FE269B"/>
    <w:rsid w:val="00FE2C25"/>
    <w:rsid w:val="00FE31D5"/>
    <w:rsid w:val="00FE325E"/>
    <w:rsid w:val="00FE35F1"/>
    <w:rsid w:val="00FE3795"/>
    <w:rsid w:val="00FE413A"/>
    <w:rsid w:val="00FE43CD"/>
    <w:rsid w:val="00FE4D1F"/>
    <w:rsid w:val="00FE4DD1"/>
    <w:rsid w:val="00FE5188"/>
    <w:rsid w:val="00FE5592"/>
    <w:rsid w:val="00FE59A2"/>
    <w:rsid w:val="00FE5C69"/>
    <w:rsid w:val="00FE5E26"/>
    <w:rsid w:val="00FE723F"/>
    <w:rsid w:val="00FE7E29"/>
    <w:rsid w:val="00FE7FD8"/>
    <w:rsid w:val="00FF0FE9"/>
    <w:rsid w:val="00FF1247"/>
    <w:rsid w:val="00FF1A54"/>
    <w:rsid w:val="00FF1E85"/>
    <w:rsid w:val="00FF21BC"/>
    <w:rsid w:val="00FF3007"/>
    <w:rsid w:val="00FF339B"/>
    <w:rsid w:val="00FF343F"/>
    <w:rsid w:val="00FF3778"/>
    <w:rsid w:val="00FF3E41"/>
    <w:rsid w:val="00FF4D37"/>
    <w:rsid w:val="00FF54BD"/>
    <w:rsid w:val="00FF58EC"/>
    <w:rsid w:val="00FF5CB8"/>
    <w:rsid w:val="00FF5D27"/>
    <w:rsid w:val="00FF5D85"/>
    <w:rsid w:val="00FF6183"/>
    <w:rsid w:val="00FF62B2"/>
    <w:rsid w:val="00FF660C"/>
    <w:rsid w:val="00FF6926"/>
    <w:rsid w:val="010C5A46"/>
    <w:rsid w:val="01241333"/>
    <w:rsid w:val="012A2737"/>
    <w:rsid w:val="01311DF4"/>
    <w:rsid w:val="01323CE1"/>
    <w:rsid w:val="01345830"/>
    <w:rsid w:val="01505FF5"/>
    <w:rsid w:val="01741178"/>
    <w:rsid w:val="01775BB7"/>
    <w:rsid w:val="01802F48"/>
    <w:rsid w:val="01884F44"/>
    <w:rsid w:val="01886F57"/>
    <w:rsid w:val="01907DF0"/>
    <w:rsid w:val="019B1886"/>
    <w:rsid w:val="01A9147F"/>
    <w:rsid w:val="01B3097E"/>
    <w:rsid w:val="01BA1E2B"/>
    <w:rsid w:val="01BD52A6"/>
    <w:rsid w:val="01C506B1"/>
    <w:rsid w:val="01DE6D74"/>
    <w:rsid w:val="01DF455F"/>
    <w:rsid w:val="01EC47CB"/>
    <w:rsid w:val="01F0056B"/>
    <w:rsid w:val="01F10BF5"/>
    <w:rsid w:val="01FF707D"/>
    <w:rsid w:val="02063502"/>
    <w:rsid w:val="02112540"/>
    <w:rsid w:val="021E785F"/>
    <w:rsid w:val="022C740A"/>
    <w:rsid w:val="023E21B0"/>
    <w:rsid w:val="0240450C"/>
    <w:rsid w:val="024A62FC"/>
    <w:rsid w:val="024B3778"/>
    <w:rsid w:val="025A4A0E"/>
    <w:rsid w:val="02606A3B"/>
    <w:rsid w:val="0261244E"/>
    <w:rsid w:val="02662919"/>
    <w:rsid w:val="026779BA"/>
    <w:rsid w:val="02793E4A"/>
    <w:rsid w:val="02841819"/>
    <w:rsid w:val="028A54F7"/>
    <w:rsid w:val="029B310B"/>
    <w:rsid w:val="02AB2FAC"/>
    <w:rsid w:val="02AB5BD2"/>
    <w:rsid w:val="02AC5305"/>
    <w:rsid w:val="02AC7159"/>
    <w:rsid w:val="02B86342"/>
    <w:rsid w:val="02C17576"/>
    <w:rsid w:val="02C56B70"/>
    <w:rsid w:val="02D42486"/>
    <w:rsid w:val="02DA1130"/>
    <w:rsid w:val="02DC5FC0"/>
    <w:rsid w:val="02F022D0"/>
    <w:rsid w:val="02FA640C"/>
    <w:rsid w:val="0307100C"/>
    <w:rsid w:val="03223A5F"/>
    <w:rsid w:val="032800CA"/>
    <w:rsid w:val="03304377"/>
    <w:rsid w:val="03731E8C"/>
    <w:rsid w:val="037903BE"/>
    <w:rsid w:val="037E6120"/>
    <w:rsid w:val="039612E7"/>
    <w:rsid w:val="039667A9"/>
    <w:rsid w:val="03A507CC"/>
    <w:rsid w:val="03A72800"/>
    <w:rsid w:val="03A93D71"/>
    <w:rsid w:val="03AC7D7B"/>
    <w:rsid w:val="03CE4784"/>
    <w:rsid w:val="03D216BC"/>
    <w:rsid w:val="03E017D2"/>
    <w:rsid w:val="03FC0607"/>
    <w:rsid w:val="041C7117"/>
    <w:rsid w:val="04305ED0"/>
    <w:rsid w:val="043B03E7"/>
    <w:rsid w:val="043B71AD"/>
    <w:rsid w:val="0440702D"/>
    <w:rsid w:val="044F30AD"/>
    <w:rsid w:val="04634386"/>
    <w:rsid w:val="04640C96"/>
    <w:rsid w:val="04657F39"/>
    <w:rsid w:val="04663D3F"/>
    <w:rsid w:val="04A013D0"/>
    <w:rsid w:val="04B143EA"/>
    <w:rsid w:val="04EB3D57"/>
    <w:rsid w:val="04FE276D"/>
    <w:rsid w:val="05132E90"/>
    <w:rsid w:val="052D63EC"/>
    <w:rsid w:val="05394BA8"/>
    <w:rsid w:val="053F593C"/>
    <w:rsid w:val="05461B09"/>
    <w:rsid w:val="054A00FB"/>
    <w:rsid w:val="054C461B"/>
    <w:rsid w:val="055044BD"/>
    <w:rsid w:val="055E32F7"/>
    <w:rsid w:val="0560706F"/>
    <w:rsid w:val="056A263D"/>
    <w:rsid w:val="056A49CE"/>
    <w:rsid w:val="05883ED0"/>
    <w:rsid w:val="059507EA"/>
    <w:rsid w:val="05A21435"/>
    <w:rsid w:val="05A23311"/>
    <w:rsid w:val="05B055A6"/>
    <w:rsid w:val="05B445B3"/>
    <w:rsid w:val="05BB3203"/>
    <w:rsid w:val="05D10955"/>
    <w:rsid w:val="05D50CAF"/>
    <w:rsid w:val="05D8169D"/>
    <w:rsid w:val="05EC2D09"/>
    <w:rsid w:val="05F0306C"/>
    <w:rsid w:val="05F2598A"/>
    <w:rsid w:val="06067BBA"/>
    <w:rsid w:val="06100C49"/>
    <w:rsid w:val="06132102"/>
    <w:rsid w:val="061B0505"/>
    <w:rsid w:val="06337448"/>
    <w:rsid w:val="06374C09"/>
    <w:rsid w:val="063D1216"/>
    <w:rsid w:val="064947BB"/>
    <w:rsid w:val="06494AE8"/>
    <w:rsid w:val="066F124F"/>
    <w:rsid w:val="06702480"/>
    <w:rsid w:val="0673692E"/>
    <w:rsid w:val="06781BFD"/>
    <w:rsid w:val="06A464C1"/>
    <w:rsid w:val="06A70564"/>
    <w:rsid w:val="06AE047D"/>
    <w:rsid w:val="06BA3A42"/>
    <w:rsid w:val="06BA691F"/>
    <w:rsid w:val="06BE69D1"/>
    <w:rsid w:val="06C013E1"/>
    <w:rsid w:val="06C91824"/>
    <w:rsid w:val="06D25F48"/>
    <w:rsid w:val="06D41002"/>
    <w:rsid w:val="06D51397"/>
    <w:rsid w:val="06DB2A00"/>
    <w:rsid w:val="06E62F86"/>
    <w:rsid w:val="06FF0D80"/>
    <w:rsid w:val="07023E63"/>
    <w:rsid w:val="070907BC"/>
    <w:rsid w:val="070A689F"/>
    <w:rsid w:val="071A324D"/>
    <w:rsid w:val="071A6D37"/>
    <w:rsid w:val="07246879"/>
    <w:rsid w:val="07255284"/>
    <w:rsid w:val="073C7668"/>
    <w:rsid w:val="074723C0"/>
    <w:rsid w:val="0749466C"/>
    <w:rsid w:val="07511CDF"/>
    <w:rsid w:val="07560F8C"/>
    <w:rsid w:val="07633881"/>
    <w:rsid w:val="076B1CFB"/>
    <w:rsid w:val="076B7DDE"/>
    <w:rsid w:val="077A66D9"/>
    <w:rsid w:val="07850010"/>
    <w:rsid w:val="07862253"/>
    <w:rsid w:val="07881B83"/>
    <w:rsid w:val="078E6EE3"/>
    <w:rsid w:val="078F75B0"/>
    <w:rsid w:val="07935783"/>
    <w:rsid w:val="079B1CA8"/>
    <w:rsid w:val="07AF70EB"/>
    <w:rsid w:val="07BE3D98"/>
    <w:rsid w:val="07CF7BD0"/>
    <w:rsid w:val="07D33BE9"/>
    <w:rsid w:val="07D5608E"/>
    <w:rsid w:val="07E62B5C"/>
    <w:rsid w:val="07EF733D"/>
    <w:rsid w:val="0802209E"/>
    <w:rsid w:val="080A560D"/>
    <w:rsid w:val="080C05A1"/>
    <w:rsid w:val="081A7D93"/>
    <w:rsid w:val="081B727D"/>
    <w:rsid w:val="082730CE"/>
    <w:rsid w:val="082C0E9D"/>
    <w:rsid w:val="08331786"/>
    <w:rsid w:val="083420ED"/>
    <w:rsid w:val="083A205B"/>
    <w:rsid w:val="083A7012"/>
    <w:rsid w:val="08447586"/>
    <w:rsid w:val="084A3FF1"/>
    <w:rsid w:val="08536A17"/>
    <w:rsid w:val="085949F8"/>
    <w:rsid w:val="085D3836"/>
    <w:rsid w:val="08622B35"/>
    <w:rsid w:val="086B1652"/>
    <w:rsid w:val="08841A34"/>
    <w:rsid w:val="089B43AF"/>
    <w:rsid w:val="08A871BE"/>
    <w:rsid w:val="08AE0598"/>
    <w:rsid w:val="08B05FDA"/>
    <w:rsid w:val="08C007B5"/>
    <w:rsid w:val="08CA016A"/>
    <w:rsid w:val="08E128C6"/>
    <w:rsid w:val="08EB2B62"/>
    <w:rsid w:val="08ED38A3"/>
    <w:rsid w:val="08EE41C5"/>
    <w:rsid w:val="08F433A9"/>
    <w:rsid w:val="08F44B11"/>
    <w:rsid w:val="08FF6F14"/>
    <w:rsid w:val="09027C73"/>
    <w:rsid w:val="09090D70"/>
    <w:rsid w:val="092B7994"/>
    <w:rsid w:val="092C0436"/>
    <w:rsid w:val="092F4C16"/>
    <w:rsid w:val="09302406"/>
    <w:rsid w:val="0931593D"/>
    <w:rsid w:val="093B0E01"/>
    <w:rsid w:val="094B5940"/>
    <w:rsid w:val="0956320C"/>
    <w:rsid w:val="095F16D6"/>
    <w:rsid w:val="09802EC4"/>
    <w:rsid w:val="09985C50"/>
    <w:rsid w:val="09A82F96"/>
    <w:rsid w:val="09B55017"/>
    <w:rsid w:val="09B97A1F"/>
    <w:rsid w:val="09C32E75"/>
    <w:rsid w:val="09CC2C88"/>
    <w:rsid w:val="09CD5A62"/>
    <w:rsid w:val="09EA3225"/>
    <w:rsid w:val="09EF0A5D"/>
    <w:rsid w:val="09F71624"/>
    <w:rsid w:val="09FB094D"/>
    <w:rsid w:val="09FD5218"/>
    <w:rsid w:val="0A0838A6"/>
    <w:rsid w:val="0A1B0093"/>
    <w:rsid w:val="0A2B7FD8"/>
    <w:rsid w:val="0A372C2D"/>
    <w:rsid w:val="0A4109E3"/>
    <w:rsid w:val="0A47524B"/>
    <w:rsid w:val="0A4D136E"/>
    <w:rsid w:val="0A567C58"/>
    <w:rsid w:val="0A5A29B0"/>
    <w:rsid w:val="0A7A1C1A"/>
    <w:rsid w:val="0AB12E73"/>
    <w:rsid w:val="0AB35FF5"/>
    <w:rsid w:val="0ABA1CEC"/>
    <w:rsid w:val="0ADE352D"/>
    <w:rsid w:val="0AE0437C"/>
    <w:rsid w:val="0AFD449A"/>
    <w:rsid w:val="0B033581"/>
    <w:rsid w:val="0B090CF0"/>
    <w:rsid w:val="0B1B025C"/>
    <w:rsid w:val="0B3C478F"/>
    <w:rsid w:val="0B3E6759"/>
    <w:rsid w:val="0B3F3282"/>
    <w:rsid w:val="0B430B1F"/>
    <w:rsid w:val="0B470738"/>
    <w:rsid w:val="0B471B2B"/>
    <w:rsid w:val="0B5A5E44"/>
    <w:rsid w:val="0B5C1BBB"/>
    <w:rsid w:val="0B5E5DFE"/>
    <w:rsid w:val="0B697CBD"/>
    <w:rsid w:val="0B6F517E"/>
    <w:rsid w:val="0B747DC7"/>
    <w:rsid w:val="0B7F0B2E"/>
    <w:rsid w:val="0BA030D3"/>
    <w:rsid w:val="0BA27698"/>
    <w:rsid w:val="0BA345A3"/>
    <w:rsid w:val="0BA50684"/>
    <w:rsid w:val="0BA62898"/>
    <w:rsid w:val="0BAF0FAE"/>
    <w:rsid w:val="0BB053F3"/>
    <w:rsid w:val="0BB20C36"/>
    <w:rsid w:val="0BC31E27"/>
    <w:rsid w:val="0BC625C0"/>
    <w:rsid w:val="0BDF38D1"/>
    <w:rsid w:val="0BE6673C"/>
    <w:rsid w:val="0BEA6B3E"/>
    <w:rsid w:val="0BF658CF"/>
    <w:rsid w:val="0BFB1593"/>
    <w:rsid w:val="0C135315"/>
    <w:rsid w:val="0C16718E"/>
    <w:rsid w:val="0C230409"/>
    <w:rsid w:val="0C2D27E7"/>
    <w:rsid w:val="0C2E0DE2"/>
    <w:rsid w:val="0C321039"/>
    <w:rsid w:val="0C3C77C2"/>
    <w:rsid w:val="0C3F19D4"/>
    <w:rsid w:val="0C404323"/>
    <w:rsid w:val="0C4A583A"/>
    <w:rsid w:val="0C627D90"/>
    <w:rsid w:val="0C642319"/>
    <w:rsid w:val="0C7B73C5"/>
    <w:rsid w:val="0C7E6128"/>
    <w:rsid w:val="0C82358A"/>
    <w:rsid w:val="0C943553"/>
    <w:rsid w:val="0C96024C"/>
    <w:rsid w:val="0C9E4C9B"/>
    <w:rsid w:val="0CA41F27"/>
    <w:rsid w:val="0CA710DF"/>
    <w:rsid w:val="0CAC006A"/>
    <w:rsid w:val="0CB3217A"/>
    <w:rsid w:val="0CBD3CAF"/>
    <w:rsid w:val="0CBE770E"/>
    <w:rsid w:val="0CCE4C4F"/>
    <w:rsid w:val="0CE30050"/>
    <w:rsid w:val="0CFF2FE9"/>
    <w:rsid w:val="0D0D2393"/>
    <w:rsid w:val="0D1E0AB5"/>
    <w:rsid w:val="0D240EC4"/>
    <w:rsid w:val="0D2C2164"/>
    <w:rsid w:val="0D3476C8"/>
    <w:rsid w:val="0D3D3ADA"/>
    <w:rsid w:val="0D5610FD"/>
    <w:rsid w:val="0D781DDA"/>
    <w:rsid w:val="0D821447"/>
    <w:rsid w:val="0D895FC4"/>
    <w:rsid w:val="0D8D29CB"/>
    <w:rsid w:val="0D933D59"/>
    <w:rsid w:val="0DB37280"/>
    <w:rsid w:val="0DBC2C48"/>
    <w:rsid w:val="0DBE6915"/>
    <w:rsid w:val="0DD330D7"/>
    <w:rsid w:val="0DD51C7C"/>
    <w:rsid w:val="0DDC1A83"/>
    <w:rsid w:val="0DF65DC6"/>
    <w:rsid w:val="0DF90060"/>
    <w:rsid w:val="0E047807"/>
    <w:rsid w:val="0E080FC5"/>
    <w:rsid w:val="0E0D0F15"/>
    <w:rsid w:val="0E0E1E63"/>
    <w:rsid w:val="0E132C51"/>
    <w:rsid w:val="0E1F3C1B"/>
    <w:rsid w:val="0E201A21"/>
    <w:rsid w:val="0E245572"/>
    <w:rsid w:val="0E480AE2"/>
    <w:rsid w:val="0E4906F1"/>
    <w:rsid w:val="0E4D5CB6"/>
    <w:rsid w:val="0E53005C"/>
    <w:rsid w:val="0E5B6B50"/>
    <w:rsid w:val="0E7B2C51"/>
    <w:rsid w:val="0E891A19"/>
    <w:rsid w:val="0E8E577A"/>
    <w:rsid w:val="0E9E36BD"/>
    <w:rsid w:val="0EA0672E"/>
    <w:rsid w:val="0EA24D7A"/>
    <w:rsid w:val="0EA64B12"/>
    <w:rsid w:val="0EBC61A8"/>
    <w:rsid w:val="0EC8644D"/>
    <w:rsid w:val="0ECE2408"/>
    <w:rsid w:val="0EE228A3"/>
    <w:rsid w:val="0EFA4B72"/>
    <w:rsid w:val="0F012434"/>
    <w:rsid w:val="0F062490"/>
    <w:rsid w:val="0F123196"/>
    <w:rsid w:val="0F19103F"/>
    <w:rsid w:val="0F203792"/>
    <w:rsid w:val="0F214880"/>
    <w:rsid w:val="0F264E85"/>
    <w:rsid w:val="0F3C18A9"/>
    <w:rsid w:val="0F3F63C2"/>
    <w:rsid w:val="0F433C76"/>
    <w:rsid w:val="0F437B1F"/>
    <w:rsid w:val="0F441195"/>
    <w:rsid w:val="0F474B28"/>
    <w:rsid w:val="0F490B74"/>
    <w:rsid w:val="0F843724"/>
    <w:rsid w:val="0F867FF1"/>
    <w:rsid w:val="0F8D00ED"/>
    <w:rsid w:val="0F8E476E"/>
    <w:rsid w:val="0F972973"/>
    <w:rsid w:val="0F977B31"/>
    <w:rsid w:val="0F9E2FA3"/>
    <w:rsid w:val="0FA552D6"/>
    <w:rsid w:val="0FB532CD"/>
    <w:rsid w:val="0FD0504F"/>
    <w:rsid w:val="0FE57281"/>
    <w:rsid w:val="0FF75A21"/>
    <w:rsid w:val="10014FAA"/>
    <w:rsid w:val="100B2D56"/>
    <w:rsid w:val="100B5E29"/>
    <w:rsid w:val="10166C7F"/>
    <w:rsid w:val="10181497"/>
    <w:rsid w:val="10184182"/>
    <w:rsid w:val="101B0634"/>
    <w:rsid w:val="10223D26"/>
    <w:rsid w:val="10227BA2"/>
    <w:rsid w:val="102961A0"/>
    <w:rsid w:val="102D136B"/>
    <w:rsid w:val="103C1F00"/>
    <w:rsid w:val="103C43B4"/>
    <w:rsid w:val="104430B5"/>
    <w:rsid w:val="105E434E"/>
    <w:rsid w:val="106E7A1E"/>
    <w:rsid w:val="108A078B"/>
    <w:rsid w:val="109B7E70"/>
    <w:rsid w:val="109D6306"/>
    <w:rsid w:val="109E57AB"/>
    <w:rsid w:val="10BC393D"/>
    <w:rsid w:val="10C708AC"/>
    <w:rsid w:val="10CE21EC"/>
    <w:rsid w:val="10D16E34"/>
    <w:rsid w:val="10D413FD"/>
    <w:rsid w:val="10E9485D"/>
    <w:rsid w:val="10F36FE9"/>
    <w:rsid w:val="10FC19CF"/>
    <w:rsid w:val="110C1E59"/>
    <w:rsid w:val="110D762D"/>
    <w:rsid w:val="111303A2"/>
    <w:rsid w:val="111F3561"/>
    <w:rsid w:val="11203B56"/>
    <w:rsid w:val="112A4DD0"/>
    <w:rsid w:val="11337E4E"/>
    <w:rsid w:val="1134315E"/>
    <w:rsid w:val="114557AA"/>
    <w:rsid w:val="116A27C3"/>
    <w:rsid w:val="116E48C1"/>
    <w:rsid w:val="1178090E"/>
    <w:rsid w:val="11883C97"/>
    <w:rsid w:val="119753D2"/>
    <w:rsid w:val="119A2C22"/>
    <w:rsid w:val="11A16A45"/>
    <w:rsid w:val="11A90E6A"/>
    <w:rsid w:val="11B371D3"/>
    <w:rsid w:val="11B76268"/>
    <w:rsid w:val="11B9203F"/>
    <w:rsid w:val="11B96B6A"/>
    <w:rsid w:val="11C72BA9"/>
    <w:rsid w:val="11CF03FA"/>
    <w:rsid w:val="11D01617"/>
    <w:rsid w:val="11D0635E"/>
    <w:rsid w:val="11D804A2"/>
    <w:rsid w:val="11E06E41"/>
    <w:rsid w:val="11F548F3"/>
    <w:rsid w:val="11F94BEA"/>
    <w:rsid w:val="11FB232B"/>
    <w:rsid w:val="12036236"/>
    <w:rsid w:val="122B5D06"/>
    <w:rsid w:val="122C6BFD"/>
    <w:rsid w:val="123421B1"/>
    <w:rsid w:val="123E2E56"/>
    <w:rsid w:val="12564F15"/>
    <w:rsid w:val="12762B27"/>
    <w:rsid w:val="127C633A"/>
    <w:rsid w:val="128A31CC"/>
    <w:rsid w:val="12B01FF2"/>
    <w:rsid w:val="12B84991"/>
    <w:rsid w:val="12BB78DA"/>
    <w:rsid w:val="12C80F6C"/>
    <w:rsid w:val="12DE0A30"/>
    <w:rsid w:val="12DE7CA2"/>
    <w:rsid w:val="12E440DB"/>
    <w:rsid w:val="13015E6D"/>
    <w:rsid w:val="13072552"/>
    <w:rsid w:val="130876CE"/>
    <w:rsid w:val="13094698"/>
    <w:rsid w:val="1315607B"/>
    <w:rsid w:val="132B377A"/>
    <w:rsid w:val="132E3CB5"/>
    <w:rsid w:val="13385187"/>
    <w:rsid w:val="133C02C5"/>
    <w:rsid w:val="134513B4"/>
    <w:rsid w:val="13477638"/>
    <w:rsid w:val="135F7403"/>
    <w:rsid w:val="136A2214"/>
    <w:rsid w:val="137563D1"/>
    <w:rsid w:val="13783754"/>
    <w:rsid w:val="13793DB0"/>
    <w:rsid w:val="1381510D"/>
    <w:rsid w:val="139A4332"/>
    <w:rsid w:val="13A535A2"/>
    <w:rsid w:val="13AE369B"/>
    <w:rsid w:val="13B869E7"/>
    <w:rsid w:val="13CD0BF2"/>
    <w:rsid w:val="13DE3539"/>
    <w:rsid w:val="13E93979"/>
    <w:rsid w:val="13F442CB"/>
    <w:rsid w:val="140322F5"/>
    <w:rsid w:val="14101C60"/>
    <w:rsid w:val="142676D5"/>
    <w:rsid w:val="142B75F9"/>
    <w:rsid w:val="14316BC3"/>
    <w:rsid w:val="14407DE2"/>
    <w:rsid w:val="14412990"/>
    <w:rsid w:val="144509D4"/>
    <w:rsid w:val="1448705D"/>
    <w:rsid w:val="14612183"/>
    <w:rsid w:val="146124BC"/>
    <w:rsid w:val="146F3461"/>
    <w:rsid w:val="14724D91"/>
    <w:rsid w:val="148520B4"/>
    <w:rsid w:val="1485576E"/>
    <w:rsid w:val="14891C13"/>
    <w:rsid w:val="14942891"/>
    <w:rsid w:val="14A12903"/>
    <w:rsid w:val="14A947E7"/>
    <w:rsid w:val="14AA6853"/>
    <w:rsid w:val="14B80D9B"/>
    <w:rsid w:val="14B922F8"/>
    <w:rsid w:val="14BB168C"/>
    <w:rsid w:val="14BF2E77"/>
    <w:rsid w:val="14C57350"/>
    <w:rsid w:val="14C8078D"/>
    <w:rsid w:val="14CE4D3E"/>
    <w:rsid w:val="14D97BD4"/>
    <w:rsid w:val="14E268A2"/>
    <w:rsid w:val="14FD6114"/>
    <w:rsid w:val="15080309"/>
    <w:rsid w:val="152107C6"/>
    <w:rsid w:val="15292E7E"/>
    <w:rsid w:val="153234C7"/>
    <w:rsid w:val="15331D04"/>
    <w:rsid w:val="153D7A75"/>
    <w:rsid w:val="154222ED"/>
    <w:rsid w:val="15431CCC"/>
    <w:rsid w:val="154A0326"/>
    <w:rsid w:val="154B1190"/>
    <w:rsid w:val="155A4DE1"/>
    <w:rsid w:val="155B6F0B"/>
    <w:rsid w:val="155E58B2"/>
    <w:rsid w:val="155E70C9"/>
    <w:rsid w:val="155F27F6"/>
    <w:rsid w:val="15836462"/>
    <w:rsid w:val="15841446"/>
    <w:rsid w:val="15853099"/>
    <w:rsid w:val="158A5D4F"/>
    <w:rsid w:val="159266A5"/>
    <w:rsid w:val="159A3FA4"/>
    <w:rsid w:val="15BA130F"/>
    <w:rsid w:val="15C4478F"/>
    <w:rsid w:val="15C60D08"/>
    <w:rsid w:val="15CD529C"/>
    <w:rsid w:val="15D465B9"/>
    <w:rsid w:val="15DD635C"/>
    <w:rsid w:val="15E34801"/>
    <w:rsid w:val="160175A8"/>
    <w:rsid w:val="16102144"/>
    <w:rsid w:val="161F565D"/>
    <w:rsid w:val="1621622B"/>
    <w:rsid w:val="16217086"/>
    <w:rsid w:val="162C2A59"/>
    <w:rsid w:val="16403B3E"/>
    <w:rsid w:val="164E5DB1"/>
    <w:rsid w:val="1655421F"/>
    <w:rsid w:val="16567306"/>
    <w:rsid w:val="165D6054"/>
    <w:rsid w:val="165F75DA"/>
    <w:rsid w:val="166F36B7"/>
    <w:rsid w:val="167F2B84"/>
    <w:rsid w:val="16817918"/>
    <w:rsid w:val="16876A6C"/>
    <w:rsid w:val="168E1562"/>
    <w:rsid w:val="169A2237"/>
    <w:rsid w:val="16A57250"/>
    <w:rsid w:val="16C3745D"/>
    <w:rsid w:val="16C46722"/>
    <w:rsid w:val="16E15B36"/>
    <w:rsid w:val="16E74C70"/>
    <w:rsid w:val="16F6327D"/>
    <w:rsid w:val="16F64FA9"/>
    <w:rsid w:val="16F85894"/>
    <w:rsid w:val="172A2C40"/>
    <w:rsid w:val="17331D7D"/>
    <w:rsid w:val="17346B53"/>
    <w:rsid w:val="173A67BD"/>
    <w:rsid w:val="174C023B"/>
    <w:rsid w:val="175D11DF"/>
    <w:rsid w:val="17670F86"/>
    <w:rsid w:val="17677AA3"/>
    <w:rsid w:val="17695FB3"/>
    <w:rsid w:val="1771694D"/>
    <w:rsid w:val="17772E2A"/>
    <w:rsid w:val="177C7487"/>
    <w:rsid w:val="17863EBF"/>
    <w:rsid w:val="17864698"/>
    <w:rsid w:val="17870B1A"/>
    <w:rsid w:val="178A237C"/>
    <w:rsid w:val="178B7D77"/>
    <w:rsid w:val="179F74BB"/>
    <w:rsid w:val="17A71103"/>
    <w:rsid w:val="17B872D7"/>
    <w:rsid w:val="17BF6F19"/>
    <w:rsid w:val="17C27D8A"/>
    <w:rsid w:val="17C52D61"/>
    <w:rsid w:val="17C77282"/>
    <w:rsid w:val="17CA65CA"/>
    <w:rsid w:val="17D12624"/>
    <w:rsid w:val="17D93E3A"/>
    <w:rsid w:val="17F673BF"/>
    <w:rsid w:val="18052A81"/>
    <w:rsid w:val="181B15E7"/>
    <w:rsid w:val="181D6EFC"/>
    <w:rsid w:val="18274CF9"/>
    <w:rsid w:val="182832C7"/>
    <w:rsid w:val="182E3CA0"/>
    <w:rsid w:val="1838760F"/>
    <w:rsid w:val="18392F64"/>
    <w:rsid w:val="183A1881"/>
    <w:rsid w:val="183A5F4C"/>
    <w:rsid w:val="184B2FDA"/>
    <w:rsid w:val="184F1DC5"/>
    <w:rsid w:val="18503002"/>
    <w:rsid w:val="185B245A"/>
    <w:rsid w:val="1872289C"/>
    <w:rsid w:val="18740F77"/>
    <w:rsid w:val="18762222"/>
    <w:rsid w:val="187F1657"/>
    <w:rsid w:val="189C29CA"/>
    <w:rsid w:val="189F1296"/>
    <w:rsid w:val="18A33E48"/>
    <w:rsid w:val="18A40BC9"/>
    <w:rsid w:val="18A85E53"/>
    <w:rsid w:val="18A93600"/>
    <w:rsid w:val="18AC391E"/>
    <w:rsid w:val="18C366D1"/>
    <w:rsid w:val="18D355E7"/>
    <w:rsid w:val="18D37CB7"/>
    <w:rsid w:val="18E072BE"/>
    <w:rsid w:val="18E24B36"/>
    <w:rsid w:val="18E527B0"/>
    <w:rsid w:val="18ED7D93"/>
    <w:rsid w:val="18FE2A1B"/>
    <w:rsid w:val="190C63A7"/>
    <w:rsid w:val="191F2DC6"/>
    <w:rsid w:val="192D3D20"/>
    <w:rsid w:val="193011C6"/>
    <w:rsid w:val="193832D9"/>
    <w:rsid w:val="1938667E"/>
    <w:rsid w:val="193C1B23"/>
    <w:rsid w:val="193C34F7"/>
    <w:rsid w:val="196368C6"/>
    <w:rsid w:val="19681EB2"/>
    <w:rsid w:val="1973792D"/>
    <w:rsid w:val="19781961"/>
    <w:rsid w:val="197D74B7"/>
    <w:rsid w:val="198A62AB"/>
    <w:rsid w:val="199F68E7"/>
    <w:rsid w:val="19A9182B"/>
    <w:rsid w:val="19B67DDC"/>
    <w:rsid w:val="19C30D3E"/>
    <w:rsid w:val="19C64FBC"/>
    <w:rsid w:val="19CB0B00"/>
    <w:rsid w:val="19CE65A0"/>
    <w:rsid w:val="19E1712C"/>
    <w:rsid w:val="19FF3217"/>
    <w:rsid w:val="1A273963"/>
    <w:rsid w:val="1A2809E5"/>
    <w:rsid w:val="1A2F499A"/>
    <w:rsid w:val="1A367387"/>
    <w:rsid w:val="1A3A32BA"/>
    <w:rsid w:val="1A3F4BCC"/>
    <w:rsid w:val="1A4A57A0"/>
    <w:rsid w:val="1A6030B0"/>
    <w:rsid w:val="1A830159"/>
    <w:rsid w:val="1A9C7A9B"/>
    <w:rsid w:val="1AA06675"/>
    <w:rsid w:val="1AA76E99"/>
    <w:rsid w:val="1AB8278F"/>
    <w:rsid w:val="1AC11F06"/>
    <w:rsid w:val="1AC45552"/>
    <w:rsid w:val="1ACB068F"/>
    <w:rsid w:val="1ACF4BDE"/>
    <w:rsid w:val="1AE06AA1"/>
    <w:rsid w:val="1AE14356"/>
    <w:rsid w:val="1B00782B"/>
    <w:rsid w:val="1B0355D3"/>
    <w:rsid w:val="1B05264A"/>
    <w:rsid w:val="1B062DEC"/>
    <w:rsid w:val="1B063DBD"/>
    <w:rsid w:val="1B0A2F51"/>
    <w:rsid w:val="1B1037F7"/>
    <w:rsid w:val="1B134D15"/>
    <w:rsid w:val="1B1738D4"/>
    <w:rsid w:val="1B215ADE"/>
    <w:rsid w:val="1B25348F"/>
    <w:rsid w:val="1B3219B2"/>
    <w:rsid w:val="1B46084C"/>
    <w:rsid w:val="1B531639"/>
    <w:rsid w:val="1B661681"/>
    <w:rsid w:val="1B6C352E"/>
    <w:rsid w:val="1B745DB4"/>
    <w:rsid w:val="1B797FFA"/>
    <w:rsid w:val="1B872A58"/>
    <w:rsid w:val="1B8865D1"/>
    <w:rsid w:val="1B8A679C"/>
    <w:rsid w:val="1B944F25"/>
    <w:rsid w:val="1BB009D5"/>
    <w:rsid w:val="1BBA2BD3"/>
    <w:rsid w:val="1BCA303C"/>
    <w:rsid w:val="1BD66444"/>
    <w:rsid w:val="1BDF125B"/>
    <w:rsid w:val="1BE938FB"/>
    <w:rsid w:val="1BED0AD9"/>
    <w:rsid w:val="1BED153D"/>
    <w:rsid w:val="1BF137F7"/>
    <w:rsid w:val="1BFD4DA5"/>
    <w:rsid w:val="1C030FE4"/>
    <w:rsid w:val="1C3513BE"/>
    <w:rsid w:val="1C362480"/>
    <w:rsid w:val="1C39388B"/>
    <w:rsid w:val="1C3A693C"/>
    <w:rsid w:val="1C4025D6"/>
    <w:rsid w:val="1C472BFB"/>
    <w:rsid w:val="1C4A15A6"/>
    <w:rsid w:val="1C4D4916"/>
    <w:rsid w:val="1C5A0D28"/>
    <w:rsid w:val="1C7E2110"/>
    <w:rsid w:val="1C8E6E95"/>
    <w:rsid w:val="1C915C9F"/>
    <w:rsid w:val="1C971DC0"/>
    <w:rsid w:val="1C9F66B8"/>
    <w:rsid w:val="1CB04971"/>
    <w:rsid w:val="1CBE764F"/>
    <w:rsid w:val="1CC14605"/>
    <w:rsid w:val="1CC45CDD"/>
    <w:rsid w:val="1CC709AE"/>
    <w:rsid w:val="1CD07152"/>
    <w:rsid w:val="1CE57F3E"/>
    <w:rsid w:val="1CFF7184"/>
    <w:rsid w:val="1D040965"/>
    <w:rsid w:val="1D0417EB"/>
    <w:rsid w:val="1D04311F"/>
    <w:rsid w:val="1D0F1693"/>
    <w:rsid w:val="1D112D5D"/>
    <w:rsid w:val="1D161CCC"/>
    <w:rsid w:val="1D163A9F"/>
    <w:rsid w:val="1D2227D3"/>
    <w:rsid w:val="1D230C56"/>
    <w:rsid w:val="1D235196"/>
    <w:rsid w:val="1D290A99"/>
    <w:rsid w:val="1D2A1C0D"/>
    <w:rsid w:val="1D2A2572"/>
    <w:rsid w:val="1D322A26"/>
    <w:rsid w:val="1D5509E3"/>
    <w:rsid w:val="1D570900"/>
    <w:rsid w:val="1D590071"/>
    <w:rsid w:val="1D5C7CC4"/>
    <w:rsid w:val="1D6B6F25"/>
    <w:rsid w:val="1D732100"/>
    <w:rsid w:val="1D832B87"/>
    <w:rsid w:val="1D8F6D93"/>
    <w:rsid w:val="1D976F4E"/>
    <w:rsid w:val="1DA1017A"/>
    <w:rsid w:val="1DA229DD"/>
    <w:rsid w:val="1DA27AA4"/>
    <w:rsid w:val="1DA835A5"/>
    <w:rsid w:val="1DB44E11"/>
    <w:rsid w:val="1DB47120"/>
    <w:rsid w:val="1DC65365"/>
    <w:rsid w:val="1DC973F4"/>
    <w:rsid w:val="1DD802D2"/>
    <w:rsid w:val="1E007BB8"/>
    <w:rsid w:val="1E022B40"/>
    <w:rsid w:val="1E184F24"/>
    <w:rsid w:val="1E251658"/>
    <w:rsid w:val="1E300762"/>
    <w:rsid w:val="1E42379A"/>
    <w:rsid w:val="1E484EB5"/>
    <w:rsid w:val="1E517B19"/>
    <w:rsid w:val="1E526CCC"/>
    <w:rsid w:val="1E55672D"/>
    <w:rsid w:val="1E566E09"/>
    <w:rsid w:val="1E5B0537"/>
    <w:rsid w:val="1E751DA3"/>
    <w:rsid w:val="1E8829DD"/>
    <w:rsid w:val="1E9061F2"/>
    <w:rsid w:val="1E9635AA"/>
    <w:rsid w:val="1E9811D0"/>
    <w:rsid w:val="1E995D59"/>
    <w:rsid w:val="1EA32737"/>
    <w:rsid w:val="1EB82B08"/>
    <w:rsid w:val="1EBB364D"/>
    <w:rsid w:val="1EC1070B"/>
    <w:rsid w:val="1EC22AAE"/>
    <w:rsid w:val="1ED20143"/>
    <w:rsid w:val="1EE10EC1"/>
    <w:rsid w:val="1EF30A1A"/>
    <w:rsid w:val="1EF74148"/>
    <w:rsid w:val="1F137DD8"/>
    <w:rsid w:val="1F1B2CC6"/>
    <w:rsid w:val="1F2C40DD"/>
    <w:rsid w:val="1F30423C"/>
    <w:rsid w:val="1F332E79"/>
    <w:rsid w:val="1F5E41C7"/>
    <w:rsid w:val="1F617641"/>
    <w:rsid w:val="1F6211EC"/>
    <w:rsid w:val="1F6E2AD8"/>
    <w:rsid w:val="1F7102A3"/>
    <w:rsid w:val="1F756042"/>
    <w:rsid w:val="1F7C2F67"/>
    <w:rsid w:val="1F8A04B6"/>
    <w:rsid w:val="1F8B663F"/>
    <w:rsid w:val="1F8F49EB"/>
    <w:rsid w:val="1F952316"/>
    <w:rsid w:val="1F9B149C"/>
    <w:rsid w:val="1FA12FB6"/>
    <w:rsid w:val="1FBC4A4A"/>
    <w:rsid w:val="1FBE12DE"/>
    <w:rsid w:val="1FBF4EEA"/>
    <w:rsid w:val="1FCA2A30"/>
    <w:rsid w:val="1FD163AD"/>
    <w:rsid w:val="1FD166BF"/>
    <w:rsid w:val="1FD607BD"/>
    <w:rsid w:val="1FE34A0E"/>
    <w:rsid w:val="1FED10A7"/>
    <w:rsid w:val="1FED351D"/>
    <w:rsid w:val="1FF66838"/>
    <w:rsid w:val="2013657B"/>
    <w:rsid w:val="20192D90"/>
    <w:rsid w:val="203D40BB"/>
    <w:rsid w:val="20442FFB"/>
    <w:rsid w:val="20641A1F"/>
    <w:rsid w:val="208F0D79"/>
    <w:rsid w:val="209D4032"/>
    <w:rsid w:val="20A53730"/>
    <w:rsid w:val="20BA65A9"/>
    <w:rsid w:val="20C462AC"/>
    <w:rsid w:val="20D73CA7"/>
    <w:rsid w:val="20E233F7"/>
    <w:rsid w:val="20EF1213"/>
    <w:rsid w:val="20FE24F1"/>
    <w:rsid w:val="21010143"/>
    <w:rsid w:val="210668C5"/>
    <w:rsid w:val="21076199"/>
    <w:rsid w:val="211435E7"/>
    <w:rsid w:val="21274A8D"/>
    <w:rsid w:val="213D3AAB"/>
    <w:rsid w:val="213D4728"/>
    <w:rsid w:val="21407E1D"/>
    <w:rsid w:val="215A451A"/>
    <w:rsid w:val="216323AF"/>
    <w:rsid w:val="21701207"/>
    <w:rsid w:val="217E1560"/>
    <w:rsid w:val="21815B1A"/>
    <w:rsid w:val="21853F39"/>
    <w:rsid w:val="219236D3"/>
    <w:rsid w:val="21985B8F"/>
    <w:rsid w:val="21AD5838"/>
    <w:rsid w:val="21B440CB"/>
    <w:rsid w:val="21B76B5A"/>
    <w:rsid w:val="21C81DCC"/>
    <w:rsid w:val="21C97CE5"/>
    <w:rsid w:val="21CD448B"/>
    <w:rsid w:val="21E25060"/>
    <w:rsid w:val="21ED6FA6"/>
    <w:rsid w:val="21EF5B02"/>
    <w:rsid w:val="21FA4681"/>
    <w:rsid w:val="2202144E"/>
    <w:rsid w:val="221B78BC"/>
    <w:rsid w:val="221D3CF7"/>
    <w:rsid w:val="22287751"/>
    <w:rsid w:val="222A6015"/>
    <w:rsid w:val="22317971"/>
    <w:rsid w:val="223C5F23"/>
    <w:rsid w:val="2243268B"/>
    <w:rsid w:val="224C43B4"/>
    <w:rsid w:val="22734EDD"/>
    <w:rsid w:val="22814E5F"/>
    <w:rsid w:val="228308BC"/>
    <w:rsid w:val="228A7081"/>
    <w:rsid w:val="22940157"/>
    <w:rsid w:val="229972C4"/>
    <w:rsid w:val="22A74588"/>
    <w:rsid w:val="22BA557E"/>
    <w:rsid w:val="22C03536"/>
    <w:rsid w:val="22C24A6D"/>
    <w:rsid w:val="22F00428"/>
    <w:rsid w:val="22F03F35"/>
    <w:rsid w:val="22F4169A"/>
    <w:rsid w:val="230D665D"/>
    <w:rsid w:val="23210478"/>
    <w:rsid w:val="23261852"/>
    <w:rsid w:val="23297638"/>
    <w:rsid w:val="23356E95"/>
    <w:rsid w:val="233B36FA"/>
    <w:rsid w:val="233B4DF9"/>
    <w:rsid w:val="23456AC8"/>
    <w:rsid w:val="235C242A"/>
    <w:rsid w:val="23751137"/>
    <w:rsid w:val="23957A8C"/>
    <w:rsid w:val="23B06B85"/>
    <w:rsid w:val="23C831CC"/>
    <w:rsid w:val="23D839C3"/>
    <w:rsid w:val="23DD45A3"/>
    <w:rsid w:val="23DD7C02"/>
    <w:rsid w:val="23E40D67"/>
    <w:rsid w:val="23F02DCC"/>
    <w:rsid w:val="23F16040"/>
    <w:rsid w:val="23F82141"/>
    <w:rsid w:val="23F91949"/>
    <w:rsid w:val="24031F09"/>
    <w:rsid w:val="24075AF5"/>
    <w:rsid w:val="241961C4"/>
    <w:rsid w:val="24200F74"/>
    <w:rsid w:val="242C4453"/>
    <w:rsid w:val="242D0A78"/>
    <w:rsid w:val="24311C9C"/>
    <w:rsid w:val="243619FD"/>
    <w:rsid w:val="243B3E35"/>
    <w:rsid w:val="244F0CF4"/>
    <w:rsid w:val="246363D5"/>
    <w:rsid w:val="24663326"/>
    <w:rsid w:val="246A1FCC"/>
    <w:rsid w:val="246C19A1"/>
    <w:rsid w:val="246F34F9"/>
    <w:rsid w:val="24976248"/>
    <w:rsid w:val="249D14A8"/>
    <w:rsid w:val="24AD567A"/>
    <w:rsid w:val="24AE5370"/>
    <w:rsid w:val="24BC713C"/>
    <w:rsid w:val="24DA0BA8"/>
    <w:rsid w:val="24E7622D"/>
    <w:rsid w:val="24F15196"/>
    <w:rsid w:val="24F1610E"/>
    <w:rsid w:val="24F1723C"/>
    <w:rsid w:val="25021151"/>
    <w:rsid w:val="250872D0"/>
    <w:rsid w:val="251356B9"/>
    <w:rsid w:val="25146D99"/>
    <w:rsid w:val="251C435C"/>
    <w:rsid w:val="25341526"/>
    <w:rsid w:val="253857C9"/>
    <w:rsid w:val="254259F1"/>
    <w:rsid w:val="254C27A8"/>
    <w:rsid w:val="255E4CCE"/>
    <w:rsid w:val="25631F14"/>
    <w:rsid w:val="25657B52"/>
    <w:rsid w:val="256D35A3"/>
    <w:rsid w:val="25716552"/>
    <w:rsid w:val="25902E90"/>
    <w:rsid w:val="25941385"/>
    <w:rsid w:val="259E1A93"/>
    <w:rsid w:val="25A03031"/>
    <w:rsid w:val="25BF5862"/>
    <w:rsid w:val="25CD6C40"/>
    <w:rsid w:val="25E06F13"/>
    <w:rsid w:val="25FA272C"/>
    <w:rsid w:val="25FE01B0"/>
    <w:rsid w:val="260136BD"/>
    <w:rsid w:val="26095CB5"/>
    <w:rsid w:val="260B05E6"/>
    <w:rsid w:val="260C3274"/>
    <w:rsid w:val="261146A2"/>
    <w:rsid w:val="261849A4"/>
    <w:rsid w:val="261D6938"/>
    <w:rsid w:val="263411D8"/>
    <w:rsid w:val="263F3ECE"/>
    <w:rsid w:val="26635000"/>
    <w:rsid w:val="267211D0"/>
    <w:rsid w:val="268146E1"/>
    <w:rsid w:val="268740EA"/>
    <w:rsid w:val="26876026"/>
    <w:rsid w:val="26946721"/>
    <w:rsid w:val="26B83D48"/>
    <w:rsid w:val="26FB7088"/>
    <w:rsid w:val="270C55FC"/>
    <w:rsid w:val="27202517"/>
    <w:rsid w:val="27247AA4"/>
    <w:rsid w:val="27282FF8"/>
    <w:rsid w:val="27337FAC"/>
    <w:rsid w:val="27401129"/>
    <w:rsid w:val="274A3C91"/>
    <w:rsid w:val="274D2B03"/>
    <w:rsid w:val="275313C7"/>
    <w:rsid w:val="27561460"/>
    <w:rsid w:val="275B5FAB"/>
    <w:rsid w:val="27745EEC"/>
    <w:rsid w:val="27826E32"/>
    <w:rsid w:val="27941E1D"/>
    <w:rsid w:val="27967A1D"/>
    <w:rsid w:val="27982B32"/>
    <w:rsid w:val="279D1033"/>
    <w:rsid w:val="279F483F"/>
    <w:rsid w:val="27A207DB"/>
    <w:rsid w:val="27A62527"/>
    <w:rsid w:val="27BD0002"/>
    <w:rsid w:val="27C3247C"/>
    <w:rsid w:val="27C576CF"/>
    <w:rsid w:val="27CA1CBA"/>
    <w:rsid w:val="27CD69EB"/>
    <w:rsid w:val="27D710EC"/>
    <w:rsid w:val="27D95BA2"/>
    <w:rsid w:val="27E40FE2"/>
    <w:rsid w:val="27E4291F"/>
    <w:rsid w:val="27E857D4"/>
    <w:rsid w:val="27F71F28"/>
    <w:rsid w:val="28024AE2"/>
    <w:rsid w:val="281566AE"/>
    <w:rsid w:val="281B53E5"/>
    <w:rsid w:val="283107F6"/>
    <w:rsid w:val="2846392F"/>
    <w:rsid w:val="284A4EB6"/>
    <w:rsid w:val="28592AE8"/>
    <w:rsid w:val="28724314"/>
    <w:rsid w:val="287B51DD"/>
    <w:rsid w:val="287D79D8"/>
    <w:rsid w:val="289522DC"/>
    <w:rsid w:val="28995822"/>
    <w:rsid w:val="28B01B96"/>
    <w:rsid w:val="28B40855"/>
    <w:rsid w:val="28C52931"/>
    <w:rsid w:val="28D64DCE"/>
    <w:rsid w:val="28E85830"/>
    <w:rsid w:val="29042D59"/>
    <w:rsid w:val="290620F8"/>
    <w:rsid w:val="290851A4"/>
    <w:rsid w:val="290962B0"/>
    <w:rsid w:val="290F29BE"/>
    <w:rsid w:val="29122F52"/>
    <w:rsid w:val="29151200"/>
    <w:rsid w:val="291820E0"/>
    <w:rsid w:val="29264075"/>
    <w:rsid w:val="29292591"/>
    <w:rsid w:val="292C49EE"/>
    <w:rsid w:val="29354940"/>
    <w:rsid w:val="2944762B"/>
    <w:rsid w:val="29536C82"/>
    <w:rsid w:val="295627C0"/>
    <w:rsid w:val="29566046"/>
    <w:rsid w:val="295C10B3"/>
    <w:rsid w:val="29633600"/>
    <w:rsid w:val="29694494"/>
    <w:rsid w:val="29702073"/>
    <w:rsid w:val="297D3C98"/>
    <w:rsid w:val="29937DA7"/>
    <w:rsid w:val="2999716B"/>
    <w:rsid w:val="29AC75F2"/>
    <w:rsid w:val="29B27143"/>
    <w:rsid w:val="29B6075C"/>
    <w:rsid w:val="29C34867"/>
    <w:rsid w:val="29C56246"/>
    <w:rsid w:val="29D729F6"/>
    <w:rsid w:val="29E13425"/>
    <w:rsid w:val="2A05730B"/>
    <w:rsid w:val="2A071E7A"/>
    <w:rsid w:val="2A075A72"/>
    <w:rsid w:val="2A11116C"/>
    <w:rsid w:val="2A117D42"/>
    <w:rsid w:val="2A124E7E"/>
    <w:rsid w:val="2A1A011D"/>
    <w:rsid w:val="2A220F8A"/>
    <w:rsid w:val="2A293582"/>
    <w:rsid w:val="2A3D6FD1"/>
    <w:rsid w:val="2A4418CF"/>
    <w:rsid w:val="2A4C59D3"/>
    <w:rsid w:val="2A4D4291"/>
    <w:rsid w:val="2A504C07"/>
    <w:rsid w:val="2A570299"/>
    <w:rsid w:val="2A65560F"/>
    <w:rsid w:val="2A6A23FE"/>
    <w:rsid w:val="2A7464AE"/>
    <w:rsid w:val="2A7D028B"/>
    <w:rsid w:val="2A83659D"/>
    <w:rsid w:val="2A905565"/>
    <w:rsid w:val="2A915207"/>
    <w:rsid w:val="2AA213B3"/>
    <w:rsid w:val="2AA859DE"/>
    <w:rsid w:val="2AAE5ADE"/>
    <w:rsid w:val="2AB32EED"/>
    <w:rsid w:val="2AB47391"/>
    <w:rsid w:val="2AC03824"/>
    <w:rsid w:val="2AD248EC"/>
    <w:rsid w:val="2AD538F4"/>
    <w:rsid w:val="2AD97E93"/>
    <w:rsid w:val="2ADB31C0"/>
    <w:rsid w:val="2AFD3A87"/>
    <w:rsid w:val="2B2067D5"/>
    <w:rsid w:val="2B3A61FC"/>
    <w:rsid w:val="2B436D85"/>
    <w:rsid w:val="2B485D2C"/>
    <w:rsid w:val="2B4D5B91"/>
    <w:rsid w:val="2B511272"/>
    <w:rsid w:val="2B5A0835"/>
    <w:rsid w:val="2B5E554F"/>
    <w:rsid w:val="2B6174BC"/>
    <w:rsid w:val="2B710BE4"/>
    <w:rsid w:val="2B7D31BC"/>
    <w:rsid w:val="2B817032"/>
    <w:rsid w:val="2B970CF5"/>
    <w:rsid w:val="2BA60E82"/>
    <w:rsid w:val="2BAC30CB"/>
    <w:rsid w:val="2BB77015"/>
    <w:rsid w:val="2BBD2F08"/>
    <w:rsid w:val="2BBD511A"/>
    <w:rsid w:val="2BC44574"/>
    <w:rsid w:val="2BD15D21"/>
    <w:rsid w:val="2BDD4982"/>
    <w:rsid w:val="2BDE4988"/>
    <w:rsid w:val="2BEA2D8F"/>
    <w:rsid w:val="2BEA415C"/>
    <w:rsid w:val="2BEA47A7"/>
    <w:rsid w:val="2BF039DA"/>
    <w:rsid w:val="2BF27377"/>
    <w:rsid w:val="2C0334EB"/>
    <w:rsid w:val="2C2203E1"/>
    <w:rsid w:val="2C2976A8"/>
    <w:rsid w:val="2C325AAA"/>
    <w:rsid w:val="2C3476F8"/>
    <w:rsid w:val="2C3925E3"/>
    <w:rsid w:val="2C5076C6"/>
    <w:rsid w:val="2C514057"/>
    <w:rsid w:val="2C556282"/>
    <w:rsid w:val="2C5C4626"/>
    <w:rsid w:val="2C5F38D3"/>
    <w:rsid w:val="2C6214B3"/>
    <w:rsid w:val="2C6B3A80"/>
    <w:rsid w:val="2C8951CE"/>
    <w:rsid w:val="2C8B6274"/>
    <w:rsid w:val="2C8F003F"/>
    <w:rsid w:val="2C905E9F"/>
    <w:rsid w:val="2CA565A0"/>
    <w:rsid w:val="2CB42EB6"/>
    <w:rsid w:val="2CB94496"/>
    <w:rsid w:val="2CCC34FD"/>
    <w:rsid w:val="2CDF5ADE"/>
    <w:rsid w:val="2CF00D70"/>
    <w:rsid w:val="2CFF5C87"/>
    <w:rsid w:val="2D105C40"/>
    <w:rsid w:val="2D1E243B"/>
    <w:rsid w:val="2D200383"/>
    <w:rsid w:val="2D201DBD"/>
    <w:rsid w:val="2D237F8F"/>
    <w:rsid w:val="2D3C71CA"/>
    <w:rsid w:val="2D4A18E7"/>
    <w:rsid w:val="2D593DC5"/>
    <w:rsid w:val="2D6230D5"/>
    <w:rsid w:val="2D7828F8"/>
    <w:rsid w:val="2D8B2922"/>
    <w:rsid w:val="2DA121C2"/>
    <w:rsid w:val="2DAC6D40"/>
    <w:rsid w:val="2DAE43E9"/>
    <w:rsid w:val="2DB00259"/>
    <w:rsid w:val="2DD22C2F"/>
    <w:rsid w:val="2DD47B16"/>
    <w:rsid w:val="2DE41D92"/>
    <w:rsid w:val="2DE5771A"/>
    <w:rsid w:val="2DEA4EF0"/>
    <w:rsid w:val="2DF214BC"/>
    <w:rsid w:val="2DFB0F00"/>
    <w:rsid w:val="2E1967F4"/>
    <w:rsid w:val="2E2D65A9"/>
    <w:rsid w:val="2E2E063A"/>
    <w:rsid w:val="2E2E1A2C"/>
    <w:rsid w:val="2E332CB0"/>
    <w:rsid w:val="2E350C03"/>
    <w:rsid w:val="2E362A68"/>
    <w:rsid w:val="2E3A5DFF"/>
    <w:rsid w:val="2E46267A"/>
    <w:rsid w:val="2E4A5CB8"/>
    <w:rsid w:val="2E67735D"/>
    <w:rsid w:val="2E692241"/>
    <w:rsid w:val="2E7C02F5"/>
    <w:rsid w:val="2E9C3CFE"/>
    <w:rsid w:val="2EAA3A90"/>
    <w:rsid w:val="2EBC70A0"/>
    <w:rsid w:val="2EBF3919"/>
    <w:rsid w:val="2EC03ADD"/>
    <w:rsid w:val="2EC3705D"/>
    <w:rsid w:val="2EC90B79"/>
    <w:rsid w:val="2EDF6BB6"/>
    <w:rsid w:val="2EE97E07"/>
    <w:rsid w:val="2EEB5F67"/>
    <w:rsid w:val="2EED3FF8"/>
    <w:rsid w:val="2EEF7660"/>
    <w:rsid w:val="2EF55066"/>
    <w:rsid w:val="2EF57F78"/>
    <w:rsid w:val="2F074A0C"/>
    <w:rsid w:val="2F085CF0"/>
    <w:rsid w:val="2F0C1829"/>
    <w:rsid w:val="2F0F4613"/>
    <w:rsid w:val="2F204D25"/>
    <w:rsid w:val="2F245898"/>
    <w:rsid w:val="2F2B067F"/>
    <w:rsid w:val="2F2C4B8F"/>
    <w:rsid w:val="2F311588"/>
    <w:rsid w:val="2F390CF1"/>
    <w:rsid w:val="2F5D4008"/>
    <w:rsid w:val="2F6139B6"/>
    <w:rsid w:val="2F794853"/>
    <w:rsid w:val="2F7B66D0"/>
    <w:rsid w:val="2F7B6750"/>
    <w:rsid w:val="2F873066"/>
    <w:rsid w:val="2F8B61E7"/>
    <w:rsid w:val="2F912AB8"/>
    <w:rsid w:val="2F995466"/>
    <w:rsid w:val="2F9C3AAF"/>
    <w:rsid w:val="2FA2501C"/>
    <w:rsid w:val="2FA86D99"/>
    <w:rsid w:val="2FAC573C"/>
    <w:rsid w:val="2FB362DC"/>
    <w:rsid w:val="2FB42C0F"/>
    <w:rsid w:val="2FBF13C6"/>
    <w:rsid w:val="2FE70B8E"/>
    <w:rsid w:val="30087837"/>
    <w:rsid w:val="3010741C"/>
    <w:rsid w:val="303768E3"/>
    <w:rsid w:val="303B647C"/>
    <w:rsid w:val="303E1680"/>
    <w:rsid w:val="30443DF6"/>
    <w:rsid w:val="30450A8C"/>
    <w:rsid w:val="30634965"/>
    <w:rsid w:val="3064447C"/>
    <w:rsid w:val="309964E5"/>
    <w:rsid w:val="309D4F6A"/>
    <w:rsid w:val="30A4278C"/>
    <w:rsid w:val="30B128D3"/>
    <w:rsid w:val="30B868C0"/>
    <w:rsid w:val="30C34AC5"/>
    <w:rsid w:val="30D34F0A"/>
    <w:rsid w:val="30DC4A42"/>
    <w:rsid w:val="30E02287"/>
    <w:rsid w:val="30F80BA5"/>
    <w:rsid w:val="30FA5B28"/>
    <w:rsid w:val="310F5F1A"/>
    <w:rsid w:val="311131CE"/>
    <w:rsid w:val="311579FB"/>
    <w:rsid w:val="31157DA7"/>
    <w:rsid w:val="311A0015"/>
    <w:rsid w:val="31242C41"/>
    <w:rsid w:val="312F1CB3"/>
    <w:rsid w:val="31362597"/>
    <w:rsid w:val="3140197F"/>
    <w:rsid w:val="314401C3"/>
    <w:rsid w:val="31630DD5"/>
    <w:rsid w:val="31655129"/>
    <w:rsid w:val="31660CB9"/>
    <w:rsid w:val="316816D7"/>
    <w:rsid w:val="3172638B"/>
    <w:rsid w:val="31767C84"/>
    <w:rsid w:val="3199503B"/>
    <w:rsid w:val="31A375ED"/>
    <w:rsid w:val="31A81802"/>
    <w:rsid w:val="31AF440F"/>
    <w:rsid w:val="31B31554"/>
    <w:rsid w:val="31B41A25"/>
    <w:rsid w:val="31B7007F"/>
    <w:rsid w:val="31B95790"/>
    <w:rsid w:val="31C75EF7"/>
    <w:rsid w:val="31CC20ED"/>
    <w:rsid w:val="31D9544F"/>
    <w:rsid w:val="31DA7C17"/>
    <w:rsid w:val="31E24A78"/>
    <w:rsid w:val="31ED6C0E"/>
    <w:rsid w:val="32024E86"/>
    <w:rsid w:val="320B54EE"/>
    <w:rsid w:val="321138DF"/>
    <w:rsid w:val="32231381"/>
    <w:rsid w:val="322632B8"/>
    <w:rsid w:val="32285259"/>
    <w:rsid w:val="32546D64"/>
    <w:rsid w:val="32603BE6"/>
    <w:rsid w:val="326530BB"/>
    <w:rsid w:val="32662CFF"/>
    <w:rsid w:val="326E059E"/>
    <w:rsid w:val="326E2F87"/>
    <w:rsid w:val="32703EB5"/>
    <w:rsid w:val="32791133"/>
    <w:rsid w:val="3281039E"/>
    <w:rsid w:val="32A45215"/>
    <w:rsid w:val="32A75037"/>
    <w:rsid w:val="32C01F97"/>
    <w:rsid w:val="32C67F6C"/>
    <w:rsid w:val="32C72FCC"/>
    <w:rsid w:val="32DA23E9"/>
    <w:rsid w:val="32E4458C"/>
    <w:rsid w:val="32F94D2C"/>
    <w:rsid w:val="32FB3683"/>
    <w:rsid w:val="33005A54"/>
    <w:rsid w:val="33045235"/>
    <w:rsid w:val="3307266D"/>
    <w:rsid w:val="330C0B89"/>
    <w:rsid w:val="33264BA4"/>
    <w:rsid w:val="332D2F3E"/>
    <w:rsid w:val="333745E1"/>
    <w:rsid w:val="333A1BEA"/>
    <w:rsid w:val="333C124F"/>
    <w:rsid w:val="333E1EEE"/>
    <w:rsid w:val="33455D58"/>
    <w:rsid w:val="33522FB7"/>
    <w:rsid w:val="335948C6"/>
    <w:rsid w:val="335B5E92"/>
    <w:rsid w:val="33654B56"/>
    <w:rsid w:val="33865362"/>
    <w:rsid w:val="338D63F8"/>
    <w:rsid w:val="33910DDD"/>
    <w:rsid w:val="33AC3C35"/>
    <w:rsid w:val="33AD2726"/>
    <w:rsid w:val="33AF5383"/>
    <w:rsid w:val="33C8133E"/>
    <w:rsid w:val="33DD48ED"/>
    <w:rsid w:val="33E732EB"/>
    <w:rsid w:val="33F26AE9"/>
    <w:rsid w:val="33FE5537"/>
    <w:rsid w:val="34020473"/>
    <w:rsid w:val="34093F0D"/>
    <w:rsid w:val="34214C0E"/>
    <w:rsid w:val="344815EF"/>
    <w:rsid w:val="344A0264"/>
    <w:rsid w:val="34827A9D"/>
    <w:rsid w:val="348A2A3B"/>
    <w:rsid w:val="349414FA"/>
    <w:rsid w:val="349E7472"/>
    <w:rsid w:val="349F4C0E"/>
    <w:rsid w:val="34A056E4"/>
    <w:rsid w:val="34AB47F8"/>
    <w:rsid w:val="34D50421"/>
    <w:rsid w:val="34E4598F"/>
    <w:rsid w:val="34E96ED5"/>
    <w:rsid w:val="34F12F90"/>
    <w:rsid w:val="34F24DAD"/>
    <w:rsid w:val="34FD21C5"/>
    <w:rsid w:val="35096BD7"/>
    <w:rsid w:val="350D7475"/>
    <w:rsid w:val="350F12C2"/>
    <w:rsid w:val="35171C75"/>
    <w:rsid w:val="351E358C"/>
    <w:rsid w:val="354926C4"/>
    <w:rsid w:val="354B6D60"/>
    <w:rsid w:val="356554C3"/>
    <w:rsid w:val="356C5B79"/>
    <w:rsid w:val="357A2F85"/>
    <w:rsid w:val="358006FB"/>
    <w:rsid w:val="35891074"/>
    <w:rsid w:val="35931614"/>
    <w:rsid w:val="35956011"/>
    <w:rsid w:val="35A26038"/>
    <w:rsid w:val="35AC36EC"/>
    <w:rsid w:val="35CB37E1"/>
    <w:rsid w:val="35D43640"/>
    <w:rsid w:val="35D54660"/>
    <w:rsid w:val="35DF3916"/>
    <w:rsid w:val="35E214A6"/>
    <w:rsid w:val="35F9309E"/>
    <w:rsid w:val="35F97329"/>
    <w:rsid w:val="35FC2BFB"/>
    <w:rsid w:val="360028DB"/>
    <w:rsid w:val="360311CD"/>
    <w:rsid w:val="360838C1"/>
    <w:rsid w:val="36086A3E"/>
    <w:rsid w:val="3614081E"/>
    <w:rsid w:val="36185677"/>
    <w:rsid w:val="361C4431"/>
    <w:rsid w:val="362F575E"/>
    <w:rsid w:val="36410E8D"/>
    <w:rsid w:val="364C1736"/>
    <w:rsid w:val="366436EC"/>
    <w:rsid w:val="367070E9"/>
    <w:rsid w:val="36717FB7"/>
    <w:rsid w:val="36795DE9"/>
    <w:rsid w:val="367F0E10"/>
    <w:rsid w:val="368157FA"/>
    <w:rsid w:val="36AC5312"/>
    <w:rsid w:val="36BA73AD"/>
    <w:rsid w:val="36BD3057"/>
    <w:rsid w:val="36C53F28"/>
    <w:rsid w:val="36DA23D6"/>
    <w:rsid w:val="36DF1F6B"/>
    <w:rsid w:val="36ED7DF9"/>
    <w:rsid w:val="36F20BC3"/>
    <w:rsid w:val="36F52483"/>
    <w:rsid w:val="37014C1E"/>
    <w:rsid w:val="37042CA7"/>
    <w:rsid w:val="37071ACF"/>
    <w:rsid w:val="370A3F53"/>
    <w:rsid w:val="370C0632"/>
    <w:rsid w:val="371419E5"/>
    <w:rsid w:val="3724764D"/>
    <w:rsid w:val="37284880"/>
    <w:rsid w:val="37434505"/>
    <w:rsid w:val="3754568A"/>
    <w:rsid w:val="375C2858"/>
    <w:rsid w:val="375C4782"/>
    <w:rsid w:val="375D5610"/>
    <w:rsid w:val="37640EC7"/>
    <w:rsid w:val="37757E4D"/>
    <w:rsid w:val="37873C61"/>
    <w:rsid w:val="378979C7"/>
    <w:rsid w:val="378B3395"/>
    <w:rsid w:val="37936580"/>
    <w:rsid w:val="379D575F"/>
    <w:rsid w:val="37B003D3"/>
    <w:rsid w:val="37B3452D"/>
    <w:rsid w:val="37BF7375"/>
    <w:rsid w:val="37C75C22"/>
    <w:rsid w:val="37D00E89"/>
    <w:rsid w:val="37D05278"/>
    <w:rsid w:val="37D45D29"/>
    <w:rsid w:val="37D46C46"/>
    <w:rsid w:val="37D70D5A"/>
    <w:rsid w:val="37DE77FC"/>
    <w:rsid w:val="37EC313C"/>
    <w:rsid w:val="37F30DCD"/>
    <w:rsid w:val="37FD2C7F"/>
    <w:rsid w:val="380D27D8"/>
    <w:rsid w:val="38170D5F"/>
    <w:rsid w:val="38193DD3"/>
    <w:rsid w:val="3823609E"/>
    <w:rsid w:val="3836260E"/>
    <w:rsid w:val="38376F0C"/>
    <w:rsid w:val="384366C2"/>
    <w:rsid w:val="38534C40"/>
    <w:rsid w:val="3854167D"/>
    <w:rsid w:val="38877E93"/>
    <w:rsid w:val="388864E9"/>
    <w:rsid w:val="389333B6"/>
    <w:rsid w:val="38966871"/>
    <w:rsid w:val="389B155F"/>
    <w:rsid w:val="389B393F"/>
    <w:rsid w:val="389B44F4"/>
    <w:rsid w:val="38AC2818"/>
    <w:rsid w:val="38AF2F35"/>
    <w:rsid w:val="38D0746A"/>
    <w:rsid w:val="38D277E2"/>
    <w:rsid w:val="38D7151F"/>
    <w:rsid w:val="38DD45B4"/>
    <w:rsid w:val="38E22E64"/>
    <w:rsid w:val="38E36DAA"/>
    <w:rsid w:val="38E94171"/>
    <w:rsid w:val="38ED1663"/>
    <w:rsid w:val="38EE2438"/>
    <w:rsid w:val="390C3530"/>
    <w:rsid w:val="3910161C"/>
    <w:rsid w:val="3912057F"/>
    <w:rsid w:val="39150BC6"/>
    <w:rsid w:val="391D4B90"/>
    <w:rsid w:val="39271AE3"/>
    <w:rsid w:val="39283E20"/>
    <w:rsid w:val="39375AE3"/>
    <w:rsid w:val="393806FD"/>
    <w:rsid w:val="394804C0"/>
    <w:rsid w:val="394825A8"/>
    <w:rsid w:val="394F57E5"/>
    <w:rsid w:val="395619B4"/>
    <w:rsid w:val="396D24EA"/>
    <w:rsid w:val="397228F1"/>
    <w:rsid w:val="39860ACA"/>
    <w:rsid w:val="399877E8"/>
    <w:rsid w:val="39A448C9"/>
    <w:rsid w:val="39AA79F3"/>
    <w:rsid w:val="39AF464B"/>
    <w:rsid w:val="39B46F40"/>
    <w:rsid w:val="39C23481"/>
    <w:rsid w:val="39C822EF"/>
    <w:rsid w:val="39CE1F60"/>
    <w:rsid w:val="39D85A67"/>
    <w:rsid w:val="39DD4570"/>
    <w:rsid w:val="39DD665C"/>
    <w:rsid w:val="39F04AF4"/>
    <w:rsid w:val="39F22C4F"/>
    <w:rsid w:val="3A095555"/>
    <w:rsid w:val="3A1359B5"/>
    <w:rsid w:val="3A2139ED"/>
    <w:rsid w:val="3A390109"/>
    <w:rsid w:val="3A3F02FA"/>
    <w:rsid w:val="3A4F3E65"/>
    <w:rsid w:val="3A536D35"/>
    <w:rsid w:val="3A5C55E6"/>
    <w:rsid w:val="3A630104"/>
    <w:rsid w:val="3A687B9A"/>
    <w:rsid w:val="3A8C3BA1"/>
    <w:rsid w:val="3A9B050E"/>
    <w:rsid w:val="3AA70E7C"/>
    <w:rsid w:val="3AAA19C0"/>
    <w:rsid w:val="3AAF5906"/>
    <w:rsid w:val="3AB043A8"/>
    <w:rsid w:val="3AC30AA9"/>
    <w:rsid w:val="3ACD23E7"/>
    <w:rsid w:val="3AD273C0"/>
    <w:rsid w:val="3AEA7A57"/>
    <w:rsid w:val="3AEB52A3"/>
    <w:rsid w:val="3B09794B"/>
    <w:rsid w:val="3B0A555B"/>
    <w:rsid w:val="3B0A57A1"/>
    <w:rsid w:val="3B0F4635"/>
    <w:rsid w:val="3B13572F"/>
    <w:rsid w:val="3B162AC5"/>
    <w:rsid w:val="3B172202"/>
    <w:rsid w:val="3B1E6021"/>
    <w:rsid w:val="3B2220F5"/>
    <w:rsid w:val="3B3478D1"/>
    <w:rsid w:val="3B397A73"/>
    <w:rsid w:val="3B5A775B"/>
    <w:rsid w:val="3B5D741C"/>
    <w:rsid w:val="3B6359D1"/>
    <w:rsid w:val="3B6A7E3B"/>
    <w:rsid w:val="3B6C511E"/>
    <w:rsid w:val="3B725795"/>
    <w:rsid w:val="3B732BE1"/>
    <w:rsid w:val="3B787F67"/>
    <w:rsid w:val="3B806E1C"/>
    <w:rsid w:val="3B846899"/>
    <w:rsid w:val="3B9279CA"/>
    <w:rsid w:val="3B9F54F4"/>
    <w:rsid w:val="3BA945C4"/>
    <w:rsid w:val="3BB7549D"/>
    <w:rsid w:val="3BB771B6"/>
    <w:rsid w:val="3BCD34AB"/>
    <w:rsid w:val="3BD339C2"/>
    <w:rsid w:val="3BDD33F5"/>
    <w:rsid w:val="3BE455FD"/>
    <w:rsid w:val="3BEB2F51"/>
    <w:rsid w:val="3C07250D"/>
    <w:rsid w:val="3C152C14"/>
    <w:rsid w:val="3C153B02"/>
    <w:rsid w:val="3C237ED3"/>
    <w:rsid w:val="3C372775"/>
    <w:rsid w:val="3C3A119F"/>
    <w:rsid w:val="3C44609B"/>
    <w:rsid w:val="3C4E1EAF"/>
    <w:rsid w:val="3C5248AA"/>
    <w:rsid w:val="3C553DF7"/>
    <w:rsid w:val="3C574020"/>
    <w:rsid w:val="3C5938F5"/>
    <w:rsid w:val="3C5F2ED5"/>
    <w:rsid w:val="3C695ECE"/>
    <w:rsid w:val="3C743725"/>
    <w:rsid w:val="3C771FCD"/>
    <w:rsid w:val="3C831610"/>
    <w:rsid w:val="3C954FD3"/>
    <w:rsid w:val="3CA56C42"/>
    <w:rsid w:val="3CA86D5D"/>
    <w:rsid w:val="3CC1422D"/>
    <w:rsid w:val="3CC7395A"/>
    <w:rsid w:val="3CE2201A"/>
    <w:rsid w:val="3D057975"/>
    <w:rsid w:val="3D2178A4"/>
    <w:rsid w:val="3D2623CA"/>
    <w:rsid w:val="3D3F1BDF"/>
    <w:rsid w:val="3D407FF1"/>
    <w:rsid w:val="3D46688B"/>
    <w:rsid w:val="3D5A7156"/>
    <w:rsid w:val="3D6A7C68"/>
    <w:rsid w:val="3D6C4E45"/>
    <w:rsid w:val="3D6E0BE4"/>
    <w:rsid w:val="3D712ABF"/>
    <w:rsid w:val="3D734A83"/>
    <w:rsid w:val="3D7729EF"/>
    <w:rsid w:val="3D9B5CB3"/>
    <w:rsid w:val="3DA24636"/>
    <w:rsid w:val="3DB374EA"/>
    <w:rsid w:val="3DBD014B"/>
    <w:rsid w:val="3DBD1D00"/>
    <w:rsid w:val="3DC57536"/>
    <w:rsid w:val="3DD1472F"/>
    <w:rsid w:val="3E095AEF"/>
    <w:rsid w:val="3E0D32B5"/>
    <w:rsid w:val="3E124BFC"/>
    <w:rsid w:val="3E126570"/>
    <w:rsid w:val="3E1F46FF"/>
    <w:rsid w:val="3E3540B9"/>
    <w:rsid w:val="3E3D7DCA"/>
    <w:rsid w:val="3E3E14FE"/>
    <w:rsid w:val="3E457AE2"/>
    <w:rsid w:val="3E540C61"/>
    <w:rsid w:val="3E54724E"/>
    <w:rsid w:val="3E80708F"/>
    <w:rsid w:val="3E807AAB"/>
    <w:rsid w:val="3E9075ED"/>
    <w:rsid w:val="3E970C68"/>
    <w:rsid w:val="3EAF7CC1"/>
    <w:rsid w:val="3EB018CE"/>
    <w:rsid w:val="3EB1692D"/>
    <w:rsid w:val="3EB94B1E"/>
    <w:rsid w:val="3EC74022"/>
    <w:rsid w:val="3ED00E88"/>
    <w:rsid w:val="3ED41958"/>
    <w:rsid w:val="3ED83501"/>
    <w:rsid w:val="3EE247FE"/>
    <w:rsid w:val="3EE40103"/>
    <w:rsid w:val="3EF95D7F"/>
    <w:rsid w:val="3F034108"/>
    <w:rsid w:val="3F0F000C"/>
    <w:rsid w:val="3F1E7392"/>
    <w:rsid w:val="3F223A02"/>
    <w:rsid w:val="3F3620C0"/>
    <w:rsid w:val="3F3B5533"/>
    <w:rsid w:val="3F3F1D63"/>
    <w:rsid w:val="3F464F1D"/>
    <w:rsid w:val="3F7049D4"/>
    <w:rsid w:val="3F731171"/>
    <w:rsid w:val="3F836762"/>
    <w:rsid w:val="3F8A102C"/>
    <w:rsid w:val="3F8D6EC4"/>
    <w:rsid w:val="3F9410E8"/>
    <w:rsid w:val="3F983B69"/>
    <w:rsid w:val="3FA163E5"/>
    <w:rsid w:val="3FAB7CF3"/>
    <w:rsid w:val="3FAF749F"/>
    <w:rsid w:val="3FB549FB"/>
    <w:rsid w:val="3FBD063E"/>
    <w:rsid w:val="3FC171B8"/>
    <w:rsid w:val="3FD463E5"/>
    <w:rsid w:val="3FF07A61"/>
    <w:rsid w:val="400834A2"/>
    <w:rsid w:val="40181C06"/>
    <w:rsid w:val="40290C74"/>
    <w:rsid w:val="402C3A22"/>
    <w:rsid w:val="402F4EB4"/>
    <w:rsid w:val="4030541E"/>
    <w:rsid w:val="4041301D"/>
    <w:rsid w:val="40544344"/>
    <w:rsid w:val="40574196"/>
    <w:rsid w:val="40585CB8"/>
    <w:rsid w:val="40591E97"/>
    <w:rsid w:val="405D6F77"/>
    <w:rsid w:val="4065617D"/>
    <w:rsid w:val="407267E4"/>
    <w:rsid w:val="40791C26"/>
    <w:rsid w:val="40863CAE"/>
    <w:rsid w:val="409B6C63"/>
    <w:rsid w:val="409D42C3"/>
    <w:rsid w:val="40AB6349"/>
    <w:rsid w:val="40AD5FB0"/>
    <w:rsid w:val="40B479D4"/>
    <w:rsid w:val="40BD086F"/>
    <w:rsid w:val="40C17CBA"/>
    <w:rsid w:val="40C372BC"/>
    <w:rsid w:val="40C559FD"/>
    <w:rsid w:val="40CA6286"/>
    <w:rsid w:val="40CB0BA9"/>
    <w:rsid w:val="40D46A12"/>
    <w:rsid w:val="40E340D5"/>
    <w:rsid w:val="40E6419E"/>
    <w:rsid w:val="40F75326"/>
    <w:rsid w:val="40FF664B"/>
    <w:rsid w:val="411B3007"/>
    <w:rsid w:val="41231F77"/>
    <w:rsid w:val="412F1E86"/>
    <w:rsid w:val="41306BCF"/>
    <w:rsid w:val="41312693"/>
    <w:rsid w:val="41350470"/>
    <w:rsid w:val="41467FDD"/>
    <w:rsid w:val="415723CD"/>
    <w:rsid w:val="41656898"/>
    <w:rsid w:val="416C1C01"/>
    <w:rsid w:val="41AE4AB4"/>
    <w:rsid w:val="41B15FF3"/>
    <w:rsid w:val="41B525D4"/>
    <w:rsid w:val="41BA1BF8"/>
    <w:rsid w:val="41C139C3"/>
    <w:rsid w:val="41C903E1"/>
    <w:rsid w:val="41D21B31"/>
    <w:rsid w:val="41D73DF4"/>
    <w:rsid w:val="41DB4DAC"/>
    <w:rsid w:val="41FC73B2"/>
    <w:rsid w:val="420E5181"/>
    <w:rsid w:val="42170F8C"/>
    <w:rsid w:val="42180300"/>
    <w:rsid w:val="422F5897"/>
    <w:rsid w:val="4234720B"/>
    <w:rsid w:val="424D5AE0"/>
    <w:rsid w:val="42674B71"/>
    <w:rsid w:val="429615EC"/>
    <w:rsid w:val="42975177"/>
    <w:rsid w:val="42BC67BA"/>
    <w:rsid w:val="42C35A4D"/>
    <w:rsid w:val="42CA045D"/>
    <w:rsid w:val="42CB5F5B"/>
    <w:rsid w:val="42CC6D1F"/>
    <w:rsid w:val="42E035C9"/>
    <w:rsid w:val="42F62E5D"/>
    <w:rsid w:val="43126F76"/>
    <w:rsid w:val="431402D8"/>
    <w:rsid w:val="431776BD"/>
    <w:rsid w:val="4324471C"/>
    <w:rsid w:val="432826C6"/>
    <w:rsid w:val="432A2779"/>
    <w:rsid w:val="4338229B"/>
    <w:rsid w:val="433D1491"/>
    <w:rsid w:val="434370C7"/>
    <w:rsid w:val="43447531"/>
    <w:rsid w:val="4358499B"/>
    <w:rsid w:val="435D728E"/>
    <w:rsid w:val="43615785"/>
    <w:rsid w:val="436239D7"/>
    <w:rsid w:val="43635059"/>
    <w:rsid w:val="43636043"/>
    <w:rsid w:val="43657FF5"/>
    <w:rsid w:val="43765BAD"/>
    <w:rsid w:val="43770B1E"/>
    <w:rsid w:val="43860D47"/>
    <w:rsid w:val="438C0F01"/>
    <w:rsid w:val="439944D4"/>
    <w:rsid w:val="439E5BE8"/>
    <w:rsid w:val="43AB2CBE"/>
    <w:rsid w:val="43AC2F20"/>
    <w:rsid w:val="43AF2078"/>
    <w:rsid w:val="43C74789"/>
    <w:rsid w:val="43D37E57"/>
    <w:rsid w:val="43E7663E"/>
    <w:rsid w:val="43E7673E"/>
    <w:rsid w:val="43FD2A06"/>
    <w:rsid w:val="44001F77"/>
    <w:rsid w:val="44006FAC"/>
    <w:rsid w:val="44035AC2"/>
    <w:rsid w:val="44067D59"/>
    <w:rsid w:val="440F70AA"/>
    <w:rsid w:val="441E5346"/>
    <w:rsid w:val="4422307E"/>
    <w:rsid w:val="44310F77"/>
    <w:rsid w:val="44384C30"/>
    <w:rsid w:val="44467D41"/>
    <w:rsid w:val="444A1E85"/>
    <w:rsid w:val="444F0BAC"/>
    <w:rsid w:val="445316CE"/>
    <w:rsid w:val="44697716"/>
    <w:rsid w:val="447B32D4"/>
    <w:rsid w:val="449A04DB"/>
    <w:rsid w:val="44A11C46"/>
    <w:rsid w:val="44AF15DC"/>
    <w:rsid w:val="44C0010B"/>
    <w:rsid w:val="44CA0CDB"/>
    <w:rsid w:val="44E221D4"/>
    <w:rsid w:val="44E713C0"/>
    <w:rsid w:val="44FB5AFF"/>
    <w:rsid w:val="44FD0C7C"/>
    <w:rsid w:val="45004004"/>
    <w:rsid w:val="45170486"/>
    <w:rsid w:val="45200E69"/>
    <w:rsid w:val="4522107C"/>
    <w:rsid w:val="452225B8"/>
    <w:rsid w:val="4523206E"/>
    <w:rsid w:val="45513D03"/>
    <w:rsid w:val="4553016A"/>
    <w:rsid w:val="455647EE"/>
    <w:rsid w:val="45657FCE"/>
    <w:rsid w:val="45692E3F"/>
    <w:rsid w:val="456D3672"/>
    <w:rsid w:val="456E726B"/>
    <w:rsid w:val="45851E5C"/>
    <w:rsid w:val="45894CE1"/>
    <w:rsid w:val="458C45D6"/>
    <w:rsid w:val="45927E77"/>
    <w:rsid w:val="45A80200"/>
    <w:rsid w:val="45AC2884"/>
    <w:rsid w:val="45B63B66"/>
    <w:rsid w:val="45D7059C"/>
    <w:rsid w:val="45E11218"/>
    <w:rsid w:val="45E152B4"/>
    <w:rsid w:val="45EA359D"/>
    <w:rsid w:val="45FF09B0"/>
    <w:rsid w:val="4607619F"/>
    <w:rsid w:val="46077B2C"/>
    <w:rsid w:val="460C7F1B"/>
    <w:rsid w:val="46112A11"/>
    <w:rsid w:val="46195EA3"/>
    <w:rsid w:val="46325C2E"/>
    <w:rsid w:val="464932BF"/>
    <w:rsid w:val="464A2500"/>
    <w:rsid w:val="465E0BF3"/>
    <w:rsid w:val="46604C5C"/>
    <w:rsid w:val="466B5908"/>
    <w:rsid w:val="46715059"/>
    <w:rsid w:val="46800BBA"/>
    <w:rsid w:val="4682666D"/>
    <w:rsid w:val="4690085B"/>
    <w:rsid w:val="46910741"/>
    <w:rsid w:val="469D0882"/>
    <w:rsid w:val="46A3201D"/>
    <w:rsid w:val="46C15F17"/>
    <w:rsid w:val="46D11DB7"/>
    <w:rsid w:val="46F26AFC"/>
    <w:rsid w:val="47043E4E"/>
    <w:rsid w:val="470F31A9"/>
    <w:rsid w:val="47226FD9"/>
    <w:rsid w:val="4725522B"/>
    <w:rsid w:val="47262E17"/>
    <w:rsid w:val="472C3631"/>
    <w:rsid w:val="4743767B"/>
    <w:rsid w:val="474641A1"/>
    <w:rsid w:val="4759526B"/>
    <w:rsid w:val="475B15CD"/>
    <w:rsid w:val="47631D49"/>
    <w:rsid w:val="47633F9A"/>
    <w:rsid w:val="47651233"/>
    <w:rsid w:val="476933A4"/>
    <w:rsid w:val="477370BA"/>
    <w:rsid w:val="47792662"/>
    <w:rsid w:val="478578A2"/>
    <w:rsid w:val="47A10A40"/>
    <w:rsid w:val="47A44B9F"/>
    <w:rsid w:val="47A5632A"/>
    <w:rsid w:val="47B22BA0"/>
    <w:rsid w:val="47B94F6F"/>
    <w:rsid w:val="47BB1970"/>
    <w:rsid w:val="47CC7F5E"/>
    <w:rsid w:val="47D86CB7"/>
    <w:rsid w:val="47DF09AB"/>
    <w:rsid w:val="47DF4B25"/>
    <w:rsid w:val="47EB1716"/>
    <w:rsid w:val="47F5323D"/>
    <w:rsid w:val="48022D92"/>
    <w:rsid w:val="48084E75"/>
    <w:rsid w:val="481A409F"/>
    <w:rsid w:val="483D40CA"/>
    <w:rsid w:val="484077D2"/>
    <w:rsid w:val="484511D1"/>
    <w:rsid w:val="48496B15"/>
    <w:rsid w:val="484E23E1"/>
    <w:rsid w:val="485237B7"/>
    <w:rsid w:val="48576FAD"/>
    <w:rsid w:val="48794709"/>
    <w:rsid w:val="487D7EAB"/>
    <w:rsid w:val="489363E0"/>
    <w:rsid w:val="48983ED6"/>
    <w:rsid w:val="48B120F5"/>
    <w:rsid w:val="48B534F7"/>
    <w:rsid w:val="48C75632"/>
    <w:rsid w:val="48CC7486"/>
    <w:rsid w:val="48CF2343"/>
    <w:rsid w:val="48D660BA"/>
    <w:rsid w:val="48E32D13"/>
    <w:rsid w:val="48E34679"/>
    <w:rsid w:val="48E577CC"/>
    <w:rsid w:val="48EE35CE"/>
    <w:rsid w:val="48F0257B"/>
    <w:rsid w:val="48F11122"/>
    <w:rsid w:val="48F3454B"/>
    <w:rsid w:val="48F37FD3"/>
    <w:rsid w:val="48F519A9"/>
    <w:rsid w:val="48F72940"/>
    <w:rsid w:val="48F9225F"/>
    <w:rsid w:val="48F9531D"/>
    <w:rsid w:val="48FF1E7A"/>
    <w:rsid w:val="49023072"/>
    <w:rsid w:val="49090450"/>
    <w:rsid w:val="490B5F77"/>
    <w:rsid w:val="49152BAB"/>
    <w:rsid w:val="49221F7C"/>
    <w:rsid w:val="493271C5"/>
    <w:rsid w:val="493402B6"/>
    <w:rsid w:val="49370824"/>
    <w:rsid w:val="493F41DA"/>
    <w:rsid w:val="494D656C"/>
    <w:rsid w:val="4954515B"/>
    <w:rsid w:val="49631D08"/>
    <w:rsid w:val="4978317E"/>
    <w:rsid w:val="49900F98"/>
    <w:rsid w:val="499C108D"/>
    <w:rsid w:val="49D85CCB"/>
    <w:rsid w:val="49DD15AF"/>
    <w:rsid w:val="49F077C4"/>
    <w:rsid w:val="49FA1BA3"/>
    <w:rsid w:val="4A1D3990"/>
    <w:rsid w:val="4A1E5E6B"/>
    <w:rsid w:val="4A2057BA"/>
    <w:rsid w:val="4A21436F"/>
    <w:rsid w:val="4A2864CC"/>
    <w:rsid w:val="4A340F23"/>
    <w:rsid w:val="4A3E66A1"/>
    <w:rsid w:val="4A531624"/>
    <w:rsid w:val="4A541E2B"/>
    <w:rsid w:val="4A767D68"/>
    <w:rsid w:val="4A865F76"/>
    <w:rsid w:val="4A88183C"/>
    <w:rsid w:val="4A8D3E41"/>
    <w:rsid w:val="4A95617C"/>
    <w:rsid w:val="4AA04DE4"/>
    <w:rsid w:val="4AA929A2"/>
    <w:rsid w:val="4AAB6C73"/>
    <w:rsid w:val="4AB34E21"/>
    <w:rsid w:val="4AB9679A"/>
    <w:rsid w:val="4AC56830"/>
    <w:rsid w:val="4AC8093E"/>
    <w:rsid w:val="4ACF7753"/>
    <w:rsid w:val="4AD829D5"/>
    <w:rsid w:val="4AF93D14"/>
    <w:rsid w:val="4AFA32AF"/>
    <w:rsid w:val="4B056319"/>
    <w:rsid w:val="4B0673D5"/>
    <w:rsid w:val="4B08477A"/>
    <w:rsid w:val="4B0961A3"/>
    <w:rsid w:val="4B0C5FD6"/>
    <w:rsid w:val="4B2F78FD"/>
    <w:rsid w:val="4B335C59"/>
    <w:rsid w:val="4B384F30"/>
    <w:rsid w:val="4B4B5F21"/>
    <w:rsid w:val="4B524171"/>
    <w:rsid w:val="4B540DD0"/>
    <w:rsid w:val="4B583260"/>
    <w:rsid w:val="4B6728EC"/>
    <w:rsid w:val="4B6C78E9"/>
    <w:rsid w:val="4B6F7A65"/>
    <w:rsid w:val="4B833404"/>
    <w:rsid w:val="4B8662AB"/>
    <w:rsid w:val="4B8D3F24"/>
    <w:rsid w:val="4BB24DCF"/>
    <w:rsid w:val="4BBF6F2B"/>
    <w:rsid w:val="4BC12FC7"/>
    <w:rsid w:val="4BC52D55"/>
    <w:rsid w:val="4BCD73B7"/>
    <w:rsid w:val="4BCE33EF"/>
    <w:rsid w:val="4BD44D46"/>
    <w:rsid w:val="4BDB1F80"/>
    <w:rsid w:val="4BFB0181"/>
    <w:rsid w:val="4C01147C"/>
    <w:rsid w:val="4C091C49"/>
    <w:rsid w:val="4C092E2A"/>
    <w:rsid w:val="4C0A0BB0"/>
    <w:rsid w:val="4C101AF6"/>
    <w:rsid w:val="4C192202"/>
    <w:rsid w:val="4C1B0BC7"/>
    <w:rsid w:val="4C285091"/>
    <w:rsid w:val="4C5253D9"/>
    <w:rsid w:val="4C65442C"/>
    <w:rsid w:val="4C6A3044"/>
    <w:rsid w:val="4C7577F5"/>
    <w:rsid w:val="4C7F53DF"/>
    <w:rsid w:val="4C947133"/>
    <w:rsid w:val="4CA16E61"/>
    <w:rsid w:val="4CC03272"/>
    <w:rsid w:val="4CC0639D"/>
    <w:rsid w:val="4CD94159"/>
    <w:rsid w:val="4CDF2728"/>
    <w:rsid w:val="4CEB43E1"/>
    <w:rsid w:val="4CF5766A"/>
    <w:rsid w:val="4D015D9C"/>
    <w:rsid w:val="4D091271"/>
    <w:rsid w:val="4D13676B"/>
    <w:rsid w:val="4D1D7030"/>
    <w:rsid w:val="4D1E350E"/>
    <w:rsid w:val="4D205B41"/>
    <w:rsid w:val="4D2C5484"/>
    <w:rsid w:val="4D2E4E7D"/>
    <w:rsid w:val="4D341818"/>
    <w:rsid w:val="4D3878D1"/>
    <w:rsid w:val="4D3A2989"/>
    <w:rsid w:val="4D3A507C"/>
    <w:rsid w:val="4D4E28D6"/>
    <w:rsid w:val="4D740243"/>
    <w:rsid w:val="4D8F03B2"/>
    <w:rsid w:val="4D957007"/>
    <w:rsid w:val="4D982679"/>
    <w:rsid w:val="4D9C6649"/>
    <w:rsid w:val="4DA47F5F"/>
    <w:rsid w:val="4DA747EB"/>
    <w:rsid w:val="4DA80FDA"/>
    <w:rsid w:val="4DAA349A"/>
    <w:rsid w:val="4DB0172B"/>
    <w:rsid w:val="4DB57CE2"/>
    <w:rsid w:val="4DC0774B"/>
    <w:rsid w:val="4DD91086"/>
    <w:rsid w:val="4DDA685F"/>
    <w:rsid w:val="4DE84AD8"/>
    <w:rsid w:val="4DE87CEA"/>
    <w:rsid w:val="4DF6615D"/>
    <w:rsid w:val="4DF75AAC"/>
    <w:rsid w:val="4E01203E"/>
    <w:rsid w:val="4E0650C7"/>
    <w:rsid w:val="4E1A44BB"/>
    <w:rsid w:val="4E1F63CE"/>
    <w:rsid w:val="4E265601"/>
    <w:rsid w:val="4E362C53"/>
    <w:rsid w:val="4E403004"/>
    <w:rsid w:val="4E4E112D"/>
    <w:rsid w:val="4E5F0FBE"/>
    <w:rsid w:val="4E6011B0"/>
    <w:rsid w:val="4E656C14"/>
    <w:rsid w:val="4E66205F"/>
    <w:rsid w:val="4E694869"/>
    <w:rsid w:val="4E710C61"/>
    <w:rsid w:val="4E78283F"/>
    <w:rsid w:val="4E9D2541"/>
    <w:rsid w:val="4EA45ED5"/>
    <w:rsid w:val="4EAA0CFF"/>
    <w:rsid w:val="4EB42C0C"/>
    <w:rsid w:val="4EB52683"/>
    <w:rsid w:val="4EB677AB"/>
    <w:rsid w:val="4EE17A67"/>
    <w:rsid w:val="4EEE4652"/>
    <w:rsid w:val="4EF50BFB"/>
    <w:rsid w:val="4F0E2B6A"/>
    <w:rsid w:val="4F0F6976"/>
    <w:rsid w:val="4F115F6B"/>
    <w:rsid w:val="4F1D4620"/>
    <w:rsid w:val="4F233514"/>
    <w:rsid w:val="4F2443C7"/>
    <w:rsid w:val="4F2C6431"/>
    <w:rsid w:val="4F2D2665"/>
    <w:rsid w:val="4F3C6247"/>
    <w:rsid w:val="4F42182F"/>
    <w:rsid w:val="4F4834E7"/>
    <w:rsid w:val="4F4F0B87"/>
    <w:rsid w:val="4F506DD9"/>
    <w:rsid w:val="4F6B4E2D"/>
    <w:rsid w:val="4F797D99"/>
    <w:rsid w:val="4F7A5C04"/>
    <w:rsid w:val="4F832C03"/>
    <w:rsid w:val="4F847FD3"/>
    <w:rsid w:val="4FA354ED"/>
    <w:rsid w:val="4FA51B91"/>
    <w:rsid w:val="4FB06159"/>
    <w:rsid w:val="4FCA0D3A"/>
    <w:rsid w:val="4FD37C2A"/>
    <w:rsid w:val="4FED33A7"/>
    <w:rsid w:val="4FF07371"/>
    <w:rsid w:val="500460E1"/>
    <w:rsid w:val="5012114C"/>
    <w:rsid w:val="501453B5"/>
    <w:rsid w:val="50206091"/>
    <w:rsid w:val="50287B74"/>
    <w:rsid w:val="502E2879"/>
    <w:rsid w:val="50380236"/>
    <w:rsid w:val="503D340E"/>
    <w:rsid w:val="505274A1"/>
    <w:rsid w:val="505521CD"/>
    <w:rsid w:val="5095081C"/>
    <w:rsid w:val="50A85A1D"/>
    <w:rsid w:val="50B25872"/>
    <w:rsid w:val="50C548DB"/>
    <w:rsid w:val="50C660E8"/>
    <w:rsid w:val="50CE4753"/>
    <w:rsid w:val="50D91C95"/>
    <w:rsid w:val="50EE0879"/>
    <w:rsid w:val="50EE3665"/>
    <w:rsid w:val="50F17C0E"/>
    <w:rsid w:val="50F719AD"/>
    <w:rsid w:val="51010B11"/>
    <w:rsid w:val="51167DB4"/>
    <w:rsid w:val="511C7C7D"/>
    <w:rsid w:val="51222A28"/>
    <w:rsid w:val="51303670"/>
    <w:rsid w:val="51361F9B"/>
    <w:rsid w:val="514457C4"/>
    <w:rsid w:val="514C43DD"/>
    <w:rsid w:val="514E16D7"/>
    <w:rsid w:val="51516E38"/>
    <w:rsid w:val="515A532A"/>
    <w:rsid w:val="51942CC6"/>
    <w:rsid w:val="519520D7"/>
    <w:rsid w:val="5196673E"/>
    <w:rsid w:val="519C4558"/>
    <w:rsid w:val="51A75A96"/>
    <w:rsid w:val="51AE0BE5"/>
    <w:rsid w:val="51B67CDA"/>
    <w:rsid w:val="51C56CC7"/>
    <w:rsid w:val="51D11A94"/>
    <w:rsid w:val="51D96287"/>
    <w:rsid w:val="51DF7B96"/>
    <w:rsid w:val="51F94CEA"/>
    <w:rsid w:val="51F95F5D"/>
    <w:rsid w:val="51FF4AE6"/>
    <w:rsid w:val="520222D6"/>
    <w:rsid w:val="52031B51"/>
    <w:rsid w:val="5204679A"/>
    <w:rsid w:val="52083582"/>
    <w:rsid w:val="520B27CC"/>
    <w:rsid w:val="52166A6C"/>
    <w:rsid w:val="52246F5F"/>
    <w:rsid w:val="52263F0A"/>
    <w:rsid w:val="52361B60"/>
    <w:rsid w:val="524625FC"/>
    <w:rsid w:val="526D5BEE"/>
    <w:rsid w:val="52781CB8"/>
    <w:rsid w:val="52811CD4"/>
    <w:rsid w:val="5282238E"/>
    <w:rsid w:val="529A1822"/>
    <w:rsid w:val="529D7879"/>
    <w:rsid w:val="52AC0CD5"/>
    <w:rsid w:val="52AE4929"/>
    <w:rsid w:val="52C3276F"/>
    <w:rsid w:val="52C45A46"/>
    <w:rsid w:val="52CC025C"/>
    <w:rsid w:val="52D34DFC"/>
    <w:rsid w:val="52DC40A4"/>
    <w:rsid w:val="53047D47"/>
    <w:rsid w:val="530D6360"/>
    <w:rsid w:val="531264BD"/>
    <w:rsid w:val="532F3E4C"/>
    <w:rsid w:val="53300E19"/>
    <w:rsid w:val="534E62EB"/>
    <w:rsid w:val="53700869"/>
    <w:rsid w:val="538A3247"/>
    <w:rsid w:val="53A8251A"/>
    <w:rsid w:val="53B65EE2"/>
    <w:rsid w:val="53BA2037"/>
    <w:rsid w:val="53BD65BC"/>
    <w:rsid w:val="53BF26AF"/>
    <w:rsid w:val="53C05A0A"/>
    <w:rsid w:val="53CB2ED2"/>
    <w:rsid w:val="53DA2AFB"/>
    <w:rsid w:val="53E40F34"/>
    <w:rsid w:val="53E60E49"/>
    <w:rsid w:val="53FD55EE"/>
    <w:rsid w:val="53FF79DA"/>
    <w:rsid w:val="54126B1C"/>
    <w:rsid w:val="5419067D"/>
    <w:rsid w:val="5427602C"/>
    <w:rsid w:val="542E520F"/>
    <w:rsid w:val="54362E41"/>
    <w:rsid w:val="54364886"/>
    <w:rsid w:val="54397B60"/>
    <w:rsid w:val="543E2A42"/>
    <w:rsid w:val="544514CD"/>
    <w:rsid w:val="544927F7"/>
    <w:rsid w:val="54561F08"/>
    <w:rsid w:val="54610B54"/>
    <w:rsid w:val="54612366"/>
    <w:rsid w:val="546E4E9D"/>
    <w:rsid w:val="547A4A6B"/>
    <w:rsid w:val="548A32FB"/>
    <w:rsid w:val="54924045"/>
    <w:rsid w:val="54925589"/>
    <w:rsid w:val="549D1347"/>
    <w:rsid w:val="54A02900"/>
    <w:rsid w:val="54A751A1"/>
    <w:rsid w:val="54A86D6F"/>
    <w:rsid w:val="54B17413"/>
    <w:rsid w:val="54B61CC0"/>
    <w:rsid w:val="54E00DE2"/>
    <w:rsid w:val="54EB3D80"/>
    <w:rsid w:val="54F16968"/>
    <w:rsid w:val="54F65B2F"/>
    <w:rsid w:val="550B063E"/>
    <w:rsid w:val="55101ABA"/>
    <w:rsid w:val="55124B31"/>
    <w:rsid w:val="551B6C9F"/>
    <w:rsid w:val="551D20AC"/>
    <w:rsid w:val="5530158D"/>
    <w:rsid w:val="55321FCF"/>
    <w:rsid w:val="55352A48"/>
    <w:rsid w:val="55432F3C"/>
    <w:rsid w:val="55482F2A"/>
    <w:rsid w:val="555016B1"/>
    <w:rsid w:val="55532A83"/>
    <w:rsid w:val="555E38D2"/>
    <w:rsid w:val="55777B9E"/>
    <w:rsid w:val="559419B6"/>
    <w:rsid w:val="559C72C9"/>
    <w:rsid w:val="559D39A1"/>
    <w:rsid w:val="559D785F"/>
    <w:rsid w:val="55B2299A"/>
    <w:rsid w:val="55C82652"/>
    <w:rsid w:val="55DA288F"/>
    <w:rsid w:val="55E04630"/>
    <w:rsid w:val="55E7799F"/>
    <w:rsid w:val="560A5A80"/>
    <w:rsid w:val="56231F24"/>
    <w:rsid w:val="562E2C66"/>
    <w:rsid w:val="56304B23"/>
    <w:rsid w:val="563D798B"/>
    <w:rsid w:val="56453C11"/>
    <w:rsid w:val="56455421"/>
    <w:rsid w:val="564E2638"/>
    <w:rsid w:val="56552F43"/>
    <w:rsid w:val="566154EE"/>
    <w:rsid w:val="56702D54"/>
    <w:rsid w:val="568365D4"/>
    <w:rsid w:val="56851453"/>
    <w:rsid w:val="56866E8C"/>
    <w:rsid w:val="56907E89"/>
    <w:rsid w:val="56A960CD"/>
    <w:rsid w:val="56C609C1"/>
    <w:rsid w:val="56C738E8"/>
    <w:rsid w:val="56DB6B8C"/>
    <w:rsid w:val="56DD7C36"/>
    <w:rsid w:val="56DF03D7"/>
    <w:rsid w:val="56DF6C95"/>
    <w:rsid w:val="56F01223"/>
    <w:rsid w:val="56FD6D73"/>
    <w:rsid w:val="570D3AD1"/>
    <w:rsid w:val="571A17C0"/>
    <w:rsid w:val="572A0BEF"/>
    <w:rsid w:val="572A152F"/>
    <w:rsid w:val="572C29C3"/>
    <w:rsid w:val="572F1C18"/>
    <w:rsid w:val="57430A0D"/>
    <w:rsid w:val="57486AA5"/>
    <w:rsid w:val="575C02E5"/>
    <w:rsid w:val="575D35D8"/>
    <w:rsid w:val="578E2888"/>
    <w:rsid w:val="57937B02"/>
    <w:rsid w:val="57A013E9"/>
    <w:rsid w:val="57B31FEF"/>
    <w:rsid w:val="57BD678D"/>
    <w:rsid w:val="57C76A22"/>
    <w:rsid w:val="57E26A3C"/>
    <w:rsid w:val="57EC30BF"/>
    <w:rsid w:val="57F555D2"/>
    <w:rsid w:val="57FF7F9F"/>
    <w:rsid w:val="58145960"/>
    <w:rsid w:val="581A6FEF"/>
    <w:rsid w:val="581E3149"/>
    <w:rsid w:val="5837476B"/>
    <w:rsid w:val="584C76FB"/>
    <w:rsid w:val="5862192B"/>
    <w:rsid w:val="586937D5"/>
    <w:rsid w:val="587B49E9"/>
    <w:rsid w:val="58856E49"/>
    <w:rsid w:val="58922939"/>
    <w:rsid w:val="58985C9E"/>
    <w:rsid w:val="589B3E51"/>
    <w:rsid w:val="58AA6AF4"/>
    <w:rsid w:val="58AE5F95"/>
    <w:rsid w:val="58B235A7"/>
    <w:rsid w:val="58BD37E6"/>
    <w:rsid w:val="58BE43AB"/>
    <w:rsid w:val="58C12AF6"/>
    <w:rsid w:val="58C34DA2"/>
    <w:rsid w:val="58C76D78"/>
    <w:rsid w:val="58C963C2"/>
    <w:rsid w:val="58CA0D0B"/>
    <w:rsid w:val="58CD5F6E"/>
    <w:rsid w:val="58CF2B1B"/>
    <w:rsid w:val="58D369B1"/>
    <w:rsid w:val="58EB1FE7"/>
    <w:rsid w:val="58EE5B9C"/>
    <w:rsid w:val="58FA716D"/>
    <w:rsid w:val="5939227D"/>
    <w:rsid w:val="593C0DD2"/>
    <w:rsid w:val="59574E03"/>
    <w:rsid w:val="5961161B"/>
    <w:rsid w:val="596D53E9"/>
    <w:rsid w:val="59815B6E"/>
    <w:rsid w:val="598557CD"/>
    <w:rsid w:val="5992709A"/>
    <w:rsid w:val="5993711B"/>
    <w:rsid w:val="59A85A64"/>
    <w:rsid w:val="59A961A9"/>
    <w:rsid w:val="59AF1775"/>
    <w:rsid w:val="59AF6154"/>
    <w:rsid w:val="59B87CBE"/>
    <w:rsid w:val="59CB452A"/>
    <w:rsid w:val="59D21B21"/>
    <w:rsid w:val="59D73AB0"/>
    <w:rsid w:val="59DF3249"/>
    <w:rsid w:val="59F63BD4"/>
    <w:rsid w:val="59F85B86"/>
    <w:rsid w:val="59F8769F"/>
    <w:rsid w:val="59FF18D3"/>
    <w:rsid w:val="5A0C6FE3"/>
    <w:rsid w:val="5A292701"/>
    <w:rsid w:val="5A355FCD"/>
    <w:rsid w:val="5A383C0D"/>
    <w:rsid w:val="5A3F18E8"/>
    <w:rsid w:val="5A4123B6"/>
    <w:rsid w:val="5A4F0C15"/>
    <w:rsid w:val="5A504131"/>
    <w:rsid w:val="5A562C27"/>
    <w:rsid w:val="5A5E243D"/>
    <w:rsid w:val="5A5F2D00"/>
    <w:rsid w:val="5A6046D6"/>
    <w:rsid w:val="5A6763C5"/>
    <w:rsid w:val="5A715E56"/>
    <w:rsid w:val="5A72324E"/>
    <w:rsid w:val="5A754FB4"/>
    <w:rsid w:val="5A8372BA"/>
    <w:rsid w:val="5A996CAC"/>
    <w:rsid w:val="5AA917D7"/>
    <w:rsid w:val="5AA97523"/>
    <w:rsid w:val="5AAB42BC"/>
    <w:rsid w:val="5ABF0703"/>
    <w:rsid w:val="5AC55459"/>
    <w:rsid w:val="5AC661A1"/>
    <w:rsid w:val="5ADE12BE"/>
    <w:rsid w:val="5AE2605D"/>
    <w:rsid w:val="5AE76118"/>
    <w:rsid w:val="5AEE74A6"/>
    <w:rsid w:val="5AF910DF"/>
    <w:rsid w:val="5B0651A3"/>
    <w:rsid w:val="5B0E22DC"/>
    <w:rsid w:val="5B1A0A41"/>
    <w:rsid w:val="5B313C78"/>
    <w:rsid w:val="5B485209"/>
    <w:rsid w:val="5B4C0F37"/>
    <w:rsid w:val="5B6A02B2"/>
    <w:rsid w:val="5B7627B2"/>
    <w:rsid w:val="5B7B2B44"/>
    <w:rsid w:val="5B897558"/>
    <w:rsid w:val="5B8B7FF4"/>
    <w:rsid w:val="5B971BAA"/>
    <w:rsid w:val="5B9A2608"/>
    <w:rsid w:val="5BA97A87"/>
    <w:rsid w:val="5BAC179B"/>
    <w:rsid w:val="5BBA3F70"/>
    <w:rsid w:val="5BBB2362"/>
    <w:rsid w:val="5BBD3220"/>
    <w:rsid w:val="5BC07095"/>
    <w:rsid w:val="5BC16B6A"/>
    <w:rsid w:val="5BCC7B3B"/>
    <w:rsid w:val="5BDA5C9C"/>
    <w:rsid w:val="5BFB631F"/>
    <w:rsid w:val="5C1B7ACE"/>
    <w:rsid w:val="5C2445EC"/>
    <w:rsid w:val="5C2F2ED4"/>
    <w:rsid w:val="5C2F5FC8"/>
    <w:rsid w:val="5C3F10CA"/>
    <w:rsid w:val="5C3F26AF"/>
    <w:rsid w:val="5C452BEC"/>
    <w:rsid w:val="5C4E3186"/>
    <w:rsid w:val="5C503753"/>
    <w:rsid w:val="5C69772C"/>
    <w:rsid w:val="5C763167"/>
    <w:rsid w:val="5C7860B9"/>
    <w:rsid w:val="5C841E70"/>
    <w:rsid w:val="5C9C0DB5"/>
    <w:rsid w:val="5CB21386"/>
    <w:rsid w:val="5CBB33D2"/>
    <w:rsid w:val="5CE05CAB"/>
    <w:rsid w:val="5CE145B0"/>
    <w:rsid w:val="5CE648D9"/>
    <w:rsid w:val="5CE93D29"/>
    <w:rsid w:val="5CF028A7"/>
    <w:rsid w:val="5D094A6B"/>
    <w:rsid w:val="5D18293D"/>
    <w:rsid w:val="5D212A56"/>
    <w:rsid w:val="5D216030"/>
    <w:rsid w:val="5D3B4631"/>
    <w:rsid w:val="5D4412E1"/>
    <w:rsid w:val="5D5C12C9"/>
    <w:rsid w:val="5D83205C"/>
    <w:rsid w:val="5D97146E"/>
    <w:rsid w:val="5D9D1729"/>
    <w:rsid w:val="5DB32BCA"/>
    <w:rsid w:val="5DB76611"/>
    <w:rsid w:val="5DBC7A2C"/>
    <w:rsid w:val="5DC502CD"/>
    <w:rsid w:val="5DE13BCB"/>
    <w:rsid w:val="5DEC1B5D"/>
    <w:rsid w:val="5DF06EE7"/>
    <w:rsid w:val="5DF221EE"/>
    <w:rsid w:val="5E1314B5"/>
    <w:rsid w:val="5E17784E"/>
    <w:rsid w:val="5E290595"/>
    <w:rsid w:val="5E2B658F"/>
    <w:rsid w:val="5E3742C6"/>
    <w:rsid w:val="5E3B7D9C"/>
    <w:rsid w:val="5E4E0484"/>
    <w:rsid w:val="5E52641C"/>
    <w:rsid w:val="5E5D3F0F"/>
    <w:rsid w:val="5E644C39"/>
    <w:rsid w:val="5E6A7E75"/>
    <w:rsid w:val="5E7842ED"/>
    <w:rsid w:val="5E7C1208"/>
    <w:rsid w:val="5E7C6BAD"/>
    <w:rsid w:val="5E810160"/>
    <w:rsid w:val="5E9139D8"/>
    <w:rsid w:val="5E963D2D"/>
    <w:rsid w:val="5E9B3A71"/>
    <w:rsid w:val="5EAE2ED3"/>
    <w:rsid w:val="5EC72C07"/>
    <w:rsid w:val="5ECC05A7"/>
    <w:rsid w:val="5ED21914"/>
    <w:rsid w:val="5EF41EB4"/>
    <w:rsid w:val="5EFD23AE"/>
    <w:rsid w:val="5F02023E"/>
    <w:rsid w:val="5F0E09BA"/>
    <w:rsid w:val="5F521626"/>
    <w:rsid w:val="5F5431FD"/>
    <w:rsid w:val="5F60451D"/>
    <w:rsid w:val="5F677515"/>
    <w:rsid w:val="5F70126F"/>
    <w:rsid w:val="5F894CC0"/>
    <w:rsid w:val="5FA465A8"/>
    <w:rsid w:val="5FA562D7"/>
    <w:rsid w:val="5FB94860"/>
    <w:rsid w:val="5FBE063B"/>
    <w:rsid w:val="5FBE2E1C"/>
    <w:rsid w:val="5FC4029A"/>
    <w:rsid w:val="5FC870E9"/>
    <w:rsid w:val="5FCC1E1A"/>
    <w:rsid w:val="5FCE4030"/>
    <w:rsid w:val="5FD21144"/>
    <w:rsid w:val="5FE32B0F"/>
    <w:rsid w:val="5FF64D72"/>
    <w:rsid w:val="5FFC4D56"/>
    <w:rsid w:val="5FFF386C"/>
    <w:rsid w:val="60001E90"/>
    <w:rsid w:val="600401D9"/>
    <w:rsid w:val="600E4D8F"/>
    <w:rsid w:val="601170FE"/>
    <w:rsid w:val="6014187C"/>
    <w:rsid w:val="6015121A"/>
    <w:rsid w:val="60296849"/>
    <w:rsid w:val="602C3EF0"/>
    <w:rsid w:val="6032315C"/>
    <w:rsid w:val="60373518"/>
    <w:rsid w:val="604069F6"/>
    <w:rsid w:val="6042199C"/>
    <w:rsid w:val="60442301"/>
    <w:rsid w:val="604851EF"/>
    <w:rsid w:val="604F2C66"/>
    <w:rsid w:val="60694FAE"/>
    <w:rsid w:val="60732927"/>
    <w:rsid w:val="60773786"/>
    <w:rsid w:val="607B7A2E"/>
    <w:rsid w:val="60830A30"/>
    <w:rsid w:val="609D0EA8"/>
    <w:rsid w:val="609F1036"/>
    <w:rsid w:val="609F5A8D"/>
    <w:rsid w:val="60A838E7"/>
    <w:rsid w:val="60B06263"/>
    <w:rsid w:val="60B8299C"/>
    <w:rsid w:val="60BA6579"/>
    <w:rsid w:val="60C04EA4"/>
    <w:rsid w:val="60C2325A"/>
    <w:rsid w:val="60D242DA"/>
    <w:rsid w:val="60EC6236"/>
    <w:rsid w:val="60ED0609"/>
    <w:rsid w:val="60F522B8"/>
    <w:rsid w:val="61036F86"/>
    <w:rsid w:val="61203595"/>
    <w:rsid w:val="61273712"/>
    <w:rsid w:val="613146C1"/>
    <w:rsid w:val="61377776"/>
    <w:rsid w:val="613C4A79"/>
    <w:rsid w:val="613D4689"/>
    <w:rsid w:val="61524C6B"/>
    <w:rsid w:val="616C67A5"/>
    <w:rsid w:val="617701DF"/>
    <w:rsid w:val="6178368A"/>
    <w:rsid w:val="61831664"/>
    <w:rsid w:val="618D521C"/>
    <w:rsid w:val="618D7A19"/>
    <w:rsid w:val="61976D9A"/>
    <w:rsid w:val="61AC12B9"/>
    <w:rsid w:val="61B30D48"/>
    <w:rsid w:val="61BC3D96"/>
    <w:rsid w:val="61BE5948"/>
    <w:rsid w:val="61C4733A"/>
    <w:rsid w:val="61C80D4C"/>
    <w:rsid w:val="61D02A43"/>
    <w:rsid w:val="61E36DD1"/>
    <w:rsid w:val="61E55B13"/>
    <w:rsid w:val="61E96BD8"/>
    <w:rsid w:val="62053A53"/>
    <w:rsid w:val="620E2647"/>
    <w:rsid w:val="62122D32"/>
    <w:rsid w:val="62135B13"/>
    <w:rsid w:val="62195750"/>
    <w:rsid w:val="621B3955"/>
    <w:rsid w:val="622D3D6B"/>
    <w:rsid w:val="622E0699"/>
    <w:rsid w:val="623A79F6"/>
    <w:rsid w:val="623B7475"/>
    <w:rsid w:val="6247307A"/>
    <w:rsid w:val="62492837"/>
    <w:rsid w:val="62677987"/>
    <w:rsid w:val="626A0F27"/>
    <w:rsid w:val="626A5FAC"/>
    <w:rsid w:val="626C0706"/>
    <w:rsid w:val="626E1165"/>
    <w:rsid w:val="6278625B"/>
    <w:rsid w:val="628610C6"/>
    <w:rsid w:val="62960D01"/>
    <w:rsid w:val="62AF4403"/>
    <w:rsid w:val="62C64FB8"/>
    <w:rsid w:val="62C66124"/>
    <w:rsid w:val="62C938BC"/>
    <w:rsid w:val="62CC27C3"/>
    <w:rsid w:val="62CE653B"/>
    <w:rsid w:val="62DD052C"/>
    <w:rsid w:val="62E44F59"/>
    <w:rsid w:val="62F25821"/>
    <w:rsid w:val="62F872D7"/>
    <w:rsid w:val="6300241B"/>
    <w:rsid w:val="6328495B"/>
    <w:rsid w:val="632905AC"/>
    <w:rsid w:val="6334544E"/>
    <w:rsid w:val="633944CF"/>
    <w:rsid w:val="633A03D1"/>
    <w:rsid w:val="634154B5"/>
    <w:rsid w:val="63460357"/>
    <w:rsid w:val="634B1EEF"/>
    <w:rsid w:val="635B7DD9"/>
    <w:rsid w:val="636E387A"/>
    <w:rsid w:val="636E5E7C"/>
    <w:rsid w:val="637052B4"/>
    <w:rsid w:val="63753D50"/>
    <w:rsid w:val="63767D3C"/>
    <w:rsid w:val="637728E2"/>
    <w:rsid w:val="63860603"/>
    <w:rsid w:val="63952BB5"/>
    <w:rsid w:val="639C5B51"/>
    <w:rsid w:val="639C75E3"/>
    <w:rsid w:val="63A2715F"/>
    <w:rsid w:val="63B82D47"/>
    <w:rsid w:val="63BE65AF"/>
    <w:rsid w:val="63E72774"/>
    <w:rsid w:val="63ED29F1"/>
    <w:rsid w:val="63F05D84"/>
    <w:rsid w:val="63F37331"/>
    <w:rsid w:val="64174805"/>
    <w:rsid w:val="641D355E"/>
    <w:rsid w:val="643452A4"/>
    <w:rsid w:val="64355147"/>
    <w:rsid w:val="64357F88"/>
    <w:rsid w:val="64431AE7"/>
    <w:rsid w:val="644B6C23"/>
    <w:rsid w:val="64520AA6"/>
    <w:rsid w:val="6460617D"/>
    <w:rsid w:val="6472215F"/>
    <w:rsid w:val="64835103"/>
    <w:rsid w:val="64853363"/>
    <w:rsid w:val="64925366"/>
    <w:rsid w:val="64B3005B"/>
    <w:rsid w:val="64D01C8F"/>
    <w:rsid w:val="64DA623A"/>
    <w:rsid w:val="64DD553A"/>
    <w:rsid w:val="64E26524"/>
    <w:rsid w:val="64F02F17"/>
    <w:rsid w:val="64F8789F"/>
    <w:rsid w:val="64FD3107"/>
    <w:rsid w:val="64FF2947"/>
    <w:rsid w:val="650F0F3A"/>
    <w:rsid w:val="65153796"/>
    <w:rsid w:val="651A119B"/>
    <w:rsid w:val="651A5B66"/>
    <w:rsid w:val="652A0D9A"/>
    <w:rsid w:val="652B736E"/>
    <w:rsid w:val="652C7549"/>
    <w:rsid w:val="653C4D06"/>
    <w:rsid w:val="653E204A"/>
    <w:rsid w:val="65424BE1"/>
    <w:rsid w:val="654A188C"/>
    <w:rsid w:val="654B3E73"/>
    <w:rsid w:val="6554368F"/>
    <w:rsid w:val="65555B43"/>
    <w:rsid w:val="65700EBD"/>
    <w:rsid w:val="6577254C"/>
    <w:rsid w:val="658D1759"/>
    <w:rsid w:val="65936103"/>
    <w:rsid w:val="659B5C1F"/>
    <w:rsid w:val="65BA339D"/>
    <w:rsid w:val="65C53446"/>
    <w:rsid w:val="65CD6276"/>
    <w:rsid w:val="65E26678"/>
    <w:rsid w:val="65E53AB2"/>
    <w:rsid w:val="65E64443"/>
    <w:rsid w:val="65E772CB"/>
    <w:rsid w:val="65F26453"/>
    <w:rsid w:val="65F76BD2"/>
    <w:rsid w:val="66053AAB"/>
    <w:rsid w:val="660672B9"/>
    <w:rsid w:val="6612338D"/>
    <w:rsid w:val="66173158"/>
    <w:rsid w:val="661B313B"/>
    <w:rsid w:val="663A2B3F"/>
    <w:rsid w:val="66416837"/>
    <w:rsid w:val="664170AA"/>
    <w:rsid w:val="664C49F8"/>
    <w:rsid w:val="664F0015"/>
    <w:rsid w:val="66515606"/>
    <w:rsid w:val="66582FFA"/>
    <w:rsid w:val="6659611C"/>
    <w:rsid w:val="665C7395"/>
    <w:rsid w:val="66665CE7"/>
    <w:rsid w:val="6669657C"/>
    <w:rsid w:val="666A3FF0"/>
    <w:rsid w:val="66743D3D"/>
    <w:rsid w:val="66750093"/>
    <w:rsid w:val="66796AF6"/>
    <w:rsid w:val="667C3F33"/>
    <w:rsid w:val="668C0D2B"/>
    <w:rsid w:val="66920435"/>
    <w:rsid w:val="66A15D14"/>
    <w:rsid w:val="66A32863"/>
    <w:rsid w:val="66C607C7"/>
    <w:rsid w:val="66CA64C4"/>
    <w:rsid w:val="66CD64C4"/>
    <w:rsid w:val="66CF0B12"/>
    <w:rsid w:val="66F3111B"/>
    <w:rsid w:val="66F506B5"/>
    <w:rsid w:val="66FD119D"/>
    <w:rsid w:val="66FD2610"/>
    <w:rsid w:val="67157EAD"/>
    <w:rsid w:val="6725455D"/>
    <w:rsid w:val="672556F7"/>
    <w:rsid w:val="67302CE7"/>
    <w:rsid w:val="67440E2E"/>
    <w:rsid w:val="674E2C6B"/>
    <w:rsid w:val="675462AF"/>
    <w:rsid w:val="675B09E4"/>
    <w:rsid w:val="675B609F"/>
    <w:rsid w:val="675E7CD3"/>
    <w:rsid w:val="6764444D"/>
    <w:rsid w:val="676609CF"/>
    <w:rsid w:val="67677F6B"/>
    <w:rsid w:val="677804E6"/>
    <w:rsid w:val="677B2F8E"/>
    <w:rsid w:val="67806F05"/>
    <w:rsid w:val="679122D9"/>
    <w:rsid w:val="6799301E"/>
    <w:rsid w:val="679C61FA"/>
    <w:rsid w:val="67A150F8"/>
    <w:rsid w:val="67A61834"/>
    <w:rsid w:val="67AB0648"/>
    <w:rsid w:val="67AB0B36"/>
    <w:rsid w:val="67AC426E"/>
    <w:rsid w:val="67B44BEA"/>
    <w:rsid w:val="67B8789D"/>
    <w:rsid w:val="67BC16E1"/>
    <w:rsid w:val="67D32A9B"/>
    <w:rsid w:val="67E22673"/>
    <w:rsid w:val="67F05771"/>
    <w:rsid w:val="67F46609"/>
    <w:rsid w:val="67FC13A6"/>
    <w:rsid w:val="680222E1"/>
    <w:rsid w:val="680254F4"/>
    <w:rsid w:val="68041FCF"/>
    <w:rsid w:val="68096EE4"/>
    <w:rsid w:val="68196AE6"/>
    <w:rsid w:val="68247956"/>
    <w:rsid w:val="682C160E"/>
    <w:rsid w:val="6843108A"/>
    <w:rsid w:val="68542A6E"/>
    <w:rsid w:val="68554535"/>
    <w:rsid w:val="686E0672"/>
    <w:rsid w:val="68773214"/>
    <w:rsid w:val="68775CEB"/>
    <w:rsid w:val="68815DFE"/>
    <w:rsid w:val="68883197"/>
    <w:rsid w:val="689A711D"/>
    <w:rsid w:val="689D2E52"/>
    <w:rsid w:val="68B41D2F"/>
    <w:rsid w:val="68B910F3"/>
    <w:rsid w:val="68BC74C1"/>
    <w:rsid w:val="68BE70B5"/>
    <w:rsid w:val="68C05151"/>
    <w:rsid w:val="68C667B5"/>
    <w:rsid w:val="68C95777"/>
    <w:rsid w:val="68CB297C"/>
    <w:rsid w:val="68EB6024"/>
    <w:rsid w:val="68F71C1C"/>
    <w:rsid w:val="68FB5E72"/>
    <w:rsid w:val="69015591"/>
    <w:rsid w:val="690D7E22"/>
    <w:rsid w:val="69187F3D"/>
    <w:rsid w:val="691C7707"/>
    <w:rsid w:val="69247249"/>
    <w:rsid w:val="692D6E74"/>
    <w:rsid w:val="6950241F"/>
    <w:rsid w:val="69561038"/>
    <w:rsid w:val="69674FF3"/>
    <w:rsid w:val="696A7E97"/>
    <w:rsid w:val="696C43B8"/>
    <w:rsid w:val="69754041"/>
    <w:rsid w:val="698D7C63"/>
    <w:rsid w:val="698E2580"/>
    <w:rsid w:val="69913E1E"/>
    <w:rsid w:val="699C3C21"/>
    <w:rsid w:val="699E02E9"/>
    <w:rsid w:val="699E77CE"/>
    <w:rsid w:val="69A60E1F"/>
    <w:rsid w:val="69B861A5"/>
    <w:rsid w:val="69BA73E7"/>
    <w:rsid w:val="69C235AE"/>
    <w:rsid w:val="69CA7188"/>
    <w:rsid w:val="69D24FCB"/>
    <w:rsid w:val="69D46654"/>
    <w:rsid w:val="69DB214B"/>
    <w:rsid w:val="69F02182"/>
    <w:rsid w:val="69F3466F"/>
    <w:rsid w:val="69FB1939"/>
    <w:rsid w:val="69FB3613"/>
    <w:rsid w:val="6A1A3592"/>
    <w:rsid w:val="6A1D56B2"/>
    <w:rsid w:val="6A261844"/>
    <w:rsid w:val="6A2718E0"/>
    <w:rsid w:val="6A2815BF"/>
    <w:rsid w:val="6A2D1389"/>
    <w:rsid w:val="6A302AAF"/>
    <w:rsid w:val="6A314481"/>
    <w:rsid w:val="6A372389"/>
    <w:rsid w:val="6A4349CC"/>
    <w:rsid w:val="6A6144A4"/>
    <w:rsid w:val="6A6463AC"/>
    <w:rsid w:val="6A700017"/>
    <w:rsid w:val="6A713DF5"/>
    <w:rsid w:val="6A725D6B"/>
    <w:rsid w:val="6A831808"/>
    <w:rsid w:val="6A9516EC"/>
    <w:rsid w:val="6AA50795"/>
    <w:rsid w:val="6AA53D6F"/>
    <w:rsid w:val="6AA774A0"/>
    <w:rsid w:val="6AC76DA3"/>
    <w:rsid w:val="6AE220FB"/>
    <w:rsid w:val="6AEF3C8F"/>
    <w:rsid w:val="6AF251FA"/>
    <w:rsid w:val="6AF8066D"/>
    <w:rsid w:val="6B06177C"/>
    <w:rsid w:val="6B0C606C"/>
    <w:rsid w:val="6B3A5471"/>
    <w:rsid w:val="6B3E2637"/>
    <w:rsid w:val="6B406145"/>
    <w:rsid w:val="6B49651C"/>
    <w:rsid w:val="6B4A0837"/>
    <w:rsid w:val="6B4F10A1"/>
    <w:rsid w:val="6B5E4A76"/>
    <w:rsid w:val="6B852E37"/>
    <w:rsid w:val="6B871FE5"/>
    <w:rsid w:val="6B96617B"/>
    <w:rsid w:val="6BA12A89"/>
    <w:rsid w:val="6BA26C33"/>
    <w:rsid w:val="6BAA59A9"/>
    <w:rsid w:val="6BAC6665"/>
    <w:rsid w:val="6BB50D0A"/>
    <w:rsid w:val="6BC665E9"/>
    <w:rsid w:val="6BC91E41"/>
    <w:rsid w:val="6BD30124"/>
    <w:rsid w:val="6BD50354"/>
    <w:rsid w:val="6BD678A6"/>
    <w:rsid w:val="6BE256B2"/>
    <w:rsid w:val="6BE37807"/>
    <w:rsid w:val="6BF54621"/>
    <w:rsid w:val="6BF9053F"/>
    <w:rsid w:val="6C1649BE"/>
    <w:rsid w:val="6C380394"/>
    <w:rsid w:val="6C466CB1"/>
    <w:rsid w:val="6C5C77E0"/>
    <w:rsid w:val="6C5D58A5"/>
    <w:rsid w:val="6C615010"/>
    <w:rsid w:val="6C620F15"/>
    <w:rsid w:val="6C632197"/>
    <w:rsid w:val="6C650225"/>
    <w:rsid w:val="6C6B7E97"/>
    <w:rsid w:val="6C786A48"/>
    <w:rsid w:val="6C823A0D"/>
    <w:rsid w:val="6C840A14"/>
    <w:rsid w:val="6C8F5BAE"/>
    <w:rsid w:val="6C922387"/>
    <w:rsid w:val="6C936121"/>
    <w:rsid w:val="6C9E7354"/>
    <w:rsid w:val="6C9F5CB9"/>
    <w:rsid w:val="6CA34583"/>
    <w:rsid w:val="6CA55FD2"/>
    <w:rsid w:val="6CB023E3"/>
    <w:rsid w:val="6CB41F78"/>
    <w:rsid w:val="6CB60CC2"/>
    <w:rsid w:val="6CCB4A45"/>
    <w:rsid w:val="6CD6140F"/>
    <w:rsid w:val="6CE77BA1"/>
    <w:rsid w:val="6CEB2BB1"/>
    <w:rsid w:val="6CFC17E4"/>
    <w:rsid w:val="6D023F01"/>
    <w:rsid w:val="6D1649E5"/>
    <w:rsid w:val="6D1677CB"/>
    <w:rsid w:val="6D1B34DA"/>
    <w:rsid w:val="6D1D3873"/>
    <w:rsid w:val="6D217574"/>
    <w:rsid w:val="6D266F73"/>
    <w:rsid w:val="6D2D6F33"/>
    <w:rsid w:val="6D48420E"/>
    <w:rsid w:val="6D537395"/>
    <w:rsid w:val="6D556FB9"/>
    <w:rsid w:val="6D5C28C4"/>
    <w:rsid w:val="6D810A84"/>
    <w:rsid w:val="6D914FC1"/>
    <w:rsid w:val="6DA144C1"/>
    <w:rsid w:val="6DA25282"/>
    <w:rsid w:val="6DA410E2"/>
    <w:rsid w:val="6DAA1953"/>
    <w:rsid w:val="6DB20B0E"/>
    <w:rsid w:val="6DC82610"/>
    <w:rsid w:val="6DDE2C75"/>
    <w:rsid w:val="6DDF0CD5"/>
    <w:rsid w:val="6DE10AB3"/>
    <w:rsid w:val="6DE62D87"/>
    <w:rsid w:val="6DFA2276"/>
    <w:rsid w:val="6E0102F1"/>
    <w:rsid w:val="6E032F7C"/>
    <w:rsid w:val="6E0A1AFD"/>
    <w:rsid w:val="6E153270"/>
    <w:rsid w:val="6E1E0534"/>
    <w:rsid w:val="6E206234"/>
    <w:rsid w:val="6E230128"/>
    <w:rsid w:val="6E353E59"/>
    <w:rsid w:val="6E3D27C7"/>
    <w:rsid w:val="6E4455EC"/>
    <w:rsid w:val="6E446FBE"/>
    <w:rsid w:val="6E4A0F2E"/>
    <w:rsid w:val="6E4A61E5"/>
    <w:rsid w:val="6E5B5B95"/>
    <w:rsid w:val="6E6B2E90"/>
    <w:rsid w:val="6E903AE9"/>
    <w:rsid w:val="6EAC3949"/>
    <w:rsid w:val="6EAD5347"/>
    <w:rsid w:val="6EB578BD"/>
    <w:rsid w:val="6EB6573B"/>
    <w:rsid w:val="6ED315FB"/>
    <w:rsid w:val="6ED60BCB"/>
    <w:rsid w:val="6EE40E3F"/>
    <w:rsid w:val="6EED40F2"/>
    <w:rsid w:val="6F0D6C83"/>
    <w:rsid w:val="6F1D7242"/>
    <w:rsid w:val="6F300369"/>
    <w:rsid w:val="6F3841EF"/>
    <w:rsid w:val="6F3E5F98"/>
    <w:rsid w:val="6F4F5458"/>
    <w:rsid w:val="6F55591C"/>
    <w:rsid w:val="6F5B39D5"/>
    <w:rsid w:val="6F5F5DC5"/>
    <w:rsid w:val="6F6D3D78"/>
    <w:rsid w:val="6F7B6C59"/>
    <w:rsid w:val="6F7C474F"/>
    <w:rsid w:val="6F7E05D7"/>
    <w:rsid w:val="6F867B13"/>
    <w:rsid w:val="6F8B3039"/>
    <w:rsid w:val="6F9B276D"/>
    <w:rsid w:val="6F9E6639"/>
    <w:rsid w:val="6FB367ED"/>
    <w:rsid w:val="6FBA4F3D"/>
    <w:rsid w:val="6FBC61F1"/>
    <w:rsid w:val="6FC756EE"/>
    <w:rsid w:val="6FD15F70"/>
    <w:rsid w:val="6FDC7B51"/>
    <w:rsid w:val="6FF7163F"/>
    <w:rsid w:val="70071F73"/>
    <w:rsid w:val="700D5CAC"/>
    <w:rsid w:val="700E1700"/>
    <w:rsid w:val="70157E4E"/>
    <w:rsid w:val="701958BC"/>
    <w:rsid w:val="701A11D9"/>
    <w:rsid w:val="702002FE"/>
    <w:rsid w:val="702203E6"/>
    <w:rsid w:val="70236935"/>
    <w:rsid w:val="70300A94"/>
    <w:rsid w:val="70334C1A"/>
    <w:rsid w:val="703D260A"/>
    <w:rsid w:val="703F0D10"/>
    <w:rsid w:val="70424141"/>
    <w:rsid w:val="704C6CF1"/>
    <w:rsid w:val="70627FCC"/>
    <w:rsid w:val="70703DC6"/>
    <w:rsid w:val="70756B49"/>
    <w:rsid w:val="70756CD5"/>
    <w:rsid w:val="70765B1C"/>
    <w:rsid w:val="70856EEF"/>
    <w:rsid w:val="70872EFB"/>
    <w:rsid w:val="70922767"/>
    <w:rsid w:val="709D3F9C"/>
    <w:rsid w:val="70A22892"/>
    <w:rsid w:val="70A334CE"/>
    <w:rsid w:val="70AA73C2"/>
    <w:rsid w:val="70B041A5"/>
    <w:rsid w:val="70D171F6"/>
    <w:rsid w:val="70D44BA3"/>
    <w:rsid w:val="70F11C2C"/>
    <w:rsid w:val="70F82053"/>
    <w:rsid w:val="70FA499F"/>
    <w:rsid w:val="710949B3"/>
    <w:rsid w:val="7119662D"/>
    <w:rsid w:val="712B2EF7"/>
    <w:rsid w:val="71341EB3"/>
    <w:rsid w:val="71374F7F"/>
    <w:rsid w:val="71465F97"/>
    <w:rsid w:val="71536435"/>
    <w:rsid w:val="71672A91"/>
    <w:rsid w:val="71831DFC"/>
    <w:rsid w:val="7186776E"/>
    <w:rsid w:val="719159D9"/>
    <w:rsid w:val="71A20873"/>
    <w:rsid w:val="71B64E19"/>
    <w:rsid w:val="71BC27E8"/>
    <w:rsid w:val="71CA03D3"/>
    <w:rsid w:val="71DB66AE"/>
    <w:rsid w:val="71DC40A5"/>
    <w:rsid w:val="71DD22F7"/>
    <w:rsid w:val="71E925EB"/>
    <w:rsid w:val="71EC551F"/>
    <w:rsid w:val="71EE77C5"/>
    <w:rsid w:val="71F15DA2"/>
    <w:rsid w:val="71F24970"/>
    <w:rsid w:val="71F31172"/>
    <w:rsid w:val="71F627F1"/>
    <w:rsid w:val="720008FE"/>
    <w:rsid w:val="72265EB6"/>
    <w:rsid w:val="72292DF0"/>
    <w:rsid w:val="722D45D9"/>
    <w:rsid w:val="72314238"/>
    <w:rsid w:val="723D1A24"/>
    <w:rsid w:val="723E5D09"/>
    <w:rsid w:val="72466662"/>
    <w:rsid w:val="72606EBF"/>
    <w:rsid w:val="7268027A"/>
    <w:rsid w:val="72690561"/>
    <w:rsid w:val="72724FF4"/>
    <w:rsid w:val="72815209"/>
    <w:rsid w:val="728343C5"/>
    <w:rsid w:val="72907C95"/>
    <w:rsid w:val="72976E1E"/>
    <w:rsid w:val="729E2CE5"/>
    <w:rsid w:val="72B700F0"/>
    <w:rsid w:val="72C2096D"/>
    <w:rsid w:val="72E27715"/>
    <w:rsid w:val="72EE1217"/>
    <w:rsid w:val="72EE43D7"/>
    <w:rsid w:val="72FD6FF4"/>
    <w:rsid w:val="730E6C6D"/>
    <w:rsid w:val="732E5C75"/>
    <w:rsid w:val="733358DA"/>
    <w:rsid w:val="7334557D"/>
    <w:rsid w:val="734E2CD1"/>
    <w:rsid w:val="73565FD5"/>
    <w:rsid w:val="735A579A"/>
    <w:rsid w:val="735B6858"/>
    <w:rsid w:val="735D2FC3"/>
    <w:rsid w:val="737D5B37"/>
    <w:rsid w:val="738C5420"/>
    <w:rsid w:val="73905147"/>
    <w:rsid w:val="73920696"/>
    <w:rsid w:val="739C6B4F"/>
    <w:rsid w:val="73A62215"/>
    <w:rsid w:val="73BA21C4"/>
    <w:rsid w:val="73BB063F"/>
    <w:rsid w:val="73D103CF"/>
    <w:rsid w:val="73D12A72"/>
    <w:rsid w:val="73D14206"/>
    <w:rsid w:val="73F5560E"/>
    <w:rsid w:val="740D10F9"/>
    <w:rsid w:val="742C1313"/>
    <w:rsid w:val="74450E10"/>
    <w:rsid w:val="744537E7"/>
    <w:rsid w:val="744E03BE"/>
    <w:rsid w:val="746406BC"/>
    <w:rsid w:val="746D3436"/>
    <w:rsid w:val="747F0B7B"/>
    <w:rsid w:val="74852F8D"/>
    <w:rsid w:val="74A2315F"/>
    <w:rsid w:val="74A972F8"/>
    <w:rsid w:val="74CD4414"/>
    <w:rsid w:val="74DD0005"/>
    <w:rsid w:val="74ED5895"/>
    <w:rsid w:val="74F90B66"/>
    <w:rsid w:val="74FA2091"/>
    <w:rsid w:val="74FA4661"/>
    <w:rsid w:val="74FB182B"/>
    <w:rsid w:val="750B717B"/>
    <w:rsid w:val="751A7BD5"/>
    <w:rsid w:val="75226E79"/>
    <w:rsid w:val="75240C7B"/>
    <w:rsid w:val="75241D9A"/>
    <w:rsid w:val="75283F93"/>
    <w:rsid w:val="752C6EBA"/>
    <w:rsid w:val="752E4C17"/>
    <w:rsid w:val="753857B5"/>
    <w:rsid w:val="755160FD"/>
    <w:rsid w:val="75537981"/>
    <w:rsid w:val="75705CA7"/>
    <w:rsid w:val="757361C5"/>
    <w:rsid w:val="75917133"/>
    <w:rsid w:val="75987FAA"/>
    <w:rsid w:val="759A68F3"/>
    <w:rsid w:val="75AA38D1"/>
    <w:rsid w:val="75B3181E"/>
    <w:rsid w:val="75BD5469"/>
    <w:rsid w:val="75C45EE0"/>
    <w:rsid w:val="75C67A10"/>
    <w:rsid w:val="75CB06B8"/>
    <w:rsid w:val="75CE7CFE"/>
    <w:rsid w:val="75E34F94"/>
    <w:rsid w:val="75FE6BAD"/>
    <w:rsid w:val="76033702"/>
    <w:rsid w:val="76044A9C"/>
    <w:rsid w:val="76047A3B"/>
    <w:rsid w:val="760D6F22"/>
    <w:rsid w:val="7613389B"/>
    <w:rsid w:val="761A4097"/>
    <w:rsid w:val="762269F2"/>
    <w:rsid w:val="762304F4"/>
    <w:rsid w:val="76331BC8"/>
    <w:rsid w:val="76423D8B"/>
    <w:rsid w:val="764B1990"/>
    <w:rsid w:val="76545FCD"/>
    <w:rsid w:val="765D2D23"/>
    <w:rsid w:val="765E560B"/>
    <w:rsid w:val="76644881"/>
    <w:rsid w:val="76881E8D"/>
    <w:rsid w:val="76892AEF"/>
    <w:rsid w:val="769A623C"/>
    <w:rsid w:val="76A27C63"/>
    <w:rsid w:val="76AF16F6"/>
    <w:rsid w:val="76B24594"/>
    <w:rsid w:val="76BE661A"/>
    <w:rsid w:val="76BF12DE"/>
    <w:rsid w:val="76BF6159"/>
    <w:rsid w:val="76C13173"/>
    <w:rsid w:val="76D923D8"/>
    <w:rsid w:val="76E46C6B"/>
    <w:rsid w:val="76FD2EC0"/>
    <w:rsid w:val="7701371A"/>
    <w:rsid w:val="77085BD8"/>
    <w:rsid w:val="77093907"/>
    <w:rsid w:val="770C067C"/>
    <w:rsid w:val="770D7097"/>
    <w:rsid w:val="77100FD2"/>
    <w:rsid w:val="771147F0"/>
    <w:rsid w:val="7723138A"/>
    <w:rsid w:val="7725283C"/>
    <w:rsid w:val="77273A3E"/>
    <w:rsid w:val="77325BCD"/>
    <w:rsid w:val="7752612E"/>
    <w:rsid w:val="775C0516"/>
    <w:rsid w:val="77617EF1"/>
    <w:rsid w:val="77684B95"/>
    <w:rsid w:val="77724FEB"/>
    <w:rsid w:val="77743A12"/>
    <w:rsid w:val="77914F8E"/>
    <w:rsid w:val="779641F3"/>
    <w:rsid w:val="77AE17D3"/>
    <w:rsid w:val="77D23CAE"/>
    <w:rsid w:val="77F61789"/>
    <w:rsid w:val="780A7BE7"/>
    <w:rsid w:val="780C13A7"/>
    <w:rsid w:val="780E27D4"/>
    <w:rsid w:val="781061CE"/>
    <w:rsid w:val="78290609"/>
    <w:rsid w:val="787634B6"/>
    <w:rsid w:val="78807F3E"/>
    <w:rsid w:val="788822F3"/>
    <w:rsid w:val="78A0407E"/>
    <w:rsid w:val="78AF5E63"/>
    <w:rsid w:val="78B1241B"/>
    <w:rsid w:val="78B6503E"/>
    <w:rsid w:val="78BB3DA5"/>
    <w:rsid w:val="78BD69DE"/>
    <w:rsid w:val="78C2257F"/>
    <w:rsid w:val="78C25DA2"/>
    <w:rsid w:val="78DB3430"/>
    <w:rsid w:val="78DB4550"/>
    <w:rsid w:val="78DB70A5"/>
    <w:rsid w:val="78E80208"/>
    <w:rsid w:val="78F019EE"/>
    <w:rsid w:val="78F2104E"/>
    <w:rsid w:val="78FD281B"/>
    <w:rsid w:val="79064EF9"/>
    <w:rsid w:val="790E2297"/>
    <w:rsid w:val="791311FC"/>
    <w:rsid w:val="79207C17"/>
    <w:rsid w:val="7921531C"/>
    <w:rsid w:val="7928382E"/>
    <w:rsid w:val="7929251A"/>
    <w:rsid w:val="79295E21"/>
    <w:rsid w:val="793058D4"/>
    <w:rsid w:val="79311F28"/>
    <w:rsid w:val="7931558E"/>
    <w:rsid w:val="79340039"/>
    <w:rsid w:val="79356922"/>
    <w:rsid w:val="793A70B0"/>
    <w:rsid w:val="793B7D76"/>
    <w:rsid w:val="79444A09"/>
    <w:rsid w:val="794B4953"/>
    <w:rsid w:val="796F7F5A"/>
    <w:rsid w:val="798361BB"/>
    <w:rsid w:val="79874C0E"/>
    <w:rsid w:val="798A5F35"/>
    <w:rsid w:val="79B559C6"/>
    <w:rsid w:val="79BE6E27"/>
    <w:rsid w:val="79DD2E7B"/>
    <w:rsid w:val="79DE22C0"/>
    <w:rsid w:val="79EC21CA"/>
    <w:rsid w:val="79EC4416"/>
    <w:rsid w:val="79ED3753"/>
    <w:rsid w:val="79FD12D4"/>
    <w:rsid w:val="79FD672D"/>
    <w:rsid w:val="7A030127"/>
    <w:rsid w:val="7A0713D4"/>
    <w:rsid w:val="7A394412"/>
    <w:rsid w:val="7A3B22AC"/>
    <w:rsid w:val="7A3C3932"/>
    <w:rsid w:val="7A433261"/>
    <w:rsid w:val="7A4B0350"/>
    <w:rsid w:val="7A50610B"/>
    <w:rsid w:val="7A5878D6"/>
    <w:rsid w:val="7A6348AD"/>
    <w:rsid w:val="7A673F60"/>
    <w:rsid w:val="7A724E7D"/>
    <w:rsid w:val="7A7A7131"/>
    <w:rsid w:val="7A8A73B5"/>
    <w:rsid w:val="7A8B341F"/>
    <w:rsid w:val="7A8C6206"/>
    <w:rsid w:val="7A8F1FFB"/>
    <w:rsid w:val="7A9179DB"/>
    <w:rsid w:val="7AAA723C"/>
    <w:rsid w:val="7AB43570"/>
    <w:rsid w:val="7AC21E66"/>
    <w:rsid w:val="7ACA3634"/>
    <w:rsid w:val="7ACE3F6A"/>
    <w:rsid w:val="7ACF18DE"/>
    <w:rsid w:val="7AD70495"/>
    <w:rsid w:val="7AD757B9"/>
    <w:rsid w:val="7AD871F6"/>
    <w:rsid w:val="7ADF2C6F"/>
    <w:rsid w:val="7AE2175D"/>
    <w:rsid w:val="7AE6748E"/>
    <w:rsid w:val="7AEA715C"/>
    <w:rsid w:val="7AEB2212"/>
    <w:rsid w:val="7B0703E4"/>
    <w:rsid w:val="7B2504CC"/>
    <w:rsid w:val="7B49688E"/>
    <w:rsid w:val="7B504C64"/>
    <w:rsid w:val="7B5B2E49"/>
    <w:rsid w:val="7B646ED0"/>
    <w:rsid w:val="7B6642C8"/>
    <w:rsid w:val="7B7849A6"/>
    <w:rsid w:val="7B7F4FF8"/>
    <w:rsid w:val="7B880563"/>
    <w:rsid w:val="7B9E5865"/>
    <w:rsid w:val="7BA74711"/>
    <w:rsid w:val="7BAD0FA0"/>
    <w:rsid w:val="7BB32F5F"/>
    <w:rsid w:val="7BB445FA"/>
    <w:rsid w:val="7BC61606"/>
    <w:rsid w:val="7BE07AF4"/>
    <w:rsid w:val="7BF37AAB"/>
    <w:rsid w:val="7BF41B6A"/>
    <w:rsid w:val="7BFE6B91"/>
    <w:rsid w:val="7C06750E"/>
    <w:rsid w:val="7C107A9F"/>
    <w:rsid w:val="7C1469AB"/>
    <w:rsid w:val="7C2B21A8"/>
    <w:rsid w:val="7C311723"/>
    <w:rsid w:val="7C336ECE"/>
    <w:rsid w:val="7C3E4915"/>
    <w:rsid w:val="7C4829B4"/>
    <w:rsid w:val="7C4960C1"/>
    <w:rsid w:val="7C4E45C2"/>
    <w:rsid w:val="7C5E672E"/>
    <w:rsid w:val="7C5F2473"/>
    <w:rsid w:val="7C676D51"/>
    <w:rsid w:val="7C7C5D1C"/>
    <w:rsid w:val="7C8F0691"/>
    <w:rsid w:val="7C964F13"/>
    <w:rsid w:val="7C9E120D"/>
    <w:rsid w:val="7CA74676"/>
    <w:rsid w:val="7CB24E68"/>
    <w:rsid w:val="7CB576BF"/>
    <w:rsid w:val="7CBD4D59"/>
    <w:rsid w:val="7CC320E9"/>
    <w:rsid w:val="7CCD11BA"/>
    <w:rsid w:val="7CF23727"/>
    <w:rsid w:val="7CF74740"/>
    <w:rsid w:val="7CFA6EF3"/>
    <w:rsid w:val="7CFF32F3"/>
    <w:rsid w:val="7D01295E"/>
    <w:rsid w:val="7D052429"/>
    <w:rsid w:val="7D1552FA"/>
    <w:rsid w:val="7D256900"/>
    <w:rsid w:val="7D2E3818"/>
    <w:rsid w:val="7D2F2396"/>
    <w:rsid w:val="7D340215"/>
    <w:rsid w:val="7D38338C"/>
    <w:rsid w:val="7D3D5777"/>
    <w:rsid w:val="7D3E199A"/>
    <w:rsid w:val="7D4036B3"/>
    <w:rsid w:val="7D611690"/>
    <w:rsid w:val="7D6C51E6"/>
    <w:rsid w:val="7D6D23C9"/>
    <w:rsid w:val="7D8143AE"/>
    <w:rsid w:val="7D8657B3"/>
    <w:rsid w:val="7D8A6A6F"/>
    <w:rsid w:val="7D9017E6"/>
    <w:rsid w:val="7D9C0668"/>
    <w:rsid w:val="7DAF62B0"/>
    <w:rsid w:val="7DBA3FDD"/>
    <w:rsid w:val="7DC3737C"/>
    <w:rsid w:val="7DE82141"/>
    <w:rsid w:val="7DF15A17"/>
    <w:rsid w:val="7DF317E9"/>
    <w:rsid w:val="7DFB76E4"/>
    <w:rsid w:val="7E024E93"/>
    <w:rsid w:val="7E1C1A46"/>
    <w:rsid w:val="7E293C45"/>
    <w:rsid w:val="7E2B6319"/>
    <w:rsid w:val="7E366D69"/>
    <w:rsid w:val="7E37715F"/>
    <w:rsid w:val="7E526B83"/>
    <w:rsid w:val="7E530444"/>
    <w:rsid w:val="7E573431"/>
    <w:rsid w:val="7E683272"/>
    <w:rsid w:val="7E6D7EB1"/>
    <w:rsid w:val="7E885E0F"/>
    <w:rsid w:val="7E8C7F2C"/>
    <w:rsid w:val="7E8D6FD0"/>
    <w:rsid w:val="7E8E3A1C"/>
    <w:rsid w:val="7EA71A98"/>
    <w:rsid w:val="7EAA548F"/>
    <w:rsid w:val="7EAB0416"/>
    <w:rsid w:val="7ED22385"/>
    <w:rsid w:val="7ED60CBD"/>
    <w:rsid w:val="7EE4694E"/>
    <w:rsid w:val="7EE6510D"/>
    <w:rsid w:val="7EF2583B"/>
    <w:rsid w:val="7EF5194D"/>
    <w:rsid w:val="7EF80D89"/>
    <w:rsid w:val="7F0B647D"/>
    <w:rsid w:val="7F1C3D32"/>
    <w:rsid w:val="7F1E5CFC"/>
    <w:rsid w:val="7F332FC0"/>
    <w:rsid w:val="7F547661"/>
    <w:rsid w:val="7F555F9D"/>
    <w:rsid w:val="7F580E6A"/>
    <w:rsid w:val="7F6854AD"/>
    <w:rsid w:val="7F6B65A6"/>
    <w:rsid w:val="7F8B063C"/>
    <w:rsid w:val="7F8D5733"/>
    <w:rsid w:val="7F957227"/>
    <w:rsid w:val="7FA045F0"/>
    <w:rsid w:val="7FAD28BA"/>
    <w:rsid w:val="7FB02B50"/>
    <w:rsid w:val="7FB427C4"/>
    <w:rsid w:val="7FB623D9"/>
    <w:rsid w:val="7FBA59E2"/>
    <w:rsid w:val="7FC04E85"/>
    <w:rsid w:val="7FCA19E0"/>
    <w:rsid w:val="7FD03FEF"/>
    <w:rsid w:val="7FDB00CF"/>
    <w:rsid w:val="7FE34FD5"/>
    <w:rsid w:val="7FF7422F"/>
    <w:rsid w:val="7FF945A2"/>
    <w:rsid w:val="7FFF2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pPr>
    <w:rPr>
      <w:rFonts w:ascii="Times New Roman" w:hAnsi="Times New Roman" w:eastAsia="宋体" w:cs="Times New Roman"/>
      <w:kern w:val="2"/>
      <w:sz w:val="24"/>
      <w:lang w:val="en-US" w:eastAsia="zh-CN" w:bidi="ar-SA"/>
    </w:rPr>
  </w:style>
  <w:style w:type="paragraph" w:styleId="3">
    <w:name w:val="heading 1"/>
    <w:basedOn w:val="1"/>
    <w:next w:val="1"/>
    <w:link w:val="294"/>
    <w:autoRedefine/>
    <w:qFormat/>
    <w:uiPriority w:val="0"/>
    <w:pPr>
      <w:numPr>
        <w:ilvl w:val="0"/>
        <w:numId w:val="1"/>
      </w:numPr>
      <w:autoSpaceDE w:val="0"/>
      <w:autoSpaceDN w:val="0"/>
      <w:adjustRightInd w:val="0"/>
      <w:outlineLvl w:val="0"/>
    </w:pPr>
    <w:rPr>
      <w:rFonts w:eastAsia="黑体"/>
      <w:kern w:val="0"/>
      <w:sz w:val="44"/>
      <w:lang w:val="zh-CN"/>
    </w:rPr>
  </w:style>
  <w:style w:type="paragraph" w:styleId="2">
    <w:name w:val="heading 2"/>
    <w:basedOn w:val="1"/>
    <w:next w:val="1"/>
    <w:link w:val="234"/>
    <w:autoRedefine/>
    <w:qFormat/>
    <w:uiPriority w:val="0"/>
    <w:pPr>
      <w:keepNext/>
      <w:keepLines/>
      <w:numPr>
        <w:ilvl w:val="1"/>
        <w:numId w:val="1"/>
      </w:numPr>
      <w:adjustRightInd w:val="0"/>
      <w:snapToGrid w:val="0"/>
      <w:spacing w:beforeLines="50" w:after="120"/>
      <w:textAlignment w:val="baseline"/>
      <w:outlineLvl w:val="1"/>
    </w:pPr>
    <w:rPr>
      <w:rFonts w:ascii="黑体" w:hAnsi="Arial" w:eastAsia="黑体"/>
      <w:b/>
      <w:snapToGrid w:val="0"/>
      <w:spacing w:val="4"/>
    </w:rPr>
  </w:style>
  <w:style w:type="paragraph" w:styleId="4">
    <w:name w:val="heading 3"/>
    <w:basedOn w:val="1"/>
    <w:next w:val="1"/>
    <w:link w:val="252"/>
    <w:autoRedefine/>
    <w:qFormat/>
    <w:uiPriority w:val="0"/>
    <w:pPr>
      <w:keepNext/>
      <w:keepLines/>
      <w:spacing w:line="413" w:lineRule="auto"/>
      <w:outlineLvl w:val="2"/>
    </w:pPr>
    <w:rPr>
      <w:rFonts w:ascii="宋体"/>
      <w:snapToGrid w:val="0"/>
      <w:spacing w:val="4"/>
    </w:rPr>
  </w:style>
  <w:style w:type="paragraph" w:styleId="5">
    <w:name w:val="heading 4"/>
    <w:basedOn w:val="1"/>
    <w:next w:val="1"/>
    <w:autoRedefine/>
    <w:qFormat/>
    <w:uiPriority w:val="0"/>
    <w:pPr>
      <w:keepNext/>
      <w:keepLines/>
      <w:numPr>
        <w:ilvl w:val="3"/>
        <w:numId w:val="1"/>
      </w:numPr>
      <w:spacing w:before="280" w:after="290" w:line="376" w:lineRule="auto"/>
      <w:outlineLvl w:val="3"/>
    </w:pPr>
    <w:rPr>
      <w:rFonts w:ascii="Arial" w:hAnsi="Arial" w:eastAsia="黑体"/>
      <w:b/>
      <w:bCs/>
      <w:sz w:val="28"/>
      <w:szCs w:val="28"/>
    </w:rPr>
  </w:style>
  <w:style w:type="character" w:default="1" w:styleId="48">
    <w:name w:val="Default Paragraph Font"/>
    <w:autoRedefine/>
    <w:semiHidden/>
    <w:unhideWhenUsed/>
    <w:qFormat/>
    <w:uiPriority w:val="1"/>
  </w:style>
  <w:style w:type="table" w:default="1" w:styleId="45">
    <w:name w:val="Normal Table"/>
    <w:autoRedefine/>
    <w:semiHidden/>
    <w:unhideWhenUsed/>
    <w:qFormat/>
    <w:uiPriority w:val="99"/>
    <w:tblPr>
      <w:tblCellMar>
        <w:top w:w="0" w:type="dxa"/>
        <w:left w:w="108" w:type="dxa"/>
        <w:bottom w:w="0" w:type="dxa"/>
        <w:right w:w="108" w:type="dxa"/>
      </w:tblCellMar>
    </w:tblPr>
  </w:style>
  <w:style w:type="paragraph" w:styleId="6">
    <w:name w:val="toc 7"/>
    <w:basedOn w:val="1"/>
    <w:next w:val="1"/>
    <w:autoRedefine/>
    <w:qFormat/>
    <w:uiPriority w:val="0"/>
    <w:pPr>
      <w:ind w:left="1680"/>
    </w:pPr>
    <w:rPr>
      <w:sz w:val="18"/>
      <w:szCs w:val="18"/>
    </w:rPr>
  </w:style>
  <w:style w:type="paragraph" w:styleId="7">
    <w:name w:val="Normal Indent"/>
    <w:basedOn w:val="1"/>
    <w:next w:val="1"/>
    <w:link w:val="233"/>
    <w:autoRedefine/>
    <w:qFormat/>
    <w:uiPriority w:val="0"/>
    <w:pPr>
      <w:spacing w:line="500" w:lineRule="exact"/>
      <w:ind w:firstLine="420"/>
    </w:pPr>
  </w:style>
  <w:style w:type="paragraph" w:styleId="8">
    <w:name w:val="caption"/>
    <w:basedOn w:val="1"/>
    <w:next w:val="1"/>
    <w:autoRedefine/>
    <w:qFormat/>
    <w:uiPriority w:val="0"/>
    <w:rPr>
      <w:rFonts w:ascii="Cambria" w:hAnsi="Cambria" w:eastAsia="黑体"/>
      <w:sz w:val="20"/>
    </w:rPr>
  </w:style>
  <w:style w:type="paragraph" w:styleId="9">
    <w:name w:val="Document Map"/>
    <w:basedOn w:val="1"/>
    <w:autoRedefine/>
    <w:qFormat/>
    <w:uiPriority w:val="0"/>
    <w:pPr>
      <w:shd w:val="clear" w:color="auto" w:fill="000080"/>
    </w:pPr>
  </w:style>
  <w:style w:type="paragraph" w:styleId="10">
    <w:name w:val="annotation text"/>
    <w:basedOn w:val="1"/>
    <w:link w:val="245"/>
    <w:autoRedefine/>
    <w:qFormat/>
    <w:uiPriority w:val="0"/>
  </w:style>
  <w:style w:type="paragraph" w:styleId="11">
    <w:name w:val="Body Text 3"/>
    <w:basedOn w:val="1"/>
    <w:autoRedefine/>
    <w:qFormat/>
    <w:uiPriority w:val="0"/>
    <w:rPr>
      <w:sz w:val="16"/>
    </w:rPr>
  </w:style>
  <w:style w:type="paragraph" w:styleId="12">
    <w:name w:val="Body Text"/>
    <w:basedOn w:val="1"/>
    <w:next w:val="1"/>
    <w:link w:val="285"/>
    <w:autoRedefine/>
    <w:qFormat/>
    <w:uiPriority w:val="0"/>
    <w:pPr>
      <w:adjustRightInd w:val="0"/>
      <w:ind w:firstLine="510"/>
      <w:textAlignment w:val="baseline"/>
    </w:pPr>
    <w:rPr>
      <w:rFonts w:ascii="宋体"/>
      <w:snapToGrid w:val="0"/>
      <w:spacing w:val="4"/>
      <w:kern w:val="18"/>
    </w:rPr>
  </w:style>
  <w:style w:type="paragraph" w:styleId="13">
    <w:name w:val="Body Text Indent"/>
    <w:basedOn w:val="1"/>
    <w:next w:val="14"/>
    <w:link w:val="269"/>
    <w:autoRedefine/>
    <w:qFormat/>
    <w:uiPriority w:val="0"/>
    <w:pPr>
      <w:ind w:firstLine="480" w:firstLineChars="200"/>
    </w:pPr>
    <w:rPr>
      <w:rFonts w:ascii="宋体" w:hAnsi="宋体"/>
      <w:color w:val="008000"/>
    </w:rPr>
  </w:style>
  <w:style w:type="paragraph" w:styleId="14">
    <w:name w:val="Body Text First Indent"/>
    <w:basedOn w:val="12"/>
    <w:next w:val="15"/>
    <w:autoRedefine/>
    <w:qFormat/>
    <w:uiPriority w:val="0"/>
    <w:pPr>
      <w:adjustRightInd/>
      <w:spacing w:line="240" w:lineRule="auto"/>
      <w:ind w:firstLine="420" w:firstLineChars="100"/>
      <w:textAlignment w:val="auto"/>
    </w:pPr>
    <w:rPr>
      <w:rFonts w:ascii="Times New Roman"/>
      <w:snapToGrid/>
      <w:spacing w:val="0"/>
      <w:kern w:val="2"/>
      <w:sz w:val="21"/>
    </w:rPr>
  </w:style>
  <w:style w:type="paragraph" w:styleId="15">
    <w:name w:val="table of figures"/>
    <w:basedOn w:val="1"/>
    <w:next w:val="1"/>
    <w:autoRedefine/>
    <w:qFormat/>
    <w:uiPriority w:val="0"/>
    <w:pPr>
      <w:spacing w:line="240" w:lineRule="auto"/>
      <w:ind w:leftChars="200" w:hanging="200" w:hangingChars="200"/>
    </w:pPr>
    <w:rPr>
      <w:rFonts w:ascii="Times New Roman" w:hAnsi="Times New Roman"/>
      <w:sz w:val="21"/>
      <w:szCs w:val="24"/>
    </w:rPr>
  </w:style>
  <w:style w:type="paragraph" w:styleId="16">
    <w:name w:val="List 2"/>
    <w:basedOn w:val="1"/>
    <w:autoRedefine/>
    <w:qFormat/>
    <w:uiPriority w:val="0"/>
    <w:pPr>
      <w:ind w:left="100" w:leftChars="200" w:hanging="200" w:hangingChars="200"/>
    </w:pPr>
    <w:rPr>
      <w:sz w:val="28"/>
    </w:rPr>
  </w:style>
  <w:style w:type="paragraph" w:styleId="17">
    <w:name w:val="Block Text"/>
    <w:basedOn w:val="1"/>
    <w:autoRedefine/>
    <w:qFormat/>
    <w:uiPriority w:val="0"/>
    <w:pPr>
      <w:widowControl/>
      <w:spacing w:line="440" w:lineRule="exact"/>
      <w:ind w:left="113" w:right="113" w:firstLine="567"/>
    </w:pPr>
    <w:rPr>
      <w:rFonts w:ascii="仿宋_GB2312" w:eastAsia="仿宋_GB2312"/>
      <w:kern w:val="0"/>
      <w:sz w:val="28"/>
    </w:rPr>
  </w:style>
  <w:style w:type="paragraph" w:styleId="18">
    <w:name w:val="toc 5"/>
    <w:basedOn w:val="1"/>
    <w:next w:val="1"/>
    <w:autoRedefine/>
    <w:qFormat/>
    <w:uiPriority w:val="0"/>
    <w:pPr>
      <w:ind w:left="1680" w:leftChars="800"/>
    </w:pPr>
  </w:style>
  <w:style w:type="paragraph" w:styleId="19">
    <w:name w:val="toc 3"/>
    <w:basedOn w:val="1"/>
    <w:next w:val="1"/>
    <w:autoRedefine/>
    <w:qFormat/>
    <w:uiPriority w:val="0"/>
    <w:pPr>
      <w:ind w:left="560"/>
    </w:pPr>
    <w:rPr>
      <w:i/>
      <w:iCs/>
      <w:sz w:val="20"/>
    </w:rPr>
  </w:style>
  <w:style w:type="paragraph" w:styleId="20">
    <w:name w:val="Plain Text"/>
    <w:basedOn w:val="1"/>
    <w:link w:val="279"/>
    <w:autoRedefine/>
    <w:qFormat/>
    <w:uiPriority w:val="0"/>
    <w:rPr>
      <w:rFonts w:ascii="宋体" w:hAnsi="Courier New"/>
    </w:rPr>
  </w:style>
  <w:style w:type="paragraph" w:styleId="21">
    <w:name w:val="List Bullet 5"/>
    <w:basedOn w:val="1"/>
    <w:autoRedefine/>
    <w:qFormat/>
    <w:uiPriority w:val="0"/>
    <w:pPr>
      <w:numPr>
        <w:ilvl w:val="0"/>
        <w:numId w:val="2"/>
      </w:numPr>
    </w:pPr>
  </w:style>
  <w:style w:type="paragraph" w:styleId="22">
    <w:name w:val="toc 8"/>
    <w:basedOn w:val="1"/>
    <w:next w:val="1"/>
    <w:autoRedefine/>
    <w:qFormat/>
    <w:uiPriority w:val="0"/>
    <w:pPr>
      <w:ind w:left="1960"/>
    </w:pPr>
    <w:rPr>
      <w:sz w:val="18"/>
      <w:szCs w:val="18"/>
    </w:rPr>
  </w:style>
  <w:style w:type="paragraph" w:styleId="23">
    <w:name w:val="Date"/>
    <w:basedOn w:val="1"/>
    <w:next w:val="1"/>
    <w:autoRedefine/>
    <w:qFormat/>
    <w:uiPriority w:val="0"/>
    <w:pPr>
      <w:ind w:left="2500" w:leftChars="2500"/>
    </w:pPr>
    <w:rPr>
      <w:rFonts w:hint="eastAsia" w:ascii="仿宋_GB2312" w:hAnsi="Courier New" w:eastAsia="仿宋_GB2312"/>
      <w:sz w:val="32"/>
    </w:rPr>
  </w:style>
  <w:style w:type="paragraph" w:styleId="24">
    <w:name w:val="Body Text Indent 2"/>
    <w:basedOn w:val="1"/>
    <w:autoRedefine/>
    <w:qFormat/>
    <w:uiPriority w:val="0"/>
    <w:pPr>
      <w:ind w:firstLine="447" w:firstLineChars="200"/>
    </w:pPr>
    <w:rPr>
      <w:rFonts w:ascii="宋体"/>
      <w:spacing w:val="4"/>
      <w:w w:val="90"/>
    </w:rPr>
  </w:style>
  <w:style w:type="paragraph" w:styleId="25">
    <w:name w:val="Balloon Text"/>
    <w:basedOn w:val="1"/>
    <w:autoRedefine/>
    <w:qFormat/>
    <w:uiPriority w:val="0"/>
    <w:rPr>
      <w:sz w:val="18"/>
    </w:rPr>
  </w:style>
  <w:style w:type="paragraph" w:styleId="26">
    <w:name w:val="footer"/>
    <w:basedOn w:val="1"/>
    <w:link w:val="298"/>
    <w:autoRedefine/>
    <w:qFormat/>
    <w:uiPriority w:val="99"/>
    <w:pPr>
      <w:tabs>
        <w:tab w:val="center" w:pos="4153"/>
        <w:tab w:val="right" w:pos="8306"/>
      </w:tabs>
      <w:snapToGrid w:val="0"/>
    </w:pPr>
    <w:rPr>
      <w:sz w:val="18"/>
    </w:rPr>
  </w:style>
  <w:style w:type="paragraph" w:styleId="27">
    <w:name w:val="header"/>
    <w:basedOn w:val="1"/>
    <w:next w:val="28"/>
    <w:link w:val="296"/>
    <w:autoRedefine/>
    <w:qFormat/>
    <w:uiPriority w:val="0"/>
    <w:pPr>
      <w:pBdr>
        <w:bottom w:val="single" w:color="auto" w:sz="6" w:space="1"/>
      </w:pBdr>
      <w:tabs>
        <w:tab w:val="center" w:pos="4153"/>
        <w:tab w:val="right" w:pos="8306"/>
      </w:tabs>
      <w:snapToGrid w:val="0"/>
      <w:jc w:val="center"/>
    </w:pPr>
    <w:rPr>
      <w:sz w:val="18"/>
    </w:rPr>
  </w:style>
  <w:style w:type="paragraph" w:customStyle="1" w:styleId="28">
    <w:name w:val="样式5"/>
    <w:basedOn w:val="29"/>
    <w:autoRedefine/>
    <w:qFormat/>
    <w:uiPriority w:val="0"/>
    <w:pPr>
      <w:spacing w:line="380" w:lineRule="exact"/>
      <w:ind w:firstLine="566" w:firstLineChars="202"/>
    </w:pPr>
    <w:rPr>
      <w:rFonts w:eastAsia="华文行楷"/>
      <w:sz w:val="28"/>
    </w:rPr>
  </w:style>
  <w:style w:type="paragraph" w:customStyle="1" w:styleId="29">
    <w:name w:val="样式3"/>
    <w:basedOn w:val="19"/>
    <w:autoRedefine/>
    <w:qFormat/>
    <w:uiPriority w:val="0"/>
    <w:pPr>
      <w:snapToGrid w:val="0"/>
      <w:ind w:firstLine="539"/>
      <w:jc w:val="center"/>
    </w:pPr>
    <w:rPr>
      <w:rFonts w:ascii="黑体" w:hAnsi="宋体" w:eastAsia="黑体"/>
      <w:color w:val="000000"/>
    </w:rPr>
  </w:style>
  <w:style w:type="paragraph" w:styleId="30">
    <w:name w:val="toc 1"/>
    <w:basedOn w:val="1"/>
    <w:next w:val="1"/>
    <w:autoRedefine/>
    <w:qFormat/>
    <w:uiPriority w:val="0"/>
    <w:pPr>
      <w:adjustRightInd w:val="0"/>
      <w:snapToGrid w:val="0"/>
      <w:ind w:firstLine="510"/>
      <w:textAlignment w:val="baseline"/>
    </w:pPr>
    <w:rPr>
      <w:rFonts w:ascii="黑体" w:eastAsia="黑体"/>
      <w:b/>
      <w:caps/>
      <w:snapToGrid w:val="0"/>
      <w:spacing w:val="4"/>
      <w:kern w:val="0"/>
      <w:sz w:val="28"/>
    </w:rPr>
  </w:style>
  <w:style w:type="paragraph" w:styleId="31">
    <w:name w:val="toc 4"/>
    <w:basedOn w:val="1"/>
    <w:next w:val="1"/>
    <w:autoRedefine/>
    <w:qFormat/>
    <w:uiPriority w:val="0"/>
    <w:pPr>
      <w:ind w:left="840"/>
    </w:pPr>
    <w:rPr>
      <w:sz w:val="18"/>
      <w:szCs w:val="18"/>
    </w:rPr>
  </w:style>
  <w:style w:type="paragraph" w:styleId="32">
    <w:name w:val="index heading"/>
    <w:basedOn w:val="1"/>
    <w:next w:val="33"/>
    <w:autoRedefine/>
    <w:semiHidden/>
    <w:qFormat/>
    <w:uiPriority w:val="0"/>
    <w:rPr>
      <w:rFonts w:ascii="Arial" w:hAnsi="Arial" w:cs="Arial"/>
      <w:b/>
      <w:bCs/>
    </w:rPr>
  </w:style>
  <w:style w:type="paragraph" w:styleId="33">
    <w:name w:val="index 1"/>
    <w:basedOn w:val="1"/>
    <w:next w:val="1"/>
    <w:autoRedefine/>
    <w:qFormat/>
    <w:uiPriority w:val="0"/>
    <w:pPr>
      <w:jc w:val="center"/>
    </w:pPr>
    <w:rPr>
      <w:color w:val="000000"/>
      <w:kern w:val="44"/>
      <w:szCs w:val="21"/>
      <w:lang w:val="en-GB"/>
    </w:rPr>
  </w:style>
  <w:style w:type="paragraph" w:styleId="34">
    <w:name w:val="List"/>
    <w:basedOn w:val="1"/>
    <w:autoRedefine/>
    <w:qFormat/>
    <w:uiPriority w:val="0"/>
    <w:pPr>
      <w:widowControl/>
      <w:spacing w:line="440" w:lineRule="exact"/>
      <w:ind w:left="200" w:hanging="200"/>
      <w:jc w:val="left"/>
    </w:pPr>
    <w:rPr>
      <w:kern w:val="0"/>
      <w:sz w:val="24"/>
      <w:szCs w:val="20"/>
    </w:rPr>
  </w:style>
  <w:style w:type="paragraph" w:styleId="35">
    <w:name w:val="toc 6"/>
    <w:basedOn w:val="1"/>
    <w:next w:val="1"/>
    <w:autoRedefine/>
    <w:qFormat/>
    <w:uiPriority w:val="0"/>
    <w:pPr>
      <w:ind w:left="1400"/>
    </w:pPr>
    <w:rPr>
      <w:sz w:val="18"/>
      <w:szCs w:val="18"/>
    </w:rPr>
  </w:style>
  <w:style w:type="paragraph" w:styleId="36">
    <w:name w:val="Body Text Indent 3"/>
    <w:basedOn w:val="1"/>
    <w:autoRedefine/>
    <w:qFormat/>
    <w:uiPriority w:val="0"/>
    <w:pPr>
      <w:ind w:left="420"/>
    </w:pPr>
    <w:rPr>
      <w:sz w:val="16"/>
    </w:rPr>
  </w:style>
  <w:style w:type="paragraph" w:styleId="37">
    <w:name w:val="toc 2"/>
    <w:basedOn w:val="1"/>
    <w:next w:val="1"/>
    <w:autoRedefine/>
    <w:qFormat/>
    <w:uiPriority w:val="0"/>
    <w:pPr>
      <w:ind w:left="280"/>
    </w:pPr>
    <w:rPr>
      <w:smallCaps/>
      <w:sz w:val="20"/>
    </w:rPr>
  </w:style>
  <w:style w:type="paragraph" w:styleId="38">
    <w:name w:val="toc 9"/>
    <w:basedOn w:val="1"/>
    <w:next w:val="1"/>
    <w:autoRedefine/>
    <w:qFormat/>
    <w:uiPriority w:val="0"/>
    <w:pPr>
      <w:ind w:left="2240"/>
    </w:pPr>
    <w:rPr>
      <w:sz w:val="18"/>
      <w:szCs w:val="18"/>
    </w:rPr>
  </w:style>
  <w:style w:type="paragraph" w:styleId="39">
    <w:name w:val="Body Text 2"/>
    <w:basedOn w:val="1"/>
    <w:autoRedefine/>
    <w:qFormat/>
    <w:uiPriority w:val="0"/>
    <w:pPr>
      <w:spacing w:line="480" w:lineRule="auto"/>
    </w:pPr>
  </w:style>
  <w:style w:type="paragraph" w:styleId="40">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kern w:val="0"/>
      <w:szCs w:val="24"/>
    </w:rPr>
  </w:style>
  <w:style w:type="paragraph" w:styleId="41">
    <w:name w:val="Normal (Web)"/>
    <w:basedOn w:val="1"/>
    <w:link w:val="328"/>
    <w:autoRedefine/>
    <w:qFormat/>
    <w:uiPriority w:val="0"/>
    <w:pPr>
      <w:widowControl/>
      <w:spacing w:beforeAutospacing="1" w:afterAutospacing="1"/>
    </w:pPr>
    <w:rPr>
      <w:rFonts w:ascii="宋体" w:hAnsi="宋体"/>
      <w:kern w:val="0"/>
      <w:szCs w:val="24"/>
    </w:rPr>
  </w:style>
  <w:style w:type="paragraph" w:styleId="42">
    <w:name w:val="Title"/>
    <w:basedOn w:val="1"/>
    <w:next w:val="1"/>
    <w:link w:val="301"/>
    <w:autoRedefine/>
    <w:qFormat/>
    <w:uiPriority w:val="0"/>
    <w:pPr>
      <w:spacing w:before="240" w:after="60"/>
      <w:jc w:val="center"/>
      <w:outlineLvl w:val="0"/>
    </w:pPr>
    <w:rPr>
      <w:rFonts w:ascii="Cambria" w:hAnsi="Cambria"/>
      <w:b/>
      <w:bCs/>
      <w:sz w:val="32"/>
      <w:szCs w:val="32"/>
    </w:rPr>
  </w:style>
  <w:style w:type="paragraph" w:styleId="43">
    <w:name w:val="annotation subject"/>
    <w:basedOn w:val="10"/>
    <w:next w:val="10"/>
    <w:autoRedefine/>
    <w:qFormat/>
    <w:uiPriority w:val="0"/>
    <w:rPr>
      <w:b/>
      <w:bCs/>
    </w:rPr>
  </w:style>
  <w:style w:type="paragraph" w:styleId="44">
    <w:name w:val="Body Text First Indent 2"/>
    <w:basedOn w:val="13"/>
    <w:next w:val="1"/>
    <w:link w:val="281"/>
    <w:autoRedefine/>
    <w:qFormat/>
    <w:uiPriority w:val="0"/>
    <w:pPr>
      <w:spacing w:line="240" w:lineRule="auto"/>
      <w:ind w:left="420" w:leftChars="200" w:firstLine="420"/>
    </w:pPr>
    <w:rPr>
      <w:rFonts w:ascii="Times New Roman" w:hAnsi="Times New Roman"/>
      <w:color w:val="auto"/>
      <w:sz w:val="28"/>
    </w:rPr>
  </w:style>
  <w:style w:type="table" w:styleId="46">
    <w:name w:val="Table Grid"/>
    <w:basedOn w:val="45"/>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7">
    <w:name w:val="Light Shading Accent 3"/>
    <w:basedOn w:val="45"/>
    <w:autoRedefine/>
    <w:qFormat/>
    <w:uiPriority w:val="60"/>
    <w:rPr>
      <w:color w:val="76923C"/>
    </w:rPr>
    <w:tblPr>
      <w:tblBorders>
        <w:top w:val="single" w:color="9BBB59" w:sz="8" w:space="0"/>
        <w:bottom w:val="single" w:color="9BBB59"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character" w:styleId="49">
    <w:name w:val="Strong"/>
    <w:basedOn w:val="48"/>
    <w:autoRedefine/>
    <w:qFormat/>
    <w:uiPriority w:val="0"/>
    <w:rPr>
      <w:b/>
      <w:bCs/>
    </w:rPr>
  </w:style>
  <w:style w:type="character" w:styleId="50">
    <w:name w:val="page number"/>
    <w:basedOn w:val="48"/>
    <w:autoRedefine/>
    <w:qFormat/>
    <w:uiPriority w:val="0"/>
  </w:style>
  <w:style w:type="character" w:styleId="51">
    <w:name w:val="FollowedHyperlink"/>
    <w:basedOn w:val="48"/>
    <w:autoRedefine/>
    <w:qFormat/>
    <w:uiPriority w:val="0"/>
    <w:rPr>
      <w:color w:val="333333"/>
      <w:u w:val="none"/>
    </w:rPr>
  </w:style>
  <w:style w:type="character" w:styleId="52">
    <w:name w:val="Emphasis"/>
    <w:basedOn w:val="48"/>
    <w:autoRedefine/>
    <w:qFormat/>
    <w:uiPriority w:val="0"/>
  </w:style>
  <w:style w:type="character" w:styleId="53">
    <w:name w:val="HTML Definition"/>
    <w:basedOn w:val="48"/>
    <w:autoRedefine/>
    <w:qFormat/>
    <w:uiPriority w:val="0"/>
  </w:style>
  <w:style w:type="character" w:styleId="54">
    <w:name w:val="HTML Acronym"/>
    <w:basedOn w:val="48"/>
    <w:autoRedefine/>
    <w:qFormat/>
    <w:uiPriority w:val="0"/>
  </w:style>
  <w:style w:type="character" w:styleId="55">
    <w:name w:val="HTML Variable"/>
    <w:basedOn w:val="48"/>
    <w:autoRedefine/>
    <w:qFormat/>
    <w:uiPriority w:val="0"/>
  </w:style>
  <w:style w:type="character" w:styleId="56">
    <w:name w:val="Hyperlink"/>
    <w:autoRedefine/>
    <w:qFormat/>
    <w:uiPriority w:val="0"/>
    <w:rPr>
      <w:color w:val="001D4C"/>
      <w:u w:val="none"/>
    </w:rPr>
  </w:style>
  <w:style w:type="character" w:styleId="57">
    <w:name w:val="HTML Code"/>
    <w:basedOn w:val="48"/>
    <w:autoRedefine/>
    <w:qFormat/>
    <w:uiPriority w:val="0"/>
    <w:rPr>
      <w:rFonts w:ascii="Courier New" w:hAnsi="Courier New"/>
      <w:sz w:val="20"/>
    </w:rPr>
  </w:style>
  <w:style w:type="character" w:styleId="58">
    <w:name w:val="annotation reference"/>
    <w:autoRedefine/>
    <w:qFormat/>
    <w:uiPriority w:val="0"/>
    <w:rPr>
      <w:sz w:val="21"/>
    </w:rPr>
  </w:style>
  <w:style w:type="character" w:styleId="59">
    <w:name w:val="HTML Cite"/>
    <w:basedOn w:val="48"/>
    <w:autoRedefine/>
    <w:qFormat/>
    <w:uiPriority w:val="0"/>
  </w:style>
  <w:style w:type="character" w:styleId="60">
    <w:name w:val="HTML Keyboard"/>
    <w:basedOn w:val="48"/>
    <w:autoRedefine/>
    <w:qFormat/>
    <w:uiPriority w:val="0"/>
    <w:rPr>
      <w:rFonts w:ascii="Courier New" w:hAnsi="Courier New"/>
      <w:sz w:val="20"/>
    </w:rPr>
  </w:style>
  <w:style w:type="character" w:styleId="61">
    <w:name w:val="HTML Sample"/>
    <w:basedOn w:val="48"/>
    <w:autoRedefine/>
    <w:qFormat/>
    <w:uiPriority w:val="0"/>
    <w:rPr>
      <w:rFonts w:ascii="Courier New" w:hAnsi="Courier New"/>
    </w:rPr>
  </w:style>
  <w:style w:type="paragraph" w:customStyle="1" w:styleId="62">
    <w:name w:val="Default1"/>
    <w:autoRedefine/>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63">
    <w:name w:val="Default"/>
    <w:next w:val="64"/>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4">
    <w:name w:val="样式1"/>
    <w:basedOn w:val="32"/>
    <w:next w:val="17"/>
    <w:autoRedefine/>
    <w:qFormat/>
    <w:uiPriority w:val="0"/>
    <w:pPr>
      <w:ind w:firstLine="425"/>
    </w:pPr>
    <w:rPr>
      <w:kern w:val="44"/>
    </w:rPr>
  </w:style>
  <w:style w:type="paragraph" w:customStyle="1" w:styleId="65">
    <w:name w:val="Normal (Web)1"/>
    <w:basedOn w:val="1"/>
    <w:next w:val="66"/>
    <w:autoRedefine/>
    <w:qFormat/>
    <w:uiPriority w:val="0"/>
    <w:pPr>
      <w:widowControl/>
    </w:pPr>
    <w:rPr>
      <w:rFonts w:ascii="宋体" w:eastAsia="宋体" w:cs="Times New Roman"/>
      <w:sz w:val="24"/>
      <w:szCs w:val="21"/>
    </w:rPr>
  </w:style>
  <w:style w:type="paragraph" w:customStyle="1" w:styleId="66">
    <w:name w:val="Date1"/>
    <w:basedOn w:val="1"/>
    <w:next w:val="1"/>
    <w:autoRedefine/>
    <w:qFormat/>
    <w:uiPriority w:val="0"/>
    <w:pPr>
      <w:ind w:left="2500" w:leftChars="2500"/>
    </w:pPr>
  </w:style>
  <w:style w:type="paragraph" w:customStyle="1" w:styleId="67">
    <w:name w:val="文章正文 Char"/>
    <w:basedOn w:val="7"/>
    <w:autoRedefine/>
    <w:qFormat/>
    <w:uiPriority w:val="0"/>
    <w:pPr>
      <w:spacing w:line="520" w:lineRule="exact"/>
      <w:ind w:firstLine="200" w:firstLineChars="200"/>
    </w:pPr>
    <w:rPr>
      <w:rFonts w:ascii="宋体" w:hAnsi="宋体"/>
    </w:rPr>
  </w:style>
  <w:style w:type="paragraph" w:customStyle="1" w:styleId="68">
    <w:name w:val="_Style 52"/>
    <w:basedOn w:val="1"/>
    <w:autoRedefine/>
    <w:qFormat/>
    <w:uiPriority w:val="0"/>
    <w:pPr>
      <w:ind w:firstLine="200" w:firstLineChars="200"/>
    </w:pPr>
    <w:rPr>
      <w:sz w:val="28"/>
    </w:rPr>
  </w:style>
  <w:style w:type="paragraph" w:customStyle="1" w:styleId="69">
    <w:name w:val="Char Char Char"/>
    <w:basedOn w:val="1"/>
    <w:autoRedefine/>
    <w:qFormat/>
    <w:uiPriority w:val="0"/>
    <w:rPr>
      <w:szCs w:val="24"/>
    </w:rPr>
  </w:style>
  <w:style w:type="paragraph" w:customStyle="1" w:styleId="70">
    <w:name w:val="xl24"/>
    <w:basedOn w:val="1"/>
    <w:autoRedefine/>
    <w:qFormat/>
    <w:uiPriority w:val="0"/>
    <w:pPr>
      <w:widowControl/>
      <w:spacing w:beforeAutospacing="1" w:afterAutospacing="1"/>
      <w:jc w:val="center"/>
    </w:pPr>
    <w:rPr>
      <w:rFonts w:ascii="Arial Unicode MS" w:hAnsi="Arial Unicode MS" w:eastAsia="Arial Unicode MS" w:cs="Arial Unicode MS"/>
      <w:kern w:val="0"/>
      <w:szCs w:val="24"/>
    </w:rPr>
  </w:style>
  <w:style w:type="paragraph" w:customStyle="1" w:styleId="71">
    <w:name w:val="Char Char Char1 Char Char Char"/>
    <w:basedOn w:val="1"/>
    <w:autoRedefine/>
    <w:qFormat/>
    <w:uiPriority w:val="0"/>
  </w:style>
  <w:style w:type="paragraph" w:customStyle="1" w:styleId="72">
    <w:name w:val="1级标题"/>
    <w:basedOn w:val="1"/>
    <w:autoRedefine/>
    <w:qFormat/>
    <w:uiPriority w:val="0"/>
    <w:pPr>
      <w:spacing w:beforeLines="100" w:afterLines="100"/>
      <w:jc w:val="center"/>
      <w:outlineLvl w:val="0"/>
    </w:pPr>
    <w:rPr>
      <w:rFonts w:cs="宋体"/>
      <w:b/>
      <w:bCs/>
      <w:kern w:val="44"/>
      <w:sz w:val="30"/>
    </w:rPr>
  </w:style>
  <w:style w:type="paragraph" w:customStyle="1" w:styleId="73">
    <w:name w:val="Char Char Char Char Char Char Char"/>
    <w:basedOn w:val="1"/>
    <w:autoRedefine/>
    <w:qFormat/>
    <w:uiPriority w:val="0"/>
    <w:pPr>
      <w:widowControl/>
      <w:spacing w:line="240" w:lineRule="exact"/>
    </w:pPr>
    <w:rPr>
      <w:rFonts w:ascii="宋体"/>
      <w:spacing w:val="4"/>
    </w:rPr>
  </w:style>
  <w:style w:type="paragraph" w:customStyle="1" w:styleId="74">
    <w:name w:val="二级条标题"/>
    <w:basedOn w:val="75"/>
    <w:next w:val="1"/>
    <w:autoRedefine/>
    <w:qFormat/>
    <w:uiPriority w:val="0"/>
    <w:pPr>
      <w:tabs>
        <w:tab w:val="left" w:pos="360"/>
        <w:tab w:val="left" w:pos="903"/>
        <w:tab w:val="left" w:pos="2520"/>
      </w:tabs>
      <w:ind w:left="2520"/>
      <w:outlineLvl w:val="3"/>
    </w:pPr>
  </w:style>
  <w:style w:type="paragraph" w:customStyle="1" w:styleId="75">
    <w:name w:val="一级条标题"/>
    <w:basedOn w:val="76"/>
    <w:next w:val="1"/>
    <w:autoRedefine/>
    <w:qFormat/>
    <w:uiPriority w:val="0"/>
    <w:pPr>
      <w:tabs>
        <w:tab w:val="left" w:pos="360"/>
        <w:tab w:val="left" w:pos="903"/>
      </w:tabs>
      <w:spacing w:before="0" w:after="0"/>
      <w:ind w:left="2100" w:hanging="420"/>
      <w:outlineLvl w:val="2"/>
    </w:pPr>
  </w:style>
  <w:style w:type="paragraph" w:customStyle="1" w:styleId="76">
    <w:name w:val="章标题"/>
    <w:next w:val="1"/>
    <w:autoRedefine/>
    <w:qFormat/>
    <w:uiPriority w:val="0"/>
    <w:pPr>
      <w:tabs>
        <w:tab w:val="left" w:pos="903"/>
      </w:tabs>
      <w:spacing w:before="50" w:after="50"/>
      <w:ind w:left="903" w:hanging="315"/>
      <w:jc w:val="both"/>
      <w:outlineLvl w:val="1"/>
    </w:pPr>
    <w:rPr>
      <w:rFonts w:ascii="黑体" w:hAnsi="Times New Roman" w:eastAsia="黑体" w:cs="Times New Roman"/>
      <w:sz w:val="21"/>
      <w:lang w:val="en-US" w:eastAsia="zh-CN" w:bidi="ar-SA"/>
    </w:rPr>
  </w:style>
  <w:style w:type="paragraph" w:customStyle="1" w:styleId="77">
    <w:name w:val="style41"/>
    <w:basedOn w:val="1"/>
    <w:autoRedefine/>
    <w:qFormat/>
    <w:uiPriority w:val="0"/>
    <w:pPr>
      <w:widowControl/>
      <w:spacing w:beforeAutospacing="1" w:afterAutospacing="1"/>
    </w:pPr>
    <w:rPr>
      <w:rFonts w:ascii="宋体" w:hAnsi="宋体" w:cs="宋体"/>
      <w:kern w:val="0"/>
      <w:sz w:val="20"/>
    </w:rPr>
  </w:style>
  <w:style w:type="paragraph" w:customStyle="1" w:styleId="78">
    <w:name w:val="标题 22"/>
    <w:basedOn w:val="3"/>
    <w:autoRedefine/>
    <w:qFormat/>
    <w:uiPriority w:val="0"/>
    <w:pPr>
      <w:keepNext/>
      <w:keepLines/>
      <w:pageBreakBefore/>
      <w:autoSpaceDE/>
      <w:autoSpaceDN/>
      <w:adjustRightInd/>
      <w:spacing w:beforeLines="50" w:afterLines="50"/>
      <w:jc w:val="both"/>
    </w:pPr>
    <w:rPr>
      <w:kern w:val="44"/>
      <w:sz w:val="24"/>
      <w:lang w:val="en-US"/>
    </w:rPr>
  </w:style>
  <w:style w:type="paragraph" w:customStyle="1" w:styleId="79">
    <w:name w:val="组工"/>
    <w:basedOn w:val="20"/>
    <w:autoRedefine/>
    <w:qFormat/>
    <w:uiPriority w:val="0"/>
    <w:pPr>
      <w:ind w:firstLine="630"/>
      <w:jc w:val="center"/>
    </w:pPr>
    <w:rPr>
      <w:b/>
      <w:sz w:val="36"/>
      <w:szCs w:val="24"/>
    </w:rPr>
  </w:style>
  <w:style w:type="paragraph" w:customStyle="1" w:styleId="80">
    <w:name w:val="样式 仿宋_GB2312 行距: 1.5 倍行距"/>
    <w:basedOn w:val="1"/>
    <w:autoRedefine/>
    <w:qFormat/>
    <w:uiPriority w:val="0"/>
    <w:pPr>
      <w:ind w:firstLine="420" w:firstLineChars="200"/>
    </w:pPr>
    <w:rPr>
      <w:rFonts w:ascii="仿宋_GB2312" w:hAnsi="仿宋_GB2312" w:eastAsia="仿宋_GB2312" w:cs="宋体"/>
    </w:rPr>
  </w:style>
  <w:style w:type="paragraph" w:customStyle="1" w:styleId="81">
    <w:name w:val="3级标题"/>
    <w:basedOn w:val="1"/>
    <w:autoRedefine/>
    <w:qFormat/>
    <w:uiPriority w:val="0"/>
    <w:pPr>
      <w:spacing w:line="460" w:lineRule="exact"/>
      <w:outlineLvl w:val="2"/>
    </w:pPr>
    <w:rPr>
      <w:b/>
    </w:rPr>
  </w:style>
  <w:style w:type="paragraph" w:customStyle="1" w:styleId="82">
    <w:name w:val="5表头"/>
    <w:basedOn w:val="1"/>
    <w:autoRedefine/>
    <w:qFormat/>
    <w:uiPriority w:val="0"/>
    <w:pPr>
      <w:spacing w:beforeLines="50"/>
      <w:jc w:val="center"/>
    </w:pPr>
    <w:rPr>
      <w:rFonts w:eastAsia="黑体" w:cs="宋体"/>
    </w:rPr>
  </w:style>
  <w:style w:type="paragraph" w:customStyle="1" w:styleId="83">
    <w:name w:val="样式 文本正文 + 首行缩进:  2 字符3"/>
    <w:basedOn w:val="12"/>
    <w:autoRedefine/>
    <w:qFormat/>
    <w:uiPriority w:val="0"/>
    <w:pPr>
      <w:autoSpaceDE w:val="0"/>
      <w:autoSpaceDN w:val="0"/>
      <w:ind w:firstLine="496" w:firstLineChars="200"/>
    </w:pPr>
    <w:rPr>
      <w:rFonts w:hAnsi="宋体"/>
      <w:color w:val="000000"/>
      <w:spacing w:val="0"/>
      <w:kern w:val="21"/>
    </w:rPr>
  </w:style>
  <w:style w:type="paragraph" w:customStyle="1" w:styleId="84">
    <w:name w:val="默认段落字体 Para Char Char Char Char"/>
    <w:basedOn w:val="1"/>
    <w:autoRedefine/>
    <w:qFormat/>
    <w:uiPriority w:val="0"/>
    <w:pPr>
      <w:spacing w:beforeLines="100" w:afterLines="50" w:line="600" w:lineRule="exact"/>
      <w:ind w:firstLine="200" w:firstLineChars="200"/>
    </w:pPr>
    <w:rPr>
      <w:rFonts w:eastAsia="黑体"/>
      <w:sz w:val="28"/>
    </w:rPr>
  </w:style>
  <w:style w:type="paragraph" w:customStyle="1" w:styleId="85">
    <w:name w:val="正文1"/>
    <w:basedOn w:val="1"/>
    <w:autoRedefine/>
    <w:qFormat/>
    <w:uiPriority w:val="0"/>
    <w:rPr>
      <w:rFonts w:ascii="仿宋_GB2312" w:eastAsia="仿宋_GB2312"/>
    </w:rPr>
  </w:style>
  <w:style w:type="paragraph" w:customStyle="1" w:styleId="86">
    <w:name w:val="环小四表内容"/>
    <w:basedOn w:val="1"/>
    <w:autoRedefine/>
    <w:qFormat/>
    <w:uiPriority w:val="0"/>
    <w:pPr>
      <w:spacing w:line="240" w:lineRule="exact"/>
      <w:jc w:val="center"/>
    </w:pPr>
    <w:rPr>
      <w:rFonts w:ascii="宋体" w:hAnsi="宋体"/>
      <w:sz w:val="18"/>
      <w:szCs w:val="18"/>
    </w:rPr>
  </w:style>
  <w:style w:type="paragraph" w:customStyle="1" w:styleId="87">
    <w:name w:val="0正文"/>
    <w:basedOn w:val="13"/>
    <w:autoRedefine/>
    <w:qFormat/>
    <w:uiPriority w:val="0"/>
    <w:pPr>
      <w:spacing w:line="300" w:lineRule="auto"/>
    </w:pPr>
    <w:rPr>
      <w:rFonts w:ascii="Times New Roman" w:hAnsi="Times New Roman" w:cs="宋体"/>
      <w:color w:val="auto"/>
      <w:kern w:val="0"/>
    </w:rPr>
  </w:style>
  <w:style w:type="paragraph" w:customStyle="1" w:styleId="88">
    <w:name w:val="表格样式 Char"/>
    <w:basedOn w:val="1"/>
    <w:autoRedefine/>
    <w:qFormat/>
    <w:uiPriority w:val="0"/>
    <w:pPr>
      <w:adjustRightInd w:val="0"/>
      <w:snapToGrid w:val="0"/>
      <w:jc w:val="center"/>
      <w:textAlignment w:val="baseline"/>
    </w:pPr>
    <w:rPr>
      <w:rFonts w:ascii="宋体"/>
      <w:snapToGrid w:val="0"/>
      <w:spacing w:val="4"/>
      <w:w w:val="90"/>
      <w:szCs w:val="24"/>
    </w:rPr>
  </w:style>
  <w:style w:type="paragraph" w:customStyle="1" w:styleId="89">
    <w:name w:val="六表内容"/>
    <w:basedOn w:val="1"/>
    <w:autoRedefine/>
    <w:qFormat/>
    <w:uiPriority w:val="0"/>
    <w:pPr>
      <w:spacing w:line="340" w:lineRule="exact"/>
      <w:jc w:val="center"/>
    </w:pPr>
    <w:rPr>
      <w:szCs w:val="21"/>
    </w:rPr>
  </w:style>
  <w:style w:type="paragraph" w:customStyle="1" w:styleId="90">
    <w:name w:val="已有表格"/>
    <w:basedOn w:val="1"/>
    <w:autoRedefine/>
    <w:qFormat/>
    <w:uiPriority w:val="0"/>
    <w:pPr>
      <w:adjustRightInd w:val="0"/>
      <w:jc w:val="center"/>
      <w:textAlignment w:val="baseline"/>
    </w:pPr>
    <w:rPr>
      <w:b/>
      <w:kern w:val="0"/>
    </w:rPr>
  </w:style>
  <w:style w:type="paragraph" w:customStyle="1" w:styleId="91">
    <w:name w:val="表格1"/>
    <w:basedOn w:val="1"/>
    <w:autoRedefine/>
    <w:qFormat/>
    <w:uiPriority w:val="0"/>
    <w:pPr>
      <w:spacing w:line="360" w:lineRule="exact"/>
      <w:jc w:val="center"/>
    </w:pPr>
    <w:rPr>
      <w:rFonts w:ascii="仿宋_GB2312" w:hAnsi="宋体" w:eastAsia="仿宋_GB2312"/>
      <w:sz w:val="18"/>
    </w:rPr>
  </w:style>
  <w:style w:type="paragraph" w:customStyle="1" w:styleId="92">
    <w:name w:val="1表格"/>
    <w:basedOn w:val="1"/>
    <w:autoRedefine/>
    <w:qFormat/>
    <w:uiPriority w:val="0"/>
    <w:pPr>
      <w:spacing w:line="160" w:lineRule="atLeast"/>
      <w:jc w:val="center"/>
    </w:pPr>
    <w:rPr>
      <w:rFonts w:eastAsia="仿宋_GB2312"/>
    </w:rPr>
  </w:style>
  <w:style w:type="paragraph" w:customStyle="1" w:styleId="93">
    <w:name w:val="4"/>
    <w:basedOn w:val="1"/>
    <w:next w:val="13"/>
    <w:autoRedefine/>
    <w:qFormat/>
    <w:uiPriority w:val="0"/>
    <w:pPr>
      <w:ind w:left="420" w:leftChars="200"/>
    </w:pPr>
    <w:rPr>
      <w:szCs w:val="24"/>
    </w:rPr>
  </w:style>
  <w:style w:type="paragraph" w:customStyle="1" w:styleId="94">
    <w:name w:val="表内容"/>
    <w:basedOn w:val="1"/>
    <w:next w:val="1"/>
    <w:autoRedefine/>
    <w:qFormat/>
    <w:uiPriority w:val="0"/>
    <w:pPr>
      <w:spacing w:line="320" w:lineRule="exact"/>
      <w:jc w:val="center"/>
    </w:pPr>
  </w:style>
  <w:style w:type="paragraph" w:customStyle="1" w:styleId="95">
    <w:name w:val="纯文本1"/>
    <w:basedOn w:val="1"/>
    <w:autoRedefine/>
    <w:qFormat/>
    <w:uiPriority w:val="0"/>
    <w:pPr>
      <w:autoSpaceDE w:val="0"/>
      <w:autoSpaceDN w:val="0"/>
      <w:adjustRightInd w:val="0"/>
      <w:textAlignment w:val="baseline"/>
    </w:pPr>
    <w:rPr>
      <w:rFonts w:ascii="Courier New" w:hAnsi="Courier New"/>
      <w:sz w:val="15"/>
    </w:rPr>
  </w:style>
  <w:style w:type="paragraph" w:customStyle="1" w:styleId="96">
    <w:name w:val="WPSOffice手动目录 1"/>
    <w:autoRedefine/>
    <w:qFormat/>
    <w:uiPriority w:val="0"/>
    <w:rPr>
      <w:rFonts w:ascii="Times New Roman" w:hAnsi="Times New Roman" w:eastAsia="宋体" w:cs="Times New Roman"/>
      <w:lang w:val="en-US" w:eastAsia="zh-CN" w:bidi="ar-SA"/>
    </w:rPr>
  </w:style>
  <w:style w:type="paragraph" w:customStyle="1" w:styleId="97">
    <w:name w:val="样式 列表 2 + 华文仿宋 居中"/>
    <w:basedOn w:val="16"/>
    <w:autoRedefine/>
    <w:qFormat/>
    <w:uiPriority w:val="0"/>
    <w:pPr>
      <w:ind w:left="0" w:leftChars="0" w:firstLine="0" w:firstLineChars="0"/>
      <w:jc w:val="center"/>
    </w:pPr>
    <w:rPr>
      <w:sz w:val="18"/>
      <w:szCs w:val="18"/>
    </w:rPr>
  </w:style>
  <w:style w:type="paragraph" w:customStyle="1" w:styleId="98">
    <w:name w:val="p0"/>
    <w:basedOn w:val="1"/>
    <w:autoRedefine/>
    <w:qFormat/>
    <w:uiPriority w:val="0"/>
    <w:pPr>
      <w:widowControl/>
    </w:pPr>
    <w:rPr>
      <w:kern w:val="0"/>
    </w:rPr>
  </w:style>
  <w:style w:type="paragraph" w:customStyle="1" w:styleId="99">
    <w:name w:val="xl49"/>
    <w:basedOn w:val="1"/>
    <w:autoRedefine/>
    <w:qFormat/>
    <w:uiPriority w:val="0"/>
    <w:pPr>
      <w:widowControl/>
      <w:pBdr>
        <w:left w:val="single" w:color="auto" w:sz="4" w:space="0"/>
        <w:right w:val="single" w:color="auto" w:sz="4" w:space="0"/>
      </w:pBdr>
      <w:spacing w:beforeAutospacing="1" w:afterAutospacing="1"/>
      <w:jc w:val="center"/>
    </w:pPr>
    <w:rPr>
      <w:rFonts w:ascii="Arial Unicode MS" w:hAnsi="Arial Unicode MS"/>
      <w:kern w:val="0"/>
      <w:sz w:val="28"/>
      <w:szCs w:val="28"/>
    </w:rPr>
  </w:style>
  <w:style w:type="paragraph" w:customStyle="1" w:styleId="100">
    <w:name w:val="Char1"/>
    <w:basedOn w:val="1"/>
    <w:autoRedefine/>
    <w:qFormat/>
    <w:uiPriority w:val="0"/>
    <w:rPr>
      <w:szCs w:val="24"/>
    </w:rPr>
  </w:style>
  <w:style w:type="paragraph" w:customStyle="1" w:styleId="101">
    <w:name w:val="样式 样式 样式 首行缩进:  1 字符 + 首行缩进:  2 字符1 + 首行缩进:  2 字符2"/>
    <w:basedOn w:val="1"/>
    <w:autoRedefine/>
    <w:qFormat/>
    <w:uiPriority w:val="0"/>
    <w:pPr>
      <w:ind w:firstLine="480" w:firstLineChars="200"/>
    </w:pPr>
    <w:rPr>
      <w:rFonts w:cs="宋体"/>
    </w:rPr>
  </w:style>
  <w:style w:type="paragraph" w:customStyle="1" w:styleId="102">
    <w:name w:val="表格内容"/>
    <w:basedOn w:val="103"/>
    <w:link w:val="329"/>
    <w:autoRedefine/>
    <w:qFormat/>
    <w:uiPriority w:val="0"/>
    <w:pPr>
      <w:overflowPunct w:val="0"/>
      <w:adjustRightInd w:val="0"/>
      <w:spacing w:line="200" w:lineRule="atLeast"/>
      <w:textAlignment w:val="baseline"/>
    </w:pPr>
    <w:rPr>
      <w:rFonts w:ascii="Arial" w:hAnsi="Arial" w:eastAsia="仿宋_GB2312"/>
      <w:kern w:val="0"/>
    </w:rPr>
  </w:style>
  <w:style w:type="paragraph" w:customStyle="1" w:styleId="103">
    <w:name w:val="图标标题"/>
    <w:basedOn w:val="1"/>
    <w:autoRedefine/>
    <w:qFormat/>
    <w:uiPriority w:val="0"/>
    <w:pPr>
      <w:spacing w:line="240" w:lineRule="auto"/>
      <w:ind w:firstLine="0" w:firstLineChars="0"/>
      <w:jc w:val="center"/>
    </w:pPr>
    <w:rPr>
      <w:rFonts w:cs="Times New Roman"/>
      <w:b/>
      <w:kern w:val="0"/>
      <w:sz w:val="21"/>
      <w:szCs w:val="20"/>
    </w:rPr>
  </w:style>
  <w:style w:type="paragraph" w:customStyle="1" w:styleId="104">
    <w:name w:val="标题02"/>
    <w:basedOn w:val="1"/>
    <w:next w:val="1"/>
    <w:autoRedefine/>
    <w:qFormat/>
    <w:uiPriority w:val="0"/>
    <w:pPr>
      <w:snapToGrid w:val="0"/>
      <w:spacing w:line="440" w:lineRule="atLeast"/>
      <w:outlineLvl w:val="1"/>
    </w:pPr>
    <w:rPr>
      <w:b/>
    </w:rPr>
  </w:style>
  <w:style w:type="paragraph" w:customStyle="1" w:styleId="105">
    <w:name w:val="表内格式"/>
    <w:basedOn w:val="1"/>
    <w:next w:val="106"/>
    <w:link w:val="275"/>
    <w:autoRedefine/>
    <w:qFormat/>
    <w:uiPriority w:val="0"/>
    <w:pPr>
      <w:jc w:val="center"/>
    </w:pPr>
    <w:rPr>
      <w:rFonts w:eastAsia="楷体_GB2312"/>
      <w:kern w:val="0"/>
      <w:sz w:val="18"/>
      <w:szCs w:val="18"/>
    </w:rPr>
  </w:style>
  <w:style w:type="paragraph" w:customStyle="1" w:styleId="106">
    <w:name w:val="报告表正文"/>
    <w:basedOn w:val="1"/>
    <w:link w:val="248"/>
    <w:autoRedefine/>
    <w:qFormat/>
    <w:uiPriority w:val="0"/>
    <w:pPr>
      <w:adjustRightInd w:val="0"/>
      <w:spacing w:line="312" w:lineRule="auto"/>
      <w:ind w:left="113" w:right="113" w:firstLine="482"/>
      <w:textAlignment w:val="baseline"/>
    </w:pPr>
    <w:rPr>
      <w:kern w:val="0"/>
    </w:rPr>
  </w:style>
  <w:style w:type="paragraph" w:customStyle="1" w:styleId="107">
    <w:name w:val="君邦正文"/>
    <w:link w:val="240"/>
    <w:autoRedefine/>
    <w:qFormat/>
    <w:uiPriority w:val="0"/>
    <w:pPr>
      <w:spacing w:line="360" w:lineRule="auto"/>
      <w:ind w:left="-4" w:leftChars="-2" w:firstLine="480" w:firstLineChars="200"/>
      <w:jc w:val="both"/>
    </w:pPr>
    <w:rPr>
      <w:rFonts w:ascii="宋体" w:hAnsi="宋体" w:eastAsia="宋体" w:cs="Times New Roman"/>
      <w:kern w:val="2"/>
      <w:sz w:val="24"/>
      <w:lang w:val="en-US" w:eastAsia="zh-CN" w:bidi="ar-SA"/>
    </w:rPr>
  </w:style>
  <w:style w:type="paragraph" w:customStyle="1" w:styleId="108">
    <w:name w:val="正文文本 21"/>
    <w:basedOn w:val="1"/>
    <w:autoRedefine/>
    <w:qFormat/>
    <w:uiPriority w:val="0"/>
    <w:pPr>
      <w:adjustRightInd w:val="0"/>
      <w:jc w:val="center"/>
      <w:textAlignment w:val="baseline"/>
    </w:pPr>
  </w:style>
  <w:style w:type="paragraph" w:customStyle="1" w:styleId="109">
    <w:name w:val="标准段落"/>
    <w:basedOn w:val="1"/>
    <w:next w:val="1"/>
    <w:autoRedefine/>
    <w:qFormat/>
    <w:uiPriority w:val="0"/>
    <w:pPr>
      <w:ind w:firstLine="480" w:firstLineChars="200"/>
    </w:pPr>
    <w:rPr>
      <w:rFonts w:ascii="宋体" w:hAnsi="宋体"/>
      <w:color w:val="000000"/>
      <w:kern w:val="0"/>
      <w:szCs w:val="24"/>
    </w:rPr>
  </w:style>
  <w:style w:type="paragraph" w:customStyle="1" w:styleId="110">
    <w:name w:val="五表头"/>
    <w:basedOn w:val="1"/>
    <w:autoRedefine/>
    <w:qFormat/>
    <w:uiPriority w:val="0"/>
    <w:pPr>
      <w:spacing w:beforeLines="50"/>
      <w:jc w:val="center"/>
    </w:pPr>
    <w:rPr>
      <w:rFonts w:eastAsia="黑体"/>
      <w:szCs w:val="24"/>
    </w:rPr>
  </w:style>
  <w:style w:type="paragraph" w:customStyle="1" w:styleId="111">
    <w:name w:val="项目正文，无格式"/>
    <w:basedOn w:val="1"/>
    <w:link w:val="244"/>
    <w:autoRedefine/>
    <w:qFormat/>
    <w:uiPriority w:val="0"/>
    <w:pPr>
      <w:jc w:val="center"/>
    </w:pPr>
    <w:rPr>
      <w:kern w:val="0"/>
      <w:sz w:val="20"/>
      <w:szCs w:val="18"/>
    </w:rPr>
  </w:style>
  <w:style w:type="paragraph" w:customStyle="1" w:styleId="112">
    <w:name w:val="报告书表格"/>
    <w:basedOn w:val="1"/>
    <w:autoRedefine/>
    <w:qFormat/>
    <w:uiPriority w:val="0"/>
    <w:pPr>
      <w:adjustRightInd w:val="0"/>
      <w:snapToGrid w:val="0"/>
      <w:jc w:val="center"/>
      <w:textAlignment w:val="baseline"/>
    </w:pPr>
    <w:rPr>
      <w:kern w:val="0"/>
    </w:rPr>
  </w:style>
  <w:style w:type="paragraph" w:customStyle="1" w:styleId="113">
    <w:name w:val="IDC A-Head (2nd Line)"/>
    <w:basedOn w:val="1"/>
    <w:next w:val="1"/>
    <w:autoRedefine/>
    <w:qFormat/>
    <w:uiPriority w:val="0"/>
    <w:pPr>
      <w:widowControl/>
      <w:tabs>
        <w:tab w:val="left" w:pos="0"/>
      </w:tabs>
      <w:jc w:val="center"/>
    </w:pPr>
    <w:rPr>
      <w:caps/>
      <w:kern w:val="0"/>
    </w:rPr>
  </w:style>
  <w:style w:type="paragraph" w:customStyle="1" w:styleId="114">
    <w:name w:val="Char Char Char Char Char Char Char Char Char Char Char Char Char Char Char1 Char"/>
    <w:basedOn w:val="1"/>
    <w:autoRedefine/>
    <w:qFormat/>
    <w:uiPriority w:val="0"/>
  </w:style>
  <w:style w:type="paragraph" w:customStyle="1" w:styleId="115">
    <w:name w:val="列出段落1"/>
    <w:basedOn w:val="1"/>
    <w:autoRedefine/>
    <w:qFormat/>
    <w:uiPriority w:val="99"/>
    <w:pPr>
      <w:ind w:firstLine="420" w:firstLineChars="200"/>
    </w:pPr>
  </w:style>
  <w:style w:type="paragraph" w:customStyle="1" w:styleId="116">
    <w:name w:val="2007正文"/>
    <w:autoRedefine/>
    <w:qFormat/>
    <w:uiPriority w:val="0"/>
    <w:pPr>
      <w:spacing w:line="500" w:lineRule="exact"/>
      <w:ind w:firstLine="560" w:firstLineChars="200"/>
      <w:jc w:val="both"/>
    </w:pPr>
    <w:rPr>
      <w:rFonts w:ascii="Times New Roman" w:hAnsi="Times New Roman" w:eastAsia="仿宋_GB2312" w:cs="Times New Roman"/>
      <w:kern w:val="2"/>
      <w:sz w:val="28"/>
      <w:lang w:val="en-GB" w:eastAsia="zh-CN" w:bidi="ar-SA"/>
    </w:rPr>
  </w:style>
  <w:style w:type="paragraph" w:customStyle="1" w:styleId="117">
    <w:name w:val="胡奔流-标题4"/>
    <w:basedOn w:val="1"/>
    <w:autoRedefine/>
    <w:qFormat/>
    <w:uiPriority w:val="0"/>
    <w:pPr>
      <w:adjustRightInd w:val="0"/>
      <w:textAlignment w:val="baseline"/>
    </w:pPr>
    <w:rPr>
      <w:rFonts w:ascii="宋体"/>
      <w:spacing w:val="10"/>
      <w:kern w:val="21"/>
    </w:rPr>
  </w:style>
  <w:style w:type="paragraph" w:customStyle="1" w:styleId="118">
    <w:name w:val="表格"/>
    <w:basedOn w:val="34"/>
    <w:autoRedefine/>
    <w:qFormat/>
    <w:uiPriority w:val="0"/>
    <w:pPr>
      <w:spacing w:line="360" w:lineRule="exact"/>
      <w:jc w:val="center"/>
    </w:pPr>
    <w:rPr>
      <w:rFonts w:ascii="仿宋_GB2312" w:hAnsi="宋体" w:eastAsia="仿宋_GB2312"/>
      <w:color w:val="000000"/>
      <w:spacing w:val="-20"/>
      <w:kern w:val="0"/>
      <w:sz w:val="18"/>
      <w:szCs w:val="21"/>
    </w:rPr>
  </w:style>
  <w:style w:type="paragraph" w:customStyle="1" w:styleId="119">
    <w:name w:val="表头"/>
    <w:basedOn w:val="12"/>
    <w:next w:val="1"/>
    <w:link w:val="271"/>
    <w:autoRedefine/>
    <w:qFormat/>
    <w:uiPriority w:val="0"/>
    <w:pPr>
      <w:ind w:firstLine="0"/>
      <w:jc w:val="center"/>
    </w:pPr>
  </w:style>
  <w:style w:type="paragraph" w:customStyle="1" w:styleId="120">
    <w:name w:val="Char Char Char1 Char Char Char Char Char Char Char Char Char Char Char Char Char Char Char Char"/>
    <w:basedOn w:val="1"/>
    <w:autoRedefine/>
    <w:qFormat/>
    <w:uiPriority w:val="0"/>
  </w:style>
  <w:style w:type="paragraph" w:customStyle="1" w:styleId="121">
    <w:name w:val="Char2"/>
    <w:basedOn w:val="1"/>
    <w:autoRedefine/>
    <w:qFormat/>
    <w:uiPriority w:val="0"/>
    <w:rPr>
      <w:szCs w:val="24"/>
    </w:rPr>
  </w:style>
  <w:style w:type="paragraph" w:customStyle="1" w:styleId="122">
    <w:name w:val="Char Char2 Char Char"/>
    <w:basedOn w:val="1"/>
    <w:autoRedefine/>
    <w:qFormat/>
    <w:uiPriority w:val="0"/>
  </w:style>
  <w:style w:type="paragraph" w:customStyle="1" w:styleId="123">
    <w:name w:val="样式 首行缩进:  0.77 厘米 行距: 固定值 20 磅"/>
    <w:basedOn w:val="1"/>
    <w:link w:val="259"/>
    <w:autoRedefine/>
    <w:qFormat/>
    <w:uiPriority w:val="0"/>
    <w:pPr>
      <w:ind w:firstLine="435"/>
    </w:pPr>
  </w:style>
  <w:style w:type="paragraph" w:customStyle="1" w:styleId="124">
    <w:name w:val="Char Char Char Char Char Char Char Char Char Char Char Char Char Char Char1 Char Char Char"/>
    <w:basedOn w:val="1"/>
    <w:autoRedefine/>
    <w:qFormat/>
    <w:uiPriority w:val="0"/>
  </w:style>
  <w:style w:type="paragraph" w:customStyle="1" w:styleId="125">
    <w:name w:val="表格内正文 Char Char"/>
    <w:basedOn w:val="1"/>
    <w:link w:val="266"/>
    <w:autoRedefine/>
    <w:qFormat/>
    <w:uiPriority w:val="0"/>
    <w:pPr>
      <w:ind w:firstLine="493"/>
    </w:pPr>
    <w:rPr>
      <w:rFonts w:ascii="宋体" w:hAnsi="宋体"/>
      <w:spacing w:val="4"/>
      <w:kern w:val="18"/>
    </w:rPr>
  </w:style>
  <w:style w:type="paragraph" w:customStyle="1" w:styleId="126">
    <w:name w:val="HJN-ZZ"/>
    <w:basedOn w:val="1"/>
    <w:autoRedefine/>
    <w:qFormat/>
    <w:uiPriority w:val="0"/>
    <w:pPr>
      <w:adjustRightInd w:val="0"/>
      <w:ind w:firstLine="482"/>
      <w:textAlignment w:val="baseline"/>
    </w:pPr>
    <w:rPr>
      <w:rFonts w:ascii="宋体" w:hAnsi="宋体"/>
      <w:kern w:val="21"/>
    </w:rPr>
  </w:style>
  <w:style w:type="paragraph" w:customStyle="1" w:styleId="127">
    <w:name w:val="标题003"/>
    <w:basedOn w:val="1"/>
    <w:autoRedefine/>
    <w:qFormat/>
    <w:uiPriority w:val="0"/>
    <w:pPr>
      <w:spacing w:line="460" w:lineRule="exact"/>
      <w:outlineLvl w:val="2"/>
    </w:pPr>
    <w:rPr>
      <w:b/>
    </w:rPr>
  </w:style>
  <w:style w:type="paragraph" w:customStyle="1" w:styleId="128">
    <w:name w:val="xl37"/>
    <w:basedOn w:val="1"/>
    <w:autoRedefine/>
    <w:qFormat/>
    <w:uiPriority w:val="0"/>
    <w:pPr>
      <w:widowControl/>
      <w:pBdr>
        <w:bottom w:val="single" w:color="auto" w:sz="4" w:space="0"/>
        <w:right w:val="single" w:color="auto" w:sz="4" w:space="0"/>
      </w:pBdr>
      <w:spacing w:beforeAutospacing="1" w:afterAutospacing="1"/>
      <w:jc w:val="center"/>
    </w:pPr>
    <w:rPr>
      <w:rFonts w:ascii="宋体" w:hAnsi="宋体"/>
      <w:b/>
      <w:bCs/>
      <w:kern w:val="0"/>
      <w:sz w:val="28"/>
      <w:szCs w:val="28"/>
    </w:rPr>
  </w:style>
  <w:style w:type="paragraph" w:customStyle="1" w:styleId="129">
    <w:name w:val="Char Char Char Char"/>
    <w:basedOn w:val="1"/>
    <w:autoRedefine/>
    <w:qFormat/>
    <w:uiPriority w:val="0"/>
    <w:pPr>
      <w:widowControl/>
      <w:spacing w:line="240" w:lineRule="exact"/>
    </w:pPr>
  </w:style>
  <w:style w:type="paragraph" w:customStyle="1" w:styleId="130">
    <w:name w:val="Char Char Char Char Char Char3 Char Char Char Char Char Char Char"/>
    <w:basedOn w:val="1"/>
    <w:next w:val="1"/>
    <w:autoRedefine/>
    <w:qFormat/>
    <w:uiPriority w:val="0"/>
    <w:rPr>
      <w:szCs w:val="24"/>
    </w:rPr>
  </w:style>
  <w:style w:type="paragraph" w:customStyle="1" w:styleId="131">
    <w:name w:val="Char Char Char Char Char Char Char Char Char Char Char Char Char Char Char"/>
    <w:basedOn w:val="1"/>
    <w:autoRedefine/>
    <w:qFormat/>
    <w:uiPriority w:val="0"/>
  </w:style>
  <w:style w:type="paragraph" w:customStyle="1" w:styleId="132">
    <w:name w:val="小四+首行缩进"/>
    <w:basedOn w:val="1"/>
    <w:link w:val="267"/>
    <w:autoRedefine/>
    <w:qFormat/>
    <w:uiPriority w:val="0"/>
    <w:pPr>
      <w:ind w:firstLine="482"/>
    </w:pPr>
    <w:rPr>
      <w:rFonts w:ascii="宋体" w:hAnsi="宋体"/>
    </w:rPr>
  </w:style>
  <w:style w:type="paragraph" w:customStyle="1" w:styleId="133">
    <w:name w:val="1表格头"/>
    <w:basedOn w:val="1"/>
    <w:autoRedefine/>
    <w:qFormat/>
    <w:uiPriority w:val="0"/>
    <w:pPr>
      <w:snapToGrid w:val="0"/>
      <w:spacing w:line="160" w:lineRule="atLeast"/>
      <w:jc w:val="center"/>
    </w:pPr>
    <w:rPr>
      <w:rFonts w:eastAsia="仿宋_GB2312"/>
    </w:rPr>
  </w:style>
  <w:style w:type="paragraph" w:customStyle="1" w:styleId="134">
    <w:name w:val="表格内正文"/>
    <w:basedOn w:val="1"/>
    <w:link w:val="308"/>
    <w:autoRedefine/>
    <w:qFormat/>
    <w:uiPriority w:val="0"/>
    <w:pPr>
      <w:ind w:firstLine="493"/>
    </w:pPr>
    <w:rPr>
      <w:rFonts w:ascii="宋体" w:hAnsi="宋体"/>
      <w:spacing w:val="4"/>
      <w:kern w:val="18"/>
    </w:rPr>
  </w:style>
  <w:style w:type="paragraph" w:customStyle="1" w:styleId="135">
    <w:name w:val="正文样式-yu"/>
    <w:basedOn w:val="1"/>
    <w:link w:val="242"/>
    <w:autoRedefine/>
    <w:qFormat/>
    <w:uiPriority w:val="0"/>
    <w:rPr>
      <w:rFonts w:ascii="宋体" w:hAnsi="宋体"/>
      <w:kern w:val="0"/>
      <w:sz w:val="28"/>
      <w:lang w:val="zh-CN"/>
    </w:rPr>
  </w:style>
  <w:style w:type="paragraph" w:customStyle="1" w:styleId="136">
    <w:name w:val="样式 表格 32 + 首行缩进:  2 字符"/>
    <w:basedOn w:val="1"/>
    <w:autoRedefine/>
    <w:qFormat/>
    <w:uiPriority w:val="0"/>
    <w:pPr>
      <w:autoSpaceDE w:val="0"/>
      <w:autoSpaceDN w:val="0"/>
      <w:adjustRightInd w:val="0"/>
      <w:spacing w:line="240" w:lineRule="atLeast"/>
      <w:jc w:val="center"/>
      <w:textAlignment w:val="baseline"/>
    </w:pPr>
    <w:rPr>
      <w:kern w:val="0"/>
      <w:szCs w:val="21"/>
    </w:rPr>
  </w:style>
  <w:style w:type="paragraph" w:customStyle="1" w:styleId="137">
    <w:name w:val="样式 样式 样式 样式 首行缩进:  1 字符 + 首行缩进:  2 字符2 + 首行缩进:  2 字符 +"/>
    <w:basedOn w:val="1"/>
    <w:autoRedefine/>
    <w:qFormat/>
    <w:uiPriority w:val="99"/>
    <w:pPr>
      <w:ind w:firstLine="480" w:firstLineChars="200"/>
    </w:pPr>
    <w:rPr>
      <w:kern w:val="0"/>
      <w:sz w:val="20"/>
      <w:lang w:val="zh-CN"/>
    </w:rPr>
  </w:style>
  <w:style w:type="paragraph" w:customStyle="1" w:styleId="138">
    <w:name w:val="Char Char Char Char1"/>
    <w:basedOn w:val="1"/>
    <w:autoRedefine/>
    <w:qFormat/>
    <w:uiPriority w:val="0"/>
    <w:pPr>
      <w:ind w:firstLine="200" w:firstLineChars="200"/>
    </w:pPr>
    <w:rPr>
      <w:rFonts w:ascii="宋体" w:hAnsi="宋体" w:cs="宋体"/>
      <w:szCs w:val="24"/>
    </w:rPr>
  </w:style>
  <w:style w:type="paragraph" w:customStyle="1" w:styleId="139">
    <w:name w:val="居中正文"/>
    <w:basedOn w:val="14"/>
    <w:autoRedefine/>
    <w:qFormat/>
    <w:uiPriority w:val="0"/>
    <w:pPr>
      <w:adjustRightInd w:val="0"/>
      <w:spacing w:line="360" w:lineRule="auto"/>
      <w:ind w:firstLine="0" w:firstLineChars="0"/>
      <w:jc w:val="center"/>
      <w:textAlignment w:val="baseline"/>
    </w:pPr>
    <w:rPr>
      <w:rFonts w:ascii="宋体"/>
      <w:kern w:val="28"/>
      <w:sz w:val="24"/>
    </w:rPr>
  </w:style>
  <w:style w:type="paragraph" w:customStyle="1" w:styleId="140">
    <w:name w:val="表中文字"/>
    <w:basedOn w:val="11"/>
    <w:autoRedefine/>
    <w:qFormat/>
    <w:uiPriority w:val="0"/>
    <w:pPr>
      <w:jc w:val="center"/>
    </w:pPr>
    <w:rPr>
      <w:rFonts w:ascii="宋体"/>
      <w:spacing w:val="4"/>
      <w:w w:val="90"/>
      <w:sz w:val="24"/>
    </w:rPr>
  </w:style>
  <w:style w:type="paragraph" w:customStyle="1" w:styleId="141">
    <w:name w:val="七表后"/>
    <w:basedOn w:val="1"/>
    <w:autoRedefine/>
    <w:qFormat/>
    <w:uiPriority w:val="0"/>
    <w:pPr>
      <w:spacing w:line="240" w:lineRule="exact"/>
    </w:pPr>
    <w:rPr>
      <w:szCs w:val="24"/>
    </w:rPr>
  </w:style>
  <w:style w:type="paragraph" w:customStyle="1" w:styleId="142">
    <w:name w:val="Char Char Char Char Char Char Char Char Char Char Char Char Char Char Char Char Char Char Char Char Char"/>
    <w:basedOn w:val="1"/>
    <w:autoRedefine/>
    <w:qFormat/>
    <w:uiPriority w:val="0"/>
  </w:style>
  <w:style w:type="paragraph" w:customStyle="1" w:styleId="143">
    <w:name w:val="投标正文"/>
    <w:autoRedefine/>
    <w:qFormat/>
    <w:uiPriority w:val="0"/>
    <w:pPr>
      <w:widowControl w:val="0"/>
      <w:spacing w:line="360" w:lineRule="auto"/>
      <w:ind w:firstLine="480" w:firstLineChars="200"/>
      <w:jc w:val="both"/>
      <w:textAlignment w:val="center"/>
    </w:pPr>
    <w:rPr>
      <w:rFonts w:ascii="Times New Roman" w:hAnsi="Times New Roman" w:eastAsia="宋体" w:cs="Times New Roman"/>
      <w:bCs/>
      <w:color w:val="000000"/>
      <w:sz w:val="28"/>
      <w:szCs w:val="32"/>
      <w:lang w:val="en-US" w:eastAsia="zh-CN" w:bidi="ar-SA"/>
    </w:rPr>
  </w:style>
  <w:style w:type="paragraph" w:customStyle="1" w:styleId="144">
    <w:name w:val="Char Char Char Char Char Char Char Char Char Char Char Char Char Char Char1 Char Char Char Char"/>
    <w:basedOn w:val="1"/>
    <w:autoRedefine/>
    <w:qFormat/>
    <w:uiPriority w:val="0"/>
  </w:style>
  <w:style w:type="paragraph" w:customStyle="1" w:styleId="145">
    <w:name w:val="表格标题"/>
    <w:basedOn w:val="1"/>
    <w:autoRedefine/>
    <w:qFormat/>
    <w:uiPriority w:val="0"/>
    <w:pPr>
      <w:jc w:val="center"/>
    </w:pPr>
  </w:style>
  <w:style w:type="paragraph" w:customStyle="1" w:styleId="146">
    <w:name w:val="Char"/>
    <w:basedOn w:val="1"/>
    <w:autoRedefine/>
    <w:qFormat/>
    <w:uiPriority w:val="0"/>
    <w:rPr>
      <w:szCs w:val="24"/>
    </w:rPr>
  </w:style>
  <w:style w:type="paragraph" w:customStyle="1" w:styleId="147">
    <w:name w:val="表格居中"/>
    <w:basedOn w:val="1"/>
    <w:link w:val="264"/>
    <w:autoRedefine/>
    <w:qFormat/>
    <w:uiPriority w:val="0"/>
    <w:pPr>
      <w:jc w:val="center"/>
    </w:pPr>
    <w:rPr>
      <w:rFonts w:ascii="宋体" w:hAnsi="宋体"/>
      <w:snapToGrid w:val="0"/>
      <w:spacing w:val="-4"/>
      <w:w w:val="90"/>
      <w:kern w:val="0"/>
    </w:rPr>
  </w:style>
  <w:style w:type="paragraph" w:customStyle="1" w:styleId="148">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149">
    <w:name w:val="xl48"/>
    <w:basedOn w:val="1"/>
    <w:autoRedefine/>
    <w:qFormat/>
    <w:uiPriority w:val="0"/>
    <w:pPr>
      <w:widowControl/>
      <w:pBdr>
        <w:bottom w:val="single" w:color="auto" w:sz="4" w:space="0"/>
        <w:right w:val="single" w:color="auto" w:sz="4" w:space="0"/>
      </w:pBdr>
      <w:spacing w:beforeAutospacing="1" w:afterAutospacing="1"/>
      <w:jc w:val="center"/>
    </w:pPr>
    <w:rPr>
      <w:rFonts w:ascii="宋体" w:hAnsi="宋体"/>
      <w:kern w:val="0"/>
      <w:szCs w:val="21"/>
    </w:rPr>
  </w:style>
  <w:style w:type="paragraph" w:customStyle="1" w:styleId="150">
    <w:name w:val="Body Text 22"/>
    <w:basedOn w:val="1"/>
    <w:autoRedefine/>
    <w:qFormat/>
    <w:uiPriority w:val="0"/>
    <w:pPr>
      <w:adjustRightInd w:val="0"/>
      <w:spacing w:line="440" w:lineRule="atLeast"/>
      <w:ind w:firstLine="480"/>
      <w:textAlignment w:val="baseline"/>
    </w:pPr>
    <w:rPr>
      <w:rFonts w:eastAsia="仿宋_GB2312"/>
    </w:rPr>
  </w:style>
  <w:style w:type="paragraph" w:customStyle="1" w:styleId="151">
    <w:name w:val="表头字体宋"/>
    <w:basedOn w:val="1"/>
    <w:autoRedefine/>
    <w:qFormat/>
    <w:uiPriority w:val="0"/>
    <w:pPr>
      <w:spacing w:beforeLines="50"/>
      <w:jc w:val="center"/>
    </w:pPr>
    <w:rPr>
      <w:rFonts w:ascii="宋体" w:hAnsi="宋体" w:eastAsia="华文细黑" w:cs="宋体"/>
      <w:bCs/>
      <w:color w:val="000000"/>
      <w:spacing w:val="-20"/>
      <w:kern w:val="0"/>
      <w:szCs w:val="22"/>
    </w:rPr>
  </w:style>
  <w:style w:type="paragraph" w:customStyle="1" w:styleId="152">
    <w:name w:val="Char Char Char Char Char Char Char1"/>
    <w:basedOn w:val="1"/>
    <w:autoRedefine/>
    <w:qFormat/>
    <w:uiPriority w:val="0"/>
  </w:style>
  <w:style w:type="paragraph" w:customStyle="1" w:styleId="153">
    <w:name w:val="样式 正文文本缩进正文文字缩进正文文字缩进1 + 首行缩进:  0.98 厘米 Char"/>
    <w:basedOn w:val="13"/>
    <w:autoRedefine/>
    <w:qFormat/>
    <w:uiPriority w:val="0"/>
    <w:pPr>
      <w:snapToGrid w:val="0"/>
      <w:ind w:firstLine="0" w:firstLineChars="0"/>
      <w:jc w:val="center"/>
    </w:pPr>
    <w:rPr>
      <w:rFonts w:ascii="Times New Roman" w:hAnsi="Times New Roman"/>
      <w:b/>
      <w:color w:val="auto"/>
      <w:kern w:val="0"/>
      <w:szCs w:val="24"/>
    </w:rPr>
  </w:style>
  <w:style w:type="paragraph" w:customStyle="1" w:styleId="154">
    <w:name w:val="三级条标题"/>
    <w:basedOn w:val="74"/>
    <w:next w:val="1"/>
    <w:autoRedefine/>
    <w:qFormat/>
    <w:uiPriority w:val="0"/>
    <w:pPr>
      <w:tabs>
        <w:tab w:val="left" w:pos="2940"/>
        <w:tab w:val="clear" w:pos="2520"/>
      </w:tabs>
      <w:ind w:left="2940"/>
      <w:outlineLvl w:val="4"/>
    </w:pPr>
  </w:style>
  <w:style w:type="paragraph" w:customStyle="1" w:styleId="155">
    <w:name w:val="Char Char1 Char Char Char"/>
    <w:basedOn w:val="1"/>
    <w:autoRedefine/>
    <w:qFormat/>
    <w:uiPriority w:val="0"/>
  </w:style>
  <w:style w:type="paragraph" w:customStyle="1" w:styleId="156">
    <w:name w:val="正文首行缩进2个字"/>
    <w:basedOn w:val="1"/>
    <w:autoRedefine/>
    <w:qFormat/>
    <w:uiPriority w:val="0"/>
    <w:pPr>
      <w:ind w:firstLine="480" w:firstLineChars="200"/>
    </w:pPr>
    <w:rPr>
      <w:rFonts w:eastAsia="楷体"/>
    </w:rPr>
  </w:style>
  <w:style w:type="paragraph" w:customStyle="1" w:styleId="157">
    <w:name w:val="正文 + 小四"/>
    <w:basedOn w:val="1"/>
    <w:autoRedefine/>
    <w:qFormat/>
    <w:uiPriority w:val="0"/>
    <w:pPr>
      <w:spacing w:line="396" w:lineRule="auto"/>
      <w:ind w:firstLine="480" w:firstLineChars="200"/>
    </w:pPr>
    <w:rPr>
      <w:color w:val="FF0000"/>
      <w:kern w:val="0"/>
    </w:rPr>
  </w:style>
  <w:style w:type="paragraph" w:customStyle="1" w:styleId="158">
    <w:name w:val="_Style 27"/>
    <w:basedOn w:val="1"/>
    <w:autoRedefine/>
    <w:qFormat/>
    <w:uiPriority w:val="0"/>
    <w:pPr>
      <w:widowControl/>
      <w:spacing w:line="240" w:lineRule="exact"/>
    </w:pPr>
  </w:style>
  <w:style w:type="paragraph" w:customStyle="1" w:styleId="159">
    <w:name w:val="表格头"/>
    <w:basedOn w:val="1"/>
    <w:link w:val="243"/>
    <w:autoRedefine/>
    <w:qFormat/>
    <w:uiPriority w:val="0"/>
    <w:pPr>
      <w:spacing w:afterLines="50"/>
      <w:ind w:firstLine="200" w:firstLineChars="200"/>
      <w:jc w:val="center"/>
    </w:pPr>
    <w:rPr>
      <w:rFonts w:ascii="黑体" w:hAnsi="黑体" w:eastAsia="黑体"/>
      <w:b/>
      <w:szCs w:val="24"/>
    </w:rPr>
  </w:style>
  <w:style w:type="paragraph" w:customStyle="1" w:styleId="160">
    <w:name w:val="自定义缩进"/>
    <w:basedOn w:val="1"/>
    <w:autoRedefine/>
    <w:qFormat/>
    <w:uiPriority w:val="0"/>
    <w:pPr>
      <w:keepNext/>
      <w:spacing w:line="336" w:lineRule="auto"/>
      <w:ind w:firstLine="480" w:firstLineChars="200"/>
    </w:pPr>
    <w:rPr>
      <w:rFonts w:ascii="宋体" w:hAnsi="宋体"/>
      <w:kern w:val="0"/>
      <w:szCs w:val="24"/>
    </w:rPr>
  </w:style>
  <w:style w:type="paragraph" w:customStyle="1" w:styleId="161">
    <w:name w:val="表格01"/>
    <w:basedOn w:val="1"/>
    <w:autoRedefine/>
    <w:qFormat/>
    <w:uiPriority w:val="0"/>
    <w:pPr>
      <w:adjustRightInd w:val="0"/>
      <w:snapToGrid w:val="0"/>
      <w:jc w:val="center"/>
    </w:pPr>
  </w:style>
  <w:style w:type="paragraph" w:customStyle="1" w:styleId="162">
    <w:name w:val="正文2"/>
    <w:basedOn w:val="1"/>
    <w:link w:val="300"/>
    <w:autoRedefine/>
    <w:qFormat/>
    <w:uiPriority w:val="0"/>
    <w:pPr>
      <w:adjustRightInd w:val="0"/>
      <w:ind w:firstLine="480" w:firstLineChars="200"/>
      <w:textAlignment w:val="baseline"/>
    </w:pPr>
    <w:rPr>
      <w:rFonts w:ascii="宋体" w:hAnsi="宋体"/>
      <w:kern w:val="21"/>
    </w:rPr>
  </w:style>
  <w:style w:type="paragraph" w:customStyle="1" w:styleId="163">
    <w:name w:val="表格内表格正文"/>
    <w:basedOn w:val="1"/>
    <w:link w:val="235"/>
    <w:autoRedefine/>
    <w:qFormat/>
    <w:uiPriority w:val="0"/>
    <w:pPr>
      <w:jc w:val="center"/>
    </w:pPr>
    <w:rPr>
      <w:rFonts w:ascii="宋体" w:hAnsi="宋体"/>
      <w:w w:val="90"/>
    </w:rPr>
  </w:style>
  <w:style w:type="paragraph" w:customStyle="1" w:styleId="164">
    <w:name w:val="1 Char"/>
    <w:basedOn w:val="1"/>
    <w:autoRedefine/>
    <w:qFormat/>
    <w:uiPriority w:val="0"/>
    <w:pPr>
      <w:widowControl/>
      <w:spacing w:line="240" w:lineRule="exact"/>
    </w:pPr>
    <w:rPr>
      <w:rFonts w:ascii="Verdana" w:hAnsi="Verdana" w:eastAsia="仿宋_GB2312"/>
      <w:kern w:val="0"/>
      <w:lang w:eastAsia="en-US"/>
    </w:rPr>
  </w:style>
  <w:style w:type="paragraph" w:customStyle="1" w:styleId="165">
    <w:name w:val="2级标题"/>
    <w:basedOn w:val="1"/>
    <w:autoRedefine/>
    <w:qFormat/>
    <w:uiPriority w:val="0"/>
    <w:pPr>
      <w:spacing w:beforeLines="50" w:afterLines="50"/>
      <w:outlineLvl w:val="1"/>
    </w:pPr>
    <w:rPr>
      <w:rFonts w:cs="宋体"/>
      <w:b/>
      <w:bCs/>
      <w:sz w:val="28"/>
    </w:rPr>
  </w:style>
  <w:style w:type="paragraph" w:customStyle="1" w:styleId="166">
    <w:name w:val="Char Char Char Char Char2 Char Char Char Char"/>
    <w:basedOn w:val="1"/>
    <w:autoRedefine/>
    <w:qFormat/>
    <w:uiPriority w:val="0"/>
    <w:pPr>
      <w:adjustRightInd w:val="0"/>
      <w:snapToGrid w:val="0"/>
      <w:ind w:firstLine="200" w:firstLineChars="200"/>
    </w:pPr>
    <w:rPr>
      <w:rFonts w:ascii="宋体" w:hAnsi="宋体" w:cs="宋体"/>
      <w:szCs w:val="26"/>
    </w:rPr>
  </w:style>
  <w:style w:type="paragraph" w:customStyle="1" w:styleId="167">
    <w:name w:val="内容"/>
    <w:basedOn w:val="1"/>
    <w:autoRedefine/>
    <w:qFormat/>
    <w:uiPriority w:val="0"/>
    <w:pPr>
      <w:spacing w:line="240" w:lineRule="auto"/>
    </w:pPr>
  </w:style>
  <w:style w:type="paragraph" w:customStyle="1" w:styleId="168">
    <w:name w:val="表文字"/>
    <w:basedOn w:val="1"/>
    <w:autoRedefine/>
    <w:qFormat/>
    <w:uiPriority w:val="0"/>
    <w:pPr>
      <w:overflowPunct w:val="0"/>
      <w:autoSpaceDE w:val="0"/>
      <w:autoSpaceDN w:val="0"/>
      <w:adjustRightInd w:val="0"/>
      <w:spacing w:line="240" w:lineRule="atLeast"/>
      <w:jc w:val="center"/>
      <w:textAlignment w:val="baseline"/>
    </w:pPr>
    <w:rPr>
      <w:kern w:val="0"/>
    </w:rPr>
  </w:style>
  <w:style w:type="paragraph" w:customStyle="1" w:styleId="169">
    <w:name w:val="xl63"/>
    <w:basedOn w:val="1"/>
    <w:autoRedefine/>
    <w:qFormat/>
    <w:uiPriority w:val="0"/>
    <w:pPr>
      <w:widowControl/>
      <w:spacing w:before="100" w:after="100"/>
      <w:jc w:val="center"/>
      <w:textAlignment w:val="center"/>
    </w:pPr>
    <w:rPr>
      <w:rFonts w:hint="eastAsia" w:ascii="黑体" w:hAnsi="宋体" w:eastAsia="黑体"/>
      <w:kern w:val="0"/>
    </w:rPr>
  </w:style>
  <w:style w:type="paragraph" w:customStyle="1" w:styleId="170">
    <w:name w:val="样式 文本正文 + 仿宋_GB2312"/>
    <w:basedOn w:val="1"/>
    <w:autoRedefine/>
    <w:qFormat/>
    <w:uiPriority w:val="0"/>
    <w:pPr>
      <w:autoSpaceDE w:val="0"/>
      <w:autoSpaceDN w:val="0"/>
      <w:adjustRightInd w:val="0"/>
      <w:ind w:firstLine="200" w:firstLineChars="200"/>
      <w:textAlignment w:val="baseline"/>
    </w:pPr>
    <w:rPr>
      <w:rFonts w:ascii="仿宋_GB2312" w:hAnsi="仿宋_GB2312"/>
      <w:snapToGrid w:val="0"/>
      <w:color w:val="000000"/>
      <w:spacing w:val="4"/>
      <w:kern w:val="18"/>
    </w:rPr>
  </w:style>
  <w:style w:type="paragraph" w:customStyle="1" w:styleId="171">
    <w:name w:val="正文文本缩进[858D7CFB-ED40-4347-BF05-701D383B685F][858D7CFB-ED40-4347-BF05-701D383B685F]"/>
    <w:basedOn w:val="1"/>
    <w:autoRedefine/>
    <w:qFormat/>
    <w:uiPriority w:val="0"/>
    <w:pPr>
      <w:snapToGrid w:val="0"/>
      <w:ind w:firstLine="480"/>
    </w:pPr>
    <w:rPr>
      <w:rFonts w:hint="eastAsia"/>
    </w:rPr>
  </w:style>
  <w:style w:type="paragraph" w:customStyle="1" w:styleId="172">
    <w:name w:val="样式39"/>
    <w:basedOn w:val="167"/>
    <w:autoRedefine/>
    <w:qFormat/>
    <w:uiPriority w:val="0"/>
    <w:pPr>
      <w:jc w:val="center"/>
    </w:pPr>
    <w:rPr>
      <w:sz w:val="21"/>
    </w:rPr>
  </w:style>
  <w:style w:type="paragraph" w:customStyle="1" w:styleId="173">
    <w:name w:val="环科院表格标题"/>
    <w:basedOn w:val="1"/>
    <w:autoRedefine/>
    <w:qFormat/>
    <w:uiPriority w:val="0"/>
    <w:pPr>
      <w:adjustRightInd w:val="0"/>
      <w:snapToGrid w:val="0"/>
      <w:spacing w:beforeLines="50"/>
    </w:pPr>
    <w:rPr>
      <w:szCs w:val="24"/>
    </w:rPr>
  </w:style>
  <w:style w:type="paragraph" w:customStyle="1" w:styleId="174">
    <w:name w:val="表名"/>
    <w:basedOn w:val="1"/>
    <w:autoRedefine/>
    <w:qFormat/>
    <w:uiPriority w:val="0"/>
    <w:pPr>
      <w:spacing w:beforeLines="50"/>
      <w:jc w:val="center"/>
    </w:pPr>
    <w:rPr>
      <w:rFonts w:ascii="宋体"/>
      <w:b/>
      <w:color w:val="000000"/>
      <w:spacing w:val="4"/>
    </w:rPr>
  </w:style>
  <w:style w:type="paragraph" w:customStyle="1" w:styleId="175">
    <w:name w:val="样式 正文文本文本正文正文文字 Char Char Char Char + 居中 首行缩进:  0 厘米 段前: 6 磅"/>
    <w:basedOn w:val="12"/>
    <w:autoRedefine/>
    <w:qFormat/>
    <w:uiPriority w:val="0"/>
    <w:pPr>
      <w:spacing w:line="240" w:lineRule="auto"/>
      <w:ind w:firstLine="0"/>
      <w:jc w:val="center"/>
    </w:pPr>
    <w:rPr>
      <w:spacing w:val="0"/>
      <w:w w:val="90"/>
      <w:kern w:val="2"/>
    </w:rPr>
  </w:style>
  <w:style w:type="paragraph" w:customStyle="1" w:styleId="176">
    <w:name w:val="表格正文4"/>
    <w:basedOn w:val="177"/>
    <w:autoRedefine/>
    <w:qFormat/>
    <w:uiPriority w:val="0"/>
    <w:pPr>
      <w:jc w:val="both"/>
    </w:pPr>
    <w:rPr>
      <w:spacing w:val="0"/>
    </w:rPr>
  </w:style>
  <w:style w:type="paragraph" w:customStyle="1" w:styleId="177">
    <w:name w:val="表格正文"/>
    <w:basedOn w:val="1"/>
    <w:next w:val="1"/>
    <w:link w:val="297"/>
    <w:autoRedefine/>
    <w:qFormat/>
    <w:uiPriority w:val="0"/>
    <w:pPr>
      <w:adjustRightInd w:val="0"/>
      <w:snapToGrid w:val="0"/>
      <w:jc w:val="center"/>
      <w:textAlignment w:val="baseline"/>
    </w:pPr>
    <w:rPr>
      <w:rFonts w:ascii="宋体"/>
      <w:snapToGrid w:val="0"/>
      <w:spacing w:val="4"/>
      <w:w w:val="90"/>
      <w:kern w:val="0"/>
    </w:rPr>
  </w:style>
  <w:style w:type="paragraph" w:customStyle="1" w:styleId="178">
    <w:name w:val="6表内容"/>
    <w:basedOn w:val="1"/>
    <w:autoRedefine/>
    <w:qFormat/>
    <w:uiPriority w:val="0"/>
    <w:pPr>
      <w:spacing w:line="340" w:lineRule="exact"/>
      <w:jc w:val="center"/>
    </w:pPr>
    <w:rPr>
      <w:rFonts w:cs="宋体"/>
      <w:color w:val="000000"/>
    </w:rPr>
  </w:style>
  <w:style w:type="paragraph" w:customStyle="1" w:styleId="179">
    <w:name w:val="Char Char Char Char Char Char Char Char Char Char Char Char Char"/>
    <w:basedOn w:val="1"/>
    <w:autoRedefine/>
    <w:qFormat/>
    <w:uiPriority w:val="0"/>
  </w:style>
  <w:style w:type="paragraph" w:customStyle="1" w:styleId="180">
    <w:name w:val="正文样式1"/>
    <w:basedOn w:val="1"/>
    <w:autoRedefine/>
    <w:qFormat/>
    <w:uiPriority w:val="0"/>
    <w:pPr>
      <w:widowControl/>
      <w:ind w:firstLine="480" w:firstLineChars="200"/>
    </w:pPr>
    <w:rPr>
      <w:rFonts w:ascii="宋体" w:hAnsi="Courier New" w:cs="Courier New"/>
      <w:kern w:val="0"/>
      <w:szCs w:val="21"/>
    </w:rPr>
  </w:style>
  <w:style w:type="paragraph" w:customStyle="1" w:styleId="181">
    <w:name w:val="样式"/>
    <w:basedOn w:val="1"/>
    <w:link w:val="268"/>
    <w:autoRedefine/>
    <w:qFormat/>
    <w:uiPriority w:val="0"/>
    <w:pPr>
      <w:spacing w:beforeLines="30" w:line="500" w:lineRule="exact"/>
      <w:ind w:firstLine="473" w:firstLineChars="200"/>
      <w:outlineLvl w:val="0"/>
    </w:pPr>
    <w:rPr>
      <w:rFonts w:ascii="黑体" w:hAnsi="宋体" w:eastAsia="黑体"/>
      <w:b/>
      <w:kern w:val="0"/>
      <w:szCs w:val="24"/>
    </w:rPr>
  </w:style>
  <w:style w:type="paragraph" w:customStyle="1" w:styleId="182">
    <w:name w:val="Char Char Char Char11"/>
    <w:basedOn w:val="1"/>
    <w:autoRedefine/>
    <w:qFormat/>
    <w:uiPriority w:val="0"/>
    <w:pPr>
      <w:widowControl/>
      <w:spacing w:line="240" w:lineRule="exact"/>
    </w:pPr>
  </w:style>
  <w:style w:type="paragraph" w:customStyle="1" w:styleId="183">
    <w:name w:val="报告表格"/>
    <w:basedOn w:val="1"/>
    <w:autoRedefine/>
    <w:qFormat/>
    <w:uiPriority w:val="0"/>
    <w:pPr>
      <w:autoSpaceDE w:val="0"/>
      <w:autoSpaceDN w:val="0"/>
      <w:adjustRightInd w:val="0"/>
      <w:jc w:val="center"/>
      <w:textAlignment w:val="baseline"/>
    </w:pPr>
    <w:rPr>
      <w:kern w:val="0"/>
    </w:rPr>
  </w:style>
  <w:style w:type="paragraph" w:customStyle="1" w:styleId="184">
    <w:name w:val="标准正文"/>
    <w:basedOn w:val="1"/>
    <w:link w:val="291"/>
    <w:autoRedefine/>
    <w:qFormat/>
    <w:uiPriority w:val="0"/>
    <w:pPr>
      <w:ind w:firstLine="480" w:firstLineChars="200"/>
    </w:pPr>
    <w:rPr>
      <w:szCs w:val="22"/>
    </w:rPr>
  </w:style>
  <w:style w:type="paragraph" w:customStyle="1" w:styleId="185">
    <w:name w:val="无悬挂正文5号"/>
    <w:basedOn w:val="1"/>
    <w:autoRedefine/>
    <w:qFormat/>
    <w:uiPriority w:val="0"/>
    <w:pPr>
      <w:widowControl/>
      <w:jc w:val="center"/>
    </w:pPr>
    <w:rPr>
      <w:kern w:val="0"/>
      <w:sz w:val="20"/>
    </w:rPr>
  </w:style>
  <w:style w:type="paragraph" w:customStyle="1" w:styleId="186">
    <w:name w:val="前言、引言标题"/>
    <w:next w:val="1"/>
    <w:autoRedefine/>
    <w:qFormat/>
    <w:uiPriority w:val="0"/>
    <w:pPr>
      <w:shd w:val="clear" w:color="FFFFFF" w:fill="FFFFFF"/>
      <w:tabs>
        <w:tab w:val="left" w:pos="903"/>
      </w:tabs>
      <w:spacing w:before="640" w:after="560"/>
      <w:ind w:left="903" w:hanging="315"/>
      <w:jc w:val="center"/>
      <w:outlineLvl w:val="0"/>
    </w:pPr>
    <w:rPr>
      <w:rFonts w:ascii="黑体" w:hAnsi="Times New Roman" w:eastAsia="黑体" w:cs="Times New Roman"/>
      <w:sz w:val="32"/>
      <w:lang w:val="en-US" w:eastAsia="zh-CN" w:bidi="ar-SA"/>
    </w:rPr>
  </w:style>
  <w:style w:type="paragraph" w:customStyle="1" w:styleId="187">
    <w:name w:val="样式 题注 + 首行缩进:  2 字符"/>
    <w:basedOn w:val="8"/>
    <w:autoRedefine/>
    <w:qFormat/>
    <w:uiPriority w:val="0"/>
    <w:pPr>
      <w:adjustRightInd w:val="0"/>
      <w:snapToGrid w:val="0"/>
      <w:spacing w:beforeLines="50"/>
      <w:jc w:val="center"/>
    </w:pPr>
    <w:rPr>
      <w:rFonts w:ascii="Times New Roman" w:hAnsi="Times New Roman" w:eastAsia="Times New Roman" w:cs="宋体"/>
      <w:sz w:val="24"/>
      <w:szCs w:val="24"/>
    </w:rPr>
  </w:style>
  <w:style w:type="paragraph" w:customStyle="1" w:styleId="188">
    <w:name w:val="表"/>
    <w:basedOn w:val="1"/>
    <w:link w:val="251"/>
    <w:autoRedefine/>
    <w:qFormat/>
    <w:uiPriority w:val="0"/>
    <w:pPr>
      <w:snapToGrid w:val="0"/>
      <w:jc w:val="center"/>
    </w:pPr>
    <w:rPr>
      <w:spacing w:val="2"/>
    </w:rPr>
  </w:style>
  <w:style w:type="paragraph" w:customStyle="1" w:styleId="189">
    <w:name w:val="报告"/>
    <w:basedOn w:val="1"/>
    <w:link w:val="239"/>
    <w:autoRedefine/>
    <w:qFormat/>
    <w:uiPriority w:val="0"/>
    <w:pPr>
      <w:adjustRightInd w:val="0"/>
      <w:ind w:firstLine="505"/>
      <w:textAlignment w:val="center"/>
    </w:pPr>
    <w:rPr>
      <w:rFonts w:ascii="TimesNewRoman" w:hAnsi="TimesNewRoman"/>
    </w:rPr>
  </w:style>
  <w:style w:type="paragraph" w:customStyle="1" w:styleId="190">
    <w:name w:val="表后文字"/>
    <w:next w:val="1"/>
    <w:autoRedefine/>
    <w:qFormat/>
    <w:uiPriority w:val="0"/>
    <w:pPr>
      <w:ind w:firstLine="493"/>
    </w:pPr>
    <w:rPr>
      <w:rFonts w:ascii="宋体" w:hAnsi="Times New Roman" w:eastAsia="宋体" w:cs="Times New Roman"/>
      <w:spacing w:val="4"/>
      <w:w w:val="80"/>
      <w:kern w:val="18"/>
      <w:sz w:val="24"/>
      <w:lang w:val="en-US" w:eastAsia="zh-CN" w:bidi="ar-SA"/>
    </w:rPr>
  </w:style>
  <w:style w:type="paragraph" w:customStyle="1" w:styleId="191">
    <w:name w:val="表格正文3 Char"/>
    <w:basedOn w:val="1"/>
    <w:link w:val="286"/>
    <w:autoRedefine/>
    <w:qFormat/>
    <w:uiPriority w:val="0"/>
    <w:pPr>
      <w:adjustRightInd w:val="0"/>
      <w:textAlignment w:val="baseline"/>
    </w:pPr>
    <w:rPr>
      <w:rFonts w:ascii="宋体" w:hAnsi="宋体"/>
      <w:spacing w:val="4"/>
    </w:rPr>
  </w:style>
  <w:style w:type="paragraph" w:customStyle="1" w:styleId="192">
    <w:name w:val="样式 样式 样式 首行缩进:  2 字符1 + 首行缩进:  2 字符 + 首行缩进:  2 字符"/>
    <w:basedOn w:val="1"/>
    <w:link w:val="265"/>
    <w:autoRedefine/>
    <w:qFormat/>
    <w:uiPriority w:val="0"/>
    <w:pPr>
      <w:widowControl/>
      <w:ind w:firstLine="200" w:firstLineChars="200"/>
    </w:pPr>
    <w:rPr>
      <w:kern w:val="0"/>
      <w:sz w:val="28"/>
    </w:rPr>
  </w:style>
  <w:style w:type="paragraph" w:customStyle="1" w:styleId="193">
    <w:name w:val="三级标题"/>
    <w:basedOn w:val="1"/>
    <w:next w:val="44"/>
    <w:autoRedefine/>
    <w:qFormat/>
    <w:uiPriority w:val="0"/>
    <w:pPr>
      <w:adjustRightInd w:val="0"/>
      <w:snapToGrid w:val="0"/>
      <w:spacing w:line="360" w:lineRule="exact"/>
      <w:jc w:val="center"/>
    </w:pPr>
    <w:rPr>
      <w:bCs/>
    </w:rPr>
  </w:style>
  <w:style w:type="paragraph" w:customStyle="1" w:styleId="194">
    <w:name w:val="胡奔流-标题6"/>
    <w:basedOn w:val="1"/>
    <w:autoRedefine/>
    <w:qFormat/>
    <w:uiPriority w:val="0"/>
    <w:pPr>
      <w:adjustRightInd w:val="0"/>
      <w:snapToGrid w:val="0"/>
      <w:textAlignment w:val="baseline"/>
    </w:pPr>
    <w:rPr>
      <w:rFonts w:ascii="宋体"/>
      <w:snapToGrid w:val="0"/>
      <w:spacing w:val="10"/>
      <w:kern w:val="0"/>
    </w:rPr>
  </w:style>
  <w:style w:type="paragraph" w:customStyle="1" w:styleId="195">
    <w:name w:val="正文缩近"/>
    <w:basedOn w:val="1"/>
    <w:autoRedefine/>
    <w:qFormat/>
    <w:uiPriority w:val="0"/>
    <w:pPr>
      <w:ind w:firstLine="560" w:firstLineChars="200"/>
    </w:pPr>
    <w:rPr>
      <w:sz w:val="28"/>
    </w:rPr>
  </w:style>
  <w:style w:type="paragraph" w:customStyle="1" w:styleId="196">
    <w:name w:val="表格文字"/>
    <w:basedOn w:val="7"/>
    <w:autoRedefine/>
    <w:qFormat/>
    <w:uiPriority w:val="0"/>
    <w:pPr>
      <w:adjustRightInd w:val="0"/>
      <w:snapToGrid w:val="0"/>
      <w:jc w:val="center"/>
    </w:pPr>
    <w:rPr>
      <w:rFonts w:hint="eastAsia" w:ascii="宋体"/>
    </w:rPr>
  </w:style>
  <w:style w:type="paragraph" w:customStyle="1" w:styleId="197">
    <w:name w:val="正文文本 (2)"/>
    <w:basedOn w:val="1"/>
    <w:link w:val="254"/>
    <w:autoRedefine/>
    <w:qFormat/>
    <w:uiPriority w:val="0"/>
    <w:pPr>
      <w:shd w:val="clear" w:color="auto" w:fill="FFFFFF"/>
      <w:spacing w:before="240" w:line="465" w:lineRule="exact"/>
      <w:ind w:hanging="520"/>
      <w:jc w:val="distribute"/>
    </w:pPr>
    <w:rPr>
      <w:rFonts w:ascii="宋体" w:hAnsi="宋体"/>
      <w:kern w:val="0"/>
      <w:sz w:val="22"/>
      <w:szCs w:val="22"/>
    </w:rPr>
  </w:style>
  <w:style w:type="paragraph" w:customStyle="1" w:styleId="198">
    <w:name w:val="Char3"/>
    <w:basedOn w:val="1"/>
    <w:link w:val="246"/>
    <w:autoRedefine/>
    <w:qFormat/>
    <w:uiPriority w:val="0"/>
    <w:rPr>
      <w:rFonts w:ascii="宋体"/>
      <w:snapToGrid w:val="0"/>
      <w:spacing w:val="4"/>
      <w:kern w:val="18"/>
    </w:rPr>
  </w:style>
  <w:style w:type="paragraph" w:customStyle="1" w:styleId="199">
    <w:name w:val="表格001"/>
    <w:basedOn w:val="1"/>
    <w:autoRedefine/>
    <w:qFormat/>
    <w:uiPriority w:val="0"/>
    <w:pPr>
      <w:jc w:val="center"/>
    </w:pPr>
  </w:style>
  <w:style w:type="paragraph" w:customStyle="1" w:styleId="200">
    <w:name w:val="Char Char Char Char Char Char1 Char Char Char Char Char Char Char Char Char Char Char Char Char Char Char Char Char Char Char Char Char Char Char Char Char"/>
    <w:basedOn w:val="1"/>
    <w:autoRedefine/>
    <w:qFormat/>
    <w:uiPriority w:val="0"/>
    <w:rPr>
      <w:szCs w:val="24"/>
    </w:rPr>
  </w:style>
  <w:style w:type="paragraph" w:customStyle="1" w:styleId="201">
    <w:name w:val="样式 正文 + 宋体 小四1"/>
    <w:basedOn w:val="1"/>
    <w:autoRedefine/>
    <w:qFormat/>
    <w:uiPriority w:val="0"/>
    <w:pPr>
      <w:widowControl/>
      <w:ind w:firstLine="480" w:firstLineChars="200"/>
    </w:pPr>
    <w:rPr>
      <w:rFonts w:ascii="宋体" w:hAnsi="宋体"/>
      <w:kern w:val="0"/>
    </w:rPr>
  </w:style>
  <w:style w:type="paragraph" w:customStyle="1" w:styleId="202">
    <w:name w:val="4正文"/>
    <w:basedOn w:val="1"/>
    <w:link w:val="238"/>
    <w:autoRedefine/>
    <w:qFormat/>
    <w:uiPriority w:val="0"/>
    <w:pPr>
      <w:ind w:firstLine="480"/>
    </w:pPr>
    <w:rPr>
      <w:rFonts w:cs="宋体"/>
    </w:rPr>
  </w:style>
  <w:style w:type="paragraph" w:customStyle="1" w:styleId="203">
    <w:name w:val="简单回函地址"/>
    <w:basedOn w:val="1"/>
    <w:autoRedefine/>
    <w:qFormat/>
    <w:uiPriority w:val="0"/>
    <w:pPr>
      <w:adjustRightInd w:val="0"/>
      <w:spacing w:line="312" w:lineRule="atLeast"/>
      <w:textAlignment w:val="baseline"/>
    </w:pPr>
    <w:rPr>
      <w:kern w:val="0"/>
      <w:sz w:val="28"/>
    </w:rPr>
  </w:style>
  <w:style w:type="paragraph" w:customStyle="1" w:styleId="204">
    <w:name w:val="普通 (Web)"/>
    <w:basedOn w:val="1"/>
    <w:autoRedefine/>
    <w:qFormat/>
    <w:uiPriority w:val="0"/>
    <w:pPr>
      <w:widowControl/>
      <w:spacing w:beforeAutospacing="1" w:afterAutospacing="1"/>
    </w:pPr>
    <w:rPr>
      <w:rFonts w:hint="eastAsia" w:ascii="宋体" w:hAnsi="宋体"/>
      <w:kern w:val="0"/>
      <w:szCs w:val="24"/>
    </w:rPr>
  </w:style>
  <w:style w:type="paragraph" w:customStyle="1" w:styleId="205">
    <w:name w:val="Char Char Char Char Char Char Char Char Char Char Char Char Char1"/>
    <w:basedOn w:val="1"/>
    <w:autoRedefine/>
    <w:qFormat/>
    <w:uiPriority w:val="0"/>
    <w:rPr>
      <w:szCs w:val="24"/>
    </w:rPr>
  </w:style>
  <w:style w:type="paragraph" w:customStyle="1" w:styleId="206">
    <w:name w:val="标题4"/>
    <w:basedOn w:val="1"/>
    <w:autoRedefine/>
    <w:qFormat/>
    <w:uiPriority w:val="0"/>
    <w:pPr>
      <w:adjustRightInd w:val="0"/>
      <w:snapToGrid w:val="0"/>
      <w:ind w:left="496" w:leftChars="200"/>
    </w:pPr>
    <w:rPr>
      <w:rFonts w:ascii="宋体" w:hAnsi="宋体"/>
      <w:snapToGrid w:val="0"/>
      <w:spacing w:val="4"/>
      <w:kern w:val="0"/>
    </w:rPr>
  </w:style>
  <w:style w:type="paragraph" w:customStyle="1" w:styleId="207">
    <w:name w:val="Char Char2 Char Char Char Char Char Char Char Char"/>
    <w:basedOn w:val="1"/>
    <w:autoRedefine/>
    <w:qFormat/>
    <w:uiPriority w:val="0"/>
    <w:pPr>
      <w:ind w:firstLine="200" w:firstLineChars="200"/>
    </w:pPr>
    <w:rPr>
      <w:sz w:val="28"/>
    </w:rPr>
  </w:style>
  <w:style w:type="paragraph" w:customStyle="1" w:styleId="208">
    <w:name w:val="中文报告书样式"/>
    <w:basedOn w:val="1"/>
    <w:autoRedefine/>
    <w:qFormat/>
    <w:uiPriority w:val="0"/>
    <w:pPr>
      <w:adjustRightInd w:val="0"/>
      <w:spacing w:line="480" w:lineRule="atLeast"/>
      <w:ind w:firstLine="482"/>
      <w:textAlignment w:val="baseline"/>
    </w:pPr>
    <w:rPr>
      <w:kern w:val="24"/>
    </w:rPr>
  </w:style>
  <w:style w:type="paragraph" w:customStyle="1" w:styleId="209">
    <w:name w:val="样式 正文文本文本正文正文文字 Char Char Char Char + 居中 首行缩进:  0 厘米 字符缩放: 9..."/>
    <w:basedOn w:val="12"/>
    <w:autoRedefine/>
    <w:qFormat/>
    <w:uiPriority w:val="0"/>
    <w:pPr>
      <w:spacing w:line="240" w:lineRule="auto"/>
      <w:ind w:firstLine="0"/>
      <w:jc w:val="center"/>
    </w:pPr>
    <w:rPr>
      <w:spacing w:val="0"/>
      <w:w w:val="90"/>
      <w:kern w:val="0"/>
    </w:rPr>
  </w:style>
  <w:style w:type="paragraph" w:customStyle="1" w:styleId="210">
    <w:name w:val="报告书正文"/>
    <w:basedOn w:val="24"/>
    <w:autoRedefine/>
    <w:qFormat/>
    <w:uiPriority w:val="0"/>
    <w:pPr>
      <w:adjustRightInd w:val="0"/>
      <w:snapToGrid w:val="0"/>
      <w:ind w:firstLine="425"/>
      <w:textAlignment w:val="baseline"/>
    </w:pPr>
    <w:rPr>
      <w:rFonts w:ascii="Arial" w:hAnsi="Arial"/>
      <w:kern w:val="0"/>
      <w:szCs w:val="24"/>
    </w:rPr>
  </w:style>
  <w:style w:type="paragraph" w:customStyle="1" w:styleId="211">
    <w:name w:val="1"/>
    <w:basedOn w:val="1"/>
    <w:next w:val="41"/>
    <w:autoRedefine/>
    <w:qFormat/>
    <w:uiPriority w:val="0"/>
    <w:pPr>
      <w:widowControl/>
      <w:spacing w:beforeAutospacing="1" w:afterAutospacing="1"/>
    </w:pPr>
    <w:rPr>
      <w:rFonts w:ascii="Verdana" w:hAnsi="Verdana"/>
      <w:color w:val="333333"/>
      <w:kern w:val="0"/>
    </w:rPr>
  </w:style>
  <w:style w:type="paragraph" w:customStyle="1" w:styleId="212">
    <w:name w:val="图表"/>
    <w:basedOn w:val="1"/>
    <w:link w:val="295"/>
    <w:autoRedefine/>
    <w:qFormat/>
    <w:uiPriority w:val="0"/>
    <w:pPr>
      <w:autoSpaceDE w:val="0"/>
      <w:autoSpaceDN w:val="0"/>
      <w:spacing w:line="240" w:lineRule="auto"/>
      <w:jc w:val="center"/>
    </w:pPr>
    <w:rPr>
      <w:szCs w:val="24"/>
    </w:rPr>
  </w:style>
  <w:style w:type="paragraph" w:customStyle="1" w:styleId="213">
    <w:name w:val="l_text"/>
    <w:basedOn w:val="1"/>
    <w:autoRedefine/>
    <w:qFormat/>
    <w:uiPriority w:val="0"/>
    <w:pPr>
      <w:widowControl/>
      <w:overflowPunct w:val="0"/>
      <w:autoSpaceDE w:val="0"/>
      <w:autoSpaceDN w:val="0"/>
      <w:adjustRightInd w:val="0"/>
      <w:ind w:firstLine="567"/>
      <w:textAlignment w:val="baseline"/>
    </w:pPr>
    <w:rPr>
      <w:kern w:val="0"/>
      <w:sz w:val="28"/>
      <w:lang w:val="en-GB"/>
    </w:rPr>
  </w:style>
  <w:style w:type="paragraph" w:customStyle="1" w:styleId="214">
    <w:name w:val="注释"/>
    <w:basedOn w:val="1"/>
    <w:link w:val="284"/>
    <w:autoRedefine/>
    <w:qFormat/>
    <w:uiPriority w:val="0"/>
    <w:pPr>
      <w:adjustRightInd w:val="0"/>
      <w:snapToGrid w:val="0"/>
      <w:textAlignment w:val="baseline"/>
    </w:pPr>
    <w:rPr>
      <w:rFonts w:ascii="宋体"/>
      <w:snapToGrid w:val="0"/>
      <w:spacing w:val="4"/>
      <w:kern w:val="0"/>
    </w:rPr>
  </w:style>
  <w:style w:type="paragraph" w:customStyle="1" w:styleId="215">
    <w:name w:val="reader-word-layer"/>
    <w:basedOn w:val="1"/>
    <w:autoRedefine/>
    <w:qFormat/>
    <w:uiPriority w:val="0"/>
    <w:pPr>
      <w:widowControl/>
      <w:spacing w:before="100" w:beforeAutospacing="1" w:after="100" w:afterAutospacing="1"/>
    </w:pPr>
    <w:rPr>
      <w:rFonts w:ascii="宋体" w:hAnsi="宋体" w:cs="宋体"/>
      <w:kern w:val="0"/>
      <w:szCs w:val="24"/>
    </w:rPr>
  </w:style>
  <w:style w:type="paragraph" w:customStyle="1" w:styleId="216">
    <w:name w:val="Char Char Char Char2"/>
    <w:basedOn w:val="1"/>
    <w:autoRedefine/>
    <w:qFormat/>
    <w:uiPriority w:val="0"/>
    <w:pPr>
      <w:widowControl/>
      <w:spacing w:line="240" w:lineRule="exact"/>
    </w:pPr>
  </w:style>
  <w:style w:type="paragraph" w:customStyle="1" w:styleId="217">
    <w:name w:val="文本正文"/>
    <w:basedOn w:val="1"/>
    <w:autoRedefine/>
    <w:qFormat/>
    <w:uiPriority w:val="0"/>
    <w:pPr>
      <w:autoSpaceDE w:val="0"/>
      <w:autoSpaceDN w:val="0"/>
      <w:adjustRightInd w:val="0"/>
      <w:ind w:firstLine="200" w:firstLineChars="200"/>
      <w:textAlignment w:val="baseline"/>
    </w:pPr>
    <w:rPr>
      <w:rFonts w:ascii="宋体" w:hAnsi="宋体"/>
      <w:snapToGrid w:val="0"/>
      <w:color w:val="000000"/>
      <w:spacing w:val="4"/>
      <w:kern w:val="18"/>
    </w:rPr>
  </w:style>
  <w:style w:type="paragraph" w:customStyle="1" w:styleId="218">
    <w:name w:val="图表标题"/>
    <w:basedOn w:val="1"/>
    <w:autoRedefine/>
    <w:qFormat/>
    <w:uiPriority w:val="0"/>
    <w:pPr>
      <w:spacing w:beforeLines="25" w:afterLines="25"/>
      <w:jc w:val="center"/>
      <w:outlineLvl w:val="4"/>
    </w:pPr>
    <w:rPr>
      <w:rFonts w:eastAsia="楷体"/>
      <w:b/>
    </w:rPr>
  </w:style>
  <w:style w:type="paragraph" w:customStyle="1" w:styleId="219">
    <w:name w:val="Char Char Char1 Char"/>
    <w:basedOn w:val="1"/>
    <w:autoRedefine/>
    <w:qFormat/>
    <w:uiPriority w:val="0"/>
  </w:style>
  <w:style w:type="paragraph" w:customStyle="1" w:styleId="220">
    <w:name w:val="p15"/>
    <w:basedOn w:val="1"/>
    <w:autoRedefine/>
    <w:qFormat/>
    <w:uiPriority w:val="0"/>
    <w:pPr>
      <w:widowControl/>
      <w:ind w:firstLine="480"/>
    </w:pPr>
    <w:rPr>
      <w:bCs/>
      <w:kern w:val="0"/>
      <w:sz w:val="28"/>
    </w:rPr>
  </w:style>
  <w:style w:type="paragraph" w:customStyle="1" w:styleId="221">
    <w:name w:val="xl31"/>
    <w:basedOn w:val="1"/>
    <w:autoRedefine/>
    <w:qFormat/>
    <w:uiPriority w:val="0"/>
    <w:pPr>
      <w:widowControl/>
      <w:spacing w:beforeAutospacing="1" w:afterAutospacing="1"/>
      <w:jc w:val="center"/>
      <w:textAlignment w:val="center"/>
    </w:pPr>
    <w:rPr>
      <w:rFonts w:ascii="Arial Unicode MS" w:hAnsi="Arial Unicode MS" w:eastAsia="Arial Unicode MS"/>
      <w:kern w:val="0"/>
      <w:szCs w:val="24"/>
    </w:rPr>
  </w:style>
  <w:style w:type="paragraph" w:customStyle="1" w:styleId="222">
    <w:name w:val="标题03"/>
    <w:basedOn w:val="1"/>
    <w:autoRedefine/>
    <w:qFormat/>
    <w:uiPriority w:val="0"/>
    <w:pPr>
      <w:tabs>
        <w:tab w:val="left" w:pos="860"/>
        <w:tab w:val="left" w:pos="960"/>
        <w:tab w:val="left" w:pos="1075"/>
      </w:tabs>
      <w:snapToGrid w:val="0"/>
      <w:spacing w:line="440" w:lineRule="atLeast"/>
      <w:ind w:left="960" w:hanging="720"/>
      <w:outlineLvl w:val="2"/>
    </w:pPr>
    <w:rPr>
      <w:b/>
    </w:rPr>
  </w:style>
  <w:style w:type="paragraph" w:customStyle="1" w:styleId="223">
    <w:name w:val="正文内容"/>
    <w:basedOn w:val="1"/>
    <w:autoRedefine/>
    <w:qFormat/>
    <w:uiPriority w:val="0"/>
    <w:pPr>
      <w:adjustRightInd w:val="0"/>
      <w:snapToGrid w:val="0"/>
      <w:ind w:firstLine="496" w:firstLineChars="200"/>
    </w:pPr>
    <w:rPr>
      <w:rFonts w:ascii="宋体" w:hAnsi="宋体"/>
      <w:snapToGrid w:val="0"/>
      <w:spacing w:val="4"/>
      <w:kern w:val="0"/>
    </w:rPr>
  </w:style>
  <w:style w:type="paragraph" w:customStyle="1" w:styleId="224">
    <w:name w:val="Char1 Char Char Char"/>
    <w:basedOn w:val="1"/>
    <w:autoRedefine/>
    <w:qFormat/>
    <w:uiPriority w:val="0"/>
  </w:style>
  <w:style w:type="paragraph" w:customStyle="1" w:styleId="225">
    <w:name w:val="图"/>
    <w:basedOn w:val="1"/>
    <w:autoRedefine/>
    <w:qFormat/>
    <w:uiPriority w:val="0"/>
    <w:pPr>
      <w:adjustRightInd w:val="0"/>
      <w:snapToGrid w:val="0"/>
      <w:jc w:val="center"/>
    </w:pPr>
    <w:rPr>
      <w:rFonts w:cs="宋体"/>
      <w:b/>
      <w:bCs/>
    </w:rPr>
  </w:style>
  <w:style w:type="paragraph" w:customStyle="1" w:styleId="226">
    <w:name w:val="reader-word-layer reader-word-s1-6"/>
    <w:basedOn w:val="1"/>
    <w:autoRedefine/>
    <w:qFormat/>
    <w:uiPriority w:val="0"/>
    <w:pPr>
      <w:widowControl/>
      <w:spacing w:before="100" w:beforeAutospacing="1" w:after="100" w:afterAutospacing="1"/>
    </w:pPr>
    <w:rPr>
      <w:rFonts w:ascii="宋体" w:hAnsi="宋体" w:cs="宋体"/>
      <w:kern w:val="0"/>
      <w:szCs w:val="24"/>
    </w:rPr>
  </w:style>
  <w:style w:type="paragraph" w:customStyle="1" w:styleId="227">
    <w:name w:val="样式 首行缩进:  2 字符1"/>
    <w:basedOn w:val="1"/>
    <w:link w:val="306"/>
    <w:autoRedefine/>
    <w:qFormat/>
    <w:uiPriority w:val="0"/>
    <w:pPr>
      <w:adjustRightInd w:val="0"/>
      <w:snapToGrid w:val="0"/>
      <w:ind w:firstLine="480" w:firstLineChars="200"/>
    </w:pPr>
  </w:style>
  <w:style w:type="paragraph" w:customStyle="1" w:styleId="228">
    <w:name w:val="hb1"/>
    <w:basedOn w:val="12"/>
    <w:link w:val="277"/>
    <w:autoRedefine/>
    <w:qFormat/>
    <w:uiPriority w:val="0"/>
    <w:pPr>
      <w:adjustRightInd/>
      <w:spacing w:line="460" w:lineRule="exact"/>
      <w:ind w:firstLine="482"/>
      <w:textAlignment w:val="auto"/>
    </w:pPr>
    <w:rPr>
      <w:rFonts w:hAnsi="宋体"/>
      <w:snapToGrid/>
      <w:color w:val="000000"/>
      <w:spacing w:val="0"/>
      <w:kern w:val="2"/>
    </w:rPr>
  </w:style>
  <w:style w:type="paragraph" w:customStyle="1" w:styleId="229">
    <w:name w:val="文章正文样式 Char Char Char Char"/>
    <w:basedOn w:val="1"/>
    <w:link w:val="255"/>
    <w:autoRedefine/>
    <w:qFormat/>
    <w:uiPriority w:val="0"/>
    <w:pPr>
      <w:spacing w:line="520" w:lineRule="exact"/>
      <w:ind w:firstLine="480" w:firstLineChars="200"/>
    </w:pPr>
    <w:rPr>
      <w:rFonts w:ascii="宋体" w:hAnsi="宋体" w:cs="宋体"/>
    </w:rPr>
  </w:style>
  <w:style w:type="paragraph" w:customStyle="1" w:styleId="230">
    <w:name w:val="正文(首行缩进)"/>
    <w:basedOn w:val="1"/>
    <w:link w:val="260"/>
    <w:autoRedefine/>
    <w:qFormat/>
    <w:uiPriority w:val="0"/>
    <w:pPr>
      <w:ind w:firstLine="510"/>
    </w:pPr>
    <w:rPr>
      <w:rFonts w:ascii="宋体" w:hAnsi="宋体"/>
      <w:snapToGrid w:val="0"/>
      <w:kern w:val="0"/>
    </w:rPr>
  </w:style>
  <w:style w:type="paragraph" w:customStyle="1" w:styleId="231">
    <w:name w:val="默认段落字体 Para Char"/>
    <w:basedOn w:val="1"/>
    <w:next w:val="1"/>
    <w:autoRedefine/>
    <w:qFormat/>
    <w:uiPriority w:val="0"/>
    <w:pPr>
      <w:ind w:firstLine="200" w:firstLineChars="200"/>
    </w:pPr>
    <w:rPr>
      <w:rFonts w:ascii="宋体" w:hAnsi="宋体"/>
    </w:rPr>
  </w:style>
  <w:style w:type="paragraph" w:customStyle="1" w:styleId="232">
    <w:name w:val="表文"/>
    <w:basedOn w:val="12"/>
    <w:next w:val="7"/>
    <w:autoRedefine/>
    <w:qFormat/>
    <w:uiPriority w:val="0"/>
    <w:pPr>
      <w:adjustRightInd/>
      <w:spacing w:line="240" w:lineRule="auto"/>
      <w:ind w:firstLine="0"/>
      <w:jc w:val="center"/>
      <w:textAlignment w:val="auto"/>
    </w:pPr>
    <w:rPr>
      <w:rFonts w:ascii="仿宋_GB2312" w:eastAsia="仿宋_GB2312"/>
      <w:snapToGrid/>
      <w:spacing w:val="0"/>
      <w:kern w:val="2"/>
    </w:rPr>
  </w:style>
  <w:style w:type="character" w:customStyle="1" w:styleId="233">
    <w:name w:val="正文缩进 Char"/>
    <w:link w:val="7"/>
    <w:autoRedefine/>
    <w:qFormat/>
    <w:uiPriority w:val="0"/>
    <w:rPr>
      <w:rFonts w:eastAsia="宋体"/>
      <w:kern w:val="2"/>
      <w:sz w:val="24"/>
      <w:lang w:val="en-US" w:eastAsia="zh-CN" w:bidi="ar-SA"/>
    </w:rPr>
  </w:style>
  <w:style w:type="character" w:customStyle="1" w:styleId="234">
    <w:name w:val="标题 2 Char"/>
    <w:link w:val="2"/>
    <w:autoRedefine/>
    <w:qFormat/>
    <w:uiPriority w:val="0"/>
    <w:rPr>
      <w:rFonts w:ascii="黑体" w:hAnsi="Arial" w:eastAsia="黑体"/>
      <w:b/>
      <w:snapToGrid w:val="0"/>
      <w:spacing w:val="4"/>
      <w:kern w:val="2"/>
      <w:sz w:val="24"/>
    </w:rPr>
  </w:style>
  <w:style w:type="character" w:customStyle="1" w:styleId="235">
    <w:name w:val="表格内表格正文 Char Char"/>
    <w:link w:val="163"/>
    <w:autoRedefine/>
    <w:qFormat/>
    <w:uiPriority w:val="0"/>
    <w:rPr>
      <w:rFonts w:ascii="宋体" w:hAnsi="宋体" w:eastAsia="宋体"/>
      <w:w w:val="90"/>
      <w:kern w:val="2"/>
      <w:sz w:val="24"/>
      <w:lang w:val="en-US" w:eastAsia="zh-CN"/>
    </w:rPr>
  </w:style>
  <w:style w:type="character" w:customStyle="1" w:styleId="236">
    <w:name w:val="font21"/>
    <w:autoRedefine/>
    <w:qFormat/>
    <w:uiPriority w:val="0"/>
    <w:rPr>
      <w:rFonts w:hint="default" w:ascii="Times New Roman" w:hAnsi="Times New Roman" w:cs="Times New Roman"/>
      <w:color w:val="000000"/>
      <w:sz w:val="21"/>
      <w:szCs w:val="21"/>
      <w:u w:val="none"/>
    </w:rPr>
  </w:style>
  <w:style w:type="character" w:customStyle="1" w:styleId="237">
    <w:name w:val="style81"/>
    <w:autoRedefine/>
    <w:qFormat/>
    <w:uiPriority w:val="0"/>
    <w:rPr>
      <w:color w:val="0000FF"/>
    </w:rPr>
  </w:style>
  <w:style w:type="character" w:customStyle="1" w:styleId="238">
    <w:name w:val="4正文 Char Char"/>
    <w:link w:val="202"/>
    <w:autoRedefine/>
    <w:qFormat/>
    <w:uiPriority w:val="0"/>
    <w:rPr>
      <w:rFonts w:eastAsia="宋体" w:cs="宋体"/>
      <w:kern w:val="2"/>
      <w:sz w:val="21"/>
      <w:lang w:val="en-US" w:eastAsia="zh-CN" w:bidi="ar-SA"/>
    </w:rPr>
  </w:style>
  <w:style w:type="character" w:customStyle="1" w:styleId="239">
    <w:name w:val="报告 Char"/>
    <w:link w:val="189"/>
    <w:autoRedefine/>
    <w:qFormat/>
    <w:uiPriority w:val="0"/>
    <w:rPr>
      <w:rFonts w:ascii="TimesNewRoman" w:hAnsi="TimesNewRoman"/>
      <w:kern w:val="2"/>
      <w:sz w:val="24"/>
    </w:rPr>
  </w:style>
  <w:style w:type="character" w:customStyle="1" w:styleId="240">
    <w:name w:val="君邦正文 Char"/>
    <w:link w:val="107"/>
    <w:autoRedefine/>
    <w:qFormat/>
    <w:uiPriority w:val="0"/>
    <w:rPr>
      <w:rFonts w:ascii="宋体" w:hAnsi="宋体"/>
      <w:kern w:val="2"/>
      <w:sz w:val="24"/>
      <w:lang w:val="en-US" w:eastAsia="zh-CN" w:bidi="ar-SA"/>
    </w:rPr>
  </w:style>
  <w:style w:type="character" w:customStyle="1" w:styleId="241">
    <w:name w:val="表格居中 Char"/>
    <w:autoRedefine/>
    <w:qFormat/>
    <w:uiPriority w:val="0"/>
    <w:rPr>
      <w:rFonts w:ascii="宋体" w:hAnsi="宋体"/>
      <w:snapToGrid w:val="0"/>
      <w:spacing w:val="-4"/>
      <w:w w:val="90"/>
      <w:sz w:val="24"/>
    </w:rPr>
  </w:style>
  <w:style w:type="character" w:customStyle="1" w:styleId="242">
    <w:name w:val="正文样式-yu Char"/>
    <w:link w:val="135"/>
    <w:autoRedefine/>
    <w:qFormat/>
    <w:uiPriority w:val="0"/>
    <w:rPr>
      <w:rFonts w:ascii="宋体" w:hAnsi="宋体"/>
      <w:sz w:val="28"/>
      <w:lang w:val="zh-CN"/>
    </w:rPr>
  </w:style>
  <w:style w:type="character" w:customStyle="1" w:styleId="243">
    <w:name w:val="表格头 Char"/>
    <w:link w:val="159"/>
    <w:autoRedefine/>
    <w:qFormat/>
    <w:uiPriority w:val="0"/>
    <w:rPr>
      <w:rFonts w:ascii="黑体" w:hAnsi="黑体" w:eastAsia="黑体"/>
      <w:b/>
      <w:kern w:val="2"/>
      <w:sz w:val="24"/>
      <w:szCs w:val="24"/>
    </w:rPr>
  </w:style>
  <w:style w:type="character" w:customStyle="1" w:styleId="244">
    <w:name w:val="项目正文，无格式 Char"/>
    <w:link w:val="111"/>
    <w:autoRedefine/>
    <w:qFormat/>
    <w:uiPriority w:val="0"/>
    <w:rPr>
      <w:szCs w:val="18"/>
    </w:rPr>
  </w:style>
  <w:style w:type="character" w:customStyle="1" w:styleId="245">
    <w:name w:val="批注文字 Char"/>
    <w:link w:val="10"/>
    <w:autoRedefine/>
    <w:qFormat/>
    <w:uiPriority w:val="0"/>
    <w:rPr>
      <w:kern w:val="2"/>
      <w:sz w:val="21"/>
    </w:rPr>
  </w:style>
  <w:style w:type="character" w:customStyle="1" w:styleId="246">
    <w:name w:val="Char Char Char1"/>
    <w:link w:val="198"/>
    <w:autoRedefine/>
    <w:qFormat/>
    <w:uiPriority w:val="0"/>
    <w:rPr>
      <w:rFonts w:ascii="宋体" w:eastAsia="宋体"/>
      <w:snapToGrid w:val="0"/>
      <w:spacing w:val="4"/>
      <w:kern w:val="18"/>
      <w:sz w:val="24"/>
      <w:lang w:val="en-US" w:eastAsia="zh-CN"/>
    </w:rPr>
  </w:style>
  <w:style w:type="character" w:customStyle="1" w:styleId="247">
    <w:name w:val="纯文本 Char1"/>
    <w:autoRedefine/>
    <w:qFormat/>
    <w:uiPriority w:val="0"/>
    <w:rPr>
      <w:rFonts w:ascii="宋体" w:hAnsi="Courier New" w:eastAsia="宋体" w:cs="Courier New"/>
      <w:kern w:val="2"/>
      <w:sz w:val="21"/>
      <w:szCs w:val="21"/>
      <w:lang w:val="en-US" w:eastAsia="zh-CN" w:bidi="ar-SA"/>
    </w:rPr>
  </w:style>
  <w:style w:type="character" w:customStyle="1" w:styleId="248">
    <w:name w:val="报告表正文 Char"/>
    <w:link w:val="106"/>
    <w:autoRedefine/>
    <w:qFormat/>
    <w:uiPriority w:val="0"/>
    <w:rPr>
      <w:sz w:val="24"/>
    </w:rPr>
  </w:style>
  <w:style w:type="character" w:customStyle="1" w:styleId="249">
    <w:name w:val="表格正文 Char1"/>
    <w:autoRedefine/>
    <w:qFormat/>
    <w:uiPriority w:val="0"/>
    <w:rPr>
      <w:rFonts w:ascii="宋体" w:eastAsia="宋体"/>
      <w:snapToGrid w:val="0"/>
      <w:spacing w:val="4"/>
      <w:w w:val="90"/>
      <w:sz w:val="24"/>
      <w:lang w:val="en-US" w:eastAsia="zh-CN"/>
    </w:rPr>
  </w:style>
  <w:style w:type="character" w:customStyle="1" w:styleId="250">
    <w:name w:val="正文1 Char Char"/>
    <w:autoRedefine/>
    <w:qFormat/>
    <w:uiPriority w:val="0"/>
    <w:rPr>
      <w:rFonts w:ascii="宋体" w:hAnsi="宋体" w:eastAsia="宋体"/>
      <w:snapToGrid w:val="0"/>
      <w:color w:val="000000"/>
      <w:kern w:val="21"/>
      <w:sz w:val="24"/>
      <w:lang w:val="en-US" w:eastAsia="zh-CN"/>
    </w:rPr>
  </w:style>
  <w:style w:type="character" w:customStyle="1" w:styleId="251">
    <w:name w:val="表 Char"/>
    <w:link w:val="188"/>
    <w:autoRedefine/>
    <w:qFormat/>
    <w:uiPriority w:val="0"/>
    <w:rPr>
      <w:spacing w:val="2"/>
      <w:kern w:val="2"/>
      <w:sz w:val="21"/>
    </w:rPr>
  </w:style>
  <w:style w:type="character" w:customStyle="1" w:styleId="252">
    <w:name w:val="标题 3 Char"/>
    <w:link w:val="4"/>
    <w:autoRedefine/>
    <w:qFormat/>
    <w:uiPriority w:val="0"/>
    <w:rPr>
      <w:rFonts w:ascii="宋体" w:eastAsia="宋体"/>
      <w:snapToGrid w:val="0"/>
      <w:spacing w:val="4"/>
      <w:kern w:val="2"/>
      <w:sz w:val="24"/>
      <w:lang w:val="en-US" w:eastAsia="zh-CN"/>
    </w:rPr>
  </w:style>
  <w:style w:type="character" w:customStyle="1" w:styleId="253">
    <w:name w:val="style51"/>
    <w:autoRedefine/>
    <w:qFormat/>
    <w:uiPriority w:val="0"/>
    <w:rPr>
      <w:b/>
      <w:bCs/>
      <w:color w:val="FF9900"/>
      <w:sz w:val="21"/>
      <w:szCs w:val="21"/>
    </w:rPr>
  </w:style>
  <w:style w:type="character" w:customStyle="1" w:styleId="254">
    <w:name w:val="正文文本 (2)_"/>
    <w:link w:val="197"/>
    <w:autoRedefine/>
    <w:qFormat/>
    <w:uiPriority w:val="0"/>
    <w:rPr>
      <w:rFonts w:ascii="宋体" w:hAnsi="宋体" w:eastAsia="宋体" w:cs="宋体"/>
      <w:sz w:val="22"/>
      <w:szCs w:val="22"/>
      <w:shd w:val="clear" w:color="auto" w:fill="FFFFFF"/>
    </w:rPr>
  </w:style>
  <w:style w:type="character" w:customStyle="1" w:styleId="255">
    <w:name w:val="文章正文样式 Char Char Char Char Char Char"/>
    <w:link w:val="229"/>
    <w:autoRedefine/>
    <w:qFormat/>
    <w:uiPriority w:val="0"/>
    <w:rPr>
      <w:rFonts w:ascii="宋体" w:hAnsi="宋体" w:eastAsia="宋体" w:cs="宋体"/>
      <w:kern w:val="2"/>
      <w:sz w:val="24"/>
      <w:lang w:val="en-US" w:eastAsia="zh-CN" w:bidi="ar-SA"/>
    </w:rPr>
  </w:style>
  <w:style w:type="character" w:customStyle="1" w:styleId="256">
    <w:name w:val="quick"/>
    <w:basedOn w:val="48"/>
    <w:autoRedefine/>
    <w:qFormat/>
    <w:uiPriority w:val="0"/>
    <w:rPr>
      <w:color w:val="CCCCCC"/>
    </w:rPr>
  </w:style>
  <w:style w:type="character" w:customStyle="1" w:styleId="257">
    <w:name w:val="style71"/>
    <w:autoRedefine/>
    <w:qFormat/>
    <w:uiPriority w:val="0"/>
    <w:rPr>
      <w:b/>
      <w:bCs/>
      <w:color w:val="D70703"/>
      <w:sz w:val="21"/>
      <w:szCs w:val="21"/>
    </w:rPr>
  </w:style>
  <w:style w:type="character" w:customStyle="1" w:styleId="258">
    <w:name w:val="样式 宋体 小四"/>
    <w:autoRedefine/>
    <w:qFormat/>
    <w:uiPriority w:val="0"/>
    <w:rPr>
      <w:rFonts w:ascii="宋体" w:hAnsi="宋体" w:eastAsia="宋体"/>
      <w:sz w:val="24"/>
    </w:rPr>
  </w:style>
  <w:style w:type="character" w:customStyle="1" w:styleId="259">
    <w:name w:val="样式 首行缩进:  0.77 厘米 行距: 固定值 20 磅 Char Char"/>
    <w:link w:val="123"/>
    <w:autoRedefine/>
    <w:qFormat/>
    <w:uiPriority w:val="0"/>
    <w:rPr>
      <w:rFonts w:eastAsia="宋体"/>
      <w:kern w:val="2"/>
      <w:sz w:val="24"/>
      <w:lang w:val="en-US" w:eastAsia="zh-CN" w:bidi="ar-SA"/>
    </w:rPr>
  </w:style>
  <w:style w:type="character" w:customStyle="1" w:styleId="260">
    <w:name w:val="正文(首行缩进) Char Char"/>
    <w:link w:val="230"/>
    <w:autoRedefine/>
    <w:qFormat/>
    <w:uiPriority w:val="0"/>
    <w:rPr>
      <w:rFonts w:ascii="宋体" w:hAnsi="宋体"/>
      <w:snapToGrid w:val="0"/>
      <w:sz w:val="24"/>
    </w:rPr>
  </w:style>
  <w:style w:type="character" w:customStyle="1" w:styleId="261">
    <w:name w:val="页码1"/>
    <w:basedOn w:val="48"/>
    <w:autoRedefine/>
    <w:qFormat/>
    <w:uiPriority w:val="0"/>
  </w:style>
  <w:style w:type="character" w:customStyle="1" w:styleId="262">
    <w:name w:val="title"/>
    <w:basedOn w:val="48"/>
    <w:autoRedefine/>
    <w:qFormat/>
    <w:uiPriority w:val="0"/>
  </w:style>
  <w:style w:type="character" w:customStyle="1" w:styleId="263">
    <w:name w:val="表头 Char3"/>
    <w:autoRedefine/>
    <w:qFormat/>
    <w:uiPriority w:val="0"/>
    <w:rPr>
      <w:rFonts w:ascii="宋体" w:hAnsi="宋体" w:eastAsia="宋体"/>
      <w:spacing w:val="4"/>
      <w:kern w:val="18"/>
      <w:sz w:val="24"/>
      <w:lang w:val="en-US" w:eastAsia="zh-CN"/>
    </w:rPr>
  </w:style>
  <w:style w:type="character" w:customStyle="1" w:styleId="264">
    <w:name w:val="表格居中 Char Char"/>
    <w:link w:val="147"/>
    <w:autoRedefine/>
    <w:qFormat/>
    <w:uiPriority w:val="0"/>
    <w:rPr>
      <w:rFonts w:ascii="宋体" w:hAnsi="宋体" w:eastAsia="宋体"/>
      <w:snapToGrid w:val="0"/>
      <w:spacing w:val="-4"/>
      <w:w w:val="90"/>
      <w:sz w:val="24"/>
      <w:lang w:val="en-US" w:eastAsia="zh-CN"/>
    </w:rPr>
  </w:style>
  <w:style w:type="character" w:customStyle="1" w:styleId="265">
    <w:name w:val="样式 样式 样式 首行缩进:  2 字符1 + 首行缩进:  2 字符 + 首行缩进:  2 字符 Char Char"/>
    <w:link w:val="192"/>
    <w:autoRedefine/>
    <w:qFormat/>
    <w:uiPriority w:val="0"/>
    <w:rPr>
      <w:rFonts w:cs="宋体"/>
      <w:sz w:val="28"/>
    </w:rPr>
  </w:style>
  <w:style w:type="character" w:customStyle="1" w:styleId="266">
    <w:name w:val="表格内正文 Char Char Char Char"/>
    <w:link w:val="125"/>
    <w:autoRedefine/>
    <w:qFormat/>
    <w:uiPriority w:val="0"/>
    <w:rPr>
      <w:rFonts w:ascii="宋体" w:hAnsi="宋体" w:eastAsia="宋体"/>
      <w:spacing w:val="4"/>
      <w:kern w:val="18"/>
      <w:sz w:val="24"/>
      <w:lang w:val="en-US" w:eastAsia="zh-CN"/>
    </w:rPr>
  </w:style>
  <w:style w:type="character" w:customStyle="1" w:styleId="267">
    <w:name w:val="小四+首行缩进 Char2"/>
    <w:link w:val="132"/>
    <w:autoRedefine/>
    <w:qFormat/>
    <w:uiPriority w:val="0"/>
    <w:rPr>
      <w:rFonts w:ascii="宋体" w:hAnsi="宋体" w:eastAsia="宋体"/>
      <w:kern w:val="2"/>
      <w:sz w:val="24"/>
      <w:lang w:val="en-US" w:eastAsia="zh-CN"/>
    </w:rPr>
  </w:style>
  <w:style w:type="character" w:customStyle="1" w:styleId="268">
    <w:name w:val="样式 Char"/>
    <w:link w:val="181"/>
    <w:autoRedefine/>
    <w:qFormat/>
    <w:uiPriority w:val="0"/>
    <w:rPr>
      <w:rFonts w:ascii="黑体" w:hAnsi="宋体" w:eastAsia="黑体"/>
      <w:b/>
      <w:sz w:val="24"/>
      <w:szCs w:val="24"/>
    </w:rPr>
  </w:style>
  <w:style w:type="character" w:customStyle="1" w:styleId="269">
    <w:name w:val="正文文本缩进 Char"/>
    <w:basedOn w:val="48"/>
    <w:link w:val="13"/>
    <w:autoRedefine/>
    <w:qFormat/>
    <w:uiPriority w:val="0"/>
    <w:rPr>
      <w:rFonts w:hint="default" w:ascii="Calibri" w:hAnsi="Calibri" w:eastAsia="宋体" w:cs="Times New Roman"/>
      <w:kern w:val="2"/>
      <w:sz w:val="21"/>
      <w:szCs w:val="24"/>
    </w:rPr>
  </w:style>
  <w:style w:type="character" w:customStyle="1" w:styleId="270">
    <w:name w:val="fontstrikethrough"/>
    <w:basedOn w:val="48"/>
    <w:autoRedefine/>
    <w:qFormat/>
    <w:uiPriority w:val="0"/>
    <w:rPr>
      <w:strike/>
    </w:rPr>
  </w:style>
  <w:style w:type="character" w:customStyle="1" w:styleId="271">
    <w:name w:val="表头 Char Char"/>
    <w:link w:val="119"/>
    <w:autoRedefine/>
    <w:qFormat/>
    <w:uiPriority w:val="0"/>
    <w:rPr>
      <w:rFonts w:ascii="宋体" w:eastAsia="宋体"/>
      <w:snapToGrid w:val="0"/>
      <w:spacing w:val="4"/>
      <w:kern w:val="18"/>
      <w:sz w:val="24"/>
      <w:lang w:val="en-US" w:eastAsia="zh-CN"/>
    </w:rPr>
  </w:style>
  <w:style w:type="character" w:customStyle="1" w:styleId="272">
    <w:name w:val="p51"/>
    <w:autoRedefine/>
    <w:qFormat/>
    <w:uiPriority w:val="0"/>
    <w:rPr>
      <w:rFonts w:hint="default"/>
      <w:sz w:val="21"/>
    </w:rPr>
  </w:style>
  <w:style w:type="character" w:customStyle="1" w:styleId="273">
    <w:name w:val="表格正文 Char Char"/>
    <w:autoRedefine/>
    <w:qFormat/>
    <w:uiPriority w:val="0"/>
    <w:rPr>
      <w:rFonts w:ascii="宋体" w:eastAsia="宋体"/>
      <w:snapToGrid w:val="0"/>
      <w:spacing w:val="4"/>
      <w:w w:val="90"/>
      <w:kern w:val="2"/>
      <w:sz w:val="24"/>
      <w:lang w:val="en-US" w:eastAsia="zh-CN"/>
    </w:rPr>
  </w:style>
  <w:style w:type="character" w:customStyle="1" w:styleId="274">
    <w:name w:val="headline-content2"/>
    <w:basedOn w:val="48"/>
    <w:autoRedefine/>
    <w:qFormat/>
    <w:uiPriority w:val="0"/>
  </w:style>
  <w:style w:type="character" w:customStyle="1" w:styleId="275">
    <w:name w:val="表内格式 Char"/>
    <w:link w:val="105"/>
    <w:autoRedefine/>
    <w:qFormat/>
    <w:uiPriority w:val="0"/>
    <w:rPr>
      <w:rFonts w:eastAsia="楷体_GB2312"/>
      <w:sz w:val="18"/>
      <w:szCs w:val="18"/>
    </w:rPr>
  </w:style>
  <w:style w:type="character" w:customStyle="1" w:styleId="276">
    <w:name w:val="表格内正文 Char1"/>
    <w:autoRedefine/>
    <w:qFormat/>
    <w:uiPriority w:val="0"/>
    <w:rPr>
      <w:rFonts w:ascii="宋体" w:hAnsi="宋体" w:eastAsia="宋体"/>
      <w:spacing w:val="4"/>
      <w:kern w:val="18"/>
      <w:sz w:val="24"/>
      <w:lang w:val="en-US" w:eastAsia="zh-CN"/>
    </w:rPr>
  </w:style>
  <w:style w:type="character" w:customStyle="1" w:styleId="277">
    <w:name w:val="hb1 Char Char"/>
    <w:link w:val="228"/>
    <w:autoRedefine/>
    <w:qFormat/>
    <w:uiPriority w:val="0"/>
    <w:rPr>
      <w:rFonts w:ascii="宋体" w:hAnsi="宋体" w:eastAsia="宋体"/>
      <w:color w:val="000000"/>
      <w:kern w:val="2"/>
      <w:sz w:val="24"/>
      <w:lang w:val="en-US" w:eastAsia="zh-CN" w:bidi="ar-SA"/>
    </w:rPr>
  </w:style>
  <w:style w:type="character" w:customStyle="1" w:styleId="278">
    <w:name w:val="f241"/>
    <w:autoRedefine/>
    <w:qFormat/>
    <w:uiPriority w:val="0"/>
    <w:rPr>
      <w:sz w:val="36"/>
    </w:rPr>
  </w:style>
  <w:style w:type="character" w:customStyle="1" w:styleId="279">
    <w:name w:val="纯文本 Char"/>
    <w:link w:val="20"/>
    <w:autoRedefine/>
    <w:qFormat/>
    <w:uiPriority w:val="0"/>
    <w:rPr>
      <w:rFonts w:ascii="宋体" w:hAnsi="Courier New" w:eastAsia="宋体"/>
      <w:kern w:val="2"/>
      <w:sz w:val="21"/>
      <w:lang w:val="en-US" w:eastAsia="zh-CN" w:bidi="ar-SA"/>
    </w:rPr>
  </w:style>
  <w:style w:type="character" w:customStyle="1" w:styleId="280">
    <w:name w:val="文本正文 Char2"/>
    <w:autoRedefine/>
    <w:qFormat/>
    <w:uiPriority w:val="0"/>
    <w:rPr>
      <w:rFonts w:ascii="宋体" w:eastAsia="宋体"/>
      <w:snapToGrid w:val="0"/>
      <w:spacing w:val="4"/>
      <w:kern w:val="18"/>
      <w:sz w:val="24"/>
      <w:lang w:val="en-US" w:eastAsia="zh-CN"/>
    </w:rPr>
  </w:style>
  <w:style w:type="character" w:customStyle="1" w:styleId="281">
    <w:name w:val="正文首行缩进 2 Char"/>
    <w:basedOn w:val="269"/>
    <w:link w:val="44"/>
    <w:autoRedefine/>
    <w:qFormat/>
    <w:uiPriority w:val="0"/>
    <w:rPr>
      <w:rFonts w:hint="default" w:ascii="Calibri" w:hAnsi="Calibri" w:eastAsia="宋体" w:cs="Times New Roman"/>
      <w:kern w:val="2"/>
      <w:sz w:val="21"/>
      <w:szCs w:val="24"/>
    </w:rPr>
  </w:style>
  <w:style w:type="character" w:customStyle="1" w:styleId="282">
    <w:name w:val="正文文本 Char Char"/>
    <w:autoRedefine/>
    <w:qFormat/>
    <w:uiPriority w:val="0"/>
    <w:rPr>
      <w:rFonts w:ascii="宋体" w:eastAsia="宋体"/>
      <w:snapToGrid w:val="0"/>
      <w:spacing w:val="4"/>
      <w:kern w:val="18"/>
      <w:sz w:val="24"/>
      <w:lang w:val="en-US" w:eastAsia="zh-CN"/>
    </w:rPr>
  </w:style>
  <w:style w:type="character" w:customStyle="1" w:styleId="283">
    <w:name w:val="文本正文 Char1"/>
    <w:autoRedefine/>
    <w:qFormat/>
    <w:uiPriority w:val="0"/>
    <w:rPr>
      <w:rFonts w:ascii="宋体" w:eastAsia="宋体"/>
      <w:snapToGrid w:val="0"/>
      <w:spacing w:val="4"/>
      <w:kern w:val="18"/>
      <w:sz w:val="24"/>
      <w:lang w:val="en-US" w:eastAsia="zh-CN"/>
    </w:rPr>
  </w:style>
  <w:style w:type="character" w:customStyle="1" w:styleId="284">
    <w:name w:val="注释 Char Char"/>
    <w:link w:val="214"/>
    <w:autoRedefine/>
    <w:qFormat/>
    <w:uiPriority w:val="0"/>
    <w:rPr>
      <w:rFonts w:ascii="宋体" w:eastAsia="宋体"/>
      <w:snapToGrid w:val="0"/>
      <w:spacing w:val="4"/>
      <w:sz w:val="21"/>
      <w:lang w:val="en-US" w:eastAsia="zh-CN" w:bidi="ar-SA"/>
    </w:rPr>
  </w:style>
  <w:style w:type="character" w:customStyle="1" w:styleId="285">
    <w:name w:val="正文文本 Char"/>
    <w:link w:val="12"/>
    <w:autoRedefine/>
    <w:qFormat/>
    <w:uiPriority w:val="0"/>
    <w:rPr>
      <w:rFonts w:ascii="宋体" w:eastAsia="宋体"/>
      <w:snapToGrid w:val="0"/>
      <w:spacing w:val="4"/>
      <w:kern w:val="18"/>
      <w:sz w:val="24"/>
      <w:lang w:val="en-US" w:eastAsia="zh-CN"/>
    </w:rPr>
  </w:style>
  <w:style w:type="character" w:customStyle="1" w:styleId="286">
    <w:name w:val="表格正文3 Char Char Char"/>
    <w:link w:val="191"/>
    <w:autoRedefine/>
    <w:qFormat/>
    <w:uiPriority w:val="0"/>
    <w:rPr>
      <w:rFonts w:ascii="宋体" w:hAnsi="宋体" w:eastAsia="宋体"/>
      <w:spacing w:val="4"/>
      <w:kern w:val="2"/>
      <w:sz w:val="24"/>
      <w:lang w:val="en-US" w:eastAsia="zh-CN"/>
    </w:rPr>
  </w:style>
  <w:style w:type="character" w:customStyle="1" w:styleId="287">
    <w:name w:val="fontstyle01"/>
    <w:basedOn w:val="48"/>
    <w:autoRedefine/>
    <w:qFormat/>
    <w:uiPriority w:val="0"/>
    <w:rPr>
      <w:rFonts w:ascii="宋体" w:hAnsi="宋体" w:eastAsia="宋体" w:cs="宋体"/>
      <w:color w:val="333333"/>
      <w:sz w:val="28"/>
      <w:szCs w:val="28"/>
    </w:rPr>
  </w:style>
  <w:style w:type="character" w:customStyle="1" w:styleId="288">
    <w:name w:val="unnamed11"/>
    <w:autoRedefine/>
    <w:qFormat/>
    <w:uiPriority w:val="0"/>
    <w:rPr>
      <w:sz w:val="21"/>
    </w:rPr>
  </w:style>
  <w:style w:type="character" w:customStyle="1" w:styleId="289">
    <w:name w:val="font11"/>
    <w:autoRedefine/>
    <w:qFormat/>
    <w:uiPriority w:val="0"/>
    <w:rPr>
      <w:rFonts w:hint="default" w:ascii="Times New Roman" w:hAnsi="Times New Roman" w:cs="Times New Roman"/>
      <w:color w:val="000000"/>
      <w:sz w:val="21"/>
      <w:szCs w:val="21"/>
      <w:u w:val="none"/>
      <w:vertAlign w:val="subscript"/>
    </w:rPr>
  </w:style>
  <w:style w:type="character" w:customStyle="1" w:styleId="290">
    <w:name w:val="表格内正文 Char Char1"/>
    <w:autoRedefine/>
    <w:qFormat/>
    <w:uiPriority w:val="0"/>
    <w:rPr>
      <w:rFonts w:ascii="宋体" w:hAnsi="宋体" w:eastAsia="宋体"/>
      <w:spacing w:val="4"/>
      <w:kern w:val="18"/>
      <w:sz w:val="24"/>
      <w:lang w:val="en-US" w:eastAsia="zh-CN"/>
    </w:rPr>
  </w:style>
  <w:style w:type="character" w:customStyle="1" w:styleId="291">
    <w:name w:val="标准正文 Char"/>
    <w:link w:val="184"/>
    <w:autoRedefine/>
    <w:qFormat/>
    <w:uiPriority w:val="0"/>
    <w:rPr>
      <w:kern w:val="2"/>
      <w:sz w:val="24"/>
      <w:szCs w:val="22"/>
    </w:rPr>
  </w:style>
  <w:style w:type="character" w:customStyle="1" w:styleId="292">
    <w:name w:val="fontstyle21"/>
    <w:basedOn w:val="48"/>
    <w:autoRedefine/>
    <w:qFormat/>
    <w:uiPriority w:val="0"/>
    <w:rPr>
      <w:rFonts w:ascii="TimesNewRomanPSMT" w:hAnsi="TimesNewRomanPSMT" w:eastAsia="TimesNewRomanPSMT" w:cs="TimesNewRomanPSMT"/>
      <w:color w:val="000000"/>
      <w:sz w:val="28"/>
      <w:szCs w:val="28"/>
    </w:rPr>
  </w:style>
  <w:style w:type="character" w:customStyle="1" w:styleId="293">
    <w:name w:val="正文文本2"/>
    <w:autoRedefine/>
    <w:qFormat/>
    <w:uiPriority w:val="0"/>
    <w:rPr>
      <w:rFonts w:ascii="宋体" w:eastAsia="宋体"/>
      <w:snapToGrid w:val="0"/>
      <w:spacing w:val="4"/>
      <w:kern w:val="18"/>
      <w:sz w:val="24"/>
      <w:lang w:val="en-US" w:eastAsia="zh-CN"/>
    </w:rPr>
  </w:style>
  <w:style w:type="character" w:customStyle="1" w:styleId="294">
    <w:name w:val="标题 1 Char"/>
    <w:link w:val="3"/>
    <w:autoRedefine/>
    <w:qFormat/>
    <w:uiPriority w:val="0"/>
    <w:rPr>
      <w:rFonts w:eastAsia="黑体"/>
      <w:sz w:val="44"/>
      <w:lang w:val="zh-CN"/>
    </w:rPr>
  </w:style>
  <w:style w:type="character" w:customStyle="1" w:styleId="295">
    <w:name w:val="图表 Char"/>
    <w:link w:val="212"/>
    <w:autoRedefine/>
    <w:qFormat/>
    <w:uiPriority w:val="0"/>
    <w:rPr>
      <w:kern w:val="2"/>
      <w:sz w:val="21"/>
      <w:szCs w:val="24"/>
    </w:rPr>
  </w:style>
  <w:style w:type="character" w:customStyle="1" w:styleId="296">
    <w:name w:val="页眉 Char"/>
    <w:link w:val="27"/>
    <w:autoRedefine/>
    <w:qFormat/>
    <w:uiPriority w:val="0"/>
    <w:rPr>
      <w:kern w:val="2"/>
      <w:sz w:val="18"/>
    </w:rPr>
  </w:style>
  <w:style w:type="character" w:customStyle="1" w:styleId="297">
    <w:name w:val="表格正文 Char Char Char"/>
    <w:link w:val="177"/>
    <w:autoRedefine/>
    <w:qFormat/>
    <w:uiPriority w:val="0"/>
    <w:rPr>
      <w:rFonts w:ascii="宋体" w:eastAsia="宋体"/>
      <w:snapToGrid w:val="0"/>
      <w:spacing w:val="4"/>
      <w:w w:val="90"/>
      <w:sz w:val="24"/>
      <w:lang w:val="en-US" w:eastAsia="zh-CN"/>
    </w:rPr>
  </w:style>
  <w:style w:type="character" w:customStyle="1" w:styleId="298">
    <w:name w:val="页脚 Char"/>
    <w:link w:val="26"/>
    <w:autoRedefine/>
    <w:qFormat/>
    <w:uiPriority w:val="99"/>
    <w:rPr>
      <w:kern w:val="2"/>
      <w:sz w:val="18"/>
    </w:rPr>
  </w:style>
  <w:style w:type="character" w:customStyle="1" w:styleId="299">
    <w:name w:val="文本正文 Char"/>
    <w:autoRedefine/>
    <w:qFormat/>
    <w:uiPriority w:val="0"/>
    <w:rPr>
      <w:rFonts w:ascii="宋体" w:eastAsia="宋体"/>
      <w:snapToGrid w:val="0"/>
      <w:spacing w:val="4"/>
      <w:kern w:val="18"/>
      <w:sz w:val="24"/>
      <w:lang w:val="en-US" w:eastAsia="zh-CN"/>
    </w:rPr>
  </w:style>
  <w:style w:type="character" w:customStyle="1" w:styleId="300">
    <w:name w:val="正文2 Char Char"/>
    <w:link w:val="162"/>
    <w:autoRedefine/>
    <w:qFormat/>
    <w:uiPriority w:val="0"/>
    <w:rPr>
      <w:rFonts w:ascii="宋体" w:hAnsi="宋体" w:eastAsia="宋体"/>
      <w:kern w:val="21"/>
      <w:sz w:val="24"/>
      <w:lang w:val="en-US" w:eastAsia="zh-CN"/>
    </w:rPr>
  </w:style>
  <w:style w:type="character" w:customStyle="1" w:styleId="301">
    <w:name w:val="标题 Char"/>
    <w:link w:val="42"/>
    <w:autoRedefine/>
    <w:qFormat/>
    <w:uiPriority w:val="0"/>
    <w:rPr>
      <w:rFonts w:ascii="Cambria" w:hAnsi="Cambria" w:cs="Times New Roman"/>
      <w:b/>
      <w:bCs/>
      <w:kern w:val="2"/>
      <w:sz w:val="32"/>
      <w:szCs w:val="32"/>
    </w:rPr>
  </w:style>
  <w:style w:type="character" w:customStyle="1" w:styleId="302">
    <w:name w:val="正文缩进 Char1"/>
    <w:autoRedefine/>
    <w:qFormat/>
    <w:uiPriority w:val="0"/>
    <w:rPr>
      <w:rFonts w:eastAsia="仿宋_GB2312"/>
      <w:kern w:val="2"/>
      <w:sz w:val="28"/>
      <w:lang w:val="en-US" w:eastAsia="zh-CN" w:bidi="ar-SA"/>
    </w:rPr>
  </w:style>
  <w:style w:type="character" w:customStyle="1" w:styleId="303">
    <w:name w:val="fontborder"/>
    <w:basedOn w:val="48"/>
    <w:autoRedefine/>
    <w:qFormat/>
    <w:uiPriority w:val="0"/>
    <w:rPr>
      <w:bdr w:val="single" w:color="000000" w:sz="6" w:space="0"/>
    </w:rPr>
  </w:style>
  <w:style w:type="character" w:customStyle="1" w:styleId="304">
    <w:name w:val="表头 Char"/>
    <w:autoRedefine/>
    <w:qFormat/>
    <w:uiPriority w:val="0"/>
    <w:rPr>
      <w:rFonts w:ascii="Times New Roman" w:hAnsi="Times New Roman" w:eastAsia="宋体" w:cs="宋体"/>
      <w:sz w:val="24"/>
      <w:szCs w:val="20"/>
    </w:rPr>
  </w:style>
  <w:style w:type="character" w:customStyle="1" w:styleId="305">
    <w:name w:val="表头 Char1"/>
    <w:autoRedefine/>
    <w:qFormat/>
    <w:uiPriority w:val="0"/>
    <w:rPr>
      <w:rFonts w:ascii="宋体" w:hAnsi="宋体" w:eastAsia="宋体"/>
      <w:spacing w:val="4"/>
      <w:sz w:val="24"/>
      <w:lang w:val="en-US" w:eastAsia="zh-CN"/>
    </w:rPr>
  </w:style>
  <w:style w:type="character" w:customStyle="1" w:styleId="306">
    <w:name w:val="样式 首行缩进:  2 字符1 Char Char"/>
    <w:link w:val="227"/>
    <w:autoRedefine/>
    <w:qFormat/>
    <w:uiPriority w:val="0"/>
    <w:rPr>
      <w:rFonts w:eastAsia="宋体"/>
      <w:kern w:val="2"/>
      <w:sz w:val="24"/>
      <w:lang w:val="en-US" w:eastAsia="zh-CN" w:bidi="ar-SA"/>
    </w:rPr>
  </w:style>
  <w:style w:type="character" w:customStyle="1" w:styleId="307">
    <w:name w:val="五号"/>
    <w:autoRedefine/>
    <w:qFormat/>
    <w:uiPriority w:val="0"/>
    <w:rPr>
      <w:rFonts w:ascii="宋体" w:hAnsi="宋体" w:eastAsia="宋体"/>
      <w:kern w:val="18"/>
      <w:sz w:val="21"/>
    </w:rPr>
  </w:style>
  <w:style w:type="character" w:customStyle="1" w:styleId="308">
    <w:name w:val="表格内正文 Char Char Char Char Char"/>
    <w:link w:val="134"/>
    <w:autoRedefine/>
    <w:qFormat/>
    <w:uiPriority w:val="0"/>
    <w:rPr>
      <w:rFonts w:ascii="宋体" w:hAnsi="宋体" w:eastAsia="宋体"/>
      <w:spacing w:val="4"/>
      <w:kern w:val="18"/>
      <w:sz w:val="24"/>
      <w:lang w:val="en-US" w:eastAsia="zh-CN"/>
    </w:rPr>
  </w:style>
  <w:style w:type="table" w:customStyle="1" w:styleId="309">
    <w:name w:val="浅色底纹1"/>
    <w:basedOn w:val="45"/>
    <w:autoRedefine/>
    <w:qFormat/>
    <w:uiPriority w:val="60"/>
    <w:rPr>
      <w:color w:val="000000"/>
    </w:rPr>
    <w:tblPr>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sz="8" w:space="0"/>
          <w:left w:val="single" w:color="000000" w:sz="8" w:space="0"/>
          <w:bottom w:val="nil"/>
          <w:right w:val="nil"/>
          <w:insideH w:val="nil"/>
          <w:insideV w:val="nil"/>
          <w:tl2br w:val="nil"/>
          <w:tr2bl w:val="nil"/>
        </w:tcBorders>
      </w:tcPr>
    </w:tblStylePr>
    <w:tblStylePr w:type="lastRow">
      <w:pPr>
        <w:spacing w:before="0" w:after="0" w:line="240" w:lineRule="auto"/>
      </w:pPr>
      <w:rPr>
        <w:b/>
        <w:bCs/>
      </w:rPr>
      <w:tcPr>
        <w:tcBorders>
          <w:top w:val="single" w:color="000000" w:sz="8" w:space="0"/>
          <w:left w:val="single" w:color="000000" w:sz="8" w:space="0"/>
          <w:bottom w:val="nil"/>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 w:type="character" w:customStyle="1" w:styleId="310">
    <w:name w:val="报告正文 Char"/>
    <w:link w:val="311"/>
    <w:autoRedefine/>
    <w:qFormat/>
    <w:uiPriority w:val="0"/>
    <w:rPr>
      <w:rFonts w:ascii="宋体" w:hAnsi="宋体"/>
      <w:sz w:val="28"/>
    </w:rPr>
  </w:style>
  <w:style w:type="paragraph" w:customStyle="1" w:styleId="311">
    <w:name w:val="报告正文"/>
    <w:basedOn w:val="1"/>
    <w:link w:val="310"/>
    <w:autoRedefine/>
    <w:qFormat/>
    <w:uiPriority w:val="0"/>
    <w:pPr>
      <w:snapToGrid w:val="0"/>
      <w:ind w:firstLine="200" w:firstLineChars="200"/>
    </w:pPr>
    <w:rPr>
      <w:rFonts w:ascii="宋体" w:hAnsi="宋体"/>
      <w:sz w:val="28"/>
    </w:rPr>
  </w:style>
  <w:style w:type="character" w:customStyle="1" w:styleId="312">
    <w:name w:val="prev"/>
    <w:basedOn w:val="48"/>
    <w:autoRedefine/>
    <w:qFormat/>
    <w:uiPriority w:val="0"/>
  </w:style>
  <w:style w:type="character" w:customStyle="1" w:styleId="313">
    <w:name w:val="next"/>
    <w:basedOn w:val="48"/>
    <w:autoRedefine/>
    <w:qFormat/>
    <w:uiPriority w:val="0"/>
  </w:style>
  <w:style w:type="character" w:customStyle="1" w:styleId="314">
    <w:name w:val="hover12"/>
    <w:basedOn w:val="48"/>
    <w:autoRedefine/>
    <w:qFormat/>
    <w:uiPriority w:val="0"/>
    <w:rPr>
      <w:color w:val="007F63"/>
      <w:bdr w:val="single" w:color="007F63" w:sz="4" w:space="0"/>
    </w:rPr>
  </w:style>
  <w:style w:type="character" w:customStyle="1" w:styleId="315">
    <w:name w:val="hover11"/>
    <w:basedOn w:val="48"/>
    <w:autoRedefine/>
    <w:qFormat/>
    <w:uiPriority w:val="0"/>
    <w:rPr>
      <w:color w:val="007F63"/>
      <w:bdr w:val="single" w:color="007F63" w:sz="4" w:space="0"/>
    </w:rPr>
  </w:style>
  <w:style w:type="paragraph" w:customStyle="1" w:styleId="316">
    <w:name w:val="表格3"/>
    <w:autoRedefine/>
    <w:qFormat/>
    <w:uiPriority w:val="0"/>
    <w:pPr>
      <w:spacing w:line="240" w:lineRule="atLeast"/>
      <w:jc w:val="center"/>
    </w:pPr>
    <w:rPr>
      <w:rFonts w:ascii="Calibri" w:hAnsi="Calibri" w:eastAsia="宋体" w:cs="Times New Roman"/>
      <w:kern w:val="2"/>
      <w:sz w:val="21"/>
      <w:szCs w:val="21"/>
      <w:lang w:val="en-US" w:eastAsia="zh-CN" w:bidi="ar-SA"/>
    </w:rPr>
  </w:style>
  <w:style w:type="character" w:customStyle="1" w:styleId="317">
    <w:name w:val="hover32"/>
    <w:basedOn w:val="48"/>
    <w:autoRedefine/>
    <w:qFormat/>
    <w:uiPriority w:val="0"/>
    <w:rPr>
      <w:color w:val="015293"/>
    </w:rPr>
  </w:style>
  <w:style w:type="character" w:customStyle="1" w:styleId="318">
    <w:name w:val="replayed"/>
    <w:basedOn w:val="48"/>
    <w:autoRedefine/>
    <w:qFormat/>
    <w:uiPriority w:val="0"/>
    <w:rPr>
      <w:color w:val="5B7BC8"/>
    </w:rPr>
  </w:style>
  <w:style w:type="character" w:customStyle="1" w:styleId="319">
    <w:name w:val="font61"/>
    <w:autoRedefine/>
    <w:qFormat/>
    <w:uiPriority w:val="0"/>
    <w:rPr>
      <w:rFonts w:hint="eastAsia" w:ascii="宋体" w:hAnsi="宋体" w:eastAsia="宋体" w:cs="宋体"/>
      <w:color w:val="000000"/>
      <w:sz w:val="22"/>
      <w:szCs w:val="22"/>
      <w:u w:val="none"/>
    </w:rPr>
  </w:style>
  <w:style w:type="character" w:customStyle="1" w:styleId="320">
    <w:name w:val="font41"/>
    <w:basedOn w:val="48"/>
    <w:autoRedefine/>
    <w:qFormat/>
    <w:uiPriority w:val="0"/>
    <w:rPr>
      <w:rFonts w:hint="eastAsia" w:ascii="宋体" w:hAnsi="宋体" w:eastAsia="宋体" w:cs="宋体"/>
      <w:color w:val="000000"/>
      <w:sz w:val="22"/>
      <w:szCs w:val="22"/>
      <w:u w:val="none"/>
      <w:vertAlign w:val="superscript"/>
    </w:rPr>
  </w:style>
  <w:style w:type="character" w:customStyle="1" w:styleId="321">
    <w:name w:val="font31"/>
    <w:basedOn w:val="48"/>
    <w:autoRedefine/>
    <w:qFormat/>
    <w:uiPriority w:val="0"/>
    <w:rPr>
      <w:rFonts w:hint="eastAsia" w:ascii="宋体" w:hAnsi="宋体" w:eastAsia="宋体" w:cs="宋体"/>
      <w:color w:val="000000"/>
      <w:sz w:val="22"/>
      <w:szCs w:val="22"/>
      <w:u w:val="none"/>
    </w:rPr>
  </w:style>
  <w:style w:type="table" w:customStyle="1" w:styleId="322">
    <w:name w:val="网格型1"/>
    <w:basedOn w:val="45"/>
    <w:autoRedefine/>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23">
    <w:name w:val="应填表格"/>
    <w:basedOn w:val="1"/>
    <w:autoRedefine/>
    <w:qFormat/>
    <w:uiPriority w:val="0"/>
    <w:pPr>
      <w:adjustRightInd w:val="0"/>
      <w:spacing w:before="40" w:after="40"/>
      <w:textAlignment w:val="baseline"/>
    </w:pPr>
    <w:rPr>
      <w:kern w:val="0"/>
    </w:rPr>
  </w:style>
  <w:style w:type="character" w:customStyle="1" w:styleId="324">
    <w:name w:val="+正文 Char Char"/>
    <w:link w:val="325"/>
    <w:autoRedefine/>
    <w:qFormat/>
    <w:locked/>
    <w:uiPriority w:val="0"/>
    <w:rPr>
      <w:kern w:val="2"/>
      <w:sz w:val="24"/>
    </w:rPr>
  </w:style>
  <w:style w:type="paragraph" w:customStyle="1" w:styleId="325">
    <w:name w:val="+正文"/>
    <w:basedOn w:val="1"/>
    <w:link w:val="324"/>
    <w:autoRedefine/>
    <w:qFormat/>
    <w:uiPriority w:val="0"/>
    <w:pPr>
      <w:adjustRightInd w:val="0"/>
      <w:snapToGrid w:val="0"/>
      <w:ind w:firstLine="200" w:firstLineChars="200"/>
      <w:jc w:val="both"/>
    </w:pPr>
  </w:style>
  <w:style w:type="paragraph" w:customStyle="1" w:styleId="326">
    <w:name w:val="1正文"/>
    <w:basedOn w:val="1"/>
    <w:autoRedefine/>
    <w:qFormat/>
    <w:uiPriority w:val="0"/>
    <w:pPr>
      <w:widowControl/>
      <w:ind w:firstLine="200" w:firstLineChars="200"/>
      <w:jc w:val="both"/>
    </w:pPr>
    <w:rPr>
      <w:rFonts w:ascii="Calibri" w:hAnsi="Calibri"/>
      <w:kern w:val="0"/>
      <w:lang w:val="en-GB"/>
    </w:rPr>
  </w:style>
  <w:style w:type="paragraph" w:customStyle="1" w:styleId="327">
    <w:name w:val="Table Paragraph"/>
    <w:basedOn w:val="1"/>
    <w:autoRedefine/>
    <w:qFormat/>
    <w:uiPriority w:val="1"/>
    <w:pPr>
      <w:autoSpaceDE w:val="0"/>
      <w:autoSpaceDN w:val="0"/>
      <w:adjustRightInd w:val="0"/>
      <w:spacing w:line="240" w:lineRule="auto"/>
    </w:pPr>
    <w:rPr>
      <w:rFonts w:ascii="Calibri" w:hAnsi="Calibri"/>
      <w:kern w:val="0"/>
      <w:szCs w:val="22"/>
    </w:rPr>
  </w:style>
  <w:style w:type="character" w:customStyle="1" w:styleId="328">
    <w:name w:val="普通(网站) Char"/>
    <w:link w:val="41"/>
    <w:autoRedefine/>
    <w:qFormat/>
    <w:locked/>
    <w:uiPriority w:val="0"/>
    <w:rPr>
      <w:rFonts w:ascii="宋体" w:hAnsi="宋体"/>
      <w:sz w:val="24"/>
      <w:szCs w:val="24"/>
    </w:rPr>
  </w:style>
  <w:style w:type="character" w:customStyle="1" w:styleId="329">
    <w:name w:val="表格内容 Char"/>
    <w:link w:val="102"/>
    <w:autoRedefine/>
    <w:qFormat/>
    <w:locked/>
    <w:uiPriority w:val="0"/>
    <w:rPr>
      <w:rFonts w:ascii="Arial" w:hAnsi="Arial" w:eastAsia="仿宋_GB2312"/>
      <w:sz w:val="24"/>
    </w:rPr>
  </w:style>
  <w:style w:type="paragraph" w:customStyle="1" w:styleId="330">
    <w:name w:val="表标题16.9"/>
    <w:basedOn w:val="1"/>
    <w:autoRedefine/>
    <w:qFormat/>
    <w:uiPriority w:val="0"/>
    <w:pPr>
      <w:tabs>
        <w:tab w:val="left" w:pos="2444"/>
        <w:tab w:val="center" w:pos="4060"/>
        <w:tab w:val="right" w:pos="8261"/>
      </w:tabs>
      <w:suppressAutoHyphens/>
      <w:adjustRightInd w:val="0"/>
      <w:spacing w:line="240" w:lineRule="auto"/>
      <w:ind w:firstLine="200" w:firstLineChars="200"/>
      <w:jc w:val="center"/>
    </w:pPr>
    <w:rPr>
      <w:rFonts w:eastAsia="黑体"/>
      <w:spacing w:val="6"/>
      <w:kern w:val="0"/>
      <w:szCs w:val="26"/>
    </w:rPr>
  </w:style>
  <w:style w:type="paragraph" w:customStyle="1" w:styleId="331">
    <w:name w:val="1.1.1"/>
    <w:basedOn w:val="1"/>
    <w:autoRedefine/>
    <w:qFormat/>
    <w:uiPriority w:val="0"/>
    <w:pPr>
      <w:spacing w:line="240" w:lineRule="auto"/>
      <w:jc w:val="both"/>
    </w:pPr>
    <w:rPr>
      <w:rFonts w:ascii="黑体"/>
      <w:szCs w:val="24"/>
    </w:rPr>
  </w:style>
  <w:style w:type="paragraph" w:customStyle="1" w:styleId="332">
    <w:name w:val="+表头"/>
    <w:basedOn w:val="1"/>
    <w:next w:val="325"/>
    <w:autoRedefine/>
    <w:qFormat/>
    <w:uiPriority w:val="0"/>
    <w:pPr>
      <w:adjustRightInd w:val="0"/>
      <w:snapToGrid w:val="0"/>
      <w:jc w:val="center"/>
    </w:pPr>
    <w:rPr>
      <w:rFonts w:ascii="Times New Roman" w:hAnsi="Times New Roman"/>
      <w:b/>
      <w:szCs w:val="21"/>
    </w:rPr>
  </w:style>
  <w:style w:type="paragraph" w:styleId="333">
    <w:name w:val="List Paragraph"/>
    <w:basedOn w:val="1"/>
    <w:autoRedefine/>
    <w:qFormat/>
    <w:uiPriority w:val="1"/>
    <w:pPr>
      <w:ind w:left="1300" w:hanging="602"/>
    </w:pPr>
    <w:rPr>
      <w:rFonts w:ascii="宋体" w:hAnsi="宋体" w:eastAsia="宋体" w:cs="宋体"/>
      <w:lang w:val="zh-CN" w:eastAsia="zh-CN" w:bidi="zh-CN"/>
    </w:rPr>
  </w:style>
  <w:style w:type="paragraph" w:customStyle="1" w:styleId="334">
    <w:name w:val="图表题"/>
    <w:basedOn w:val="1"/>
    <w:next w:val="1"/>
    <w:autoRedefine/>
    <w:qFormat/>
    <w:uiPriority w:val="99"/>
    <w:pPr>
      <w:adjustRightInd w:val="0"/>
      <w:snapToGrid w:val="0"/>
      <w:spacing w:line="360" w:lineRule="auto"/>
      <w:jc w:val="center"/>
    </w:pPr>
    <w:rPr>
      <w:rFonts w:eastAsia="黑体"/>
      <w:sz w:val="24"/>
      <w:szCs w:val="20"/>
    </w:rPr>
  </w:style>
  <w:style w:type="character" w:customStyle="1" w:styleId="335">
    <w:name w:val="style331"/>
    <w:autoRedefine/>
    <w:qFormat/>
    <w:uiPriority w:val="0"/>
    <w:rPr>
      <w:color w:val="660000"/>
      <w:sz w:val="24"/>
      <w:szCs w:val="24"/>
    </w:rPr>
  </w:style>
  <w:style w:type="paragraph" w:customStyle="1" w:styleId="336">
    <w:name w:val="表格内"/>
    <w:basedOn w:val="1"/>
    <w:autoRedefine/>
    <w:qFormat/>
    <w:uiPriority w:val="0"/>
    <w:pPr>
      <w:spacing w:line="240" w:lineRule="auto"/>
      <w:ind w:firstLine="0" w:firstLineChars="0"/>
      <w:jc w:val="center"/>
    </w:pPr>
    <w:rPr>
      <w:kern w:val="2"/>
      <w:sz w:val="21"/>
      <w:szCs w:val="24"/>
    </w:rPr>
  </w:style>
  <w:style w:type="character" w:customStyle="1" w:styleId="337">
    <w:name w:val="cur1"/>
    <w:basedOn w:val="48"/>
    <w:autoRedefine/>
    <w:qFormat/>
    <w:uiPriority w:val="0"/>
    <w:rPr>
      <w:color w:val="FFFFFF"/>
      <w:shd w:val="clear" w:fill="2F6B98"/>
    </w:rPr>
  </w:style>
  <w:style w:type="character" w:customStyle="1" w:styleId="338">
    <w:name w:val="lishishuju"/>
    <w:basedOn w:val="48"/>
    <w:autoRedefine/>
    <w:qFormat/>
    <w:uiPriority w:val="0"/>
    <w:rPr>
      <w:b/>
      <w:bCs/>
      <w:color w:val="000052"/>
      <w:sz w:val="19"/>
      <w:szCs w:val="19"/>
      <w:bdr w:val="single" w:color="E3E3E3" w:sz="4" w:space="0"/>
    </w:rPr>
  </w:style>
  <w:style w:type="character" w:customStyle="1" w:styleId="339">
    <w:name w:val="lable"/>
    <w:basedOn w:val="48"/>
    <w:autoRedefine/>
    <w:qFormat/>
    <w:uiPriority w:val="0"/>
    <w:rPr>
      <w:sz w:val="19"/>
      <w:szCs w:val="19"/>
    </w:rPr>
  </w:style>
  <w:style w:type="character" w:customStyle="1" w:styleId="340">
    <w:name w:val="radio-btn"/>
    <w:basedOn w:val="48"/>
    <w:autoRedefine/>
    <w:qFormat/>
    <w:uiPriority w:val="0"/>
    <w:rPr>
      <w:sz w:val="19"/>
      <w:szCs w:val="19"/>
    </w:rPr>
  </w:style>
  <w:style w:type="character" w:customStyle="1" w:styleId="341">
    <w:name w:val="radio-btn1"/>
    <w:basedOn w:val="48"/>
    <w:autoRedefine/>
    <w:qFormat/>
    <w:uiPriority w:val="0"/>
    <w:rPr>
      <w:sz w:val="16"/>
      <w:szCs w:val="16"/>
    </w:rPr>
  </w:style>
  <w:style w:type="character" w:customStyle="1" w:styleId="342">
    <w:name w:val="radio-btn2"/>
    <w:basedOn w:val="48"/>
    <w:autoRedefine/>
    <w:qFormat/>
    <w:uiPriority w:val="0"/>
    <w:rPr>
      <w:sz w:val="19"/>
      <w:szCs w:val="19"/>
    </w:rPr>
  </w:style>
  <w:style w:type="character" w:customStyle="1" w:styleId="343">
    <w:name w:val="znspantitle"/>
    <w:basedOn w:val="48"/>
    <w:autoRedefine/>
    <w:qFormat/>
    <w:uiPriority w:val="0"/>
    <w:rPr>
      <w:b/>
      <w:bCs/>
      <w:color w:val="333333"/>
    </w:rPr>
  </w:style>
  <w:style w:type="character" w:customStyle="1" w:styleId="344">
    <w:name w:val="cur"/>
    <w:basedOn w:val="48"/>
    <w:autoRedefine/>
    <w:qFormat/>
    <w:uiPriority w:val="0"/>
    <w:rPr>
      <w:color w:val="FFFFFF"/>
      <w:shd w:val="clear" w:fill="2F6B98"/>
    </w:rPr>
  </w:style>
  <w:style w:type="paragraph" w:customStyle="1" w:styleId="345">
    <w:name w:val="正文首行缩进1"/>
    <w:basedOn w:val="1"/>
    <w:autoRedefine/>
    <w:qFormat/>
    <w:uiPriority w:val="0"/>
    <w:pPr>
      <w:adjustRightInd w:val="0"/>
      <w:snapToGrid w:val="0"/>
      <w:spacing w:line="360" w:lineRule="auto"/>
      <w:ind w:firstLine="482"/>
      <w:jc w:val="left"/>
    </w:pPr>
    <w:rPr>
      <w:snapToGrid w:val="0"/>
      <w:kern w:val="0"/>
      <w:sz w:val="24"/>
    </w:rPr>
  </w:style>
  <w:style w:type="paragraph" w:customStyle="1" w:styleId="346">
    <w:name w:val="Normal Indent"/>
    <w:basedOn w:val="1"/>
    <w:autoRedefine/>
    <w:qFormat/>
    <w:uiPriority w:val="0"/>
    <w:pPr>
      <w:ind w:firstLine="420"/>
    </w:pPr>
    <w:rPr>
      <w:sz w:val="28"/>
      <w:szCs w:val="20"/>
    </w:rPr>
  </w:style>
  <w:style w:type="paragraph" w:customStyle="1" w:styleId="347">
    <w:name w:val="p18"/>
    <w:basedOn w:val="1"/>
    <w:autoRedefine/>
    <w:qFormat/>
    <w:uiPriority w:val="0"/>
    <w:pPr>
      <w:widowControl/>
      <w:snapToGrid w:val="0"/>
      <w:spacing w:line="360" w:lineRule="auto"/>
      <w:ind w:firstLine="420"/>
    </w:pPr>
    <w:rPr>
      <w:kern w:val="0"/>
      <w:sz w:val="24"/>
    </w:rPr>
  </w:style>
  <w:style w:type="paragraph" w:customStyle="1" w:styleId="348">
    <w:name w:val="HDY正文"/>
    <w:basedOn w:val="1"/>
    <w:autoRedefine/>
    <w:qFormat/>
    <w:uiPriority w:val="0"/>
    <w:pPr>
      <w:widowControl/>
      <w:spacing w:line="360" w:lineRule="auto"/>
      <w:ind w:firstLine="480" w:firstLineChars="200"/>
    </w:pPr>
    <w:rPr>
      <w:rFonts w:ascii="Times New Roman" w:hAnsi="Times New Roman"/>
      <w:kern w:val="0"/>
      <w:sz w:val="24"/>
      <w:szCs w:val="22"/>
    </w:rPr>
  </w:style>
  <w:style w:type="paragraph" w:customStyle="1" w:styleId="349">
    <w:name w:val="表格文字我要的"/>
    <w:basedOn w:val="1"/>
    <w:autoRedefine/>
    <w:qFormat/>
    <w:uiPriority w:val="0"/>
    <w:pPr>
      <w:adjustRightInd/>
      <w:snapToGrid/>
      <w:spacing w:line="240" w:lineRule="auto"/>
      <w:ind w:firstLine="0" w:firstLineChars="0"/>
      <w:jc w:val="center"/>
    </w:pPr>
    <w:rPr>
      <w:kern w:val="0"/>
      <w:sz w:val="21"/>
      <w:szCs w:val="21"/>
    </w:rPr>
  </w:style>
  <w:style w:type="paragraph" w:customStyle="1" w:styleId="350">
    <w:name w:val="xl30"/>
    <w:basedOn w:val="1"/>
    <w:autoRedefine/>
    <w:qFormat/>
    <w:uiPriority w:val="0"/>
    <w:pPr>
      <w:widowControl/>
      <w:pBdr>
        <w:left w:val="single" w:color="auto" w:sz="12" w:space="0"/>
        <w:right w:val="single" w:color="auto" w:sz="4" w:space="0"/>
      </w:pBdr>
      <w:spacing w:before="100" w:after="100"/>
      <w:jc w:val="center"/>
    </w:pPr>
    <w:rPr>
      <w:rFonts w:ascii="宋体"/>
      <w:kern w:val="0"/>
      <w:sz w:val="24"/>
      <w:szCs w:val="20"/>
    </w:rPr>
  </w:style>
  <w:style w:type="character" w:customStyle="1" w:styleId="351">
    <w:name w:val="font01"/>
    <w:basedOn w:val="48"/>
    <w:autoRedefine/>
    <w:qFormat/>
    <w:uiPriority w:val="0"/>
    <w:rPr>
      <w:rFonts w:hint="default" w:ascii="Times New Roman" w:hAnsi="Times New Roman" w:cs="Times New Roman"/>
      <w:color w:val="000000"/>
      <w:sz w:val="20"/>
      <w:szCs w:val="20"/>
      <w:u w:val="none"/>
    </w:rPr>
  </w:style>
  <w:style w:type="paragraph" w:customStyle="1" w:styleId="352">
    <w:name w:val="表内内容"/>
    <w:basedOn w:val="1"/>
    <w:autoRedefine/>
    <w:qFormat/>
    <w:uiPriority w:val="0"/>
    <w:pPr>
      <w:jc w:val="center"/>
    </w:pPr>
    <w:rPr>
      <w:rFonts w:ascii="Times New Roman" w:hAnsi="Times New Roman" w:eastAsia="宋体" w:cs="Times New Roman"/>
      <w:szCs w:val="24"/>
    </w:rPr>
  </w:style>
  <w:style w:type="paragraph" w:customStyle="1" w:styleId="353">
    <w:name w:val="xl27"/>
    <w:basedOn w:val="1"/>
    <w:autoRedefine/>
    <w:qFormat/>
    <w:uiPriority w:val="0"/>
    <w:pPr>
      <w:widowControl/>
      <w:spacing w:before="100" w:beforeAutospacing="1" w:after="100" w:afterAutospacing="1"/>
      <w:jc w:val="center"/>
    </w:pPr>
    <w:rPr>
      <w:rFonts w:hint="eastAsia" w:ascii="楷体_GB2312" w:hAnsi="Arial Unicode MS" w:eastAsia="楷体_GB2312"/>
      <w:kern w:val="0"/>
      <w:szCs w:val="28"/>
    </w:rPr>
  </w:style>
  <w:style w:type="paragraph" w:customStyle="1" w:styleId="354">
    <w:name w:val="C2"/>
    <w:basedOn w:val="1"/>
    <w:autoRedefine/>
    <w:qFormat/>
    <w:uiPriority w:val="0"/>
    <w:rPr>
      <w:kern w:val="0"/>
      <w:sz w:val="28"/>
      <w:szCs w:val="20"/>
    </w:rPr>
  </w:style>
  <w:style w:type="paragraph" w:customStyle="1" w:styleId="355">
    <w:name w:val="表头样式"/>
    <w:basedOn w:val="223"/>
    <w:autoRedefine/>
    <w:qFormat/>
    <w:uiPriority w:val="0"/>
    <w:pPr>
      <w:ind w:left="420" w:hanging="132"/>
      <w:jc w:val="center"/>
    </w:pPr>
    <w:rPr>
      <w:rFonts w:ascii="Times New Roman" w:hAnsi="Times New Roman" w:eastAsia="黑体"/>
      <w:kern w:val="0"/>
      <w:szCs w:val="24"/>
    </w:rPr>
  </w:style>
  <w:style w:type="paragraph" w:customStyle="1" w:styleId="356">
    <w:name w:val="环评表格文字（内）"/>
    <w:basedOn w:val="1"/>
    <w:autoRedefine/>
    <w:qFormat/>
    <w:uiPriority w:val="0"/>
    <w:pPr>
      <w:adjustRightInd w:val="0"/>
      <w:snapToGrid w:val="0"/>
      <w:jc w:val="center"/>
    </w:pPr>
    <w:rPr>
      <w:snapToGrid w:val="0"/>
      <w:szCs w:val="21"/>
    </w:rPr>
  </w:style>
  <w:style w:type="paragraph" w:customStyle="1" w:styleId="357">
    <w:name w:val="表格文字（内）"/>
    <w:basedOn w:val="1"/>
    <w:autoRedefine/>
    <w:qFormat/>
    <w:uiPriority w:val="0"/>
    <w:pPr>
      <w:adjustRightInd w:val="0"/>
      <w:snapToGrid w:val="0"/>
      <w:jc w:val="center"/>
    </w:pPr>
    <w:rPr>
      <w:snapToGrid w:val="0"/>
      <w:szCs w:val="21"/>
    </w:rPr>
  </w:style>
  <w:style w:type="paragraph" w:customStyle="1" w:styleId="358">
    <w:name w:val="Text type"/>
    <w:basedOn w:val="1"/>
    <w:autoRedefine/>
    <w:qFormat/>
    <w:uiPriority w:val="0"/>
    <w:pPr>
      <w:widowControl/>
      <w:snapToGrid w:val="0"/>
      <w:spacing w:line="360" w:lineRule="auto"/>
      <w:ind w:firstLine="200" w:firstLineChars="200"/>
    </w:pPr>
    <w:rPr>
      <w:sz w:val="24"/>
      <w:szCs w:val="32"/>
    </w:rPr>
  </w:style>
  <w:style w:type="paragraph" w:customStyle="1" w:styleId="359">
    <w:name w:val="正文文本 (2)1"/>
    <w:basedOn w:val="1"/>
    <w:autoRedefine/>
    <w:qFormat/>
    <w:uiPriority w:val="0"/>
    <w:pPr>
      <w:shd w:val="clear" w:color="auto" w:fill="FFFFFF"/>
      <w:spacing w:before="300" w:line="466" w:lineRule="exact"/>
      <w:ind w:hanging="600"/>
      <w:jc w:val="distribute"/>
    </w:pPr>
    <w:rPr>
      <w:rFonts w:ascii="宋体" w:hAnsi="宋体"/>
      <w:kern w:val="0"/>
      <w:sz w:val="22"/>
      <w:szCs w:val="22"/>
    </w:rPr>
  </w:style>
  <w:style w:type="paragraph" w:customStyle="1" w:styleId="360">
    <w:name w:val="*正文"/>
    <w:basedOn w:val="1"/>
    <w:autoRedefine/>
    <w:qFormat/>
    <w:uiPriority w:val="0"/>
    <w:pPr>
      <w:adjustRightInd w:val="0"/>
      <w:spacing w:line="360" w:lineRule="auto"/>
      <w:ind w:firstLine="200" w:firstLineChars="200"/>
    </w:pPr>
    <w:rPr>
      <w:kern w:val="0"/>
      <w:sz w:val="24"/>
    </w:rPr>
  </w:style>
  <w:style w:type="character" w:customStyle="1" w:styleId="361">
    <w:name w:val="font51"/>
    <w:basedOn w:val="48"/>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7" Type="http://schemas.openxmlformats.org/officeDocument/2006/relationships/fontTable" Target="fontTable.xml"/><Relationship Id="rId36" Type="http://schemas.openxmlformats.org/officeDocument/2006/relationships/customXml" Target="../customXml/item2.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12.wmf"/><Relationship Id="rId32" Type="http://schemas.openxmlformats.org/officeDocument/2006/relationships/oleObject" Target="embeddings/oleObject9.bin"/><Relationship Id="rId31" Type="http://schemas.openxmlformats.org/officeDocument/2006/relationships/image" Target="media/image11.jpeg"/><Relationship Id="rId30" Type="http://schemas.openxmlformats.org/officeDocument/2006/relationships/image" Target="media/image10.jpeg"/><Relationship Id="rId3" Type="http://schemas.openxmlformats.org/officeDocument/2006/relationships/footnotes" Target="footnotes.xml"/><Relationship Id="rId29" Type="http://schemas.openxmlformats.org/officeDocument/2006/relationships/image" Target="media/image9.jpeg"/><Relationship Id="rId28" Type="http://schemas.openxmlformats.org/officeDocument/2006/relationships/image" Target="media/image8.wmf"/><Relationship Id="rId27" Type="http://schemas.openxmlformats.org/officeDocument/2006/relationships/oleObject" Target="embeddings/oleObject8.bin"/><Relationship Id="rId26" Type="http://schemas.openxmlformats.org/officeDocument/2006/relationships/image" Target="media/image7.wmf"/><Relationship Id="rId25" Type="http://schemas.openxmlformats.org/officeDocument/2006/relationships/oleObject" Target="embeddings/oleObject7.bin"/><Relationship Id="rId24" Type="http://schemas.openxmlformats.org/officeDocument/2006/relationships/image" Target="media/image6.wmf"/><Relationship Id="rId23" Type="http://schemas.openxmlformats.org/officeDocument/2006/relationships/oleObject" Target="embeddings/oleObject6.bin"/><Relationship Id="rId22" Type="http://schemas.openxmlformats.org/officeDocument/2006/relationships/image" Target="media/image5.wmf"/><Relationship Id="rId21" Type="http://schemas.openxmlformats.org/officeDocument/2006/relationships/oleObject" Target="embeddings/oleObject5.bin"/><Relationship Id="rId20" Type="http://schemas.openxmlformats.org/officeDocument/2006/relationships/image" Target="media/image4.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3.emf"/><Relationship Id="rId17" Type="http://schemas.openxmlformats.org/officeDocument/2006/relationships/oleObject" Target="embeddings/oleObject3.bin"/><Relationship Id="rId16" Type="http://schemas.openxmlformats.org/officeDocument/2006/relationships/image" Target="media/image2.emf"/><Relationship Id="rId15" Type="http://schemas.openxmlformats.org/officeDocument/2006/relationships/oleObject" Target="embeddings/oleObject2.bin"/><Relationship Id="rId14" Type="http://schemas.openxmlformats.org/officeDocument/2006/relationships/image" Target="media/image1.e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DA9AF-AB76-4F92-8EAA-AB959A2AF60E}">
  <ds:schemaRefs/>
</ds:datastoreItem>
</file>

<file path=docProps/app.xml><?xml version="1.0" encoding="utf-8"?>
<Properties xmlns="http://schemas.openxmlformats.org/officeDocument/2006/extended-properties" xmlns:vt="http://schemas.openxmlformats.org/officeDocument/2006/docPropsVTypes">
  <Template>Normal.dotm</Template>
  <Company>南昌环境保护研究设计院有限公司</Company>
  <Pages>54</Pages>
  <Words>33503</Words>
  <Characters>39183</Characters>
  <Lines>210</Lines>
  <Paragraphs>59</Paragraphs>
  <TotalTime>40</TotalTime>
  <ScaleCrop>false</ScaleCrop>
  <LinksUpToDate>false</LinksUpToDate>
  <CharactersWithSpaces>39409</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2021-01-11T03:01:00Z</dcterms:created>
  <dc:creator>福建高科设计院 朱传明</dc:creator>
  <cp:lastModifiedBy>我</cp:lastModifiedBy>
  <cp:lastPrinted>2024-07-04T05:03:00Z</cp:lastPrinted>
  <dcterms:modified xsi:type="dcterms:W3CDTF">2024-07-11T07:23:03Z</dcterms:modified>
  <dc:title>建设项目环境影响报告表</dc:title>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449ED32E58704E7A9928B54341021238</vt:lpwstr>
  </property>
</Properties>
</file>