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87E53">
      <w:pPr>
        <w:adjustRightInd w:val="0"/>
        <w:snapToGrid w:val="0"/>
        <w:spacing w:line="240" w:lineRule="auto"/>
        <w:ind w:firstLine="0" w:firstLineChars="0"/>
        <w:jc w:val="center"/>
        <w:outlineLvl w:val="0"/>
        <w:rPr>
          <w:rFonts w:eastAsia="方正小标宋_GBK" w:cs="Times New Roman"/>
          <w:bCs/>
          <w:color w:val="auto"/>
          <w:sz w:val="72"/>
          <w:szCs w:val="72"/>
        </w:rPr>
      </w:pPr>
    </w:p>
    <w:p w14:paraId="092A8683">
      <w:pPr>
        <w:adjustRightInd w:val="0"/>
        <w:snapToGrid w:val="0"/>
        <w:spacing w:line="240" w:lineRule="auto"/>
        <w:ind w:firstLine="0" w:firstLineChars="0"/>
        <w:jc w:val="center"/>
        <w:outlineLvl w:val="0"/>
        <w:rPr>
          <w:rFonts w:eastAsia="方正小标宋_GBK" w:cs="Times New Roman"/>
          <w:bCs/>
          <w:color w:val="auto"/>
          <w:sz w:val="44"/>
          <w:szCs w:val="44"/>
        </w:rPr>
      </w:pPr>
    </w:p>
    <w:p w14:paraId="15EA9305">
      <w:pPr>
        <w:adjustRightInd w:val="0"/>
        <w:snapToGrid w:val="0"/>
        <w:spacing w:line="240" w:lineRule="auto"/>
        <w:ind w:firstLine="0" w:firstLineChars="0"/>
        <w:jc w:val="center"/>
        <w:outlineLvl w:val="0"/>
        <w:rPr>
          <w:rFonts w:eastAsia="方正小标宋_GBK" w:cs="Times New Roman"/>
          <w:bCs/>
          <w:color w:val="auto"/>
          <w:sz w:val="72"/>
          <w:szCs w:val="72"/>
          <w:lang w:eastAsia="zh-CN"/>
        </w:rPr>
      </w:pPr>
      <w:r>
        <w:rPr>
          <w:rFonts w:eastAsia="方正小标宋_GBK" w:cs="Times New Roman"/>
          <w:bCs/>
          <w:color w:val="auto"/>
          <w:sz w:val="72"/>
          <w:szCs w:val="72"/>
          <w:lang w:eastAsia="zh-CN"/>
        </w:rPr>
        <w:t>建设项目环境影响报告表</w:t>
      </w:r>
    </w:p>
    <w:p w14:paraId="2818807D">
      <w:pPr>
        <w:adjustRightInd w:val="0"/>
        <w:snapToGrid w:val="0"/>
        <w:spacing w:before="192" w:beforeLines="80" w:line="240" w:lineRule="auto"/>
        <w:ind w:firstLine="0" w:firstLineChars="0"/>
        <w:jc w:val="center"/>
        <w:rPr>
          <w:rFonts w:eastAsia="楷体_GB2312" w:cs="Times New Roman"/>
          <w:bCs/>
          <w:color w:val="auto"/>
          <w:sz w:val="48"/>
          <w:szCs w:val="48"/>
          <w:lang w:eastAsia="zh-CN"/>
        </w:rPr>
      </w:pPr>
      <w:r>
        <w:rPr>
          <w:rFonts w:eastAsia="楷体_GB2312" w:cs="Times New Roman"/>
          <w:bCs/>
          <w:color w:val="auto"/>
          <w:sz w:val="48"/>
          <w:szCs w:val="48"/>
          <w:lang w:eastAsia="zh-CN"/>
        </w:rPr>
        <w:t>（污染影响类）</w:t>
      </w:r>
    </w:p>
    <w:p w14:paraId="7E361F23">
      <w:pPr>
        <w:adjustRightInd w:val="0"/>
        <w:snapToGrid w:val="0"/>
        <w:ind w:firstLine="880"/>
        <w:jc w:val="center"/>
        <w:outlineLvl w:val="0"/>
        <w:rPr>
          <w:rFonts w:eastAsia="华文仿宋" w:cs="Times New Roman"/>
          <w:color w:val="auto"/>
          <w:kern w:val="44"/>
          <w:sz w:val="44"/>
          <w:szCs w:val="44"/>
          <w:lang w:eastAsia="zh-CN"/>
        </w:rPr>
      </w:pPr>
    </w:p>
    <w:p w14:paraId="2D19E961">
      <w:pPr>
        <w:ind w:firstLine="880"/>
        <w:rPr>
          <w:rFonts w:eastAsia="仿宋" w:cs="Times New Roman"/>
          <w:color w:val="auto"/>
          <w:sz w:val="44"/>
          <w:szCs w:val="44"/>
          <w:lang w:eastAsia="zh-CN"/>
        </w:rPr>
      </w:pPr>
    </w:p>
    <w:p w14:paraId="165741E9">
      <w:pPr>
        <w:ind w:firstLine="880"/>
        <w:rPr>
          <w:rFonts w:eastAsia="仿宋" w:cs="Times New Roman"/>
          <w:color w:val="auto"/>
          <w:sz w:val="44"/>
          <w:szCs w:val="44"/>
          <w:lang w:eastAsia="zh-CN"/>
        </w:rPr>
      </w:pPr>
    </w:p>
    <w:p w14:paraId="57814283">
      <w:pPr>
        <w:ind w:firstLine="880"/>
        <w:rPr>
          <w:rFonts w:eastAsia="仿宋" w:cs="Times New Roman"/>
          <w:color w:val="auto"/>
          <w:sz w:val="44"/>
          <w:szCs w:val="44"/>
          <w:lang w:eastAsia="zh-CN"/>
        </w:rPr>
      </w:pPr>
    </w:p>
    <w:p w14:paraId="69F9BAD6">
      <w:pPr>
        <w:ind w:firstLine="880"/>
        <w:rPr>
          <w:rFonts w:eastAsia="仿宋" w:cs="Times New Roman"/>
          <w:color w:val="auto"/>
          <w:sz w:val="44"/>
          <w:szCs w:val="44"/>
          <w:lang w:eastAsia="zh-CN"/>
        </w:rPr>
      </w:pPr>
    </w:p>
    <w:p w14:paraId="6346DDB2">
      <w:pPr>
        <w:adjustRightInd w:val="0"/>
        <w:snapToGrid w:val="0"/>
        <w:ind w:left="1600" w:leftChars="0" w:right="0" w:rightChars="0" w:hanging="1600" w:hangingChars="500"/>
        <w:jc w:val="both"/>
        <w:rPr>
          <w:rFonts w:eastAsia="仿宋_GB2312" w:cs="Times New Roman"/>
          <w:color w:val="auto"/>
          <w:sz w:val="32"/>
          <w:szCs w:val="32"/>
          <w:u w:val="single"/>
          <w:lang w:eastAsia="zh-CN"/>
        </w:rPr>
      </w:pPr>
      <w:r>
        <w:rPr>
          <w:rFonts w:eastAsia="仿宋_GB2312" w:cs="Times New Roman"/>
          <w:color w:val="auto"/>
          <w:sz w:val="32"/>
          <w:szCs w:val="32"/>
          <w:lang w:eastAsia="zh-CN"/>
        </w:rPr>
        <w:t>项目名称：</w:t>
      </w:r>
      <w:r>
        <w:rPr>
          <w:rFonts w:hint="eastAsia" w:eastAsia="仿宋_GB2312" w:cs="Times New Roman"/>
          <w:color w:val="auto"/>
          <w:sz w:val="32"/>
          <w:szCs w:val="32"/>
          <w:u w:val="single"/>
          <w:lang w:eastAsia="zh-CN"/>
        </w:rPr>
        <w:t>办公家具柜、金属消防栓箱生产线扩建项目</w:t>
      </w:r>
    </w:p>
    <w:p w14:paraId="68BF592C">
      <w:pPr>
        <w:adjustRightInd w:val="0"/>
        <w:snapToGrid w:val="0"/>
        <w:ind w:left="0" w:leftChars="0" w:right="0" w:rightChars="0" w:firstLine="0" w:firstLineChars="0"/>
        <w:jc w:val="both"/>
        <w:rPr>
          <w:rFonts w:eastAsia="仿宋_GB2312" w:cs="Times New Roman"/>
          <w:color w:val="auto"/>
          <w:sz w:val="32"/>
          <w:szCs w:val="32"/>
          <w:u w:val="single"/>
          <w:lang w:eastAsia="zh-CN"/>
        </w:rPr>
      </w:pPr>
      <w:r>
        <w:rPr>
          <w:rFonts w:eastAsia="仿宋_GB2312" w:cs="Times New Roman"/>
          <w:color w:val="auto"/>
          <w:sz w:val="32"/>
          <w:szCs w:val="32"/>
          <w:lang w:eastAsia="zh-CN"/>
        </w:rPr>
        <w:t>建设单位（盖章）：</w:t>
      </w:r>
      <w:r>
        <w:rPr>
          <w:rFonts w:hint="eastAsia" w:eastAsia="仿宋_GB2312" w:cs="Times New Roman"/>
          <w:color w:val="auto"/>
          <w:sz w:val="32"/>
          <w:szCs w:val="32"/>
          <w:u w:val="single"/>
          <w:lang w:eastAsia="zh-CN"/>
        </w:rPr>
        <w:t xml:space="preserve">  </w:t>
      </w:r>
      <w:r>
        <w:rPr>
          <w:rFonts w:hint="eastAsia"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eastAsia="zh-CN"/>
        </w:rPr>
        <w:t xml:space="preserve">西安银海消防设备有限公司 </w:t>
      </w:r>
      <w:r>
        <w:rPr>
          <w:rFonts w:hint="eastAsia"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eastAsia="zh-CN"/>
        </w:rPr>
        <w:t xml:space="preserve"> </w:t>
      </w:r>
    </w:p>
    <w:p w14:paraId="16A1808E">
      <w:pPr>
        <w:adjustRightInd w:val="0"/>
        <w:snapToGrid w:val="0"/>
        <w:ind w:left="0" w:leftChars="0" w:right="0" w:rightChars="0" w:firstLine="0" w:firstLineChars="0"/>
        <w:jc w:val="both"/>
        <w:rPr>
          <w:rFonts w:eastAsia="仿宋_GB2312" w:cs="Times New Roman"/>
          <w:color w:val="auto"/>
          <w:sz w:val="32"/>
          <w:szCs w:val="32"/>
          <w:u w:val="single"/>
          <w:lang w:eastAsia="zh-CN"/>
        </w:rPr>
      </w:pPr>
      <w:r>
        <w:rPr>
          <w:rFonts w:eastAsia="仿宋_GB2312" w:cs="Times New Roman"/>
          <w:color w:val="auto"/>
          <w:sz w:val="32"/>
          <w:szCs w:val="32"/>
          <w:lang w:eastAsia="zh-CN"/>
        </w:rPr>
        <w:t>编制日期：</w:t>
      </w:r>
      <w:r>
        <w:rPr>
          <w:rFonts w:eastAsia="仿宋_GB2312" w:cs="Times New Roman"/>
          <w:color w:val="auto"/>
          <w:sz w:val="32"/>
          <w:szCs w:val="32"/>
          <w:u w:val="single"/>
          <w:lang w:eastAsia="zh-CN"/>
        </w:rPr>
        <w:t xml:space="preserve"> </w:t>
      </w:r>
      <w:r>
        <w:rPr>
          <w:rFonts w:hint="eastAsia" w:eastAsia="仿宋_GB2312" w:cs="Times New Roman"/>
          <w:color w:val="auto"/>
          <w:sz w:val="32"/>
          <w:szCs w:val="32"/>
          <w:u w:val="single"/>
          <w:lang w:eastAsia="zh-CN"/>
        </w:rPr>
        <w:t xml:space="preserve">        </w:t>
      </w:r>
      <w:r>
        <w:rPr>
          <w:rFonts w:hint="eastAsia"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eastAsia="zh-CN"/>
        </w:rPr>
        <w:t xml:space="preserve">     </w:t>
      </w:r>
      <w:r>
        <w:rPr>
          <w:rFonts w:eastAsia="仿宋_GB2312" w:cs="Times New Roman"/>
          <w:color w:val="auto"/>
          <w:sz w:val="32"/>
          <w:szCs w:val="32"/>
          <w:u w:val="single"/>
          <w:lang w:eastAsia="zh-CN"/>
        </w:rPr>
        <w:t>202</w:t>
      </w:r>
      <w:r>
        <w:rPr>
          <w:rFonts w:hint="eastAsia" w:eastAsia="仿宋_GB2312" w:cs="Times New Roman"/>
          <w:color w:val="auto"/>
          <w:sz w:val="32"/>
          <w:szCs w:val="32"/>
          <w:u w:val="single"/>
          <w:lang w:eastAsia="zh-CN"/>
        </w:rPr>
        <w:t>4</w:t>
      </w:r>
      <w:r>
        <w:rPr>
          <w:rFonts w:eastAsia="仿宋_GB2312" w:cs="Times New Roman"/>
          <w:color w:val="auto"/>
          <w:sz w:val="32"/>
          <w:szCs w:val="32"/>
          <w:u w:val="single"/>
          <w:lang w:eastAsia="zh-CN"/>
        </w:rPr>
        <w:t>年</w:t>
      </w:r>
      <w:r>
        <w:rPr>
          <w:rFonts w:hint="eastAsia" w:eastAsia="仿宋_GB2312" w:cs="Times New Roman"/>
          <w:color w:val="auto"/>
          <w:sz w:val="32"/>
          <w:szCs w:val="32"/>
          <w:u w:val="single"/>
          <w:lang w:eastAsia="zh-CN"/>
        </w:rPr>
        <w:t>6</w:t>
      </w:r>
      <w:r>
        <w:rPr>
          <w:rFonts w:eastAsia="仿宋_GB2312" w:cs="Times New Roman"/>
          <w:color w:val="auto"/>
          <w:sz w:val="32"/>
          <w:szCs w:val="32"/>
          <w:u w:val="single"/>
          <w:lang w:eastAsia="zh-CN"/>
        </w:rPr>
        <w:t xml:space="preserve">月    </w:t>
      </w:r>
      <w:r>
        <w:rPr>
          <w:rFonts w:hint="eastAsia" w:eastAsia="仿宋_GB2312" w:cs="Times New Roman"/>
          <w:color w:val="auto"/>
          <w:sz w:val="32"/>
          <w:szCs w:val="32"/>
          <w:u w:val="single"/>
          <w:lang w:eastAsia="zh-CN"/>
        </w:rPr>
        <w:t xml:space="preserve">  </w:t>
      </w:r>
      <w:r>
        <w:rPr>
          <w:rFonts w:eastAsia="仿宋_GB2312" w:cs="Times New Roman"/>
          <w:color w:val="auto"/>
          <w:sz w:val="32"/>
          <w:szCs w:val="32"/>
          <w:u w:val="single"/>
          <w:lang w:eastAsia="zh-CN"/>
        </w:rPr>
        <w:t xml:space="preserve">   </w:t>
      </w:r>
      <w:r>
        <w:rPr>
          <w:rFonts w:hint="eastAsia" w:ascii="方正仿宋_GB2312" w:hAnsi="方正仿宋_GB2312" w:eastAsia="方正仿宋_GB2312" w:cs="方正仿宋_GB2312"/>
          <w:color w:val="auto"/>
          <w:sz w:val="32"/>
          <w:szCs w:val="32"/>
          <w:u w:val="single"/>
          <w:lang w:eastAsia="zh-CN"/>
        </w:rPr>
        <w:t xml:space="preserve"> </w:t>
      </w:r>
      <w:r>
        <w:rPr>
          <w:rFonts w:eastAsia="仿宋_GB2312" w:cs="Times New Roman"/>
          <w:color w:val="auto"/>
          <w:sz w:val="32"/>
          <w:szCs w:val="32"/>
          <w:u w:val="single"/>
          <w:lang w:eastAsia="zh-CN"/>
        </w:rPr>
        <w:t xml:space="preserve">  </w:t>
      </w:r>
      <w:bookmarkStart w:id="0" w:name="_Hlk57884087"/>
    </w:p>
    <w:p w14:paraId="159B7739">
      <w:pPr>
        <w:adjustRightInd w:val="0"/>
        <w:snapToGrid w:val="0"/>
        <w:ind w:left="0" w:leftChars="0" w:right="0" w:rightChars="0" w:firstLine="0" w:firstLineChars="0"/>
        <w:jc w:val="both"/>
        <w:rPr>
          <w:rFonts w:eastAsia="仿宋_GB2312" w:cs="Times New Roman"/>
          <w:color w:val="auto"/>
          <w:sz w:val="36"/>
          <w:szCs w:val="36"/>
          <w:u w:val="single"/>
          <w:lang w:eastAsia="zh-CN"/>
        </w:rPr>
      </w:pPr>
    </w:p>
    <w:p w14:paraId="071FFAEC">
      <w:pPr>
        <w:adjustRightInd w:val="0"/>
        <w:snapToGrid w:val="0"/>
        <w:spacing w:line="288" w:lineRule="auto"/>
        <w:ind w:firstLine="720"/>
        <w:rPr>
          <w:rFonts w:eastAsia="仿宋_GB2312" w:cs="Times New Roman"/>
          <w:color w:val="auto"/>
          <w:sz w:val="36"/>
          <w:szCs w:val="36"/>
          <w:lang w:eastAsia="zh-CN"/>
        </w:rPr>
      </w:pPr>
    </w:p>
    <w:p w14:paraId="05B359FC">
      <w:pPr>
        <w:adjustRightInd w:val="0"/>
        <w:snapToGrid w:val="0"/>
        <w:spacing w:line="288" w:lineRule="auto"/>
        <w:ind w:firstLine="720"/>
        <w:rPr>
          <w:rFonts w:eastAsia="仿宋_GB2312" w:cs="Times New Roman"/>
          <w:color w:val="auto"/>
          <w:sz w:val="36"/>
          <w:szCs w:val="36"/>
          <w:lang w:eastAsia="zh-CN"/>
        </w:rPr>
      </w:pPr>
    </w:p>
    <w:p w14:paraId="1A7D5E4A">
      <w:pPr>
        <w:adjustRightInd w:val="0"/>
        <w:snapToGrid w:val="0"/>
        <w:spacing w:line="288" w:lineRule="auto"/>
        <w:ind w:firstLine="720"/>
        <w:rPr>
          <w:rFonts w:eastAsia="仿宋_GB2312" w:cs="Times New Roman"/>
          <w:color w:val="auto"/>
          <w:sz w:val="36"/>
          <w:szCs w:val="36"/>
          <w:lang w:eastAsia="zh-CN"/>
        </w:rPr>
      </w:pPr>
    </w:p>
    <w:bookmarkEnd w:id="0"/>
    <w:p w14:paraId="0E310859">
      <w:pPr>
        <w:adjustRightInd w:val="0"/>
        <w:snapToGrid w:val="0"/>
        <w:spacing w:line="288" w:lineRule="auto"/>
        <w:ind w:left="0" w:leftChars="0" w:right="0" w:rightChars="0" w:firstLine="0" w:firstLineChars="0"/>
        <w:jc w:val="center"/>
        <w:rPr>
          <w:rFonts w:eastAsia="楷体_GB2312" w:cs="Times New Roman"/>
          <w:color w:val="auto"/>
          <w:sz w:val="36"/>
          <w:szCs w:val="36"/>
          <w:lang w:eastAsia="zh-CN"/>
        </w:rPr>
      </w:pPr>
      <w:r>
        <w:rPr>
          <w:rFonts w:eastAsia="楷体_GB2312" w:cs="Times New Roman"/>
          <w:color w:val="auto"/>
          <w:sz w:val="36"/>
          <w:szCs w:val="36"/>
          <w:lang w:eastAsia="zh-CN"/>
        </w:rPr>
        <w:t>中华人民共和国生态环境部制</w:t>
      </w:r>
    </w:p>
    <w:p w14:paraId="0B8E53E0">
      <w:pPr>
        <w:adjustRightInd w:val="0"/>
        <w:snapToGrid w:val="0"/>
        <w:spacing w:line="288" w:lineRule="auto"/>
        <w:ind w:firstLine="720"/>
        <w:rPr>
          <w:rFonts w:eastAsia="仿宋_GB2312" w:cs="Times New Roman"/>
          <w:color w:val="auto"/>
          <w:sz w:val="36"/>
          <w:szCs w:val="36"/>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689" w:bottom="1440" w:left="1800" w:header="851" w:footer="1077" w:gutter="113"/>
          <w:pgNumType w:start="3"/>
          <w:cols w:space="0" w:num="1"/>
          <w:docGrid w:linePitch="312" w:charSpace="0"/>
        </w:sectPr>
      </w:pPr>
    </w:p>
    <w:p w14:paraId="2D969951">
      <w:pPr>
        <w:pStyle w:val="8"/>
        <w:spacing w:before="0" w:line="240" w:lineRule="auto"/>
        <w:ind w:left="0" w:leftChars="0" w:right="0" w:rightChars="0" w:firstLine="0" w:firstLineChars="0"/>
        <w:jc w:val="center"/>
        <w:outlineLvl w:val="0"/>
        <w:rPr>
          <w:rFonts w:ascii="Times New Roman" w:hAnsi="Times New Roman" w:eastAsia="宋体" w:cs="Times New Roman"/>
          <w:b/>
          <w:bCs/>
          <w:color w:val="auto"/>
        </w:rPr>
      </w:pPr>
      <w:bookmarkStart w:id="1" w:name="_Toc8820"/>
      <w:r>
        <w:rPr>
          <w:rFonts w:ascii="Times New Roman" w:hAnsi="Times New Roman" w:eastAsia="宋体" w:cs="Times New Roman"/>
          <w:b/>
          <w:bCs/>
          <w:color w:val="auto"/>
          <w:lang w:eastAsia="zh-CN"/>
        </w:rPr>
        <w:t>一、</w:t>
      </w:r>
      <w:r>
        <w:rPr>
          <w:rFonts w:ascii="Times New Roman" w:hAnsi="Times New Roman" w:eastAsia="宋体" w:cs="Times New Roman"/>
          <w:b/>
          <w:bCs/>
          <w:color w:val="auto"/>
        </w:rPr>
        <w:t>建设项目基本情况</w:t>
      </w:r>
      <w:bookmarkEnd w:id="1"/>
    </w:p>
    <w:tbl>
      <w:tblPr>
        <w:tblStyle w:val="27"/>
        <w:tblW w:w="53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3022"/>
        <w:gridCol w:w="1339"/>
        <w:gridCol w:w="3573"/>
      </w:tblGrid>
      <w:tr w14:paraId="0F1A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pct"/>
            <w:vAlign w:val="center"/>
          </w:tcPr>
          <w:p w14:paraId="0F8B4BDB">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建设项目</w:t>
            </w:r>
          </w:p>
          <w:p w14:paraId="60A38DBF">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名称</w:t>
            </w:r>
          </w:p>
        </w:tc>
        <w:tc>
          <w:tcPr>
            <w:tcW w:w="4319" w:type="pct"/>
            <w:gridSpan w:val="3"/>
            <w:vAlign w:val="center"/>
          </w:tcPr>
          <w:p w14:paraId="2678CA7E">
            <w:pPr>
              <w:pStyle w:val="38"/>
              <w:spacing w:line="240" w:lineRule="auto"/>
              <w:ind w:left="0" w:leftChars="0" w:right="0" w:rightChars="0" w:firstLine="0" w:firstLineChars="0"/>
              <w:jc w:val="center"/>
              <w:rPr>
                <w:rFonts w:eastAsia="宋体" w:cs="Times New Roman"/>
                <w:color w:val="auto"/>
                <w:sz w:val="24"/>
                <w:szCs w:val="24"/>
                <w:lang w:eastAsia="zh-CN"/>
              </w:rPr>
            </w:pPr>
            <w:r>
              <w:rPr>
                <w:rFonts w:hint="eastAsia" w:cs="Times New Roman"/>
                <w:color w:val="auto"/>
                <w:sz w:val="24"/>
                <w:szCs w:val="24"/>
                <w:lang w:eastAsia="zh-CN"/>
              </w:rPr>
              <w:t>办公家具柜、金属消防栓箱生产线扩建项目</w:t>
            </w:r>
          </w:p>
        </w:tc>
      </w:tr>
      <w:tr w14:paraId="03E2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5848845B">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项目代码</w:t>
            </w:r>
          </w:p>
        </w:tc>
        <w:tc>
          <w:tcPr>
            <w:tcW w:w="4319" w:type="pct"/>
            <w:gridSpan w:val="3"/>
            <w:vAlign w:val="center"/>
          </w:tcPr>
          <w:p w14:paraId="651E65F2">
            <w:pPr>
              <w:pStyle w:val="38"/>
              <w:spacing w:line="240" w:lineRule="auto"/>
              <w:ind w:left="0" w:leftChars="0" w:right="0" w:rightChars="0" w:firstLine="0" w:firstLineChars="0"/>
              <w:jc w:val="center"/>
              <w:rPr>
                <w:rFonts w:eastAsia="宋体" w:cs="Times New Roman"/>
                <w:color w:val="auto"/>
                <w:sz w:val="24"/>
                <w:szCs w:val="24"/>
                <w:lang w:eastAsia="zh-CN"/>
              </w:rPr>
            </w:pPr>
            <w:r>
              <w:rPr>
                <w:rFonts w:hint="eastAsia" w:eastAsia="宋体" w:cs="Times New Roman"/>
                <w:color w:val="auto"/>
                <w:sz w:val="24"/>
                <w:szCs w:val="24"/>
                <w:lang w:eastAsia="zh-CN"/>
              </w:rPr>
              <w:t>/</w:t>
            </w:r>
          </w:p>
        </w:tc>
      </w:tr>
      <w:tr w14:paraId="1697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0" w:type="pct"/>
            <w:vAlign w:val="center"/>
          </w:tcPr>
          <w:p w14:paraId="564A6AD9">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建设单位</w:t>
            </w:r>
          </w:p>
          <w:p w14:paraId="2523A79E">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联系人</w:t>
            </w:r>
          </w:p>
        </w:tc>
        <w:tc>
          <w:tcPr>
            <w:tcW w:w="1645" w:type="pct"/>
            <w:vAlign w:val="center"/>
          </w:tcPr>
          <w:p w14:paraId="30D3C8B6">
            <w:pPr>
              <w:pStyle w:val="38"/>
              <w:spacing w:line="240" w:lineRule="auto"/>
              <w:ind w:left="0" w:leftChars="0" w:right="0" w:rightChars="0" w:firstLine="0" w:firstLineChars="0"/>
              <w:jc w:val="center"/>
              <w:rPr>
                <w:rFonts w:eastAsia="宋体" w:cs="Times New Roman"/>
                <w:color w:val="auto"/>
                <w:sz w:val="24"/>
                <w:szCs w:val="24"/>
                <w:lang w:eastAsia="zh-CN"/>
              </w:rPr>
            </w:pPr>
            <w:r>
              <w:rPr>
                <w:rFonts w:hint="eastAsia" w:eastAsia="宋体" w:cs="Times New Roman"/>
                <w:color w:val="auto"/>
                <w:sz w:val="24"/>
                <w:szCs w:val="24"/>
                <w:lang w:eastAsia="zh-CN"/>
              </w:rPr>
              <w:t>姜汝福</w:t>
            </w:r>
          </w:p>
        </w:tc>
        <w:tc>
          <w:tcPr>
            <w:tcW w:w="729" w:type="pct"/>
            <w:vAlign w:val="center"/>
          </w:tcPr>
          <w:p w14:paraId="266A2F11">
            <w:pPr>
              <w:pStyle w:val="38"/>
              <w:spacing w:line="240" w:lineRule="auto"/>
              <w:ind w:left="0" w:leftChars="0" w:right="0" w:rightChars="0" w:firstLine="0" w:firstLineChars="0"/>
              <w:jc w:val="center"/>
              <w:rPr>
                <w:rFonts w:eastAsia="宋体" w:cs="Times New Roman"/>
                <w:color w:val="auto"/>
                <w:sz w:val="24"/>
                <w:szCs w:val="24"/>
              </w:rPr>
            </w:pPr>
            <w:r>
              <w:rPr>
                <w:rFonts w:eastAsia="宋体" w:cs="Times New Roman"/>
                <w:b/>
                <w:bCs/>
                <w:color w:val="auto"/>
                <w:sz w:val="24"/>
                <w:szCs w:val="24"/>
              </w:rPr>
              <w:t>联系方式</w:t>
            </w:r>
          </w:p>
        </w:tc>
        <w:tc>
          <w:tcPr>
            <w:tcW w:w="1943" w:type="pct"/>
            <w:vAlign w:val="center"/>
          </w:tcPr>
          <w:p w14:paraId="35741232">
            <w:pPr>
              <w:pStyle w:val="38"/>
              <w:spacing w:line="240" w:lineRule="auto"/>
              <w:ind w:left="0" w:leftChars="0" w:right="0" w:rightChars="0" w:firstLine="0" w:firstLineChars="0"/>
              <w:jc w:val="center"/>
              <w:rPr>
                <w:rFonts w:eastAsia="宋体" w:cs="Times New Roman"/>
                <w:color w:val="auto"/>
                <w:sz w:val="24"/>
                <w:szCs w:val="24"/>
                <w:lang w:eastAsia="zh-CN"/>
              </w:rPr>
            </w:pPr>
            <w:r>
              <w:rPr>
                <w:rFonts w:hint="eastAsia" w:eastAsia="宋体" w:cs="Times New Roman"/>
                <w:color w:val="auto"/>
                <w:sz w:val="24"/>
                <w:szCs w:val="24"/>
                <w:lang w:eastAsia="zh-CN"/>
              </w:rPr>
              <w:t>138</w:t>
            </w:r>
            <w:r>
              <w:rPr>
                <w:rFonts w:hint="eastAsia" w:eastAsia="宋体" w:cs="Times New Roman"/>
                <w:color w:val="auto"/>
                <w:sz w:val="24"/>
                <w:szCs w:val="24"/>
                <w:lang w:val="en-US" w:eastAsia="zh-CN"/>
              </w:rPr>
              <w:t>****</w:t>
            </w:r>
            <w:bookmarkStart w:id="18" w:name="_GoBack"/>
            <w:bookmarkEnd w:id="18"/>
            <w:r>
              <w:rPr>
                <w:rFonts w:hint="eastAsia" w:eastAsia="宋体" w:cs="Times New Roman"/>
                <w:color w:val="auto"/>
                <w:sz w:val="24"/>
                <w:szCs w:val="24"/>
                <w:lang w:eastAsia="zh-CN"/>
              </w:rPr>
              <w:t>2515</w:t>
            </w:r>
          </w:p>
        </w:tc>
      </w:tr>
      <w:tr w14:paraId="3465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2E3B95F4">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建设地点</w:t>
            </w:r>
          </w:p>
        </w:tc>
        <w:tc>
          <w:tcPr>
            <w:tcW w:w="4319" w:type="pct"/>
            <w:gridSpan w:val="3"/>
            <w:vAlign w:val="center"/>
          </w:tcPr>
          <w:p w14:paraId="61749B0E">
            <w:pPr>
              <w:pStyle w:val="38"/>
              <w:spacing w:line="240" w:lineRule="auto"/>
              <w:ind w:left="0" w:leftChars="0" w:right="0" w:rightChars="0" w:firstLine="0" w:firstLineChars="0"/>
              <w:jc w:val="center"/>
              <w:rPr>
                <w:rFonts w:eastAsia="宋体" w:cs="Times New Roman"/>
                <w:color w:val="auto"/>
                <w:sz w:val="24"/>
                <w:szCs w:val="24"/>
                <w:lang w:eastAsia="zh-CN"/>
              </w:rPr>
            </w:pPr>
            <w:r>
              <w:rPr>
                <w:rFonts w:hint="eastAsia" w:eastAsia="宋体" w:cs="Times New Roman"/>
                <w:color w:val="auto"/>
                <w:sz w:val="24"/>
                <w:szCs w:val="24"/>
                <w:u w:val="single"/>
                <w:lang w:eastAsia="zh-CN"/>
              </w:rPr>
              <w:t>陕西</w:t>
            </w:r>
            <w:r>
              <w:rPr>
                <w:rFonts w:hint="eastAsia" w:eastAsia="宋体" w:cs="Times New Roman"/>
                <w:color w:val="auto"/>
                <w:sz w:val="24"/>
                <w:szCs w:val="24"/>
                <w:lang w:eastAsia="zh-CN"/>
              </w:rPr>
              <w:t>省</w:t>
            </w:r>
            <w:r>
              <w:rPr>
                <w:rFonts w:hint="eastAsia" w:eastAsia="宋体" w:cs="Times New Roman"/>
                <w:color w:val="auto"/>
                <w:sz w:val="24"/>
                <w:szCs w:val="24"/>
                <w:u w:val="single"/>
                <w:lang w:eastAsia="zh-CN"/>
              </w:rPr>
              <w:t>西安</w:t>
            </w:r>
            <w:r>
              <w:rPr>
                <w:rFonts w:hint="eastAsia" w:eastAsia="宋体" w:cs="Times New Roman"/>
                <w:color w:val="auto"/>
                <w:sz w:val="24"/>
                <w:szCs w:val="24"/>
                <w:lang w:eastAsia="zh-CN"/>
              </w:rPr>
              <w:t>市</w:t>
            </w:r>
            <w:r>
              <w:rPr>
                <w:rFonts w:hint="eastAsia" w:eastAsia="宋体" w:cs="Times New Roman"/>
                <w:color w:val="auto"/>
                <w:sz w:val="24"/>
                <w:szCs w:val="24"/>
                <w:u w:val="single"/>
                <w:lang w:eastAsia="zh-CN"/>
              </w:rPr>
              <w:t>蓝田</w:t>
            </w:r>
            <w:r>
              <w:rPr>
                <w:rFonts w:hint="eastAsia" w:eastAsia="宋体" w:cs="Times New Roman"/>
                <w:color w:val="auto"/>
                <w:sz w:val="24"/>
                <w:szCs w:val="24"/>
                <w:lang w:eastAsia="zh-CN"/>
              </w:rPr>
              <w:t>县</w:t>
            </w:r>
            <w:r>
              <w:rPr>
                <w:rFonts w:hint="eastAsia" w:eastAsia="宋体" w:cs="Times New Roman"/>
                <w:color w:val="auto"/>
                <w:sz w:val="24"/>
                <w:szCs w:val="24"/>
                <w:u w:val="single"/>
                <w:lang w:eastAsia="zh-CN"/>
              </w:rPr>
              <w:t>西北家具工业园新港12路8号</w:t>
            </w:r>
          </w:p>
        </w:tc>
      </w:tr>
      <w:tr w14:paraId="6AC3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17218FB7">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地理坐标</w:t>
            </w:r>
          </w:p>
        </w:tc>
        <w:tc>
          <w:tcPr>
            <w:tcW w:w="4319" w:type="pct"/>
            <w:gridSpan w:val="3"/>
            <w:vAlign w:val="center"/>
          </w:tcPr>
          <w:p w14:paraId="53E25B63">
            <w:pPr>
              <w:pStyle w:val="38"/>
              <w:spacing w:line="240" w:lineRule="auto"/>
              <w:ind w:left="0" w:leftChars="0" w:right="0" w:rightChars="0" w:firstLine="0" w:firstLineChars="0"/>
              <w:jc w:val="center"/>
              <w:rPr>
                <w:rFonts w:eastAsia="宋体" w:cs="Times New Roman"/>
                <w:color w:val="auto"/>
                <w:sz w:val="24"/>
                <w:szCs w:val="24"/>
                <w:lang w:eastAsia="zh-CN"/>
              </w:rPr>
            </w:pPr>
            <w:r>
              <w:rPr>
                <w:rFonts w:hint="eastAsia" w:eastAsia="宋体" w:cs="Times New Roman"/>
                <w:color w:val="auto"/>
                <w:sz w:val="24"/>
                <w:szCs w:val="24"/>
                <w:lang w:eastAsia="zh-CN"/>
              </w:rPr>
              <w:t>（东经</w:t>
            </w:r>
            <w:r>
              <w:rPr>
                <w:rFonts w:eastAsia="宋体" w:cs="Times New Roman"/>
                <w:color w:val="auto"/>
                <w:sz w:val="24"/>
                <w:szCs w:val="24"/>
                <w:u w:val="single"/>
                <w:lang w:eastAsia="zh-CN"/>
              </w:rPr>
              <w:t>109</w:t>
            </w:r>
            <w:r>
              <w:rPr>
                <w:rFonts w:hint="eastAsia" w:eastAsia="宋体" w:cs="Times New Roman"/>
                <w:color w:val="auto"/>
                <w:sz w:val="24"/>
                <w:szCs w:val="24"/>
                <w:lang w:eastAsia="zh-CN"/>
              </w:rPr>
              <w:t>度</w:t>
            </w:r>
            <w:r>
              <w:rPr>
                <w:rFonts w:hint="eastAsia" w:eastAsia="宋体" w:cs="Times New Roman"/>
                <w:color w:val="auto"/>
                <w:sz w:val="24"/>
                <w:szCs w:val="24"/>
                <w:u w:val="single"/>
                <w:lang w:eastAsia="zh-CN"/>
              </w:rPr>
              <w:t>0</w:t>
            </w:r>
            <w:r>
              <w:rPr>
                <w:rFonts w:eastAsia="宋体" w:cs="Times New Roman"/>
                <w:color w:val="auto"/>
                <w:sz w:val="24"/>
                <w:szCs w:val="24"/>
                <w:u w:val="single"/>
                <w:lang w:eastAsia="zh-CN"/>
              </w:rPr>
              <w:t>8</w:t>
            </w:r>
            <w:r>
              <w:rPr>
                <w:rFonts w:hint="eastAsia" w:eastAsia="宋体" w:cs="Times New Roman"/>
                <w:color w:val="auto"/>
                <w:sz w:val="24"/>
                <w:szCs w:val="24"/>
                <w:lang w:eastAsia="zh-CN"/>
              </w:rPr>
              <w:t>分</w:t>
            </w:r>
            <w:r>
              <w:rPr>
                <w:rFonts w:hint="eastAsia" w:eastAsia="宋体" w:cs="Times New Roman"/>
                <w:color w:val="auto"/>
                <w:sz w:val="24"/>
                <w:szCs w:val="24"/>
                <w:u w:val="single"/>
                <w:lang w:eastAsia="zh-CN"/>
              </w:rPr>
              <w:t>40.565</w:t>
            </w:r>
            <w:r>
              <w:rPr>
                <w:rFonts w:hint="eastAsia" w:eastAsia="宋体" w:cs="Times New Roman"/>
                <w:color w:val="auto"/>
                <w:sz w:val="24"/>
                <w:szCs w:val="24"/>
                <w:lang w:eastAsia="zh-CN"/>
              </w:rPr>
              <w:t>秒，北纬</w:t>
            </w:r>
            <w:r>
              <w:rPr>
                <w:rFonts w:hint="eastAsia" w:eastAsia="宋体" w:cs="Times New Roman"/>
                <w:color w:val="auto"/>
                <w:sz w:val="24"/>
                <w:szCs w:val="24"/>
                <w:u w:val="single"/>
                <w:lang w:eastAsia="zh-CN"/>
              </w:rPr>
              <w:t>34</w:t>
            </w:r>
            <w:r>
              <w:rPr>
                <w:rFonts w:hint="eastAsia" w:eastAsia="宋体" w:cs="Times New Roman"/>
                <w:color w:val="auto"/>
                <w:sz w:val="24"/>
                <w:szCs w:val="24"/>
                <w:lang w:eastAsia="zh-CN"/>
              </w:rPr>
              <w:t>度</w:t>
            </w:r>
            <w:r>
              <w:rPr>
                <w:rFonts w:hint="eastAsia" w:eastAsia="宋体" w:cs="Times New Roman"/>
                <w:color w:val="auto"/>
                <w:sz w:val="24"/>
                <w:szCs w:val="24"/>
                <w:u w:val="single"/>
                <w:lang w:eastAsia="zh-CN"/>
              </w:rPr>
              <w:t>14</w:t>
            </w:r>
            <w:r>
              <w:rPr>
                <w:rFonts w:hint="eastAsia" w:eastAsia="宋体" w:cs="Times New Roman"/>
                <w:color w:val="auto"/>
                <w:sz w:val="24"/>
                <w:szCs w:val="24"/>
                <w:lang w:eastAsia="zh-CN"/>
              </w:rPr>
              <w:t>分</w:t>
            </w:r>
            <w:r>
              <w:rPr>
                <w:rFonts w:hint="eastAsia" w:eastAsia="宋体" w:cs="Times New Roman"/>
                <w:color w:val="auto"/>
                <w:sz w:val="24"/>
                <w:szCs w:val="24"/>
                <w:u w:val="single"/>
                <w:lang w:eastAsia="zh-CN"/>
              </w:rPr>
              <w:t>58.845</w:t>
            </w:r>
            <w:r>
              <w:rPr>
                <w:rFonts w:hint="eastAsia" w:eastAsia="宋体" w:cs="Times New Roman"/>
                <w:color w:val="auto"/>
                <w:sz w:val="24"/>
                <w:szCs w:val="24"/>
                <w:lang w:eastAsia="zh-CN"/>
              </w:rPr>
              <w:t>秒）</w:t>
            </w:r>
          </w:p>
        </w:tc>
      </w:tr>
      <w:tr w14:paraId="563D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80" w:type="pct"/>
            <w:vAlign w:val="center"/>
          </w:tcPr>
          <w:p w14:paraId="52F04B0C">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国民经济</w:t>
            </w:r>
          </w:p>
          <w:p w14:paraId="1F55EA57">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行业类别</w:t>
            </w:r>
          </w:p>
        </w:tc>
        <w:tc>
          <w:tcPr>
            <w:tcW w:w="1645" w:type="pct"/>
            <w:vAlign w:val="center"/>
          </w:tcPr>
          <w:p w14:paraId="2EC91020">
            <w:pPr>
              <w:pStyle w:val="38"/>
              <w:spacing w:line="240" w:lineRule="auto"/>
              <w:ind w:left="0" w:leftChars="0" w:right="0" w:rightChars="0" w:firstLine="0" w:firstLineChars="0"/>
              <w:jc w:val="both"/>
              <w:rPr>
                <w:rFonts w:eastAsia="宋体" w:cs="Times New Roman"/>
                <w:color w:val="auto"/>
                <w:sz w:val="24"/>
                <w:szCs w:val="24"/>
                <w:lang w:eastAsia="zh-CN"/>
              </w:rPr>
            </w:pPr>
            <w:r>
              <w:rPr>
                <w:rFonts w:hint="eastAsia" w:eastAsia="宋体" w:cs="Times New Roman"/>
                <w:color w:val="auto"/>
                <w:sz w:val="24"/>
                <w:szCs w:val="24"/>
                <w:lang w:eastAsia="zh-CN"/>
              </w:rPr>
              <w:t>C2130金属家具制造；C3353安全、消防用金属制品制造</w:t>
            </w:r>
          </w:p>
        </w:tc>
        <w:tc>
          <w:tcPr>
            <w:tcW w:w="729" w:type="pct"/>
            <w:vAlign w:val="center"/>
          </w:tcPr>
          <w:p w14:paraId="145B2C38">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建设项目</w:t>
            </w:r>
          </w:p>
          <w:p w14:paraId="3EE947AA">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行业类别</w:t>
            </w:r>
          </w:p>
        </w:tc>
        <w:tc>
          <w:tcPr>
            <w:tcW w:w="1943" w:type="pct"/>
            <w:vAlign w:val="center"/>
          </w:tcPr>
          <w:p w14:paraId="5BBB6B3D">
            <w:pPr>
              <w:pStyle w:val="38"/>
              <w:spacing w:line="240" w:lineRule="auto"/>
              <w:ind w:left="0" w:leftChars="0" w:right="0" w:rightChars="0" w:firstLine="0" w:firstLineChars="0"/>
              <w:jc w:val="both"/>
              <w:rPr>
                <w:rFonts w:eastAsia="宋体" w:cs="Times New Roman"/>
                <w:color w:val="auto"/>
                <w:sz w:val="24"/>
                <w:szCs w:val="24"/>
                <w:lang w:eastAsia="zh-CN"/>
              </w:rPr>
            </w:pPr>
            <w:r>
              <w:rPr>
                <w:rFonts w:eastAsia="宋体" w:cs="Times New Roman"/>
                <w:color w:val="auto"/>
                <w:sz w:val="24"/>
                <w:szCs w:val="24"/>
                <w:lang w:eastAsia="zh-CN"/>
              </w:rPr>
              <w:t>十八、家具制造业—36金属家具制造213*-其他（仅分割、组装的除外；年用非溶剂型低VOCs含量涂料10吨以下的除外）；</w:t>
            </w:r>
          </w:p>
          <w:p w14:paraId="46D5FFC6">
            <w:pPr>
              <w:pStyle w:val="38"/>
              <w:spacing w:line="240" w:lineRule="auto"/>
              <w:ind w:left="0" w:leftChars="0" w:right="0" w:rightChars="0" w:firstLine="0" w:firstLineChars="0"/>
              <w:jc w:val="both"/>
              <w:rPr>
                <w:rFonts w:eastAsia="宋体" w:cs="Times New Roman"/>
                <w:color w:val="auto"/>
                <w:sz w:val="24"/>
                <w:szCs w:val="24"/>
                <w:lang w:eastAsia="zh-CN"/>
              </w:rPr>
            </w:pPr>
            <w:r>
              <w:rPr>
                <w:rFonts w:eastAsia="宋体" w:cs="Times New Roman"/>
                <w:color w:val="auto"/>
                <w:sz w:val="24"/>
                <w:szCs w:val="24"/>
                <w:lang w:eastAsia="zh-CN"/>
              </w:rPr>
              <w:t>三十、金属制品业—66建筑、安全用金属制品制造335-其他（仅分割、焊接、组装的除外；年用非溶剂型低VOCs含量涂料10吨以下的除外）</w:t>
            </w:r>
          </w:p>
        </w:tc>
      </w:tr>
      <w:tr w14:paraId="0BB4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80" w:type="pct"/>
            <w:vAlign w:val="center"/>
          </w:tcPr>
          <w:p w14:paraId="5DED4456">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建设性质</w:t>
            </w:r>
          </w:p>
        </w:tc>
        <w:tc>
          <w:tcPr>
            <w:tcW w:w="1645" w:type="pct"/>
            <w:vAlign w:val="center"/>
          </w:tcPr>
          <w:p w14:paraId="77BE793A">
            <w:pPr>
              <w:pStyle w:val="38"/>
              <w:spacing w:line="240" w:lineRule="auto"/>
              <w:ind w:left="0" w:leftChars="0" w:right="0" w:rightChars="0" w:firstLine="0" w:firstLineChars="0"/>
              <w:jc w:val="left"/>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lang w:eastAsia="zh-CN"/>
              </w:rPr>
              <w:t>新建</w:t>
            </w:r>
          </w:p>
          <w:p w14:paraId="29504265">
            <w:pPr>
              <w:pStyle w:val="38"/>
              <w:spacing w:line="240" w:lineRule="auto"/>
              <w:ind w:left="0" w:leftChars="0" w:right="0" w:rightChars="0" w:firstLine="0" w:firstLineChars="0"/>
              <w:jc w:val="left"/>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lang w:eastAsia="zh-CN"/>
              </w:rPr>
              <w:t>改建</w:t>
            </w:r>
          </w:p>
          <w:p w14:paraId="51E06E1D">
            <w:pPr>
              <w:pStyle w:val="38"/>
              <w:spacing w:line="240" w:lineRule="auto"/>
              <w:ind w:left="0" w:leftChars="0" w:right="0" w:rightChars="0" w:firstLine="0" w:firstLineChars="0"/>
              <w:jc w:val="left"/>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lang w:eastAsia="zh-CN"/>
              </w:rPr>
              <w:t>扩建</w:t>
            </w:r>
          </w:p>
          <w:p w14:paraId="378E95F3">
            <w:pPr>
              <w:pStyle w:val="38"/>
              <w:spacing w:line="240" w:lineRule="auto"/>
              <w:ind w:left="0" w:leftChars="0" w:right="0" w:rightChars="0" w:firstLine="0" w:firstLineChars="0"/>
              <w:jc w:val="left"/>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lang w:eastAsia="zh-CN"/>
              </w:rPr>
              <w:t>技术改造</w:t>
            </w:r>
          </w:p>
        </w:tc>
        <w:tc>
          <w:tcPr>
            <w:tcW w:w="729" w:type="pct"/>
            <w:vAlign w:val="center"/>
          </w:tcPr>
          <w:p w14:paraId="40799443">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建设项目</w:t>
            </w:r>
          </w:p>
          <w:p w14:paraId="1FF2ACF8">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申报情形</w:t>
            </w:r>
          </w:p>
        </w:tc>
        <w:tc>
          <w:tcPr>
            <w:tcW w:w="1943" w:type="pct"/>
            <w:vAlign w:val="center"/>
          </w:tcPr>
          <w:p w14:paraId="2FE3B508">
            <w:pPr>
              <w:pStyle w:val="38"/>
              <w:spacing w:line="240" w:lineRule="auto"/>
              <w:ind w:left="0" w:leftChars="0" w:right="0" w:rightChars="0" w:firstLine="0" w:firstLineChars="0"/>
              <w:jc w:val="left"/>
              <w:rPr>
                <w:rFonts w:eastAsia="宋体" w:cs="Times New Roman"/>
                <w:color w:val="auto"/>
                <w:sz w:val="24"/>
                <w:szCs w:val="24"/>
                <w:lang w:eastAsia="zh-CN"/>
              </w:rPr>
            </w:pPr>
            <w:r>
              <w:rPr>
                <w:rFonts w:eastAsia="宋体" w:cs="Times New Roman"/>
                <w:color w:val="auto"/>
                <w:sz w:val="24"/>
                <w:szCs w:val="24"/>
                <w:lang w:eastAsia="zh-CN"/>
              </w:rPr>
              <w:t>☑首次申报项目</w:t>
            </w:r>
          </w:p>
          <w:p w14:paraId="728D8B72">
            <w:pPr>
              <w:pStyle w:val="38"/>
              <w:spacing w:line="240" w:lineRule="auto"/>
              <w:ind w:left="0" w:leftChars="0" w:right="0" w:rightChars="0" w:firstLine="0" w:firstLineChars="0"/>
              <w:jc w:val="left"/>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lang w:eastAsia="zh-CN"/>
              </w:rPr>
              <w:t>不予批准后再次申报项目</w:t>
            </w:r>
          </w:p>
          <w:p w14:paraId="4FB194A9">
            <w:pPr>
              <w:pStyle w:val="38"/>
              <w:spacing w:line="240" w:lineRule="auto"/>
              <w:ind w:left="0" w:leftChars="0" w:right="0" w:rightChars="0" w:firstLine="0" w:firstLineChars="0"/>
              <w:jc w:val="left"/>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lang w:eastAsia="zh-CN"/>
              </w:rPr>
              <w:t>超五年重新审核项目</w:t>
            </w:r>
          </w:p>
          <w:p w14:paraId="3EDD2E4F">
            <w:pPr>
              <w:pStyle w:val="38"/>
              <w:spacing w:line="240" w:lineRule="auto"/>
              <w:ind w:left="0" w:leftChars="0" w:right="0" w:rightChars="0" w:firstLine="0" w:firstLineChars="0"/>
              <w:jc w:val="left"/>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lang w:eastAsia="zh-CN"/>
              </w:rPr>
              <w:t>重大变动重新报批项目</w:t>
            </w:r>
          </w:p>
        </w:tc>
      </w:tr>
      <w:tr w14:paraId="2381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0" w:type="pct"/>
            <w:vAlign w:val="center"/>
          </w:tcPr>
          <w:p w14:paraId="258FFC1F">
            <w:pPr>
              <w:pStyle w:val="38"/>
              <w:spacing w:line="240" w:lineRule="auto"/>
              <w:ind w:left="0" w:leftChars="0" w:right="0" w:rightChars="0" w:firstLine="0" w:firstLineChars="0"/>
              <w:jc w:val="center"/>
              <w:rPr>
                <w:rFonts w:eastAsia="宋体" w:cs="Times New Roman"/>
                <w:b/>
                <w:bCs/>
                <w:color w:val="auto"/>
                <w:sz w:val="24"/>
                <w:szCs w:val="24"/>
                <w:lang w:eastAsia="zh-CN"/>
              </w:rPr>
            </w:pPr>
            <w:r>
              <w:rPr>
                <w:rFonts w:eastAsia="宋体" w:cs="Times New Roman"/>
                <w:b/>
                <w:bCs/>
                <w:color w:val="auto"/>
                <w:sz w:val="24"/>
                <w:szCs w:val="24"/>
                <w:lang w:eastAsia="zh-CN"/>
              </w:rPr>
              <w:t>项目审批</w:t>
            </w:r>
          </w:p>
          <w:p w14:paraId="418DF4E4">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lang w:eastAsia="zh-CN"/>
              </w:rPr>
              <w:t>部门</w:t>
            </w:r>
          </w:p>
        </w:tc>
        <w:tc>
          <w:tcPr>
            <w:tcW w:w="1645" w:type="pct"/>
            <w:vAlign w:val="center"/>
          </w:tcPr>
          <w:p w14:paraId="19559EF6">
            <w:pPr>
              <w:pStyle w:val="38"/>
              <w:spacing w:line="240" w:lineRule="auto"/>
              <w:ind w:left="0" w:leftChars="0" w:right="0" w:rightChars="0" w:firstLine="0" w:firstLineChars="0"/>
              <w:jc w:val="center"/>
              <w:rPr>
                <w:rFonts w:eastAsia="宋体" w:cs="Times New Roman"/>
                <w:color w:val="auto"/>
                <w:sz w:val="24"/>
                <w:szCs w:val="24"/>
              </w:rPr>
            </w:pPr>
            <w:r>
              <w:rPr>
                <w:rFonts w:hint="eastAsia" w:eastAsia="宋体" w:cs="Times New Roman"/>
                <w:color w:val="auto"/>
                <w:sz w:val="24"/>
                <w:szCs w:val="24"/>
                <w:lang w:eastAsia="zh-CN"/>
              </w:rPr>
              <w:t>/</w:t>
            </w:r>
          </w:p>
        </w:tc>
        <w:tc>
          <w:tcPr>
            <w:tcW w:w="729" w:type="pct"/>
            <w:vAlign w:val="center"/>
          </w:tcPr>
          <w:p w14:paraId="564CB206">
            <w:pPr>
              <w:pStyle w:val="38"/>
              <w:spacing w:line="240" w:lineRule="auto"/>
              <w:ind w:left="0" w:leftChars="0" w:right="0" w:rightChars="0" w:firstLine="0" w:firstLineChars="0"/>
              <w:jc w:val="center"/>
              <w:rPr>
                <w:rFonts w:eastAsia="宋体" w:cs="Times New Roman"/>
                <w:b/>
                <w:bCs/>
                <w:color w:val="auto"/>
                <w:sz w:val="24"/>
                <w:szCs w:val="24"/>
                <w:lang w:eastAsia="zh-CN"/>
              </w:rPr>
            </w:pPr>
            <w:r>
              <w:rPr>
                <w:rFonts w:eastAsia="宋体" w:cs="Times New Roman"/>
                <w:b/>
                <w:bCs/>
                <w:color w:val="auto"/>
                <w:sz w:val="24"/>
                <w:szCs w:val="24"/>
                <w:lang w:eastAsia="zh-CN"/>
              </w:rPr>
              <w:t>项目审批</w:t>
            </w:r>
          </w:p>
          <w:p w14:paraId="45B7325C">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lang w:eastAsia="zh-CN"/>
              </w:rPr>
              <w:t>文号</w:t>
            </w:r>
          </w:p>
        </w:tc>
        <w:tc>
          <w:tcPr>
            <w:tcW w:w="1943" w:type="pct"/>
            <w:vAlign w:val="center"/>
          </w:tcPr>
          <w:p w14:paraId="4EAC8F98">
            <w:pPr>
              <w:pStyle w:val="38"/>
              <w:spacing w:line="240" w:lineRule="auto"/>
              <w:ind w:left="0" w:leftChars="0" w:right="0" w:rightChars="0" w:firstLine="0" w:firstLineChars="0"/>
              <w:jc w:val="center"/>
              <w:rPr>
                <w:rFonts w:eastAsia="宋体" w:cs="Times New Roman"/>
                <w:color w:val="auto"/>
                <w:sz w:val="24"/>
                <w:szCs w:val="24"/>
                <w:lang w:eastAsia="zh-CN"/>
              </w:rPr>
            </w:pPr>
            <w:r>
              <w:rPr>
                <w:rFonts w:hint="eastAsia" w:eastAsia="宋体" w:cs="Times New Roman"/>
                <w:color w:val="auto"/>
                <w:sz w:val="24"/>
                <w:szCs w:val="24"/>
                <w:lang w:eastAsia="zh-CN"/>
              </w:rPr>
              <w:t>/</w:t>
            </w:r>
          </w:p>
        </w:tc>
      </w:tr>
      <w:tr w14:paraId="3355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0" w:type="pct"/>
            <w:vAlign w:val="center"/>
          </w:tcPr>
          <w:p w14:paraId="78979308">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总投资</w:t>
            </w:r>
          </w:p>
          <w:p w14:paraId="24A5DA84">
            <w:pPr>
              <w:pStyle w:val="38"/>
              <w:spacing w:line="240" w:lineRule="auto"/>
              <w:ind w:left="0" w:leftChars="0" w:right="0" w:rightChars="0" w:firstLine="0" w:firstLineChars="0"/>
              <w:jc w:val="center"/>
              <w:rPr>
                <w:rFonts w:eastAsia="宋体" w:cs="Times New Roman"/>
                <w:b/>
                <w:bCs/>
                <w:color w:val="auto"/>
                <w:sz w:val="24"/>
                <w:szCs w:val="24"/>
                <w:lang w:eastAsia="zh-CN"/>
              </w:rPr>
            </w:pPr>
            <w:r>
              <w:rPr>
                <w:rFonts w:eastAsia="宋体" w:cs="Times New Roman"/>
                <w:b/>
                <w:bCs/>
                <w:color w:val="auto"/>
                <w:sz w:val="24"/>
                <w:szCs w:val="24"/>
                <w:lang w:eastAsia="zh-CN"/>
              </w:rPr>
              <w:t>(</w:t>
            </w:r>
            <w:r>
              <w:rPr>
                <w:rFonts w:eastAsia="宋体" w:cs="Times New Roman"/>
                <w:b/>
                <w:bCs/>
                <w:color w:val="auto"/>
                <w:sz w:val="24"/>
                <w:szCs w:val="24"/>
              </w:rPr>
              <w:t>万元</w:t>
            </w:r>
            <w:r>
              <w:rPr>
                <w:rFonts w:eastAsia="宋体" w:cs="Times New Roman"/>
                <w:b/>
                <w:bCs/>
                <w:color w:val="auto"/>
                <w:sz w:val="24"/>
                <w:szCs w:val="24"/>
                <w:lang w:eastAsia="zh-CN"/>
              </w:rPr>
              <w:t>)</w:t>
            </w:r>
          </w:p>
        </w:tc>
        <w:tc>
          <w:tcPr>
            <w:tcW w:w="1645" w:type="pct"/>
            <w:vAlign w:val="center"/>
          </w:tcPr>
          <w:p w14:paraId="662D95E0">
            <w:pPr>
              <w:pStyle w:val="38"/>
              <w:spacing w:line="240" w:lineRule="auto"/>
              <w:ind w:left="0" w:leftChars="0" w:right="0" w:rightChars="0" w:firstLine="0" w:firstLineChars="0"/>
              <w:jc w:val="center"/>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300</w:t>
            </w:r>
          </w:p>
        </w:tc>
        <w:tc>
          <w:tcPr>
            <w:tcW w:w="729" w:type="pct"/>
            <w:vAlign w:val="center"/>
          </w:tcPr>
          <w:p w14:paraId="164F8F7B">
            <w:pPr>
              <w:pStyle w:val="38"/>
              <w:spacing w:line="240" w:lineRule="auto"/>
              <w:ind w:left="0" w:leftChars="0" w:right="0" w:rightChars="0" w:firstLine="0" w:firstLineChars="0"/>
              <w:jc w:val="center"/>
              <w:rPr>
                <w:rFonts w:eastAsia="宋体" w:cs="Times New Roman"/>
                <w:b/>
                <w:bCs/>
                <w:color w:val="auto"/>
                <w:sz w:val="24"/>
                <w:szCs w:val="24"/>
                <w:highlight w:val="none"/>
              </w:rPr>
            </w:pPr>
            <w:r>
              <w:rPr>
                <w:rFonts w:eastAsia="宋体" w:cs="Times New Roman"/>
                <w:b/>
                <w:bCs/>
                <w:color w:val="auto"/>
                <w:sz w:val="24"/>
                <w:szCs w:val="24"/>
                <w:highlight w:val="none"/>
              </w:rPr>
              <w:t>环保投资</w:t>
            </w:r>
          </w:p>
          <w:p w14:paraId="251C22C8">
            <w:pPr>
              <w:pStyle w:val="38"/>
              <w:spacing w:line="240" w:lineRule="auto"/>
              <w:ind w:left="0" w:leftChars="0" w:right="0" w:rightChars="0" w:firstLine="0" w:firstLineChars="0"/>
              <w:jc w:val="center"/>
              <w:rPr>
                <w:rFonts w:eastAsia="宋体" w:cs="Times New Roman"/>
                <w:b/>
                <w:bCs/>
                <w:color w:val="auto"/>
                <w:sz w:val="24"/>
                <w:szCs w:val="24"/>
                <w:highlight w:val="none"/>
                <w:lang w:eastAsia="zh-CN"/>
              </w:rPr>
            </w:pPr>
            <w:r>
              <w:rPr>
                <w:rFonts w:eastAsia="宋体" w:cs="Times New Roman"/>
                <w:b/>
                <w:bCs/>
                <w:color w:val="auto"/>
                <w:sz w:val="24"/>
                <w:szCs w:val="24"/>
                <w:highlight w:val="none"/>
                <w:lang w:eastAsia="zh-CN"/>
              </w:rPr>
              <w:t>(</w:t>
            </w:r>
            <w:r>
              <w:rPr>
                <w:rFonts w:eastAsia="宋体" w:cs="Times New Roman"/>
                <w:b/>
                <w:bCs/>
                <w:color w:val="auto"/>
                <w:sz w:val="24"/>
                <w:szCs w:val="24"/>
                <w:highlight w:val="none"/>
              </w:rPr>
              <w:t>万元</w:t>
            </w:r>
            <w:r>
              <w:rPr>
                <w:rFonts w:eastAsia="宋体" w:cs="Times New Roman"/>
                <w:b/>
                <w:bCs/>
                <w:color w:val="auto"/>
                <w:sz w:val="24"/>
                <w:szCs w:val="24"/>
                <w:highlight w:val="none"/>
                <w:lang w:eastAsia="zh-CN"/>
              </w:rPr>
              <w:t>)</w:t>
            </w:r>
          </w:p>
        </w:tc>
        <w:tc>
          <w:tcPr>
            <w:tcW w:w="1943" w:type="pct"/>
            <w:vAlign w:val="center"/>
          </w:tcPr>
          <w:p w14:paraId="1D4BDC54">
            <w:pPr>
              <w:pStyle w:val="38"/>
              <w:spacing w:line="240" w:lineRule="auto"/>
              <w:ind w:left="0" w:leftChars="0" w:right="0" w:rightChars="0" w:firstLine="0" w:firstLineChars="0"/>
              <w:jc w:val="center"/>
              <w:rPr>
                <w:rFonts w:eastAsia="宋体" w:cs="Times New Roman"/>
                <w:color w:val="auto"/>
                <w:sz w:val="24"/>
                <w:szCs w:val="24"/>
                <w:highlight w:val="none"/>
                <w:lang w:eastAsia="zh-CN"/>
              </w:rPr>
            </w:pPr>
            <w:r>
              <w:rPr>
                <w:rFonts w:hint="eastAsia" w:eastAsia="宋体" w:cs="Times New Roman"/>
                <w:color w:val="auto"/>
                <w:sz w:val="24"/>
                <w:szCs w:val="24"/>
                <w:highlight w:val="none"/>
                <w:lang w:eastAsia="zh-CN"/>
              </w:rPr>
              <w:t>32</w:t>
            </w:r>
          </w:p>
        </w:tc>
      </w:tr>
      <w:tr w14:paraId="0017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0" w:type="pct"/>
            <w:vAlign w:val="center"/>
          </w:tcPr>
          <w:p w14:paraId="4AD33D18">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环保投资</w:t>
            </w:r>
          </w:p>
          <w:p w14:paraId="4CFE3347">
            <w:pPr>
              <w:pStyle w:val="38"/>
              <w:spacing w:line="240" w:lineRule="auto"/>
              <w:ind w:left="0" w:leftChars="0" w:right="0" w:rightChars="0" w:firstLine="0" w:firstLineChars="0"/>
              <w:jc w:val="center"/>
              <w:rPr>
                <w:rFonts w:eastAsia="宋体" w:cs="Times New Roman"/>
                <w:b/>
                <w:bCs/>
                <w:color w:val="auto"/>
                <w:sz w:val="24"/>
                <w:szCs w:val="24"/>
                <w:lang w:eastAsia="zh-CN"/>
              </w:rPr>
            </w:pPr>
            <w:r>
              <w:rPr>
                <w:rFonts w:eastAsia="宋体" w:cs="Times New Roman"/>
                <w:b/>
                <w:bCs/>
                <w:color w:val="auto"/>
                <w:sz w:val="24"/>
                <w:szCs w:val="24"/>
              </w:rPr>
              <w:t>占比</w:t>
            </w:r>
            <w:r>
              <w:rPr>
                <w:rFonts w:eastAsia="宋体" w:cs="Times New Roman"/>
                <w:b/>
                <w:bCs/>
                <w:color w:val="auto"/>
                <w:sz w:val="24"/>
                <w:szCs w:val="24"/>
                <w:lang w:eastAsia="zh-CN"/>
              </w:rPr>
              <w:t>(</w:t>
            </w:r>
            <w:r>
              <w:rPr>
                <w:rFonts w:eastAsia="宋体" w:cs="Times New Roman"/>
                <w:b/>
                <w:bCs/>
                <w:color w:val="auto"/>
                <w:sz w:val="24"/>
                <w:szCs w:val="24"/>
              </w:rPr>
              <w:t>%</w:t>
            </w:r>
            <w:r>
              <w:rPr>
                <w:rFonts w:eastAsia="宋体" w:cs="Times New Roman"/>
                <w:b/>
                <w:bCs/>
                <w:color w:val="auto"/>
                <w:sz w:val="24"/>
                <w:szCs w:val="24"/>
                <w:lang w:eastAsia="zh-CN"/>
              </w:rPr>
              <w:t>)</w:t>
            </w:r>
          </w:p>
        </w:tc>
        <w:tc>
          <w:tcPr>
            <w:tcW w:w="1645" w:type="pct"/>
            <w:vAlign w:val="center"/>
          </w:tcPr>
          <w:p w14:paraId="4CE6F8D5">
            <w:pPr>
              <w:pStyle w:val="38"/>
              <w:spacing w:line="240" w:lineRule="auto"/>
              <w:ind w:left="0" w:leftChars="0" w:right="0" w:rightChars="0" w:firstLine="0" w:firstLineChars="0"/>
              <w:jc w:val="center"/>
              <w:rPr>
                <w:rFonts w:eastAsia="宋体" w:cs="Times New Roman"/>
                <w:color w:val="auto"/>
                <w:sz w:val="24"/>
                <w:szCs w:val="24"/>
                <w:highlight w:val="none"/>
                <w:lang w:eastAsia="zh-CN"/>
              </w:rPr>
            </w:pPr>
            <w:r>
              <w:rPr>
                <w:rFonts w:hint="eastAsia" w:eastAsia="宋体" w:cs="Times New Roman"/>
                <w:color w:val="auto"/>
                <w:sz w:val="24"/>
                <w:szCs w:val="24"/>
                <w:highlight w:val="none"/>
                <w:lang w:val="en-US" w:eastAsia="zh-CN"/>
              </w:rPr>
              <w:t>10.7</w:t>
            </w:r>
            <w:r>
              <w:rPr>
                <w:rFonts w:hint="eastAsia" w:eastAsia="宋体" w:cs="Times New Roman"/>
                <w:color w:val="auto"/>
                <w:sz w:val="24"/>
                <w:szCs w:val="24"/>
                <w:highlight w:val="none"/>
                <w:lang w:eastAsia="zh-CN"/>
              </w:rPr>
              <w:t>%</w:t>
            </w:r>
          </w:p>
        </w:tc>
        <w:tc>
          <w:tcPr>
            <w:tcW w:w="729" w:type="pct"/>
            <w:vAlign w:val="center"/>
          </w:tcPr>
          <w:p w14:paraId="283FB1F5">
            <w:pPr>
              <w:pStyle w:val="38"/>
              <w:spacing w:line="240" w:lineRule="auto"/>
              <w:ind w:left="0" w:leftChars="0" w:right="0" w:rightChars="0" w:firstLine="0" w:firstLineChars="0"/>
              <w:jc w:val="center"/>
              <w:rPr>
                <w:rFonts w:eastAsia="宋体" w:cs="Times New Roman"/>
                <w:b/>
                <w:bCs/>
                <w:color w:val="auto"/>
                <w:sz w:val="24"/>
                <w:szCs w:val="24"/>
                <w:highlight w:val="none"/>
              </w:rPr>
            </w:pPr>
            <w:r>
              <w:rPr>
                <w:rFonts w:eastAsia="宋体" w:cs="Times New Roman"/>
                <w:b/>
                <w:bCs/>
                <w:color w:val="auto"/>
                <w:sz w:val="24"/>
                <w:szCs w:val="24"/>
                <w:highlight w:val="none"/>
              </w:rPr>
              <w:t>施工工期</w:t>
            </w:r>
          </w:p>
        </w:tc>
        <w:tc>
          <w:tcPr>
            <w:tcW w:w="1943" w:type="pct"/>
            <w:vAlign w:val="center"/>
          </w:tcPr>
          <w:p w14:paraId="40ACFC02">
            <w:pPr>
              <w:pStyle w:val="38"/>
              <w:spacing w:line="240" w:lineRule="auto"/>
              <w:ind w:left="0" w:leftChars="0" w:right="0" w:rightChars="0" w:firstLine="0" w:firstLineChars="0"/>
              <w:jc w:val="center"/>
              <w:rPr>
                <w:rFonts w:eastAsia="宋体" w:cs="Times New Roman"/>
                <w:color w:val="auto"/>
                <w:sz w:val="24"/>
                <w:szCs w:val="24"/>
                <w:highlight w:val="none"/>
                <w:lang w:eastAsia="zh-CN"/>
              </w:rPr>
            </w:pPr>
            <w:r>
              <w:rPr>
                <w:rFonts w:hint="eastAsia" w:eastAsia="宋体" w:cs="Times New Roman"/>
                <w:color w:val="auto"/>
                <w:sz w:val="24"/>
                <w:szCs w:val="24"/>
                <w:highlight w:val="none"/>
                <w:lang w:eastAsia="zh-CN"/>
              </w:rPr>
              <w:t>1</w:t>
            </w:r>
            <w:r>
              <w:rPr>
                <w:rFonts w:eastAsia="宋体" w:cs="Times New Roman"/>
                <w:color w:val="auto"/>
                <w:sz w:val="24"/>
                <w:szCs w:val="24"/>
                <w:highlight w:val="none"/>
                <w:lang w:eastAsia="zh-CN"/>
              </w:rPr>
              <w:t>个月</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2024年7月~8月</w:t>
            </w:r>
            <w:r>
              <w:rPr>
                <w:rFonts w:hint="eastAsia" w:eastAsia="宋体" w:cs="Times New Roman"/>
                <w:color w:val="auto"/>
                <w:sz w:val="24"/>
                <w:szCs w:val="24"/>
                <w:highlight w:val="none"/>
                <w:lang w:eastAsia="zh-CN"/>
              </w:rPr>
              <w:t>）</w:t>
            </w:r>
          </w:p>
        </w:tc>
      </w:tr>
      <w:tr w14:paraId="61D5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0" w:type="pct"/>
            <w:vAlign w:val="center"/>
          </w:tcPr>
          <w:p w14:paraId="29AFB827">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是否开工</w:t>
            </w:r>
          </w:p>
          <w:p w14:paraId="201F8945">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建设</w:t>
            </w:r>
          </w:p>
        </w:tc>
        <w:tc>
          <w:tcPr>
            <w:tcW w:w="1645" w:type="pct"/>
            <w:vAlign w:val="center"/>
          </w:tcPr>
          <w:p w14:paraId="7B07B523">
            <w:pPr>
              <w:pStyle w:val="38"/>
              <w:spacing w:line="240" w:lineRule="auto"/>
              <w:ind w:left="0" w:leftChars="0" w:right="0" w:rightChars="0" w:firstLine="0" w:firstLineChars="0"/>
              <w:jc w:val="left"/>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rPr>
              <w:t>否</w:t>
            </w:r>
          </w:p>
          <w:p w14:paraId="18852DC1">
            <w:pPr>
              <w:pStyle w:val="38"/>
              <w:spacing w:line="240" w:lineRule="auto"/>
              <w:ind w:left="0" w:leftChars="0" w:right="0" w:rightChars="0" w:firstLine="0" w:firstLineChars="0"/>
              <w:jc w:val="both"/>
              <w:rPr>
                <w:rFonts w:eastAsia="宋体" w:cs="Times New Roman"/>
                <w:color w:val="auto"/>
                <w:sz w:val="24"/>
                <w:szCs w:val="24"/>
                <w:lang w:eastAsia="zh-CN"/>
              </w:rPr>
            </w:pPr>
            <w:r>
              <w:rPr>
                <w:rFonts w:hint="eastAsia" w:eastAsia="宋体" w:cs="Times New Roman"/>
                <w:color w:val="auto"/>
                <w:sz w:val="24"/>
                <w:szCs w:val="24"/>
                <w:lang w:eastAsia="zh-CN"/>
              </w:rPr>
              <w:t>□</w:t>
            </w:r>
            <w:r>
              <w:rPr>
                <w:rFonts w:eastAsia="宋体" w:cs="Times New Roman"/>
                <w:color w:val="auto"/>
                <w:sz w:val="24"/>
                <w:szCs w:val="24"/>
              </w:rPr>
              <w:t>是</w:t>
            </w:r>
          </w:p>
        </w:tc>
        <w:tc>
          <w:tcPr>
            <w:tcW w:w="729" w:type="pct"/>
            <w:vAlign w:val="center"/>
          </w:tcPr>
          <w:p w14:paraId="2FA9C5D9">
            <w:pPr>
              <w:pStyle w:val="38"/>
              <w:spacing w:line="240" w:lineRule="auto"/>
              <w:ind w:left="0" w:leftChars="0" w:right="0" w:rightChars="0" w:firstLine="0" w:firstLineChars="0"/>
              <w:jc w:val="center"/>
              <w:rPr>
                <w:rFonts w:eastAsia="宋体" w:cs="Times New Roman"/>
                <w:b/>
                <w:bCs/>
                <w:color w:val="auto"/>
                <w:sz w:val="24"/>
                <w:szCs w:val="24"/>
                <w:lang w:eastAsia="zh-CN"/>
              </w:rPr>
            </w:pPr>
            <w:r>
              <w:rPr>
                <w:rFonts w:eastAsia="宋体" w:cs="Times New Roman"/>
                <w:b/>
                <w:bCs/>
                <w:color w:val="auto"/>
                <w:spacing w:val="-14"/>
                <w:sz w:val="24"/>
                <w:szCs w:val="24"/>
              </w:rPr>
              <w:t>用地</w:t>
            </w:r>
            <w:r>
              <w:rPr>
                <w:rFonts w:eastAsia="宋体" w:cs="Times New Roman"/>
                <w:b/>
                <w:bCs/>
                <w:color w:val="auto"/>
                <w:spacing w:val="-12"/>
                <w:sz w:val="24"/>
                <w:szCs w:val="24"/>
              </w:rPr>
              <w:t>面积</w:t>
            </w:r>
            <w:r>
              <w:rPr>
                <w:rFonts w:eastAsia="宋体" w:cs="Times New Roman"/>
                <w:b/>
                <w:bCs/>
                <w:color w:val="auto"/>
                <w:spacing w:val="-12"/>
                <w:sz w:val="24"/>
                <w:szCs w:val="24"/>
                <w:lang w:eastAsia="zh-CN"/>
              </w:rPr>
              <w:t>(</w:t>
            </w:r>
            <w:r>
              <w:rPr>
                <w:rFonts w:eastAsia="宋体" w:cs="Times New Roman"/>
                <w:b/>
                <w:bCs/>
                <w:color w:val="auto"/>
                <w:spacing w:val="-12"/>
                <w:sz w:val="24"/>
                <w:szCs w:val="24"/>
              </w:rPr>
              <w:t>m</w:t>
            </w:r>
            <w:r>
              <w:rPr>
                <w:rFonts w:eastAsia="宋体" w:cs="Times New Roman"/>
                <w:b/>
                <w:bCs/>
                <w:color w:val="auto"/>
                <w:spacing w:val="-12"/>
                <w:sz w:val="24"/>
                <w:szCs w:val="24"/>
                <w:vertAlign w:val="superscript"/>
                <w:lang w:eastAsia="zh-CN"/>
              </w:rPr>
              <w:t>2</w:t>
            </w:r>
            <w:r>
              <w:rPr>
                <w:rFonts w:eastAsia="宋体" w:cs="Times New Roman"/>
                <w:b/>
                <w:bCs/>
                <w:color w:val="auto"/>
                <w:spacing w:val="-12"/>
                <w:sz w:val="24"/>
                <w:szCs w:val="24"/>
                <w:lang w:eastAsia="zh-CN"/>
              </w:rPr>
              <w:t>)</w:t>
            </w:r>
          </w:p>
        </w:tc>
        <w:tc>
          <w:tcPr>
            <w:tcW w:w="1943" w:type="pct"/>
            <w:vAlign w:val="center"/>
          </w:tcPr>
          <w:p w14:paraId="7ED0B086">
            <w:pPr>
              <w:pStyle w:val="38"/>
              <w:spacing w:line="240" w:lineRule="auto"/>
              <w:ind w:left="0" w:leftChars="0" w:right="0" w:rightChars="0" w:firstLine="0" w:firstLineChars="0"/>
              <w:jc w:val="both"/>
              <w:rPr>
                <w:rFonts w:eastAsia="宋体" w:cs="Times New Roman"/>
                <w:color w:val="auto"/>
                <w:sz w:val="24"/>
                <w:szCs w:val="24"/>
                <w:lang w:eastAsia="zh-CN"/>
              </w:rPr>
            </w:pPr>
            <w:r>
              <w:rPr>
                <w:rFonts w:hint="eastAsia" w:eastAsia="宋体" w:cs="Times New Roman"/>
                <w:color w:val="auto"/>
                <w:sz w:val="24"/>
                <w:szCs w:val="24"/>
                <w:lang w:eastAsia="zh-CN"/>
              </w:rPr>
              <w:t>不新增占地（仅在现有厂房内增加设备）</w:t>
            </w:r>
          </w:p>
        </w:tc>
      </w:tr>
      <w:tr w14:paraId="5390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0" w:type="pct"/>
            <w:vAlign w:val="center"/>
          </w:tcPr>
          <w:p w14:paraId="4C578553">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专项评价</w:t>
            </w:r>
          </w:p>
          <w:p w14:paraId="5577ADE5">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设置情况</w:t>
            </w:r>
          </w:p>
        </w:tc>
        <w:tc>
          <w:tcPr>
            <w:tcW w:w="4319" w:type="pct"/>
            <w:gridSpan w:val="3"/>
            <w:vAlign w:val="center"/>
          </w:tcPr>
          <w:p w14:paraId="20C27830">
            <w:pPr>
              <w:pStyle w:val="38"/>
              <w:spacing w:line="240" w:lineRule="auto"/>
              <w:ind w:left="0" w:leftChars="0" w:right="0" w:rightChars="0" w:firstLine="0" w:firstLineChars="0"/>
              <w:jc w:val="center"/>
              <w:rPr>
                <w:rFonts w:eastAsia="宋体" w:cs="Times New Roman"/>
                <w:color w:val="auto"/>
                <w:sz w:val="24"/>
                <w:szCs w:val="24"/>
                <w:lang w:eastAsia="zh-CN"/>
              </w:rPr>
            </w:pPr>
            <w:r>
              <w:rPr>
                <w:rFonts w:eastAsia="宋体" w:cs="Times New Roman"/>
                <w:color w:val="auto"/>
                <w:sz w:val="24"/>
                <w:szCs w:val="24"/>
                <w:lang w:eastAsia="zh-CN"/>
              </w:rPr>
              <w:t>无</w:t>
            </w:r>
          </w:p>
        </w:tc>
      </w:tr>
      <w:tr w14:paraId="3AD6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0" w:type="pct"/>
            <w:vAlign w:val="center"/>
          </w:tcPr>
          <w:p w14:paraId="5033C7EA">
            <w:pPr>
              <w:pStyle w:val="38"/>
              <w:spacing w:line="440" w:lineRule="exact"/>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规划情况</w:t>
            </w:r>
          </w:p>
        </w:tc>
        <w:tc>
          <w:tcPr>
            <w:tcW w:w="4319" w:type="pct"/>
            <w:gridSpan w:val="3"/>
            <w:vAlign w:val="center"/>
          </w:tcPr>
          <w:p w14:paraId="0B3BDC92">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jc w:val="left"/>
              <w:textAlignment w:val="auto"/>
              <w:rPr>
                <w:rFonts w:eastAsia="宋体" w:cs="Times New Roman"/>
                <w:color w:val="0000FF"/>
                <w:sz w:val="24"/>
                <w:szCs w:val="24"/>
                <w:lang w:eastAsia="zh-CN"/>
              </w:rPr>
            </w:pPr>
            <w:r>
              <w:rPr>
                <w:rFonts w:hint="eastAsia" w:eastAsia="宋体" w:cs="Times New Roman"/>
                <w:color w:val="0000FF"/>
                <w:sz w:val="24"/>
                <w:szCs w:val="24"/>
                <w:lang w:val="en-US" w:eastAsia="zh-CN"/>
              </w:rPr>
              <w:t>文件名称：</w:t>
            </w:r>
            <w:r>
              <w:rPr>
                <w:rFonts w:eastAsia="宋体" w:cs="Times New Roman"/>
                <w:color w:val="0000FF"/>
                <w:sz w:val="24"/>
                <w:szCs w:val="24"/>
                <w:lang w:eastAsia="zh-CN"/>
              </w:rPr>
              <w:t>《陕西蓝田西北家具工业园区总体规划（2013-2020）》</w:t>
            </w:r>
          </w:p>
          <w:p w14:paraId="549BD167">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jc w:val="left"/>
              <w:textAlignment w:val="auto"/>
              <w:rPr>
                <w:rFonts w:hint="eastAsia" w:eastAsia="宋体" w:cs="Times New Roman"/>
                <w:color w:val="0000FF"/>
                <w:sz w:val="24"/>
                <w:szCs w:val="24"/>
                <w:lang w:val="en-US" w:eastAsia="zh-CN"/>
              </w:rPr>
            </w:pPr>
            <w:r>
              <w:rPr>
                <w:rFonts w:hint="eastAsia" w:eastAsia="宋体" w:cs="Times New Roman"/>
                <w:color w:val="0000FF"/>
                <w:sz w:val="24"/>
                <w:szCs w:val="24"/>
                <w:lang w:val="en-US" w:eastAsia="zh-CN"/>
              </w:rPr>
              <w:t>审批机关：蓝田县人民政府</w:t>
            </w:r>
          </w:p>
          <w:p w14:paraId="134A4877">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jc w:val="left"/>
              <w:textAlignment w:val="auto"/>
              <w:rPr>
                <w:rFonts w:hint="default" w:eastAsia="宋体" w:cs="Times New Roman"/>
                <w:color w:val="auto"/>
                <w:sz w:val="24"/>
                <w:szCs w:val="24"/>
                <w:lang w:val="en-US" w:eastAsia="zh-CN"/>
              </w:rPr>
            </w:pPr>
            <w:r>
              <w:rPr>
                <w:rFonts w:hint="eastAsia" w:eastAsia="宋体" w:cs="Times New Roman"/>
                <w:color w:val="0000FF"/>
                <w:sz w:val="24"/>
                <w:szCs w:val="24"/>
                <w:lang w:val="en-US" w:eastAsia="zh-CN"/>
              </w:rPr>
              <w:t>审批文号：蓝政发</w:t>
            </w:r>
            <w:r>
              <w:rPr>
                <w:rFonts w:hint="eastAsia" w:ascii="宋体" w:hAnsi="宋体" w:eastAsia="宋体" w:cs="宋体"/>
                <w:color w:val="0000FF"/>
                <w:sz w:val="24"/>
                <w:szCs w:val="24"/>
                <w:lang w:eastAsia="zh-CN"/>
              </w:rPr>
              <w:t>〔</w:t>
            </w:r>
            <w:r>
              <w:rPr>
                <w:rFonts w:hint="eastAsia" w:cs="Times New Roman"/>
                <w:color w:val="0000FF"/>
                <w:sz w:val="24"/>
                <w:szCs w:val="24"/>
                <w:lang w:val="en-US" w:eastAsia="zh-CN"/>
              </w:rPr>
              <w:t>2009</w:t>
            </w:r>
            <w:r>
              <w:rPr>
                <w:rFonts w:hint="eastAsia" w:ascii="宋体" w:hAnsi="宋体" w:eastAsia="宋体" w:cs="宋体"/>
                <w:color w:val="0000FF"/>
                <w:sz w:val="24"/>
                <w:szCs w:val="24"/>
                <w:lang w:eastAsia="zh-CN"/>
              </w:rPr>
              <w:t>〕</w:t>
            </w:r>
            <w:r>
              <w:rPr>
                <w:rFonts w:hint="eastAsia" w:cs="Times New Roman"/>
                <w:color w:val="0000FF"/>
                <w:sz w:val="24"/>
                <w:szCs w:val="24"/>
                <w:lang w:val="en-US" w:eastAsia="zh-CN"/>
              </w:rPr>
              <w:t>96</w:t>
            </w:r>
            <w:r>
              <w:rPr>
                <w:rFonts w:cs="Times New Roman"/>
                <w:color w:val="0000FF"/>
                <w:sz w:val="24"/>
                <w:szCs w:val="24"/>
                <w:lang w:eastAsia="zh-CN"/>
              </w:rPr>
              <w:t>号）</w:t>
            </w:r>
          </w:p>
        </w:tc>
      </w:tr>
      <w:tr w14:paraId="15C7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pct"/>
            <w:vAlign w:val="center"/>
          </w:tcPr>
          <w:p w14:paraId="4C65DD64">
            <w:pPr>
              <w:pStyle w:val="38"/>
              <w:spacing w:line="440" w:lineRule="exact"/>
              <w:ind w:left="0" w:leftChars="0" w:right="0" w:rightChars="0" w:firstLine="0" w:firstLineChars="0"/>
              <w:jc w:val="center"/>
              <w:rPr>
                <w:rFonts w:eastAsia="宋体" w:cs="Times New Roman"/>
                <w:b/>
                <w:bCs/>
                <w:color w:val="auto"/>
                <w:sz w:val="24"/>
                <w:szCs w:val="24"/>
                <w:lang w:eastAsia="zh-CN"/>
              </w:rPr>
            </w:pPr>
            <w:r>
              <w:rPr>
                <w:rFonts w:eastAsia="宋体" w:cs="Times New Roman"/>
                <w:b/>
                <w:bCs/>
                <w:color w:val="auto"/>
                <w:sz w:val="24"/>
                <w:szCs w:val="24"/>
                <w:lang w:eastAsia="zh-CN"/>
              </w:rPr>
              <w:t>规划环境</w:t>
            </w:r>
          </w:p>
          <w:p w14:paraId="3854B0E6">
            <w:pPr>
              <w:pStyle w:val="38"/>
              <w:spacing w:line="440" w:lineRule="exact"/>
              <w:ind w:left="0" w:leftChars="0" w:right="0" w:rightChars="0" w:firstLine="0" w:firstLineChars="0"/>
              <w:jc w:val="center"/>
              <w:rPr>
                <w:rFonts w:eastAsia="宋体" w:cs="Times New Roman"/>
                <w:b/>
                <w:bCs/>
                <w:color w:val="auto"/>
                <w:sz w:val="24"/>
                <w:szCs w:val="24"/>
                <w:lang w:eastAsia="zh-CN"/>
              </w:rPr>
            </w:pPr>
            <w:r>
              <w:rPr>
                <w:rFonts w:eastAsia="宋体" w:cs="Times New Roman"/>
                <w:b/>
                <w:bCs/>
                <w:color w:val="auto"/>
                <w:sz w:val="24"/>
                <w:szCs w:val="24"/>
                <w:lang w:eastAsia="zh-CN"/>
              </w:rPr>
              <w:t>影响评价</w:t>
            </w:r>
          </w:p>
          <w:p w14:paraId="484CCCE5">
            <w:pPr>
              <w:pStyle w:val="38"/>
              <w:spacing w:line="440" w:lineRule="exact"/>
              <w:ind w:left="0" w:leftChars="0" w:right="0" w:rightChars="0" w:firstLine="0" w:firstLineChars="0"/>
              <w:jc w:val="center"/>
              <w:rPr>
                <w:rFonts w:eastAsia="宋体" w:cs="Times New Roman"/>
                <w:color w:val="auto"/>
                <w:sz w:val="24"/>
                <w:szCs w:val="24"/>
                <w:lang w:eastAsia="zh-CN"/>
              </w:rPr>
            </w:pPr>
            <w:r>
              <w:rPr>
                <w:rFonts w:eastAsia="宋体" w:cs="Times New Roman"/>
                <w:b/>
                <w:bCs/>
                <w:color w:val="auto"/>
                <w:sz w:val="24"/>
                <w:szCs w:val="24"/>
                <w:lang w:eastAsia="zh-CN"/>
              </w:rPr>
              <w:t>情况</w:t>
            </w:r>
          </w:p>
        </w:tc>
        <w:tc>
          <w:tcPr>
            <w:tcW w:w="4319" w:type="pct"/>
            <w:gridSpan w:val="3"/>
            <w:vAlign w:val="center"/>
          </w:tcPr>
          <w:p w14:paraId="063AAE4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480"/>
              <w:jc w:val="both"/>
              <w:textAlignment w:val="auto"/>
              <w:rPr>
                <w:rFonts w:cs="Times New Roman"/>
                <w:color w:val="auto"/>
                <w:sz w:val="24"/>
                <w:szCs w:val="24"/>
                <w:lang w:eastAsia="zh-CN"/>
              </w:rPr>
            </w:pPr>
            <w:r>
              <w:rPr>
                <w:rFonts w:cs="Times New Roman"/>
                <w:color w:val="auto"/>
                <w:sz w:val="24"/>
                <w:szCs w:val="24"/>
                <w:lang w:eastAsia="zh-CN"/>
              </w:rPr>
              <w:t>规划环境影响评价文件名称：《陕西蓝田西北家具工业园区总体规划环境影响报告书》</w:t>
            </w:r>
          </w:p>
          <w:p w14:paraId="2E35513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480"/>
              <w:jc w:val="both"/>
              <w:textAlignment w:val="auto"/>
              <w:rPr>
                <w:rFonts w:cs="Times New Roman"/>
                <w:color w:val="auto"/>
                <w:sz w:val="24"/>
                <w:szCs w:val="24"/>
                <w:lang w:eastAsia="zh-CN"/>
              </w:rPr>
            </w:pPr>
            <w:r>
              <w:rPr>
                <w:rFonts w:cs="Times New Roman"/>
                <w:color w:val="auto"/>
                <w:sz w:val="24"/>
                <w:szCs w:val="24"/>
                <w:lang w:eastAsia="zh-CN"/>
              </w:rPr>
              <w:t>审批部门：西安市生态环境局（原西安市环境保护局）</w:t>
            </w:r>
          </w:p>
          <w:p w14:paraId="157C656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480"/>
              <w:jc w:val="both"/>
              <w:textAlignment w:val="auto"/>
              <w:rPr>
                <w:rFonts w:cs="Times New Roman"/>
                <w:color w:val="auto"/>
                <w:sz w:val="24"/>
                <w:szCs w:val="24"/>
                <w:lang w:eastAsia="zh-CN"/>
              </w:rPr>
            </w:pPr>
            <w:r>
              <w:rPr>
                <w:rFonts w:cs="Times New Roman"/>
                <w:color w:val="auto"/>
                <w:sz w:val="24"/>
                <w:szCs w:val="24"/>
                <w:lang w:eastAsia="zh-CN"/>
              </w:rPr>
              <w:t>审查文件名称及文号：西安市生态环境局（2015年9月30日）发文《陕西蓝田西北家具工业园区总体规划环境影响报告书的审查意见》（文号：市环评函</w:t>
            </w:r>
            <w:r>
              <w:rPr>
                <w:rFonts w:hint="eastAsia" w:ascii="宋体" w:hAnsi="宋体" w:eastAsia="宋体" w:cs="宋体"/>
                <w:color w:val="auto"/>
                <w:sz w:val="24"/>
                <w:szCs w:val="24"/>
                <w:lang w:eastAsia="zh-CN"/>
              </w:rPr>
              <w:t>〔</w:t>
            </w:r>
            <w:r>
              <w:rPr>
                <w:rFonts w:cs="Times New Roman"/>
                <w:color w:val="auto"/>
                <w:sz w:val="24"/>
                <w:szCs w:val="24"/>
                <w:lang w:eastAsia="zh-CN"/>
              </w:rPr>
              <w:t>2015</w:t>
            </w:r>
            <w:r>
              <w:rPr>
                <w:rFonts w:hint="eastAsia" w:ascii="宋体" w:hAnsi="宋体" w:eastAsia="宋体" w:cs="宋体"/>
                <w:color w:val="auto"/>
                <w:sz w:val="24"/>
                <w:szCs w:val="24"/>
                <w:lang w:eastAsia="zh-CN"/>
              </w:rPr>
              <w:t>〕</w:t>
            </w:r>
            <w:r>
              <w:rPr>
                <w:rFonts w:cs="Times New Roman"/>
                <w:color w:val="auto"/>
                <w:sz w:val="24"/>
                <w:szCs w:val="24"/>
                <w:lang w:eastAsia="zh-CN"/>
              </w:rPr>
              <w:t>53号）。</w:t>
            </w:r>
          </w:p>
        </w:tc>
      </w:tr>
      <w:tr w14:paraId="445C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0" w:type="pct"/>
            <w:vAlign w:val="center"/>
          </w:tcPr>
          <w:p w14:paraId="725EBE45">
            <w:pPr>
              <w:pStyle w:val="38"/>
              <w:spacing w:line="440" w:lineRule="exact"/>
              <w:ind w:left="0" w:leftChars="0" w:right="0" w:rightChars="0" w:firstLine="0" w:firstLineChars="0"/>
              <w:jc w:val="center"/>
              <w:rPr>
                <w:rFonts w:eastAsia="宋体" w:cs="Times New Roman"/>
                <w:b/>
                <w:bCs/>
                <w:color w:val="auto"/>
                <w:sz w:val="24"/>
                <w:szCs w:val="24"/>
                <w:lang w:eastAsia="zh-CN"/>
              </w:rPr>
            </w:pPr>
          </w:p>
        </w:tc>
        <w:tc>
          <w:tcPr>
            <w:tcW w:w="4319" w:type="pct"/>
            <w:gridSpan w:val="3"/>
            <w:vAlign w:val="center"/>
          </w:tcPr>
          <w:p w14:paraId="42520D4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480"/>
              <w:jc w:val="both"/>
              <w:textAlignment w:val="auto"/>
              <w:rPr>
                <w:rFonts w:cs="Times New Roman"/>
                <w:color w:val="auto"/>
                <w:sz w:val="24"/>
                <w:szCs w:val="24"/>
                <w:lang w:eastAsia="zh-CN"/>
              </w:rPr>
            </w:pPr>
            <w:r>
              <w:rPr>
                <w:rFonts w:cs="Times New Roman"/>
                <w:color w:val="auto"/>
                <w:sz w:val="24"/>
                <w:szCs w:val="24"/>
                <w:lang w:eastAsia="zh-CN"/>
              </w:rPr>
              <w:t>本</w:t>
            </w:r>
            <w:r>
              <w:rPr>
                <w:rFonts w:hint="eastAsia" w:cs="Times New Roman"/>
                <w:color w:val="auto"/>
                <w:sz w:val="24"/>
                <w:szCs w:val="24"/>
                <w:lang w:eastAsia="zh-CN"/>
              </w:rPr>
              <w:t>扩建</w:t>
            </w:r>
            <w:r>
              <w:rPr>
                <w:rFonts w:cs="Times New Roman"/>
                <w:color w:val="auto"/>
                <w:sz w:val="24"/>
                <w:szCs w:val="24"/>
                <w:lang w:eastAsia="zh-CN"/>
              </w:rPr>
              <w:t>项目位于</w:t>
            </w:r>
            <w:r>
              <w:rPr>
                <w:rFonts w:hint="eastAsia" w:cs="Times New Roman"/>
                <w:color w:val="auto"/>
                <w:sz w:val="24"/>
                <w:szCs w:val="24"/>
                <w:lang w:eastAsia="zh-CN"/>
              </w:rPr>
              <w:t>蓝田县</w:t>
            </w:r>
            <w:r>
              <w:rPr>
                <w:rFonts w:cs="Times New Roman"/>
                <w:color w:val="auto"/>
                <w:sz w:val="24"/>
                <w:szCs w:val="24"/>
                <w:lang w:eastAsia="zh-CN"/>
              </w:rPr>
              <w:t>西北家具工业园</w:t>
            </w:r>
            <w:r>
              <w:rPr>
                <w:rFonts w:hint="eastAsia" w:cs="Times New Roman"/>
                <w:color w:val="auto"/>
                <w:sz w:val="24"/>
                <w:szCs w:val="24"/>
                <w:lang w:eastAsia="zh-CN"/>
              </w:rPr>
              <w:t>现有厂房</w:t>
            </w:r>
            <w:r>
              <w:rPr>
                <w:rFonts w:cs="Times New Roman"/>
                <w:color w:val="auto"/>
                <w:sz w:val="24"/>
                <w:szCs w:val="24"/>
                <w:lang w:eastAsia="zh-CN"/>
              </w:rPr>
              <w:t>内</w:t>
            </w:r>
            <w:r>
              <w:rPr>
                <w:rFonts w:hint="eastAsia" w:cs="Times New Roman"/>
                <w:color w:val="auto"/>
                <w:sz w:val="24"/>
                <w:szCs w:val="24"/>
                <w:lang w:eastAsia="zh-CN"/>
              </w:rPr>
              <w:t>，现有项目已于2020年取得入园协议，本次扩建项目与园区规划的相符性分析见下表。</w:t>
            </w:r>
          </w:p>
        </w:tc>
      </w:tr>
    </w:tbl>
    <w:p w14:paraId="6D452AA3">
      <w:pPr>
        <w:pStyle w:val="38"/>
        <w:spacing w:line="440" w:lineRule="exact"/>
        <w:ind w:left="0" w:leftChars="0" w:right="0" w:rightChars="0" w:firstLine="0" w:firstLineChars="0"/>
        <w:jc w:val="center"/>
        <w:rPr>
          <w:rFonts w:eastAsia="宋体" w:cs="Times New Roman"/>
          <w:b/>
          <w:bCs/>
          <w:color w:val="auto"/>
          <w:sz w:val="24"/>
          <w:szCs w:val="24"/>
          <w:lang w:eastAsia="zh-CN"/>
        </w:rPr>
        <w:sectPr>
          <w:footerReference r:id="rId11" w:type="default"/>
          <w:pgSz w:w="11910" w:h="16838"/>
          <w:pgMar w:top="1440" w:right="1689" w:bottom="1440" w:left="1800" w:header="720" w:footer="1043" w:gutter="0"/>
          <w:pgNumType w:start="1"/>
          <w:cols w:space="0" w:num="1"/>
        </w:sectPr>
      </w:pPr>
    </w:p>
    <w:tbl>
      <w:tblPr>
        <w:tblStyle w:val="27"/>
        <w:tblW w:w="53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726"/>
      </w:tblGrid>
      <w:tr w14:paraId="44EC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Align w:val="center"/>
          </w:tcPr>
          <w:p w14:paraId="01D5EAE9">
            <w:pPr>
              <w:pStyle w:val="38"/>
              <w:spacing w:line="440" w:lineRule="exact"/>
              <w:ind w:left="0" w:leftChars="0" w:right="0" w:rightChars="0" w:firstLine="0" w:firstLineChars="0"/>
              <w:jc w:val="center"/>
              <w:rPr>
                <w:rFonts w:eastAsia="宋体" w:cs="Times New Roman"/>
                <w:color w:val="auto"/>
                <w:sz w:val="24"/>
                <w:szCs w:val="24"/>
                <w:lang w:eastAsia="zh-CN"/>
              </w:rPr>
            </w:pPr>
            <w:r>
              <w:rPr>
                <w:rFonts w:eastAsia="宋体" w:cs="Times New Roman"/>
                <w:b/>
                <w:bCs/>
                <w:color w:val="auto"/>
                <w:sz w:val="24"/>
                <w:szCs w:val="24"/>
                <w:lang w:eastAsia="zh-CN"/>
              </w:rPr>
              <w:t>规划及规划环境影响评价符合性分析</w:t>
            </w:r>
          </w:p>
        </w:tc>
        <w:tc>
          <w:tcPr>
            <w:tcW w:w="4765" w:type="pct"/>
          </w:tcPr>
          <w:p w14:paraId="4D27B95D">
            <w:pPr>
              <w:keepNext/>
              <w:keepLines/>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表1-1    本项目与园区规划的符合性一览表</w:t>
            </w:r>
          </w:p>
          <w:tbl>
            <w:tblPr>
              <w:tblStyle w:val="27"/>
              <w:tblpPr w:leftFromText="180" w:rightFromText="180" w:vertAnchor="text" w:horzAnchor="page" w:tblpXSpec="center" w:tblpY="258"/>
              <w:tblOverlap w:val="never"/>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28"/>
              <w:gridCol w:w="3206"/>
              <w:gridCol w:w="3552"/>
              <w:gridCol w:w="921"/>
            </w:tblGrid>
            <w:tr w14:paraId="00C07BD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tcBorders>
                    <w:tl2br w:val="nil"/>
                    <w:tr2bl w:val="nil"/>
                  </w:tcBorders>
                  <w:vAlign w:val="center"/>
                </w:tcPr>
                <w:p w14:paraId="0060033D">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b/>
                      <w:bCs/>
                      <w:color w:val="auto"/>
                      <w:kern w:val="2"/>
                      <w:szCs w:val="21"/>
                      <w:lang w:eastAsia="zh-CN"/>
                    </w:rPr>
                  </w:pPr>
                  <w:r>
                    <w:rPr>
                      <w:rFonts w:eastAsia="宋体" w:cs="Times New Roman"/>
                      <w:b/>
                      <w:bCs/>
                      <w:color w:val="auto"/>
                      <w:kern w:val="2"/>
                      <w:szCs w:val="21"/>
                      <w:lang w:eastAsia="zh-CN"/>
                    </w:rPr>
                    <w:t>规划内容</w:t>
                  </w:r>
                </w:p>
              </w:tc>
              <w:tc>
                <w:tcPr>
                  <w:tcW w:w="1884" w:type="pct"/>
                  <w:tcBorders>
                    <w:tl2br w:val="nil"/>
                    <w:tr2bl w:val="nil"/>
                  </w:tcBorders>
                  <w:vAlign w:val="center"/>
                </w:tcPr>
                <w:p w14:paraId="2FBD2B6B">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b/>
                      <w:bCs/>
                      <w:color w:val="auto"/>
                      <w:kern w:val="2"/>
                      <w:szCs w:val="21"/>
                      <w:lang w:eastAsia="zh-CN"/>
                    </w:rPr>
                  </w:pPr>
                  <w:r>
                    <w:rPr>
                      <w:rFonts w:eastAsia="宋体" w:cs="Times New Roman"/>
                      <w:b/>
                      <w:bCs/>
                      <w:color w:val="auto"/>
                      <w:kern w:val="2"/>
                      <w:szCs w:val="21"/>
                      <w:lang w:eastAsia="zh-CN"/>
                    </w:rPr>
                    <w:t>规划要求</w:t>
                  </w:r>
                </w:p>
              </w:tc>
              <w:tc>
                <w:tcPr>
                  <w:tcW w:w="2087" w:type="pct"/>
                  <w:tcBorders>
                    <w:tl2br w:val="nil"/>
                    <w:tr2bl w:val="nil"/>
                  </w:tcBorders>
                  <w:vAlign w:val="center"/>
                </w:tcPr>
                <w:p w14:paraId="664A6F94">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b/>
                      <w:bCs/>
                      <w:color w:val="auto"/>
                      <w:kern w:val="2"/>
                      <w:szCs w:val="21"/>
                      <w:lang w:eastAsia="zh-CN"/>
                    </w:rPr>
                  </w:pPr>
                  <w:r>
                    <w:rPr>
                      <w:rFonts w:eastAsia="宋体" w:cs="Times New Roman"/>
                      <w:b/>
                      <w:bCs/>
                      <w:color w:val="auto"/>
                      <w:kern w:val="2"/>
                      <w:szCs w:val="21"/>
                      <w:lang w:eastAsia="zh-CN"/>
                    </w:rPr>
                    <w:t>本扩建项目情况</w:t>
                  </w:r>
                </w:p>
              </w:tc>
              <w:tc>
                <w:tcPr>
                  <w:tcW w:w="541" w:type="pct"/>
                  <w:tcBorders>
                    <w:tl2br w:val="nil"/>
                    <w:tr2bl w:val="nil"/>
                  </w:tcBorders>
                  <w:vAlign w:val="center"/>
                </w:tcPr>
                <w:p w14:paraId="5B538015">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b/>
                      <w:bCs/>
                      <w:color w:val="auto"/>
                      <w:kern w:val="2"/>
                      <w:szCs w:val="21"/>
                      <w:lang w:eastAsia="zh-CN"/>
                    </w:rPr>
                  </w:pPr>
                  <w:r>
                    <w:rPr>
                      <w:rFonts w:eastAsia="宋体" w:cs="Times New Roman"/>
                      <w:b/>
                      <w:bCs/>
                      <w:color w:val="auto"/>
                      <w:kern w:val="2"/>
                      <w:szCs w:val="21"/>
                      <w:lang w:eastAsia="zh-CN"/>
                    </w:rPr>
                    <w:t>相符性</w:t>
                  </w:r>
                </w:p>
              </w:tc>
            </w:tr>
            <w:tr w14:paraId="3A6015A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tcBorders>
                    <w:tl2br w:val="nil"/>
                    <w:tr2bl w:val="nil"/>
                  </w:tcBorders>
                  <w:vAlign w:val="center"/>
                </w:tcPr>
                <w:p w14:paraId="31DA4E34">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产业定位</w:t>
                  </w:r>
                </w:p>
              </w:tc>
              <w:tc>
                <w:tcPr>
                  <w:tcW w:w="1884" w:type="pct"/>
                  <w:tcBorders>
                    <w:tl2br w:val="nil"/>
                    <w:tr2bl w:val="nil"/>
                  </w:tcBorders>
                  <w:vAlign w:val="center"/>
                </w:tcPr>
                <w:p w14:paraId="0B0B57A0">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集生产、销售、科研、服务、信息市场于一体的综合性家具工业园区。</w:t>
                  </w:r>
                </w:p>
              </w:tc>
              <w:tc>
                <w:tcPr>
                  <w:tcW w:w="2087" w:type="pct"/>
                  <w:tcBorders>
                    <w:tl2br w:val="nil"/>
                    <w:tr2bl w:val="nil"/>
                  </w:tcBorders>
                  <w:vAlign w:val="center"/>
                </w:tcPr>
                <w:p w14:paraId="082AD499">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本扩建项目主要为金属家具制造及建筑、安全用金属制造制造行业，符合园区产业定位。</w:t>
                  </w:r>
                </w:p>
              </w:tc>
              <w:tc>
                <w:tcPr>
                  <w:tcW w:w="541" w:type="pct"/>
                  <w:tcBorders>
                    <w:tl2br w:val="nil"/>
                    <w:tr2bl w:val="nil"/>
                  </w:tcBorders>
                  <w:vAlign w:val="center"/>
                </w:tcPr>
                <w:p w14:paraId="477C8438">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符合</w:t>
                  </w:r>
                </w:p>
              </w:tc>
            </w:tr>
            <w:tr w14:paraId="1778BB1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tcBorders>
                    <w:tl2br w:val="nil"/>
                    <w:tr2bl w:val="nil"/>
                  </w:tcBorders>
                  <w:vAlign w:val="center"/>
                </w:tcPr>
                <w:p w14:paraId="15E20D4C">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空间结构</w:t>
                  </w:r>
                </w:p>
              </w:tc>
              <w:tc>
                <w:tcPr>
                  <w:tcW w:w="1884" w:type="pct"/>
                  <w:tcBorders>
                    <w:tl2br w:val="nil"/>
                    <w:tr2bl w:val="nil"/>
                  </w:tcBorders>
                  <w:vAlign w:val="center"/>
                </w:tcPr>
                <w:p w14:paraId="68EC58E7">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八大功能区：分别为家具生产区、居住区、公共管理服务中心、技术服务中心、培训会展中心、批发市场、配套生产区、物流中心。</w:t>
                  </w:r>
                </w:p>
              </w:tc>
              <w:tc>
                <w:tcPr>
                  <w:tcW w:w="2087" w:type="pct"/>
                  <w:tcBorders>
                    <w:tl2br w:val="nil"/>
                    <w:tr2bl w:val="nil"/>
                  </w:tcBorders>
                  <w:vAlign w:val="center"/>
                </w:tcPr>
                <w:p w14:paraId="6D4424E1">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本扩建项目行业类别为金属家具制造及建筑、安全用金属制品制造，企业位于园区的家具生产区。</w:t>
                  </w:r>
                </w:p>
              </w:tc>
              <w:tc>
                <w:tcPr>
                  <w:tcW w:w="541" w:type="pct"/>
                  <w:tcBorders>
                    <w:tl2br w:val="nil"/>
                    <w:tr2bl w:val="nil"/>
                  </w:tcBorders>
                  <w:vAlign w:val="center"/>
                </w:tcPr>
                <w:p w14:paraId="2826FF94">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符合</w:t>
                  </w:r>
                </w:p>
              </w:tc>
            </w:tr>
            <w:tr w14:paraId="1686F12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tcBorders>
                    <w:tl2br w:val="nil"/>
                    <w:tr2bl w:val="nil"/>
                  </w:tcBorders>
                  <w:vAlign w:val="center"/>
                </w:tcPr>
                <w:p w14:paraId="38E9509A">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声环境控制措施</w:t>
                  </w:r>
                </w:p>
              </w:tc>
              <w:tc>
                <w:tcPr>
                  <w:tcW w:w="1884" w:type="pct"/>
                  <w:tcBorders>
                    <w:tl2br w:val="nil"/>
                    <w:tr2bl w:val="nil"/>
                  </w:tcBorders>
                  <w:vAlign w:val="center"/>
                </w:tcPr>
                <w:p w14:paraId="432BC575">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进驻项目必须确保厂界噪声达标。对各种工业噪声源分别采用隔声、吸声和消声等措施，增加隔声罩、隔声屏障等措施，降低噪声源强，减少对周围环境的影响。</w:t>
                  </w:r>
                </w:p>
              </w:tc>
              <w:tc>
                <w:tcPr>
                  <w:tcW w:w="2087" w:type="pct"/>
                  <w:tcBorders>
                    <w:tl2br w:val="nil"/>
                    <w:tr2bl w:val="nil"/>
                  </w:tcBorders>
                  <w:vAlign w:val="center"/>
                </w:tcPr>
                <w:p w14:paraId="2AE63015">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本扩建项目生产设备均放置于厂房内，设置了基础减振等措施，经预测厂界噪声达标。</w:t>
                  </w:r>
                </w:p>
              </w:tc>
              <w:tc>
                <w:tcPr>
                  <w:tcW w:w="541" w:type="pct"/>
                  <w:tcBorders>
                    <w:tl2br w:val="nil"/>
                    <w:tr2bl w:val="nil"/>
                  </w:tcBorders>
                  <w:vAlign w:val="center"/>
                </w:tcPr>
                <w:p w14:paraId="7DAE9D4C">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符合</w:t>
                  </w:r>
                </w:p>
              </w:tc>
            </w:tr>
            <w:tr w14:paraId="736B29B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tcBorders>
                    <w:tl2br w:val="nil"/>
                    <w:tr2bl w:val="nil"/>
                  </w:tcBorders>
                  <w:vAlign w:val="center"/>
                </w:tcPr>
                <w:p w14:paraId="560E2411">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水环境保护对策及措施</w:t>
                  </w:r>
                </w:p>
              </w:tc>
              <w:tc>
                <w:tcPr>
                  <w:tcW w:w="1884" w:type="pct"/>
                  <w:tcBorders>
                    <w:tl2br w:val="nil"/>
                    <w:tr2bl w:val="nil"/>
                  </w:tcBorders>
                  <w:vAlign w:val="center"/>
                </w:tcPr>
                <w:p w14:paraId="31BE0213">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园区污水达到《黄河流域（陕西段）污水综合排放标准》（DB61/224-2011）中二级标准及《污水综合排放标准》（GB8978-1996）中三级标准后排入污水管网。园区内各企业不设单独的排污口。</w:t>
                  </w:r>
                </w:p>
              </w:tc>
              <w:tc>
                <w:tcPr>
                  <w:tcW w:w="2087" w:type="pct"/>
                  <w:tcBorders>
                    <w:tl2br w:val="nil"/>
                    <w:tr2bl w:val="nil"/>
                  </w:tcBorders>
                  <w:vAlign w:val="center"/>
                </w:tcPr>
                <w:p w14:paraId="06205FAF">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本扩建项目无生产废水排放，生活污水经化粪池处理后通过污水管网进入园区</w:t>
                  </w:r>
                  <w:r>
                    <w:rPr>
                      <w:rFonts w:hint="eastAsia" w:eastAsia="宋体" w:cs="Times New Roman"/>
                      <w:color w:val="auto"/>
                      <w:kern w:val="2"/>
                      <w:szCs w:val="21"/>
                      <w:lang w:eastAsia="zh-CN"/>
                    </w:rPr>
                    <w:t>污水处理厂</w:t>
                  </w:r>
                  <w:r>
                    <w:rPr>
                      <w:rFonts w:eastAsia="宋体" w:cs="Times New Roman"/>
                      <w:color w:val="auto"/>
                      <w:kern w:val="2"/>
                      <w:szCs w:val="21"/>
                      <w:lang w:eastAsia="zh-CN"/>
                    </w:rPr>
                    <w:t>，不设单独排污口。</w:t>
                  </w:r>
                </w:p>
              </w:tc>
              <w:tc>
                <w:tcPr>
                  <w:tcW w:w="541" w:type="pct"/>
                  <w:tcBorders>
                    <w:tl2br w:val="nil"/>
                    <w:tr2bl w:val="nil"/>
                  </w:tcBorders>
                  <w:vAlign w:val="center"/>
                </w:tcPr>
                <w:p w14:paraId="256B78AA">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符合</w:t>
                  </w:r>
                </w:p>
              </w:tc>
            </w:tr>
            <w:tr w14:paraId="3F74D38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tcBorders>
                    <w:tl2br w:val="nil"/>
                    <w:tr2bl w:val="nil"/>
                  </w:tcBorders>
                  <w:vAlign w:val="center"/>
                </w:tcPr>
                <w:p w14:paraId="3699B27F">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大气环境保护对策及措施</w:t>
                  </w:r>
                </w:p>
              </w:tc>
              <w:tc>
                <w:tcPr>
                  <w:tcW w:w="1884" w:type="pct"/>
                  <w:tcBorders>
                    <w:tl2br w:val="nil"/>
                    <w:tr2bl w:val="nil"/>
                  </w:tcBorders>
                  <w:vAlign w:val="center"/>
                </w:tcPr>
                <w:p w14:paraId="30360006">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排放废气的企业应采取先进的、密闭性好的生产设备、化工物流储存容器，最大限度减少无组织废气排放；采用先进的治理或回收措施，严格按照我国有关规定实现稳定达标排放，不产生二次污染。</w:t>
                  </w:r>
                </w:p>
              </w:tc>
              <w:tc>
                <w:tcPr>
                  <w:tcW w:w="2087" w:type="pct"/>
                  <w:tcBorders>
                    <w:tl2br w:val="nil"/>
                    <w:tr2bl w:val="nil"/>
                  </w:tcBorders>
                  <w:vAlign w:val="center"/>
                </w:tcPr>
                <w:p w14:paraId="1302B486">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本扩建项目</w:t>
                  </w:r>
                  <w:r>
                    <w:rPr>
                      <w:rFonts w:eastAsia="宋体" w:cs="Times New Roman"/>
                      <w:color w:val="auto"/>
                      <w:szCs w:val="21"/>
                      <w:lang w:eastAsia="zh-CN"/>
                    </w:rPr>
                    <w:t>切割、焊接、</w:t>
                  </w:r>
                  <w:r>
                    <w:rPr>
                      <w:rFonts w:hint="eastAsia" w:eastAsia="宋体" w:cs="Times New Roman"/>
                      <w:color w:val="auto"/>
                      <w:szCs w:val="21"/>
                      <w:lang w:eastAsia="zh-CN"/>
                    </w:rPr>
                    <w:t>喷涂</w:t>
                  </w:r>
                  <w:r>
                    <w:rPr>
                      <w:rFonts w:eastAsia="宋体" w:cs="Times New Roman"/>
                      <w:color w:val="auto"/>
                      <w:szCs w:val="21"/>
                      <w:lang w:eastAsia="zh-CN"/>
                    </w:rPr>
                    <w:t>均采取先进生产设备，可最大限度减少无组织废气排放；油墨废气、</w:t>
                  </w:r>
                  <w:r>
                    <w:rPr>
                      <w:rFonts w:hint="eastAsia" w:eastAsia="宋体" w:cs="Times New Roman"/>
                      <w:color w:val="auto"/>
                      <w:szCs w:val="21"/>
                      <w:lang w:eastAsia="zh-CN"/>
                    </w:rPr>
                    <w:t>固化</w:t>
                  </w:r>
                  <w:r>
                    <w:rPr>
                      <w:rFonts w:eastAsia="宋体" w:cs="Times New Roman"/>
                      <w:color w:val="auto"/>
                      <w:szCs w:val="21"/>
                      <w:lang w:eastAsia="zh-CN"/>
                    </w:rPr>
                    <w:t>废气收集后经二级活性炭吸附装置处理后经15m高排气筒排放，可实现有机废气稳定达标排放。</w:t>
                  </w:r>
                </w:p>
              </w:tc>
              <w:tc>
                <w:tcPr>
                  <w:tcW w:w="541" w:type="pct"/>
                  <w:tcBorders>
                    <w:tl2br w:val="nil"/>
                    <w:tr2bl w:val="nil"/>
                  </w:tcBorders>
                  <w:vAlign w:val="center"/>
                </w:tcPr>
                <w:p w14:paraId="17F36F8C">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符合</w:t>
                  </w:r>
                </w:p>
              </w:tc>
            </w:tr>
            <w:tr w14:paraId="1D92467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vMerge w:val="restart"/>
                  <w:tcBorders>
                    <w:tl2br w:val="nil"/>
                    <w:tr2bl w:val="nil"/>
                  </w:tcBorders>
                  <w:vAlign w:val="center"/>
                </w:tcPr>
                <w:p w14:paraId="166EDCA2">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固废</w:t>
                  </w:r>
                </w:p>
              </w:tc>
              <w:tc>
                <w:tcPr>
                  <w:tcW w:w="1884" w:type="pct"/>
                  <w:tcBorders>
                    <w:tl2br w:val="nil"/>
                    <w:tr2bl w:val="nil"/>
                  </w:tcBorders>
                  <w:vAlign w:val="center"/>
                </w:tcPr>
                <w:p w14:paraId="08BCD9B1">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园区内产生的生活垃圾，可由园区内环卫部门负责收集处理，对生活垃圾做到分类收集处理，尽量实现生活垃圾无害化和资源化处理，定期送往垃圾卫生填埋场进行卫生填埋，避免二次污染。</w:t>
                  </w:r>
                </w:p>
              </w:tc>
              <w:tc>
                <w:tcPr>
                  <w:tcW w:w="2087" w:type="pct"/>
                  <w:tcBorders>
                    <w:tl2br w:val="nil"/>
                    <w:tr2bl w:val="nil"/>
                  </w:tcBorders>
                  <w:vAlign w:val="center"/>
                </w:tcPr>
                <w:p w14:paraId="0BAF82F4">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本</w:t>
                  </w:r>
                  <w:r>
                    <w:rPr>
                      <w:rFonts w:hint="eastAsia" w:eastAsia="宋体" w:cs="Times New Roman"/>
                      <w:color w:val="auto"/>
                      <w:kern w:val="2"/>
                      <w:szCs w:val="21"/>
                      <w:lang w:eastAsia="zh-CN"/>
                    </w:rPr>
                    <w:t>扩建</w:t>
                  </w:r>
                  <w:r>
                    <w:rPr>
                      <w:rFonts w:eastAsia="宋体" w:cs="Times New Roman"/>
                      <w:color w:val="auto"/>
                      <w:kern w:val="2"/>
                      <w:szCs w:val="21"/>
                      <w:lang w:eastAsia="zh-CN"/>
                    </w:rPr>
                    <w:t>项目生活垃圾分类收集后由园区环卫部门定期清运。</w:t>
                  </w:r>
                </w:p>
              </w:tc>
              <w:tc>
                <w:tcPr>
                  <w:tcW w:w="541" w:type="pct"/>
                  <w:tcBorders>
                    <w:tl2br w:val="nil"/>
                    <w:tr2bl w:val="nil"/>
                  </w:tcBorders>
                  <w:vAlign w:val="center"/>
                </w:tcPr>
                <w:p w14:paraId="0BF738EC">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符合</w:t>
                  </w:r>
                </w:p>
              </w:tc>
            </w:tr>
            <w:tr w14:paraId="52A27D2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vMerge w:val="continue"/>
                  <w:tcBorders>
                    <w:tl2br w:val="nil"/>
                    <w:tr2bl w:val="nil"/>
                  </w:tcBorders>
                  <w:vAlign w:val="center"/>
                </w:tcPr>
                <w:p w14:paraId="25188563">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p>
              </w:tc>
              <w:tc>
                <w:tcPr>
                  <w:tcW w:w="1884" w:type="pct"/>
                  <w:tcBorders>
                    <w:tl2br w:val="nil"/>
                    <w:tr2bl w:val="nil"/>
                  </w:tcBorders>
                  <w:vAlign w:val="center"/>
                </w:tcPr>
                <w:p w14:paraId="70449CE3">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园区内各工业企业生产过程中产生的一般工业固废应分类堆存，对于生产边角料等废物应尽可能在园区内回收利用，不能回收利用的应定期送往垃圾卫生填埋场进行卫生填埋。</w:t>
                  </w:r>
                </w:p>
              </w:tc>
              <w:tc>
                <w:tcPr>
                  <w:tcW w:w="2087" w:type="pct"/>
                  <w:tcBorders>
                    <w:tl2br w:val="nil"/>
                    <w:tr2bl w:val="nil"/>
                  </w:tcBorders>
                  <w:vAlign w:val="center"/>
                </w:tcPr>
                <w:p w14:paraId="412132DF">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本</w:t>
                  </w:r>
                  <w:r>
                    <w:rPr>
                      <w:rFonts w:hint="eastAsia" w:eastAsia="宋体" w:cs="Times New Roman"/>
                      <w:color w:val="auto"/>
                      <w:kern w:val="2"/>
                      <w:szCs w:val="21"/>
                      <w:lang w:eastAsia="zh-CN"/>
                    </w:rPr>
                    <w:t>扩</w:t>
                  </w:r>
                  <w:r>
                    <w:rPr>
                      <w:rFonts w:eastAsia="宋体" w:cs="Times New Roman"/>
                      <w:color w:val="auto"/>
                      <w:kern w:val="2"/>
                      <w:szCs w:val="21"/>
                      <w:lang w:eastAsia="zh-CN"/>
                    </w:rPr>
                    <w:t>建项目生产过程中产生的</w:t>
                  </w:r>
                  <w:r>
                    <w:rPr>
                      <w:rFonts w:eastAsia="宋体" w:cs="Times New Roman"/>
                      <w:snapToGrid w:val="0"/>
                      <w:color w:val="auto"/>
                      <w:szCs w:val="21"/>
                      <w:lang w:eastAsia="zh-CN"/>
                    </w:rPr>
                    <w:t>废边角料、焊接废料、废包材收集后外售利用；废活性炭、废油墨桶、</w:t>
                  </w:r>
                  <w:r>
                    <w:rPr>
                      <w:rFonts w:hint="eastAsia" w:eastAsia="宋体" w:cs="Times New Roman"/>
                      <w:snapToGrid w:val="0"/>
                      <w:color w:val="auto"/>
                      <w:szCs w:val="21"/>
                      <w:lang w:eastAsia="zh-CN"/>
                    </w:rPr>
                    <w:t>废含油劳保用品</w:t>
                  </w:r>
                  <w:r>
                    <w:rPr>
                      <w:rFonts w:eastAsia="宋体" w:cs="Times New Roman"/>
                      <w:snapToGrid w:val="0"/>
                      <w:color w:val="auto"/>
                      <w:szCs w:val="21"/>
                      <w:lang w:eastAsia="zh-CN"/>
                    </w:rPr>
                    <w:t>、废润滑油分类收集</w:t>
                  </w:r>
                  <w:r>
                    <w:rPr>
                      <w:rFonts w:eastAsia="宋体" w:cs="Times New Roman"/>
                      <w:color w:val="auto"/>
                      <w:szCs w:val="21"/>
                      <w:lang w:val="zh-CN" w:eastAsia="zh-CN"/>
                    </w:rPr>
                    <w:t>暂存</w:t>
                  </w:r>
                  <w:r>
                    <w:rPr>
                      <w:rFonts w:eastAsia="宋体" w:cs="Times New Roman"/>
                      <w:snapToGrid w:val="0"/>
                      <w:color w:val="auto"/>
                      <w:szCs w:val="21"/>
                      <w:lang w:eastAsia="zh-CN"/>
                    </w:rPr>
                    <w:t>于危废暂存间，定期交有资质单位处置。</w:t>
                  </w:r>
                </w:p>
              </w:tc>
              <w:tc>
                <w:tcPr>
                  <w:tcW w:w="541" w:type="pct"/>
                  <w:tcBorders>
                    <w:tl2br w:val="nil"/>
                    <w:tr2bl w:val="nil"/>
                  </w:tcBorders>
                  <w:vAlign w:val="center"/>
                </w:tcPr>
                <w:p w14:paraId="4CA2F753">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符合</w:t>
                  </w:r>
                </w:p>
              </w:tc>
            </w:tr>
            <w:tr w14:paraId="3F874793">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87" w:type="pct"/>
                  <w:vMerge w:val="continue"/>
                  <w:tcBorders>
                    <w:tl2br w:val="nil"/>
                    <w:tr2bl w:val="nil"/>
                  </w:tcBorders>
                  <w:vAlign w:val="center"/>
                </w:tcPr>
                <w:p w14:paraId="542C42A9">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p>
              </w:tc>
              <w:tc>
                <w:tcPr>
                  <w:tcW w:w="1884" w:type="pct"/>
                  <w:tcBorders>
                    <w:tl2br w:val="nil"/>
                    <w:tr2bl w:val="nil"/>
                  </w:tcBorders>
                  <w:vAlign w:val="center"/>
                </w:tcPr>
                <w:p w14:paraId="11078231">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暂时无法利用、处置的危险废物，应送到有资质的危险废物处置单位进行妥善处置，区内不另设处置中心。</w:t>
                  </w:r>
                </w:p>
              </w:tc>
              <w:tc>
                <w:tcPr>
                  <w:tcW w:w="2087" w:type="pct"/>
                  <w:tcBorders>
                    <w:tl2br w:val="nil"/>
                    <w:tr2bl w:val="nil"/>
                  </w:tcBorders>
                  <w:vAlign w:val="center"/>
                </w:tcPr>
                <w:p w14:paraId="69D59EF0">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eastAsia="宋体" w:cs="Times New Roman"/>
                      <w:color w:val="auto"/>
                      <w:kern w:val="2"/>
                      <w:szCs w:val="21"/>
                      <w:lang w:eastAsia="zh-CN"/>
                    </w:rPr>
                  </w:pPr>
                  <w:r>
                    <w:rPr>
                      <w:rFonts w:eastAsia="宋体" w:cs="Times New Roman"/>
                      <w:color w:val="auto"/>
                      <w:kern w:val="2"/>
                      <w:szCs w:val="21"/>
                      <w:lang w:eastAsia="zh-CN"/>
                    </w:rPr>
                    <w:t>本</w:t>
                  </w:r>
                  <w:r>
                    <w:rPr>
                      <w:rFonts w:hint="eastAsia" w:eastAsia="宋体" w:cs="Times New Roman"/>
                      <w:color w:val="auto"/>
                      <w:kern w:val="2"/>
                      <w:szCs w:val="21"/>
                      <w:lang w:eastAsia="zh-CN"/>
                    </w:rPr>
                    <w:t>扩</w:t>
                  </w:r>
                  <w:r>
                    <w:rPr>
                      <w:rFonts w:hint="eastAsia"/>
                      <w:color w:val="auto"/>
                      <w:lang w:val="en-US" w:eastAsia="zh-CN"/>
                    </w:rPr>
                    <w:t>建</w:t>
                  </w:r>
                  <w:r>
                    <w:rPr>
                      <w:rFonts w:eastAsia="宋体" w:cs="Times New Roman"/>
                      <w:color w:val="auto"/>
                      <w:kern w:val="2"/>
                      <w:szCs w:val="21"/>
                      <w:lang w:eastAsia="zh-CN"/>
                    </w:rPr>
                    <w:t>项目危险废物暂存于危废暂存间，定期交有资质单位处置。</w:t>
                  </w:r>
                </w:p>
              </w:tc>
              <w:tc>
                <w:tcPr>
                  <w:tcW w:w="541" w:type="pct"/>
                  <w:tcBorders>
                    <w:tl2br w:val="nil"/>
                    <w:tr2bl w:val="nil"/>
                  </w:tcBorders>
                  <w:vAlign w:val="center"/>
                </w:tcPr>
                <w:p w14:paraId="37088B19">
                  <w:pPr>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s="Times New Roman"/>
                      <w:color w:val="auto"/>
                      <w:kern w:val="2"/>
                      <w:szCs w:val="21"/>
                      <w:lang w:eastAsia="zh-CN"/>
                    </w:rPr>
                  </w:pPr>
                  <w:r>
                    <w:rPr>
                      <w:rFonts w:eastAsia="宋体" w:cs="Times New Roman"/>
                      <w:color w:val="auto"/>
                      <w:kern w:val="2"/>
                      <w:szCs w:val="21"/>
                      <w:lang w:eastAsia="zh-CN"/>
                    </w:rPr>
                    <w:t>符合</w:t>
                  </w:r>
                </w:p>
              </w:tc>
            </w:tr>
          </w:tbl>
          <w:p w14:paraId="1921A5CE">
            <w:pPr>
              <w:pStyle w:val="7"/>
              <w:jc w:val="both"/>
              <w:rPr>
                <w:color w:val="auto"/>
                <w:szCs w:val="28"/>
                <w:lang w:eastAsia="zh-CN"/>
              </w:rPr>
            </w:pPr>
            <w:r>
              <w:rPr>
                <w:rFonts w:hint="eastAsia"/>
                <w:color w:val="auto"/>
                <w:sz w:val="24"/>
                <w:szCs w:val="24"/>
                <w:lang w:eastAsia="zh-CN"/>
              </w:rPr>
              <w:t>综上，本扩建项目符合</w:t>
            </w:r>
            <w:r>
              <w:rPr>
                <w:color w:val="auto"/>
                <w:sz w:val="24"/>
                <w:szCs w:val="24"/>
                <w:lang w:eastAsia="zh-CN"/>
              </w:rPr>
              <w:t>《陕西蓝田西北家具工业园区总体规划（2013-2020）》《陕西蓝田西北家具工业园区总体规划</w:t>
            </w:r>
            <w:r>
              <w:rPr>
                <w:rFonts w:hint="eastAsia"/>
                <w:color w:val="auto"/>
                <w:sz w:val="24"/>
                <w:szCs w:val="24"/>
                <w:lang w:eastAsia="zh-CN"/>
              </w:rPr>
              <w:t>环境影响报告书</w:t>
            </w:r>
            <w:r>
              <w:rPr>
                <w:color w:val="auto"/>
                <w:sz w:val="24"/>
                <w:szCs w:val="24"/>
                <w:lang w:eastAsia="zh-CN"/>
              </w:rPr>
              <w:t>》</w:t>
            </w:r>
            <w:r>
              <w:rPr>
                <w:rFonts w:hint="eastAsia"/>
                <w:color w:val="auto"/>
                <w:sz w:val="24"/>
                <w:szCs w:val="24"/>
                <w:lang w:eastAsia="zh-CN"/>
              </w:rPr>
              <w:t>及审查意见的函</w:t>
            </w:r>
            <w:r>
              <w:rPr>
                <w:color w:val="auto"/>
                <w:sz w:val="24"/>
                <w:szCs w:val="24"/>
                <w:lang w:eastAsia="zh-CN"/>
              </w:rPr>
              <w:t>（市环评函〔20</w:t>
            </w:r>
            <w:r>
              <w:rPr>
                <w:rFonts w:hint="eastAsia"/>
                <w:color w:val="auto"/>
                <w:sz w:val="24"/>
                <w:szCs w:val="24"/>
                <w:lang w:eastAsia="zh-CN"/>
              </w:rPr>
              <w:t>15</w:t>
            </w:r>
            <w:r>
              <w:rPr>
                <w:color w:val="auto"/>
                <w:sz w:val="24"/>
                <w:szCs w:val="24"/>
                <w:lang w:eastAsia="zh-CN"/>
              </w:rPr>
              <w:t>〕53号）</w:t>
            </w:r>
            <w:r>
              <w:rPr>
                <w:rFonts w:hint="eastAsia"/>
                <w:color w:val="auto"/>
                <w:sz w:val="24"/>
                <w:szCs w:val="24"/>
                <w:lang w:eastAsia="zh-CN"/>
              </w:rPr>
              <w:t>的要求。</w:t>
            </w:r>
          </w:p>
        </w:tc>
      </w:tr>
      <w:tr w14:paraId="53A1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234" w:type="pct"/>
            <w:vAlign w:val="center"/>
          </w:tcPr>
          <w:p w14:paraId="196C853D">
            <w:pPr>
              <w:pStyle w:val="38"/>
              <w:spacing w:line="440" w:lineRule="exact"/>
              <w:ind w:left="0" w:leftChars="0" w:right="0" w:rightChars="0" w:firstLine="0" w:firstLineChars="0"/>
              <w:jc w:val="center"/>
              <w:rPr>
                <w:rFonts w:eastAsia="宋体" w:cs="Times New Roman"/>
                <w:b/>
                <w:bCs/>
                <w:color w:val="auto"/>
                <w:sz w:val="24"/>
                <w:szCs w:val="24"/>
                <w:lang w:eastAsia="zh-CN"/>
              </w:rPr>
            </w:pPr>
            <w:r>
              <w:rPr>
                <w:rFonts w:hint="eastAsia" w:eastAsia="宋体" w:cs="Times New Roman"/>
                <w:b/>
                <w:bCs/>
                <w:color w:val="auto"/>
                <w:sz w:val="24"/>
                <w:szCs w:val="24"/>
                <w:lang w:eastAsia="zh-CN"/>
              </w:rPr>
              <w:t>其他符合性分析</w:t>
            </w:r>
          </w:p>
        </w:tc>
        <w:tc>
          <w:tcPr>
            <w:tcW w:w="4765" w:type="pct"/>
            <w:vAlign w:val="center"/>
          </w:tcPr>
          <w:p w14:paraId="5DD81605">
            <w:pPr>
              <w:autoSpaceDE w:val="0"/>
              <w:autoSpaceDN w:val="0"/>
              <w:adjustRightInd w:val="0"/>
              <w:snapToGrid w:val="0"/>
              <w:ind w:left="0" w:leftChars="0" w:right="0" w:rightChars="0" w:firstLine="482"/>
              <w:jc w:val="left"/>
              <w:rPr>
                <w:rFonts w:cs="Times New Roman"/>
                <w:b/>
                <w:bCs/>
                <w:color w:val="auto"/>
                <w:sz w:val="24"/>
                <w:szCs w:val="24"/>
                <w:lang w:eastAsia="zh-CN"/>
              </w:rPr>
            </w:pPr>
            <w:r>
              <w:rPr>
                <w:rFonts w:cs="Times New Roman"/>
                <w:b/>
                <w:bCs/>
                <w:color w:val="auto"/>
                <w:sz w:val="24"/>
                <w:szCs w:val="24"/>
                <w:lang w:eastAsia="zh-CN"/>
              </w:rPr>
              <w:t>1、产业政策符合性分析</w:t>
            </w:r>
          </w:p>
          <w:p w14:paraId="026838E2">
            <w:pPr>
              <w:autoSpaceDE w:val="0"/>
              <w:autoSpaceDN w:val="0"/>
              <w:adjustRightInd w:val="0"/>
              <w:snapToGrid w:val="0"/>
              <w:ind w:left="0" w:leftChars="0" w:right="0" w:rightChars="0" w:firstLine="480"/>
              <w:jc w:val="left"/>
              <w:rPr>
                <w:rFonts w:eastAsia="宋体" w:cs="Times New Roman"/>
                <w:color w:val="auto"/>
                <w:sz w:val="24"/>
                <w:szCs w:val="24"/>
                <w:lang w:eastAsia="zh-CN"/>
              </w:rPr>
            </w:pPr>
            <w:r>
              <w:rPr>
                <w:rFonts w:cs="Times New Roman"/>
                <w:color w:val="auto"/>
                <w:sz w:val="24"/>
                <w:szCs w:val="24"/>
                <w:lang w:eastAsia="zh-CN"/>
              </w:rPr>
              <w:t>本</w:t>
            </w:r>
            <w:r>
              <w:rPr>
                <w:rFonts w:hint="eastAsia" w:cs="Times New Roman"/>
                <w:color w:val="auto"/>
                <w:sz w:val="24"/>
                <w:szCs w:val="24"/>
                <w:lang w:eastAsia="zh-CN"/>
              </w:rPr>
              <w:t>扩建</w:t>
            </w:r>
            <w:r>
              <w:rPr>
                <w:rFonts w:cs="Times New Roman"/>
                <w:color w:val="auto"/>
                <w:sz w:val="24"/>
                <w:szCs w:val="24"/>
                <w:lang w:eastAsia="zh-CN"/>
              </w:rPr>
              <w:t>项目不属于《产业结构调整指导目录（</w:t>
            </w:r>
            <w:r>
              <w:rPr>
                <w:rFonts w:hint="eastAsia" w:cs="Times New Roman"/>
                <w:color w:val="auto"/>
                <w:sz w:val="24"/>
                <w:szCs w:val="24"/>
                <w:lang w:eastAsia="zh-CN"/>
              </w:rPr>
              <w:t>2024</w:t>
            </w:r>
            <w:r>
              <w:rPr>
                <w:rFonts w:cs="Times New Roman"/>
                <w:color w:val="auto"/>
                <w:sz w:val="24"/>
                <w:szCs w:val="24"/>
                <w:lang w:eastAsia="zh-CN"/>
              </w:rPr>
              <w:t>年本）》中鼓励类、限制类和淘汰类，视为允许类，符合国家产业政策</w:t>
            </w:r>
            <w:r>
              <w:rPr>
                <w:rFonts w:hint="eastAsia" w:cs="Times New Roman"/>
                <w:color w:val="auto"/>
                <w:sz w:val="24"/>
                <w:szCs w:val="24"/>
                <w:lang w:eastAsia="zh-CN"/>
              </w:rPr>
              <w:t>；</w:t>
            </w:r>
            <w:r>
              <w:rPr>
                <w:rFonts w:cs="Times New Roman"/>
                <w:color w:val="auto"/>
                <w:sz w:val="24"/>
                <w:szCs w:val="24"/>
                <w:lang w:eastAsia="zh-CN"/>
              </w:rPr>
              <w:t>亦不属于《陕西省限制投资类产业指导目录》（陕发改产业〔2007〕97号）中限制投资产业，</w:t>
            </w:r>
            <w:r>
              <w:rPr>
                <w:rFonts w:hint="eastAsia" w:cs="Times New Roman"/>
                <w:color w:val="auto"/>
                <w:sz w:val="24"/>
                <w:szCs w:val="24"/>
                <w:lang w:eastAsia="zh-CN"/>
              </w:rPr>
              <w:t>视为</w:t>
            </w:r>
            <w:r>
              <w:rPr>
                <w:rFonts w:cs="Times New Roman"/>
                <w:color w:val="auto"/>
                <w:sz w:val="24"/>
                <w:szCs w:val="24"/>
                <w:lang w:eastAsia="zh-CN"/>
              </w:rPr>
              <w:t>允许类；本项目不在《市场准入负面清单（202</w:t>
            </w:r>
            <w:r>
              <w:rPr>
                <w:rFonts w:hint="eastAsia" w:cs="Times New Roman"/>
                <w:color w:val="auto"/>
                <w:sz w:val="24"/>
                <w:szCs w:val="24"/>
                <w:lang w:eastAsia="zh-CN"/>
              </w:rPr>
              <w:t>2</w:t>
            </w:r>
            <w:r>
              <w:rPr>
                <w:rFonts w:cs="Times New Roman"/>
                <w:color w:val="auto"/>
                <w:sz w:val="24"/>
                <w:szCs w:val="24"/>
                <w:lang w:eastAsia="zh-CN"/>
              </w:rPr>
              <w:t>年版）》，满足市场准入要求。</w:t>
            </w:r>
          </w:p>
          <w:p w14:paraId="4A54F932">
            <w:pPr>
              <w:autoSpaceDE w:val="0"/>
              <w:autoSpaceDN w:val="0"/>
              <w:adjustRightInd w:val="0"/>
              <w:snapToGrid w:val="0"/>
              <w:ind w:left="0" w:leftChars="0" w:right="0" w:rightChars="0" w:firstLine="482"/>
              <w:jc w:val="left"/>
              <w:rPr>
                <w:rFonts w:cs="Times New Roman"/>
                <w:b/>
                <w:bCs/>
                <w:color w:val="auto"/>
                <w:sz w:val="24"/>
                <w:szCs w:val="24"/>
                <w:lang w:eastAsia="zh-CN"/>
              </w:rPr>
            </w:pPr>
            <w:r>
              <w:rPr>
                <w:rFonts w:cs="Times New Roman"/>
                <w:b/>
                <w:bCs/>
                <w:color w:val="auto"/>
                <w:sz w:val="24"/>
                <w:szCs w:val="24"/>
                <w:lang w:eastAsia="zh-CN"/>
              </w:rPr>
              <w:t>2、</w:t>
            </w:r>
            <w:r>
              <w:rPr>
                <w:rFonts w:hint="eastAsia" w:cs="Times New Roman"/>
                <w:b/>
                <w:bCs/>
                <w:color w:val="auto"/>
                <w:sz w:val="24"/>
                <w:szCs w:val="24"/>
                <w:lang w:eastAsia="zh-CN"/>
              </w:rPr>
              <w:t>与“</w:t>
            </w:r>
            <w:r>
              <w:rPr>
                <w:rFonts w:cs="Times New Roman"/>
                <w:b/>
                <w:bCs/>
                <w:color w:val="auto"/>
                <w:sz w:val="24"/>
                <w:szCs w:val="24"/>
                <w:lang w:eastAsia="zh-CN"/>
              </w:rPr>
              <w:t>三线一单</w:t>
            </w:r>
            <w:r>
              <w:rPr>
                <w:rFonts w:hint="eastAsia" w:cs="Times New Roman"/>
                <w:b/>
                <w:bCs/>
                <w:color w:val="auto"/>
                <w:sz w:val="24"/>
                <w:szCs w:val="24"/>
                <w:lang w:eastAsia="zh-CN"/>
              </w:rPr>
              <w:t>”</w:t>
            </w:r>
            <w:r>
              <w:rPr>
                <w:rFonts w:cs="Times New Roman"/>
                <w:b/>
                <w:bCs/>
                <w:color w:val="auto"/>
                <w:sz w:val="24"/>
                <w:szCs w:val="24"/>
                <w:lang w:eastAsia="zh-CN"/>
              </w:rPr>
              <w:t>符合性</w:t>
            </w:r>
            <w:r>
              <w:rPr>
                <w:rFonts w:hint="eastAsia" w:cs="Times New Roman"/>
                <w:b/>
                <w:bCs/>
                <w:color w:val="auto"/>
                <w:sz w:val="24"/>
                <w:szCs w:val="24"/>
                <w:lang w:eastAsia="zh-CN"/>
              </w:rPr>
              <w:t>分析</w:t>
            </w:r>
          </w:p>
          <w:p w14:paraId="7008BC26">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表1-2   本项目“三线一单”符合性分析</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3571"/>
              <w:gridCol w:w="3263"/>
              <w:gridCol w:w="907"/>
            </w:tblGrid>
            <w:tr w14:paraId="539B4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vAlign w:val="center"/>
                </w:tcPr>
                <w:p w14:paraId="7D3DB2EA">
                  <w:pPr>
                    <w:autoSpaceDE w:val="0"/>
                    <w:autoSpaceDN w:val="0"/>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名称</w:t>
                  </w:r>
                </w:p>
              </w:tc>
              <w:tc>
                <w:tcPr>
                  <w:tcW w:w="2098" w:type="pct"/>
                  <w:tcBorders>
                    <w:tl2br w:val="nil"/>
                    <w:tr2bl w:val="nil"/>
                  </w:tcBorders>
                  <w:vAlign w:val="center"/>
                </w:tcPr>
                <w:p w14:paraId="61016FB5">
                  <w:pPr>
                    <w:autoSpaceDE w:val="0"/>
                    <w:autoSpaceDN w:val="0"/>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相关规定</w:t>
                  </w:r>
                </w:p>
              </w:tc>
              <w:tc>
                <w:tcPr>
                  <w:tcW w:w="1917" w:type="pct"/>
                  <w:tcBorders>
                    <w:tl2br w:val="nil"/>
                    <w:tr2bl w:val="nil"/>
                  </w:tcBorders>
                  <w:vAlign w:val="center"/>
                </w:tcPr>
                <w:p w14:paraId="2DB80A6C">
                  <w:pPr>
                    <w:autoSpaceDE w:val="0"/>
                    <w:autoSpaceDN w:val="0"/>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相关规定</w:t>
                  </w:r>
                </w:p>
              </w:tc>
              <w:tc>
                <w:tcPr>
                  <w:tcW w:w="533" w:type="pct"/>
                  <w:tcBorders>
                    <w:tl2br w:val="nil"/>
                    <w:tr2bl w:val="nil"/>
                  </w:tcBorders>
                  <w:vAlign w:val="center"/>
                </w:tcPr>
                <w:p w14:paraId="77376DDD">
                  <w:pPr>
                    <w:autoSpaceDE w:val="0"/>
                    <w:autoSpaceDN w:val="0"/>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相符性</w:t>
                  </w:r>
                </w:p>
              </w:tc>
            </w:tr>
            <w:tr w14:paraId="402C4E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vAlign w:val="center"/>
                </w:tcPr>
                <w:p w14:paraId="419ED392">
                  <w:pPr>
                    <w:autoSpaceDE w:val="0"/>
                    <w:autoSpaceDN w:val="0"/>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生态保护红线</w:t>
                  </w:r>
                </w:p>
              </w:tc>
              <w:tc>
                <w:tcPr>
                  <w:tcW w:w="2098" w:type="pct"/>
                  <w:tcBorders>
                    <w:tl2br w:val="nil"/>
                    <w:tr2bl w:val="nil"/>
                  </w:tcBorders>
                  <w:vAlign w:val="center"/>
                </w:tcPr>
                <w:p w14:paraId="3BBCEE0A">
                  <w:pPr>
                    <w:autoSpaceDE w:val="0"/>
                    <w:autoSpaceDN w:val="0"/>
                    <w:adjustRightInd w:val="0"/>
                    <w:snapToGrid w:val="0"/>
                    <w:spacing w:line="240" w:lineRule="auto"/>
                    <w:ind w:left="0" w:leftChars="0" w:firstLine="0" w:firstLineChars="0"/>
                    <w:jc w:val="both"/>
                    <w:rPr>
                      <w:rFonts w:eastAsia="宋体" w:cs="Times New Roman"/>
                      <w:color w:val="auto"/>
                      <w:szCs w:val="21"/>
                      <w:lang w:eastAsia="zh-CN"/>
                    </w:rPr>
                  </w:pPr>
                  <w:r>
                    <w:rPr>
                      <w:rFonts w:eastAsia="宋体" w:cs="Times New Roman"/>
                      <w:color w:val="auto"/>
                      <w:szCs w:val="21"/>
                      <w:lang w:eastAsia="zh-CN"/>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1917" w:type="pct"/>
                  <w:tcBorders>
                    <w:tl2br w:val="nil"/>
                    <w:tr2bl w:val="nil"/>
                  </w:tcBorders>
                  <w:vAlign w:val="center"/>
                </w:tcPr>
                <w:p w14:paraId="421D3DCC">
                  <w:pPr>
                    <w:autoSpaceDE w:val="0"/>
                    <w:autoSpaceDN w:val="0"/>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hint="eastAsia" w:eastAsia="宋体" w:cs="Times New Roman"/>
                      <w:color w:val="auto"/>
                      <w:szCs w:val="21"/>
                      <w:lang w:eastAsia="zh-CN"/>
                    </w:rPr>
                    <w:t>本项目位于蓝田县西北家具工业园内，根据陕西省“三线一单”生态环境管控单元对照分析可知，项目位于重点管控单元，不涉及生态保护红线。</w:t>
                  </w:r>
                </w:p>
              </w:tc>
              <w:tc>
                <w:tcPr>
                  <w:tcW w:w="533" w:type="pct"/>
                  <w:tcBorders>
                    <w:tl2br w:val="nil"/>
                    <w:tr2bl w:val="nil"/>
                  </w:tcBorders>
                  <w:vAlign w:val="center"/>
                </w:tcPr>
                <w:p w14:paraId="33B57F77">
                  <w:pPr>
                    <w:autoSpaceDE w:val="0"/>
                    <w:autoSpaceDN w:val="0"/>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符合</w:t>
                  </w:r>
                </w:p>
              </w:tc>
            </w:tr>
            <w:tr w14:paraId="22C156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vAlign w:val="center"/>
                </w:tcPr>
                <w:p w14:paraId="2193F12E">
                  <w:pPr>
                    <w:autoSpaceDE w:val="0"/>
                    <w:autoSpaceDN w:val="0"/>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color w:val="auto"/>
                      <w:szCs w:val="21"/>
                      <w:lang w:eastAsia="zh-CN"/>
                    </w:rPr>
                    <w:t>环境质量底线</w:t>
                  </w:r>
                </w:p>
              </w:tc>
              <w:tc>
                <w:tcPr>
                  <w:tcW w:w="2098" w:type="pct"/>
                  <w:tcBorders>
                    <w:tl2br w:val="nil"/>
                    <w:tr2bl w:val="nil"/>
                  </w:tcBorders>
                  <w:vAlign w:val="center"/>
                </w:tcPr>
                <w:p w14:paraId="4E76B50B">
                  <w:pPr>
                    <w:autoSpaceDE w:val="0"/>
                    <w:autoSpaceDN w:val="0"/>
                    <w:adjustRightInd w:val="0"/>
                    <w:snapToGrid w:val="0"/>
                    <w:spacing w:line="240" w:lineRule="auto"/>
                    <w:ind w:left="0" w:leftChars="0" w:firstLine="0" w:firstLineChars="0"/>
                    <w:jc w:val="both"/>
                    <w:rPr>
                      <w:rFonts w:ascii="宋体" w:hAnsi="宋体" w:eastAsia="宋体" w:cs="宋体"/>
                      <w:snapToGrid w:val="0"/>
                      <w:color w:val="auto"/>
                      <w:kern w:val="2"/>
                      <w:szCs w:val="21"/>
                      <w:lang w:eastAsia="zh-CN"/>
                    </w:rPr>
                  </w:pPr>
                  <w:r>
                    <w:rPr>
                      <w:rFonts w:eastAsia="宋体" w:cs="Times New Roman"/>
                      <w:color w:val="auto"/>
                      <w:szCs w:val="21"/>
                      <w:lang w:eastAsia="zh-CN"/>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1917" w:type="pct"/>
                  <w:tcBorders>
                    <w:tl2br w:val="nil"/>
                    <w:tr2bl w:val="nil"/>
                  </w:tcBorders>
                  <w:vAlign w:val="center"/>
                </w:tcPr>
                <w:p w14:paraId="619A147B">
                  <w:pPr>
                    <w:widowControl/>
                    <w:spacing w:line="240" w:lineRule="auto"/>
                    <w:ind w:left="0" w:leftChars="0" w:right="0" w:rightChars="0" w:firstLine="0" w:firstLineChars="0"/>
                    <w:jc w:val="both"/>
                    <w:rPr>
                      <w:rFonts w:eastAsia="宋体" w:cs="Times New Roman"/>
                      <w:color w:val="auto"/>
                      <w:szCs w:val="21"/>
                      <w:lang w:eastAsia="zh-CN"/>
                    </w:rPr>
                  </w:pPr>
                  <w:r>
                    <w:rPr>
                      <w:rFonts w:hint="eastAsia" w:ascii="宋体" w:hAnsi="宋体" w:eastAsia="宋体" w:cs="宋体"/>
                      <w:snapToGrid w:val="0"/>
                      <w:color w:val="auto"/>
                      <w:kern w:val="2"/>
                      <w:szCs w:val="21"/>
                      <w:lang w:eastAsia="zh-CN"/>
                    </w:rPr>
                    <w:t>根据</w:t>
                  </w:r>
                  <w:r>
                    <w:rPr>
                      <w:rFonts w:hint="eastAsia" w:ascii="宋体" w:hAnsi="宋体" w:eastAsia="宋体" w:cs="宋体"/>
                      <w:snapToGrid w:val="0"/>
                      <w:color w:val="auto"/>
                      <w:kern w:val="2"/>
                      <w:szCs w:val="21"/>
                      <w:lang w:val="zh-CN" w:eastAsia="zh-CN"/>
                    </w:rPr>
                    <w:t>环境质量现状调查和</w:t>
                  </w:r>
                  <w:r>
                    <w:rPr>
                      <w:rFonts w:hint="eastAsia" w:ascii="宋体" w:hAnsi="宋体" w:eastAsia="宋体" w:cs="宋体"/>
                      <w:snapToGrid w:val="0"/>
                      <w:color w:val="auto"/>
                      <w:kern w:val="2"/>
                      <w:szCs w:val="21"/>
                      <w:lang w:eastAsia="zh-CN"/>
                    </w:rPr>
                    <w:t>引用的</w:t>
                  </w:r>
                  <w:r>
                    <w:rPr>
                      <w:rFonts w:hint="eastAsia" w:ascii="宋体" w:hAnsi="宋体" w:eastAsia="宋体" w:cs="宋体"/>
                      <w:snapToGrid w:val="0"/>
                      <w:color w:val="auto"/>
                      <w:kern w:val="2"/>
                      <w:szCs w:val="21"/>
                      <w:lang w:val="zh-CN" w:eastAsia="zh-CN"/>
                    </w:rPr>
                    <w:t>监测结果</w:t>
                  </w:r>
                  <w:r>
                    <w:rPr>
                      <w:rFonts w:hint="eastAsia" w:ascii="宋体" w:hAnsi="宋体" w:eastAsia="宋体" w:cs="宋体"/>
                      <w:snapToGrid w:val="0"/>
                      <w:color w:val="auto"/>
                      <w:kern w:val="2"/>
                      <w:szCs w:val="21"/>
                      <w:lang w:eastAsia="zh-CN"/>
                    </w:rPr>
                    <w:t>可知</w:t>
                  </w:r>
                  <w:r>
                    <w:rPr>
                      <w:rFonts w:hint="eastAsia" w:ascii="宋体" w:hAnsi="宋体" w:eastAsia="宋体" w:cs="宋体"/>
                      <w:snapToGrid w:val="0"/>
                      <w:color w:val="auto"/>
                      <w:kern w:val="2"/>
                      <w:szCs w:val="21"/>
                      <w:lang w:val="zh-CN" w:eastAsia="zh-CN"/>
                    </w:rPr>
                    <w:t>，项目区域环境空气、声环境质量良好，均能满足相应功能区划要求。项目</w:t>
                  </w:r>
                  <w:r>
                    <w:rPr>
                      <w:rFonts w:hint="eastAsia" w:ascii="宋体" w:hAnsi="宋体" w:eastAsia="宋体" w:cs="宋体"/>
                      <w:snapToGrid w:val="0"/>
                      <w:color w:val="auto"/>
                      <w:kern w:val="2"/>
                      <w:szCs w:val="21"/>
                      <w:lang w:eastAsia="zh-CN"/>
                    </w:rPr>
                    <w:t>运营期废水、</w:t>
                  </w:r>
                  <w:r>
                    <w:rPr>
                      <w:rFonts w:hint="eastAsia" w:ascii="宋体" w:hAnsi="宋体" w:eastAsia="宋体" w:cs="宋体"/>
                      <w:snapToGrid w:val="0"/>
                      <w:color w:val="auto"/>
                      <w:kern w:val="2"/>
                      <w:szCs w:val="21"/>
                      <w:lang w:val="zh-CN" w:eastAsia="zh-CN"/>
                    </w:rPr>
                    <w:t>废气、噪声</w:t>
                  </w:r>
                  <w:r>
                    <w:rPr>
                      <w:rFonts w:hint="eastAsia" w:ascii="宋体" w:hAnsi="宋体" w:eastAsia="宋体" w:cs="宋体"/>
                      <w:snapToGrid w:val="0"/>
                      <w:color w:val="auto"/>
                      <w:kern w:val="2"/>
                      <w:szCs w:val="21"/>
                      <w:lang w:eastAsia="zh-CN"/>
                    </w:rPr>
                    <w:t>在采取有效治理措施后</w:t>
                  </w:r>
                  <w:r>
                    <w:rPr>
                      <w:rFonts w:hint="eastAsia" w:ascii="宋体" w:hAnsi="宋体" w:eastAsia="宋体" w:cs="宋体"/>
                      <w:snapToGrid w:val="0"/>
                      <w:color w:val="auto"/>
                      <w:kern w:val="2"/>
                      <w:szCs w:val="21"/>
                      <w:lang w:val="zh-CN" w:eastAsia="zh-CN"/>
                    </w:rPr>
                    <w:t>不会改变区域环境质量状况，固废</w:t>
                  </w:r>
                  <w:r>
                    <w:rPr>
                      <w:rFonts w:hint="eastAsia" w:ascii="宋体" w:hAnsi="宋体" w:eastAsia="宋体" w:cs="宋体"/>
                      <w:snapToGrid w:val="0"/>
                      <w:color w:val="auto"/>
                      <w:kern w:val="2"/>
                      <w:szCs w:val="21"/>
                      <w:lang w:eastAsia="zh-CN"/>
                    </w:rPr>
                    <w:t>均可得到妥善处置，项目建设</w:t>
                  </w:r>
                  <w:r>
                    <w:rPr>
                      <w:rFonts w:hint="eastAsia" w:ascii="宋体" w:hAnsi="宋体" w:eastAsia="宋体" w:cs="宋体"/>
                      <w:snapToGrid w:val="0"/>
                      <w:color w:val="auto"/>
                      <w:kern w:val="2"/>
                      <w:szCs w:val="21"/>
                      <w:lang w:val="zh-CN" w:eastAsia="zh-CN"/>
                    </w:rPr>
                    <w:t>符合环境质量底线要求。</w:t>
                  </w:r>
                </w:p>
              </w:tc>
              <w:tc>
                <w:tcPr>
                  <w:tcW w:w="533" w:type="pct"/>
                  <w:tcBorders>
                    <w:tl2br w:val="nil"/>
                    <w:tr2bl w:val="nil"/>
                  </w:tcBorders>
                  <w:vAlign w:val="center"/>
                </w:tcPr>
                <w:p w14:paraId="6CEE17DF">
                  <w:pPr>
                    <w:autoSpaceDE w:val="0"/>
                    <w:autoSpaceDN w:val="0"/>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符合</w:t>
                  </w:r>
                </w:p>
              </w:tc>
            </w:tr>
            <w:tr w14:paraId="44FE7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vAlign w:val="center"/>
                </w:tcPr>
                <w:p w14:paraId="4DEEF391">
                  <w:pPr>
                    <w:autoSpaceDE w:val="0"/>
                    <w:autoSpaceDN w:val="0"/>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color w:val="auto"/>
                      <w:szCs w:val="21"/>
                      <w:lang w:eastAsia="zh-CN"/>
                    </w:rPr>
                    <w:t>资源利用上线</w:t>
                  </w:r>
                </w:p>
              </w:tc>
              <w:tc>
                <w:tcPr>
                  <w:tcW w:w="2098" w:type="pct"/>
                  <w:tcBorders>
                    <w:tl2br w:val="nil"/>
                    <w:tr2bl w:val="nil"/>
                  </w:tcBorders>
                  <w:vAlign w:val="center"/>
                </w:tcPr>
                <w:p w14:paraId="35273B10">
                  <w:pPr>
                    <w:autoSpaceDE w:val="0"/>
                    <w:autoSpaceDN w:val="0"/>
                    <w:adjustRightInd w:val="0"/>
                    <w:snapToGrid w:val="0"/>
                    <w:spacing w:line="240" w:lineRule="auto"/>
                    <w:ind w:left="0" w:leftChars="0" w:firstLine="0" w:firstLineChars="0"/>
                    <w:jc w:val="both"/>
                    <w:rPr>
                      <w:color w:val="auto"/>
                      <w:szCs w:val="21"/>
                      <w:lang w:eastAsia="zh-CN"/>
                    </w:rPr>
                  </w:pPr>
                  <w:r>
                    <w:rPr>
                      <w:rFonts w:eastAsia="宋体" w:cs="Times New Roman"/>
                      <w:color w:val="auto"/>
                      <w:szCs w:val="21"/>
                      <w:lang w:eastAsia="zh-CN"/>
                    </w:rPr>
                    <w:t>依据有关资源利用上线要求，即各地区能源、水、土地等资源消耗是不得突破的</w:t>
                  </w:r>
                  <w:r>
                    <w:rPr>
                      <w:rFonts w:hint="eastAsia" w:eastAsia="宋体" w:cs="Times New Roman"/>
                      <w:color w:val="auto"/>
                      <w:szCs w:val="21"/>
                      <w:lang w:eastAsia="zh-CN"/>
                    </w:rPr>
                    <w:t>“</w:t>
                  </w:r>
                  <w:r>
                    <w:rPr>
                      <w:rFonts w:eastAsia="宋体" w:cs="Times New Roman"/>
                      <w:color w:val="auto"/>
                      <w:szCs w:val="21"/>
                      <w:lang w:eastAsia="zh-CN"/>
                    </w:rPr>
                    <w:t>天花板</w:t>
                  </w:r>
                  <w:r>
                    <w:rPr>
                      <w:rFonts w:hint="eastAsia" w:eastAsia="宋体" w:cs="Times New Roman"/>
                      <w:color w:val="auto"/>
                      <w:szCs w:val="21"/>
                      <w:lang w:eastAsia="zh-CN"/>
                    </w:rPr>
                    <w:t>”</w:t>
                  </w:r>
                </w:p>
              </w:tc>
              <w:tc>
                <w:tcPr>
                  <w:tcW w:w="1917" w:type="pct"/>
                  <w:tcBorders>
                    <w:tl2br w:val="nil"/>
                    <w:tr2bl w:val="nil"/>
                  </w:tcBorders>
                  <w:vAlign w:val="center"/>
                </w:tcPr>
                <w:p w14:paraId="7867FAD3">
                  <w:pPr>
                    <w:autoSpaceDE w:val="0"/>
                    <w:autoSpaceDN w:val="0"/>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hint="eastAsia"/>
                      <w:color w:val="auto"/>
                      <w:szCs w:val="21"/>
                      <w:lang w:eastAsia="zh-CN"/>
                    </w:rPr>
                    <w:t>本项目为金属家具、金属制品制造项目，项目不涉及生产用水、生产工艺中热能使用天然气，可达到</w:t>
                  </w:r>
                  <w:r>
                    <w:rPr>
                      <w:rFonts w:hint="eastAsia" w:eastAsia="宋体"/>
                      <w:color w:val="auto"/>
                      <w:szCs w:val="21"/>
                      <w:lang w:eastAsia="zh-CN"/>
                    </w:rPr>
                    <w:t>“</w:t>
                  </w:r>
                  <w:r>
                    <w:rPr>
                      <w:rFonts w:hint="eastAsia"/>
                      <w:color w:val="auto"/>
                      <w:szCs w:val="21"/>
                      <w:lang w:eastAsia="zh-CN"/>
                    </w:rPr>
                    <w:t>节能、降耗、减污</w:t>
                  </w:r>
                  <w:r>
                    <w:rPr>
                      <w:rFonts w:hint="eastAsia" w:eastAsia="宋体"/>
                      <w:color w:val="auto"/>
                      <w:szCs w:val="21"/>
                      <w:lang w:eastAsia="zh-CN"/>
                    </w:rPr>
                    <w:t>”</w:t>
                  </w:r>
                  <w:r>
                    <w:rPr>
                      <w:rFonts w:hint="eastAsia"/>
                      <w:color w:val="auto"/>
                      <w:szCs w:val="21"/>
                      <w:lang w:eastAsia="zh-CN"/>
                    </w:rPr>
                    <w:t>的目标，有效控制污染，不触及资源利用上线。</w:t>
                  </w:r>
                </w:p>
              </w:tc>
              <w:tc>
                <w:tcPr>
                  <w:tcW w:w="533" w:type="pct"/>
                  <w:tcBorders>
                    <w:tl2br w:val="nil"/>
                    <w:tr2bl w:val="nil"/>
                  </w:tcBorders>
                  <w:vAlign w:val="center"/>
                </w:tcPr>
                <w:p w14:paraId="6FF7D340">
                  <w:pPr>
                    <w:autoSpaceDE w:val="0"/>
                    <w:autoSpaceDN w:val="0"/>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符合</w:t>
                  </w:r>
                </w:p>
              </w:tc>
            </w:tr>
            <w:tr w14:paraId="737CD8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vAlign w:val="center"/>
                </w:tcPr>
                <w:p w14:paraId="6397C98B">
                  <w:pPr>
                    <w:autoSpaceDE w:val="0"/>
                    <w:autoSpaceDN w:val="0"/>
                    <w:adjustRightInd w:val="0"/>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生态环境准入清单</w:t>
                  </w:r>
                </w:p>
              </w:tc>
              <w:tc>
                <w:tcPr>
                  <w:tcW w:w="2098" w:type="pct"/>
                  <w:tcBorders>
                    <w:tl2br w:val="nil"/>
                    <w:tr2bl w:val="nil"/>
                  </w:tcBorders>
                  <w:vAlign w:val="center"/>
                </w:tcPr>
                <w:p w14:paraId="6E1B1FA6">
                  <w:pPr>
                    <w:autoSpaceDE w:val="0"/>
                    <w:autoSpaceDN w:val="0"/>
                    <w:adjustRightInd w:val="0"/>
                    <w:snapToGrid w:val="0"/>
                    <w:spacing w:line="240" w:lineRule="auto"/>
                    <w:ind w:left="0" w:leftChars="0" w:firstLine="0" w:firstLineChars="0"/>
                    <w:jc w:val="both"/>
                    <w:rPr>
                      <w:rFonts w:eastAsia="宋体" w:cs="Times New Roman"/>
                      <w:snapToGrid w:val="0"/>
                      <w:color w:val="auto"/>
                      <w:kern w:val="2"/>
                      <w:szCs w:val="21"/>
                      <w:lang w:eastAsia="zh-CN"/>
                    </w:rPr>
                  </w:pPr>
                  <w:r>
                    <w:rPr>
                      <w:rFonts w:eastAsia="宋体" w:cs="Times New Roman"/>
                      <w:color w:val="auto"/>
                      <w:szCs w:val="21"/>
                      <w:lang w:eastAsia="zh-CN"/>
                    </w:rPr>
                    <w:t>环境准入负面清单是基于生态保护红线、环境质量底线和资源利用上线，以清单方式列出的禁止、限制等差别化环境准入条件和要求。要在规划环评清单式管理试点的基础上，从布局选址、资源利用率、资源配置方式等方面入手，制定环境准入负面清单，充分发挥负面清单对产业发展和项目准入的指导和约束作用。</w:t>
                  </w:r>
                </w:p>
              </w:tc>
              <w:tc>
                <w:tcPr>
                  <w:tcW w:w="1917" w:type="pct"/>
                  <w:tcBorders>
                    <w:tl2br w:val="nil"/>
                    <w:tr2bl w:val="nil"/>
                  </w:tcBorders>
                  <w:vAlign w:val="center"/>
                </w:tcPr>
                <w:p w14:paraId="605A683F">
                  <w:pPr>
                    <w:autoSpaceDE w:val="0"/>
                    <w:autoSpaceDN w:val="0"/>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eastAsia="宋体" w:cs="Times New Roman"/>
                      <w:snapToGrid w:val="0"/>
                      <w:color w:val="auto"/>
                      <w:kern w:val="2"/>
                      <w:szCs w:val="21"/>
                      <w:lang w:eastAsia="zh-CN"/>
                    </w:rPr>
                    <w:t>本</w:t>
                  </w:r>
                  <w:r>
                    <w:rPr>
                      <w:rFonts w:eastAsia="宋体" w:cs="Times New Roman"/>
                      <w:color w:val="auto"/>
                      <w:szCs w:val="21"/>
                      <w:lang w:eastAsia="zh-CN"/>
                    </w:rPr>
                    <w:t>项目</w:t>
                  </w:r>
                  <w:r>
                    <w:rPr>
                      <w:rFonts w:eastAsia="宋体" w:cs="Times New Roman"/>
                      <w:color w:val="auto"/>
                      <w:szCs w:val="21"/>
                      <w:lang w:eastAsia="zh-CN" w:bidi="ar"/>
                    </w:rPr>
                    <w:t>建设符合国家产业政策，选址选线、资源利用效率、资源配置等均不触及负面清单。</w:t>
                  </w:r>
                </w:p>
              </w:tc>
              <w:tc>
                <w:tcPr>
                  <w:tcW w:w="533" w:type="pct"/>
                  <w:tcBorders>
                    <w:tl2br w:val="nil"/>
                    <w:tr2bl w:val="nil"/>
                  </w:tcBorders>
                  <w:vAlign w:val="center"/>
                </w:tcPr>
                <w:p w14:paraId="72DF3335">
                  <w:pPr>
                    <w:autoSpaceDE w:val="0"/>
                    <w:autoSpaceDN w:val="0"/>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符合</w:t>
                  </w:r>
                </w:p>
              </w:tc>
            </w:tr>
          </w:tbl>
          <w:p w14:paraId="7CE9878A">
            <w:pPr>
              <w:pStyle w:val="78"/>
              <w:spacing w:line="360" w:lineRule="auto"/>
              <w:ind w:left="0" w:leftChars="0" w:right="0" w:rightChars="0" w:firstLine="544"/>
              <w:jc w:val="both"/>
              <w:rPr>
                <w:rFonts w:hAnsi="Times New Roman"/>
                <w:color w:val="auto"/>
                <w:spacing w:val="2"/>
                <w:lang w:eastAsia="zh-CN"/>
              </w:rPr>
            </w:pPr>
            <w:r>
              <w:rPr>
                <w:rFonts w:hAnsi="Times New Roman"/>
                <w:color w:val="auto"/>
                <w:spacing w:val="16"/>
                <w:lang w:eastAsia="zh-CN"/>
              </w:rPr>
              <w:t>根据</w:t>
            </w:r>
            <w:r>
              <w:rPr>
                <w:rFonts w:hAnsi="Times New Roman"/>
                <w:color w:val="auto"/>
                <w:spacing w:val="8"/>
                <w:lang w:eastAsia="zh-CN"/>
              </w:rPr>
              <w:t>《</w:t>
            </w:r>
            <w:r>
              <w:rPr>
                <w:rFonts w:hint="eastAsia" w:hAnsi="Times New Roman"/>
                <w:color w:val="auto"/>
                <w:spacing w:val="8"/>
                <w:lang w:eastAsia="zh-CN"/>
              </w:rPr>
              <w:t>陕西省</w:t>
            </w:r>
            <w:r>
              <w:rPr>
                <w:rFonts w:hint="eastAsia" w:ascii="宋体"/>
                <w:color w:val="auto"/>
                <w:spacing w:val="8"/>
                <w:lang w:eastAsia="zh-CN"/>
              </w:rPr>
              <w:t>“</w:t>
            </w:r>
            <w:r>
              <w:rPr>
                <w:rFonts w:ascii="宋体"/>
                <w:color w:val="auto"/>
                <w:spacing w:val="8"/>
                <w:lang w:eastAsia="zh-CN"/>
              </w:rPr>
              <w:t>三线一单</w:t>
            </w:r>
            <w:r>
              <w:rPr>
                <w:rFonts w:hint="eastAsia" w:ascii="宋体"/>
                <w:color w:val="auto"/>
                <w:spacing w:val="8"/>
                <w:lang w:eastAsia="zh-CN"/>
              </w:rPr>
              <w:t>”</w:t>
            </w:r>
            <w:r>
              <w:rPr>
                <w:rFonts w:ascii="宋体"/>
                <w:color w:val="auto"/>
                <w:spacing w:val="8"/>
                <w:lang w:eastAsia="zh-CN"/>
              </w:rPr>
              <w:t>生</w:t>
            </w:r>
            <w:r>
              <w:rPr>
                <w:rFonts w:hAnsi="Times New Roman"/>
                <w:color w:val="auto"/>
                <w:spacing w:val="8"/>
                <w:lang w:eastAsia="zh-CN"/>
              </w:rPr>
              <w:t>态环境分区管控</w:t>
            </w:r>
            <w:r>
              <w:rPr>
                <w:rFonts w:hint="eastAsia" w:hAnsi="Times New Roman"/>
                <w:color w:val="auto"/>
                <w:spacing w:val="8"/>
                <w:lang w:eastAsia="zh-CN"/>
              </w:rPr>
              <w:t>应用技术指南：环境影响评价（试行）</w:t>
            </w:r>
            <w:r>
              <w:rPr>
                <w:rFonts w:hAnsi="Times New Roman"/>
                <w:color w:val="auto"/>
                <w:spacing w:val="4"/>
                <w:lang w:eastAsia="zh-CN"/>
              </w:rPr>
              <w:t>》</w:t>
            </w:r>
            <w:r>
              <w:rPr>
                <w:rFonts w:hAnsi="Times New Roman"/>
                <w:color w:val="auto"/>
                <w:spacing w:val="2"/>
                <w:lang w:eastAsia="zh-CN"/>
              </w:rPr>
              <w:t>，</w:t>
            </w:r>
            <w:r>
              <w:rPr>
                <w:rFonts w:hint="eastAsia" w:hAnsi="Times New Roman"/>
                <w:color w:val="auto"/>
                <w:spacing w:val="2"/>
                <w:lang w:eastAsia="zh-CN"/>
              </w:rPr>
              <w:t>环评文件涉及“三线一单”生态环境分区管控符合性分析应采取“一图一表一说明”的表达方式，本项目与《西安市生态环境分区管控准入清单》符合性分析如下。</w:t>
            </w:r>
          </w:p>
          <w:p w14:paraId="51715D30">
            <w:pPr>
              <w:pStyle w:val="62"/>
              <w:numPr>
                <w:ilvl w:val="0"/>
                <w:numId w:val="2"/>
              </w:numPr>
              <w:ind w:left="0" w:leftChars="0" w:right="0" w:rightChars="0" w:firstLine="480"/>
              <w:jc w:val="both"/>
              <w:rPr>
                <w:rFonts w:cs="Times New Roman"/>
                <w:b w:val="0"/>
                <w:color w:val="auto"/>
                <w:szCs w:val="24"/>
                <w:lang w:eastAsia="zh-CN"/>
              </w:rPr>
            </w:pPr>
            <w:r>
              <w:rPr>
                <w:rFonts w:hint="eastAsia" w:cs="Times New Roman"/>
                <w:b w:val="0"/>
                <w:color w:val="auto"/>
                <w:szCs w:val="24"/>
                <w:lang w:eastAsia="zh-CN"/>
              </w:rPr>
              <w:t>“一图”</w:t>
            </w:r>
          </w:p>
          <w:p w14:paraId="67837454">
            <w:pPr>
              <w:pStyle w:val="62"/>
              <w:numPr>
                <w:ilvl w:val="0"/>
                <w:numId w:val="0"/>
              </w:numPr>
              <w:ind w:right="0" w:rightChars="0" w:firstLine="480" w:firstLineChars="200"/>
              <w:jc w:val="both"/>
              <w:rPr>
                <w:rFonts w:cs="Times New Roman"/>
                <w:b w:val="0"/>
                <w:color w:val="auto"/>
                <w:szCs w:val="24"/>
                <w:lang w:eastAsia="zh-CN"/>
              </w:rPr>
            </w:pPr>
            <w:r>
              <w:rPr>
                <w:rFonts w:hint="eastAsia" w:ascii="宋体" w:hAnsi="宋体" w:eastAsia="宋体" w:cs="宋体"/>
                <w:b w:val="0"/>
                <w:bCs/>
                <w:snapToGrid w:val="0"/>
                <w:color w:val="auto"/>
                <w:kern w:val="2"/>
                <w:szCs w:val="24"/>
                <w:lang w:val="zh-CN" w:eastAsia="zh-CN"/>
              </w:rPr>
              <w:t>根据</w:t>
            </w:r>
            <w:r>
              <w:rPr>
                <w:rFonts w:hint="eastAsia" w:ascii="宋体" w:hAnsi="宋体" w:eastAsia="宋体" w:cs="宋体"/>
                <w:b w:val="0"/>
                <w:bCs/>
                <w:snapToGrid w:val="0"/>
                <w:color w:val="auto"/>
                <w:kern w:val="2"/>
                <w:szCs w:val="24"/>
                <w:lang w:eastAsia="zh-CN"/>
              </w:rPr>
              <w:t>西安</w:t>
            </w:r>
            <w:r>
              <w:rPr>
                <w:rFonts w:hint="eastAsia" w:ascii="宋体" w:hAnsi="宋体" w:eastAsia="宋体" w:cs="宋体"/>
                <w:b w:val="0"/>
                <w:bCs/>
                <w:snapToGrid w:val="0"/>
                <w:color w:val="auto"/>
                <w:kern w:val="2"/>
                <w:szCs w:val="24"/>
                <w:lang w:val="zh-CN" w:eastAsia="zh-CN"/>
              </w:rPr>
              <w:t>市人民政府《</w:t>
            </w:r>
            <w:r>
              <w:rPr>
                <w:rFonts w:hint="eastAsia" w:ascii="宋体" w:hAnsi="宋体" w:eastAsia="宋体" w:cs="宋体"/>
                <w:b w:val="0"/>
                <w:bCs/>
                <w:snapToGrid w:val="0"/>
                <w:color w:val="auto"/>
                <w:kern w:val="2"/>
                <w:szCs w:val="24"/>
                <w:lang w:eastAsia="zh-CN"/>
              </w:rPr>
              <w:t>西安</w:t>
            </w:r>
            <w:r>
              <w:rPr>
                <w:rFonts w:hint="eastAsia" w:ascii="宋体" w:hAnsi="宋体" w:eastAsia="宋体" w:cs="宋体"/>
                <w:b w:val="0"/>
                <w:bCs/>
                <w:snapToGrid w:val="0"/>
                <w:color w:val="auto"/>
                <w:kern w:val="2"/>
                <w:szCs w:val="24"/>
                <w:lang w:val="zh-CN" w:eastAsia="zh-CN"/>
              </w:rPr>
              <w:t>市“三线一单”生态环境分区管控方案》（</w:t>
            </w:r>
            <w:r>
              <w:rPr>
                <w:rFonts w:hint="eastAsia" w:ascii="宋体" w:hAnsi="宋体" w:eastAsia="宋体" w:cs="宋体"/>
                <w:b w:val="0"/>
                <w:bCs/>
                <w:snapToGrid w:val="0"/>
                <w:color w:val="auto"/>
                <w:kern w:val="2"/>
                <w:szCs w:val="24"/>
                <w:lang w:eastAsia="zh-CN"/>
              </w:rPr>
              <w:t>市</w:t>
            </w:r>
            <w:r>
              <w:rPr>
                <w:rFonts w:hint="eastAsia" w:ascii="宋体" w:hAnsi="宋体" w:eastAsia="宋体" w:cs="宋体"/>
                <w:b w:val="0"/>
                <w:bCs/>
                <w:snapToGrid w:val="0"/>
                <w:color w:val="auto"/>
                <w:kern w:val="2"/>
                <w:szCs w:val="24"/>
                <w:lang w:val="zh-CN" w:eastAsia="zh-CN"/>
              </w:rPr>
              <w:t>政发〔</w:t>
            </w:r>
            <w:r>
              <w:rPr>
                <w:rFonts w:hint="eastAsia" w:ascii="宋体" w:hAnsi="宋体" w:eastAsia="宋体" w:cs="宋体"/>
                <w:b w:val="0"/>
                <w:bCs/>
                <w:snapToGrid w:val="0"/>
                <w:color w:val="auto"/>
                <w:kern w:val="2"/>
                <w:szCs w:val="24"/>
                <w:lang w:eastAsia="zh-CN"/>
              </w:rPr>
              <w:t>2021</w:t>
            </w:r>
            <w:r>
              <w:rPr>
                <w:rFonts w:hint="eastAsia" w:ascii="宋体" w:hAnsi="宋体" w:eastAsia="宋体" w:cs="宋体"/>
                <w:b w:val="0"/>
                <w:bCs/>
                <w:snapToGrid w:val="0"/>
                <w:color w:val="auto"/>
                <w:kern w:val="2"/>
                <w:szCs w:val="24"/>
                <w:lang w:val="zh-CN" w:eastAsia="zh-CN"/>
              </w:rPr>
              <w:t>〕</w:t>
            </w:r>
            <w:r>
              <w:rPr>
                <w:rFonts w:hint="eastAsia" w:ascii="宋体" w:hAnsi="宋体" w:eastAsia="宋体" w:cs="宋体"/>
                <w:b w:val="0"/>
                <w:bCs/>
                <w:snapToGrid w:val="0"/>
                <w:color w:val="auto"/>
                <w:kern w:val="2"/>
                <w:szCs w:val="24"/>
                <w:lang w:eastAsia="zh-CN"/>
              </w:rPr>
              <w:t>22号</w:t>
            </w:r>
            <w:r>
              <w:rPr>
                <w:rFonts w:hint="eastAsia" w:ascii="宋体" w:hAnsi="宋体" w:eastAsia="宋体" w:cs="宋体"/>
                <w:b w:val="0"/>
                <w:bCs/>
                <w:snapToGrid w:val="0"/>
                <w:color w:val="auto"/>
                <w:kern w:val="2"/>
                <w:szCs w:val="24"/>
                <w:lang w:val="zh-CN" w:eastAsia="zh-CN"/>
              </w:rPr>
              <w:t>）文，</w:t>
            </w:r>
            <w:r>
              <w:rPr>
                <w:rFonts w:hint="eastAsia" w:ascii="宋体" w:hAnsi="宋体" w:eastAsia="宋体" w:cs="宋体"/>
                <w:b w:val="0"/>
                <w:bCs/>
                <w:snapToGrid w:val="0"/>
                <w:color w:val="auto"/>
                <w:kern w:val="2"/>
                <w:szCs w:val="24"/>
                <w:lang w:eastAsia="zh-CN"/>
              </w:rPr>
              <w:t>结合“陕西省</w:t>
            </w:r>
            <w:r>
              <w:rPr>
                <w:rFonts w:hint="eastAsia" w:ascii="宋体" w:hAnsi="宋体" w:eastAsia="宋体" w:cs="宋体"/>
                <w:b w:val="0"/>
                <w:bCs/>
                <w:snapToGrid w:val="0"/>
                <w:color w:val="auto"/>
                <w:kern w:val="2"/>
                <w:szCs w:val="24"/>
                <w:lang w:val="zh-CN" w:eastAsia="zh-CN"/>
              </w:rPr>
              <w:t>“</w:t>
            </w:r>
            <w:r>
              <w:rPr>
                <w:rFonts w:hint="eastAsia" w:ascii="宋体" w:hAnsi="宋体" w:eastAsia="宋体" w:cs="宋体"/>
                <w:b w:val="0"/>
                <w:bCs/>
                <w:snapToGrid w:val="0"/>
                <w:color w:val="auto"/>
                <w:kern w:val="2"/>
                <w:szCs w:val="24"/>
                <w:lang w:eastAsia="zh-CN"/>
              </w:rPr>
              <w:t>三线一单</w:t>
            </w:r>
            <w:r>
              <w:rPr>
                <w:rFonts w:hint="eastAsia" w:ascii="宋体" w:hAnsi="宋体" w:eastAsia="宋体" w:cs="宋体"/>
                <w:b w:val="0"/>
                <w:bCs/>
                <w:snapToGrid w:val="0"/>
                <w:color w:val="auto"/>
                <w:kern w:val="2"/>
                <w:szCs w:val="24"/>
                <w:lang w:val="zh-CN" w:eastAsia="zh-CN"/>
              </w:rPr>
              <w:t>”</w:t>
            </w:r>
            <w:r>
              <w:rPr>
                <w:rFonts w:hint="eastAsia" w:ascii="宋体" w:hAnsi="宋体" w:eastAsia="宋体" w:cs="宋体"/>
                <w:b w:val="0"/>
                <w:bCs/>
                <w:snapToGrid w:val="0"/>
                <w:color w:val="auto"/>
                <w:kern w:val="2"/>
                <w:szCs w:val="24"/>
                <w:lang w:eastAsia="zh-CN"/>
              </w:rPr>
              <w:t>数据应用管理平台（V1.0）”分析，本</w:t>
            </w:r>
            <w:r>
              <w:rPr>
                <w:rFonts w:hint="eastAsia" w:ascii="宋体" w:hAnsi="宋体" w:eastAsia="宋体" w:cs="宋体"/>
                <w:b w:val="0"/>
                <w:bCs/>
                <w:snapToGrid w:val="0"/>
                <w:color w:val="auto"/>
                <w:kern w:val="2"/>
                <w:szCs w:val="24"/>
                <w:lang w:val="zh-CN" w:eastAsia="zh-CN"/>
              </w:rPr>
              <w:t>项目</w:t>
            </w:r>
            <w:r>
              <w:rPr>
                <w:rFonts w:hint="eastAsia" w:ascii="宋体" w:hAnsi="宋体" w:eastAsia="宋体" w:cs="宋体"/>
                <w:b w:val="0"/>
                <w:bCs/>
                <w:snapToGrid w:val="0"/>
                <w:color w:val="auto"/>
                <w:kern w:val="2"/>
                <w:szCs w:val="24"/>
                <w:lang w:eastAsia="zh-CN"/>
              </w:rPr>
              <w:t>仅涉及重点管控单元，项目与陕西省“三线一单”生态环境管控单元对照分析示意图如下</w:t>
            </w:r>
            <w:r>
              <w:rPr>
                <w:rFonts w:hint="eastAsia" w:cs="Times New Roman"/>
                <w:b w:val="0"/>
                <w:color w:val="auto"/>
                <w:szCs w:val="24"/>
                <w:lang w:eastAsia="zh-CN"/>
              </w:rPr>
              <w:t>。</w:t>
            </w:r>
          </w:p>
          <w:p w14:paraId="06991D27">
            <w:pPr>
              <w:spacing w:line="240" w:lineRule="auto"/>
              <w:ind w:left="0" w:leftChars="0" w:right="0" w:rightChars="0" w:firstLine="0" w:firstLineChars="0"/>
              <w:jc w:val="center"/>
              <w:rPr>
                <w:rFonts w:cs="Times New Roman"/>
                <w:color w:val="auto"/>
                <w:sz w:val="24"/>
                <w:szCs w:val="24"/>
                <w:lang w:eastAsia="zh-CN"/>
              </w:rPr>
            </w:pPr>
            <w:r>
              <w:rPr>
                <w:rFonts w:hint="eastAsia" w:cs="Times New Roman"/>
                <w:color w:val="auto"/>
                <w:sz w:val="24"/>
                <w:szCs w:val="24"/>
                <w:lang w:eastAsia="zh-CN"/>
              </w:rPr>
              <w:drawing>
                <wp:inline distT="0" distB="0" distL="114300" distR="114300">
                  <wp:extent cx="4609465" cy="6784975"/>
                  <wp:effectExtent l="0" t="0" r="635" b="15875"/>
                  <wp:docPr id="2" name="图片 2" descr="三线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线一单"/>
                          <pic:cNvPicPr>
                            <a:picLocks noChangeAspect="1"/>
                          </pic:cNvPicPr>
                        </pic:nvPicPr>
                        <pic:blipFill>
                          <a:blip r:embed="rId16"/>
                          <a:stretch>
                            <a:fillRect/>
                          </a:stretch>
                        </pic:blipFill>
                        <pic:spPr>
                          <a:xfrm>
                            <a:off x="0" y="0"/>
                            <a:ext cx="4609465" cy="6784975"/>
                          </a:xfrm>
                          <a:prstGeom prst="rect">
                            <a:avLst/>
                          </a:prstGeom>
                        </pic:spPr>
                      </pic:pic>
                    </a:graphicData>
                  </a:graphic>
                </wp:inline>
              </w:drawing>
            </w:r>
          </w:p>
          <w:p w14:paraId="35F50A46">
            <w:pPr>
              <w:ind w:left="0" w:leftChars="0" w:right="0" w:rightChars="0" w:firstLine="0" w:firstLineChars="0"/>
              <w:jc w:val="center"/>
              <w:rPr>
                <w:color w:val="auto"/>
                <w:lang w:eastAsia="zh-CN"/>
              </w:rPr>
            </w:pPr>
            <w:r>
              <w:rPr>
                <w:rFonts w:eastAsia="宋体" w:cs="Times New Roman"/>
                <w:b/>
                <w:bCs/>
                <w:color w:val="auto"/>
                <w:szCs w:val="21"/>
                <w:lang w:eastAsia="zh-CN"/>
              </w:rPr>
              <w:t>图1-</w:t>
            </w:r>
            <w:r>
              <w:rPr>
                <w:rFonts w:hint="eastAsia" w:eastAsia="宋体" w:cs="Times New Roman"/>
                <w:b/>
                <w:bCs/>
                <w:color w:val="auto"/>
                <w:szCs w:val="21"/>
                <w:lang w:eastAsia="zh-CN"/>
              </w:rPr>
              <w:t>1</w:t>
            </w:r>
            <w:r>
              <w:rPr>
                <w:rFonts w:eastAsia="宋体" w:cs="Times New Roman"/>
                <w:b/>
                <w:bCs/>
                <w:color w:val="auto"/>
                <w:szCs w:val="21"/>
                <w:lang w:eastAsia="zh-CN"/>
              </w:rPr>
              <w:t xml:space="preserve">   项目与陕西省</w:t>
            </w:r>
            <w:r>
              <w:rPr>
                <w:rFonts w:hint="eastAsia" w:eastAsia="宋体" w:cs="Times New Roman"/>
                <w:b/>
                <w:bCs/>
                <w:color w:val="auto"/>
                <w:szCs w:val="21"/>
                <w:lang w:eastAsia="zh-CN"/>
              </w:rPr>
              <w:t>“</w:t>
            </w:r>
            <w:r>
              <w:rPr>
                <w:rFonts w:eastAsia="宋体" w:cs="Times New Roman"/>
                <w:b/>
                <w:bCs/>
                <w:color w:val="auto"/>
                <w:szCs w:val="21"/>
                <w:lang w:eastAsia="zh-CN"/>
              </w:rPr>
              <w:t>三线一单</w:t>
            </w:r>
            <w:r>
              <w:rPr>
                <w:rFonts w:hint="eastAsia" w:eastAsia="宋体" w:cs="Times New Roman"/>
                <w:b/>
                <w:bCs/>
                <w:color w:val="auto"/>
                <w:szCs w:val="21"/>
                <w:lang w:eastAsia="zh-CN"/>
              </w:rPr>
              <w:t>”</w:t>
            </w:r>
            <w:r>
              <w:rPr>
                <w:rFonts w:eastAsia="宋体" w:cs="Times New Roman"/>
                <w:b/>
                <w:bCs/>
                <w:color w:val="auto"/>
                <w:szCs w:val="21"/>
                <w:lang w:eastAsia="zh-CN"/>
              </w:rPr>
              <w:t>生态环境管控单元对照分析示意图</w:t>
            </w:r>
          </w:p>
        </w:tc>
      </w:tr>
    </w:tbl>
    <w:p w14:paraId="7785D510">
      <w:pPr>
        <w:ind w:left="0" w:leftChars="0" w:firstLine="0" w:firstLineChars="0"/>
        <w:rPr>
          <w:color w:val="auto"/>
          <w:lang w:eastAsia="zh-CN"/>
        </w:rPr>
        <w:sectPr>
          <w:type w:val="continuous"/>
          <w:pgSz w:w="11910" w:h="16838"/>
          <w:pgMar w:top="1440" w:right="1689" w:bottom="1440" w:left="1800" w:header="720" w:footer="1043" w:gutter="0"/>
          <w:cols w:space="0" w:num="1"/>
        </w:sectPr>
      </w:pPr>
    </w:p>
    <w:tbl>
      <w:tblPr>
        <w:tblStyle w:val="27"/>
        <w:tblW w:w="53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4605"/>
      </w:tblGrid>
      <w:tr w14:paraId="35EA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61" w:hRule="atLeast"/>
          <w:jc w:val="center"/>
        </w:trPr>
        <w:tc>
          <w:tcPr>
            <w:tcW w:w="465" w:type="dxa"/>
            <w:vAlign w:val="center"/>
          </w:tcPr>
          <w:p w14:paraId="7B5DD1BD">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其他符合性</w:t>
            </w:r>
          </w:p>
          <w:p w14:paraId="67587421">
            <w:pPr>
              <w:pStyle w:val="38"/>
              <w:spacing w:line="240" w:lineRule="auto"/>
              <w:ind w:left="0" w:leftChars="0" w:right="0" w:rightChars="0" w:firstLine="0" w:firstLineChars="0"/>
              <w:jc w:val="center"/>
              <w:rPr>
                <w:rFonts w:eastAsia="宋体" w:cs="Times New Roman"/>
                <w:b/>
                <w:bCs/>
                <w:color w:val="auto"/>
                <w:sz w:val="24"/>
                <w:szCs w:val="24"/>
              </w:rPr>
            </w:pPr>
            <w:r>
              <w:rPr>
                <w:rFonts w:eastAsia="宋体" w:cs="Times New Roman"/>
                <w:b/>
                <w:bCs/>
                <w:color w:val="auto"/>
                <w:sz w:val="24"/>
                <w:szCs w:val="24"/>
              </w:rPr>
              <w:t>分析</w:t>
            </w:r>
          </w:p>
        </w:tc>
        <w:tc>
          <w:tcPr>
            <w:tcW w:w="14605" w:type="dxa"/>
          </w:tcPr>
          <w:p w14:paraId="7A5C7956">
            <w:pPr>
              <w:pStyle w:val="62"/>
              <w:numPr>
                <w:ilvl w:val="0"/>
                <w:numId w:val="2"/>
              </w:numPr>
              <w:ind w:left="0" w:leftChars="0" w:right="0" w:rightChars="0" w:firstLine="480"/>
              <w:jc w:val="both"/>
              <w:rPr>
                <w:rFonts w:cs="Times New Roman"/>
                <w:b w:val="0"/>
                <w:color w:val="auto"/>
                <w:szCs w:val="24"/>
                <w:lang w:eastAsia="zh-CN"/>
              </w:rPr>
            </w:pPr>
            <w:r>
              <w:rPr>
                <w:rFonts w:hint="eastAsia" w:cs="Times New Roman"/>
                <w:b w:val="0"/>
                <w:color w:val="auto"/>
                <w:szCs w:val="24"/>
                <w:lang w:eastAsia="zh-CN"/>
              </w:rPr>
              <w:t>“一表”</w:t>
            </w:r>
          </w:p>
          <w:p w14:paraId="19173DFE">
            <w:pPr>
              <w:autoSpaceDE w:val="0"/>
              <w:autoSpaceDN w:val="0"/>
              <w:adjustRightInd w:val="0"/>
              <w:snapToGrid w:val="0"/>
              <w:spacing w:line="240" w:lineRule="auto"/>
              <w:ind w:left="0" w:leftChars="0" w:right="0" w:rightChars="0" w:firstLine="0" w:firstLineChars="0"/>
              <w:jc w:val="center"/>
              <w:rPr>
                <w:rFonts w:eastAsia="宋体" w:cs="Times New Roman"/>
                <w:b/>
                <w:color w:val="auto"/>
                <w:szCs w:val="21"/>
                <w:lang w:eastAsia="zh-CN"/>
              </w:rPr>
            </w:pPr>
            <w:r>
              <w:rPr>
                <w:rFonts w:hint="eastAsia" w:eastAsia="宋体" w:cs="Times New Roman"/>
                <w:b/>
                <w:color w:val="auto"/>
                <w:szCs w:val="21"/>
                <w:lang w:eastAsia="zh-CN"/>
              </w:rPr>
              <w:t>表1-3   项目与西安市生态环境总体准入清单的符合性分析</w:t>
            </w:r>
          </w:p>
          <w:tbl>
            <w:tblPr>
              <w:tblStyle w:val="26"/>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17"/>
              <w:gridCol w:w="9257"/>
              <w:gridCol w:w="2855"/>
              <w:gridCol w:w="1002"/>
            </w:tblGrid>
            <w:tr w14:paraId="2FC2D7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9" w:type="pct"/>
                  <w:gridSpan w:val="3"/>
                  <w:tcBorders>
                    <w:tl2br w:val="nil"/>
                    <w:tr2bl w:val="nil"/>
                  </w:tcBorders>
                  <w:vAlign w:val="center"/>
                </w:tcPr>
                <w:p w14:paraId="396ED611">
                  <w:pPr>
                    <w:snapToGrid w:val="0"/>
                    <w:spacing w:line="240" w:lineRule="auto"/>
                    <w:ind w:left="0" w:leftChars="0" w:right="0" w:rightChars="0" w:firstLine="0" w:firstLineChars="0"/>
                    <w:jc w:val="center"/>
                    <w:rPr>
                      <w:b/>
                      <w:color w:val="auto"/>
                      <w:szCs w:val="21"/>
                    </w:rPr>
                  </w:pPr>
                  <w:r>
                    <w:rPr>
                      <w:b/>
                      <w:color w:val="auto"/>
                      <w:szCs w:val="21"/>
                    </w:rPr>
                    <w:t>管控要求</w:t>
                  </w:r>
                </w:p>
              </w:tc>
              <w:tc>
                <w:tcPr>
                  <w:tcW w:w="992" w:type="pct"/>
                  <w:tcBorders>
                    <w:tl2br w:val="nil"/>
                    <w:tr2bl w:val="nil"/>
                  </w:tcBorders>
                  <w:vAlign w:val="center"/>
                </w:tcPr>
                <w:p w14:paraId="5C84FC82">
                  <w:pPr>
                    <w:snapToGrid w:val="0"/>
                    <w:spacing w:line="240" w:lineRule="auto"/>
                    <w:ind w:left="0" w:leftChars="0" w:right="0" w:rightChars="0" w:firstLine="0" w:firstLineChars="0"/>
                    <w:jc w:val="center"/>
                    <w:rPr>
                      <w:b/>
                      <w:color w:val="auto"/>
                      <w:szCs w:val="21"/>
                    </w:rPr>
                  </w:pPr>
                  <w:r>
                    <w:rPr>
                      <w:b/>
                      <w:color w:val="auto"/>
                      <w:szCs w:val="21"/>
                    </w:rPr>
                    <w:t>本项目情况</w:t>
                  </w:r>
                </w:p>
              </w:tc>
              <w:tc>
                <w:tcPr>
                  <w:tcW w:w="348" w:type="pct"/>
                  <w:tcBorders>
                    <w:tl2br w:val="nil"/>
                    <w:tr2bl w:val="nil"/>
                  </w:tcBorders>
                  <w:vAlign w:val="center"/>
                </w:tcPr>
                <w:p w14:paraId="1FB4AE6A">
                  <w:pPr>
                    <w:snapToGrid w:val="0"/>
                    <w:spacing w:line="240" w:lineRule="auto"/>
                    <w:ind w:left="0" w:leftChars="0" w:right="0" w:rightChars="0" w:firstLine="0" w:firstLineChars="0"/>
                    <w:jc w:val="center"/>
                    <w:rPr>
                      <w:bCs/>
                      <w:color w:val="auto"/>
                      <w:szCs w:val="21"/>
                    </w:rPr>
                  </w:pPr>
                  <w:r>
                    <w:rPr>
                      <w:b/>
                      <w:color w:val="auto"/>
                      <w:szCs w:val="21"/>
                    </w:rPr>
                    <w:t>符合性</w:t>
                  </w:r>
                </w:p>
              </w:tc>
            </w:tr>
            <w:tr w14:paraId="434B25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 w:type="pct"/>
                  <w:vMerge w:val="restart"/>
                  <w:tcBorders>
                    <w:tl2br w:val="nil"/>
                    <w:tr2bl w:val="nil"/>
                  </w:tcBorders>
                  <w:vAlign w:val="center"/>
                </w:tcPr>
                <w:p w14:paraId="2ED6BA82">
                  <w:pPr>
                    <w:spacing w:line="240" w:lineRule="auto"/>
                    <w:ind w:left="0" w:leftChars="0" w:right="0" w:rightChars="0" w:firstLine="0" w:firstLineChars="0"/>
                    <w:jc w:val="center"/>
                    <w:rPr>
                      <w:color w:val="auto"/>
                      <w:szCs w:val="21"/>
                    </w:rPr>
                  </w:pPr>
                  <w:r>
                    <w:rPr>
                      <w:color w:val="auto"/>
                      <w:szCs w:val="21"/>
                    </w:rPr>
                    <w:t>总体要求</w:t>
                  </w:r>
                </w:p>
              </w:tc>
              <w:tc>
                <w:tcPr>
                  <w:tcW w:w="284" w:type="pct"/>
                  <w:tcBorders>
                    <w:tl2br w:val="nil"/>
                    <w:tr2bl w:val="nil"/>
                  </w:tcBorders>
                  <w:vAlign w:val="center"/>
                </w:tcPr>
                <w:p w14:paraId="3CE80686">
                  <w:pPr>
                    <w:autoSpaceDE w:val="0"/>
                    <w:autoSpaceDN w:val="0"/>
                    <w:adjustRightInd w:val="0"/>
                    <w:spacing w:line="240" w:lineRule="auto"/>
                    <w:ind w:left="0" w:leftChars="0" w:right="0" w:rightChars="0" w:firstLine="0" w:firstLineChars="0"/>
                    <w:jc w:val="center"/>
                    <w:rPr>
                      <w:color w:val="auto"/>
                      <w:szCs w:val="21"/>
                    </w:rPr>
                  </w:pPr>
                  <w:r>
                    <w:rPr>
                      <w:color w:val="auto"/>
                      <w:szCs w:val="21"/>
                    </w:rPr>
                    <w:t>空间布局约束</w:t>
                  </w:r>
                </w:p>
              </w:tc>
              <w:tc>
                <w:tcPr>
                  <w:tcW w:w="3214" w:type="pct"/>
                  <w:tcBorders>
                    <w:tl2br w:val="nil"/>
                    <w:tr2bl w:val="nil"/>
                  </w:tcBorders>
                  <w:vAlign w:val="center"/>
                </w:tcPr>
                <w:p w14:paraId="2B5B9026">
                  <w:pPr>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1．推进秦岭北麓生态环境保护和修复，坚决守护好秦岭生态安全屏障，大力发展高端绿色产业；加大渭河生态环境保护力度，提升渭河城市核心段两岸生态品质。</w:t>
                  </w:r>
                </w:p>
                <w:p w14:paraId="77313C62">
                  <w:pPr>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2．推动传统产业向绿色转型升级，推进清洁生产，发展环保产业，加快循环经济产业园建设和工业园区绿色化改造。</w:t>
                  </w:r>
                </w:p>
                <w:p w14:paraId="6A88CBB4">
                  <w:pPr>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3．新建、扩建石化、化工、焦化、有色金属冶炼、平板玻璃项目应布设在依法合规设立并经规划环评的产业园区。</w:t>
                  </w:r>
                </w:p>
                <w:p w14:paraId="530E1C9E">
                  <w:pPr>
                    <w:spacing w:line="240" w:lineRule="auto"/>
                    <w:ind w:left="0" w:leftChars="0" w:right="0" w:rightChars="0" w:firstLine="0" w:firstLineChars="0"/>
                    <w:jc w:val="both"/>
                    <w:rPr>
                      <w:color w:val="auto"/>
                      <w:szCs w:val="21"/>
                      <w:lang w:eastAsia="zh-CN"/>
                    </w:rPr>
                  </w:pPr>
                  <w:r>
                    <w:rPr>
                      <w:rFonts w:eastAsia="宋体" w:cs="Times New Roman"/>
                      <w:color w:val="auto"/>
                      <w:szCs w:val="21"/>
                      <w:lang w:eastAsia="zh-CN"/>
                    </w:rPr>
                    <w:t>4．严格落实能耗双控、产能置换、污染物区域削减、煤炭减量替代等要求，不符合要求的</w:t>
                  </w:r>
                  <w:r>
                    <w:rPr>
                      <w:rFonts w:hint="eastAsia" w:eastAsia="宋体" w:cs="Times New Roman"/>
                      <w:color w:val="auto"/>
                      <w:szCs w:val="21"/>
                      <w:lang w:eastAsia="zh-CN"/>
                    </w:rPr>
                    <w:t>“</w:t>
                  </w:r>
                  <w:r>
                    <w:rPr>
                      <w:rFonts w:eastAsia="宋体" w:cs="Times New Roman"/>
                      <w:color w:val="auto"/>
                      <w:szCs w:val="21"/>
                      <w:lang w:eastAsia="zh-CN"/>
                    </w:rPr>
                    <w:t>两高</w:t>
                  </w:r>
                  <w:r>
                    <w:rPr>
                      <w:rFonts w:hint="eastAsia" w:eastAsia="宋体" w:cs="Times New Roman"/>
                      <w:color w:val="auto"/>
                      <w:szCs w:val="21"/>
                      <w:lang w:eastAsia="zh-CN"/>
                    </w:rPr>
                    <w:t>”</w:t>
                  </w:r>
                  <w:r>
                    <w:rPr>
                      <w:rFonts w:eastAsia="宋体" w:cs="Times New Roman"/>
                      <w:color w:val="auto"/>
                      <w:szCs w:val="21"/>
                      <w:lang w:eastAsia="zh-CN"/>
                    </w:rPr>
                    <w:t>项目要坚决整改。</w:t>
                  </w:r>
                </w:p>
              </w:tc>
              <w:tc>
                <w:tcPr>
                  <w:tcW w:w="992" w:type="pct"/>
                  <w:tcBorders>
                    <w:tl2br w:val="nil"/>
                    <w:tr2bl w:val="nil"/>
                  </w:tcBorders>
                  <w:vAlign w:val="center"/>
                </w:tcPr>
                <w:p w14:paraId="31C9CC8C">
                  <w:pPr>
                    <w:spacing w:line="240" w:lineRule="auto"/>
                    <w:ind w:left="0" w:leftChars="0" w:right="0" w:rightChars="0" w:firstLine="0" w:firstLineChars="0"/>
                    <w:jc w:val="both"/>
                    <w:rPr>
                      <w:color w:val="auto"/>
                      <w:szCs w:val="21"/>
                      <w:lang w:eastAsia="zh-CN"/>
                    </w:rPr>
                  </w:pPr>
                  <w:r>
                    <w:rPr>
                      <w:color w:val="auto"/>
                      <w:szCs w:val="21"/>
                      <w:lang w:eastAsia="zh-CN"/>
                    </w:rPr>
                    <w:t>本项目为</w:t>
                  </w:r>
                  <w:r>
                    <w:rPr>
                      <w:rFonts w:hint="eastAsia"/>
                      <w:color w:val="auto"/>
                      <w:szCs w:val="21"/>
                      <w:lang w:eastAsia="zh-CN"/>
                    </w:rPr>
                    <w:t>金属家具、金属制品制造行业</w:t>
                  </w:r>
                  <w:r>
                    <w:rPr>
                      <w:color w:val="auto"/>
                      <w:szCs w:val="21"/>
                      <w:lang w:eastAsia="zh-CN"/>
                    </w:rPr>
                    <w:t>，不属于上述</w:t>
                  </w:r>
                  <w:r>
                    <w:rPr>
                      <w:rFonts w:hint="eastAsia"/>
                      <w:color w:val="auto"/>
                      <w:szCs w:val="21"/>
                      <w:lang w:eastAsia="zh-CN"/>
                    </w:rPr>
                    <w:t>行业</w:t>
                  </w:r>
                  <w:r>
                    <w:rPr>
                      <w:color w:val="auto"/>
                      <w:szCs w:val="21"/>
                      <w:lang w:eastAsia="zh-CN"/>
                    </w:rPr>
                    <w:t>。</w:t>
                  </w:r>
                </w:p>
              </w:tc>
              <w:tc>
                <w:tcPr>
                  <w:tcW w:w="348" w:type="pct"/>
                  <w:tcBorders>
                    <w:tl2br w:val="nil"/>
                    <w:tr2bl w:val="nil"/>
                  </w:tcBorders>
                  <w:vAlign w:val="center"/>
                </w:tcPr>
                <w:p w14:paraId="3F2578AE">
                  <w:pPr>
                    <w:snapToGrid w:val="0"/>
                    <w:spacing w:line="240" w:lineRule="auto"/>
                    <w:ind w:left="0" w:leftChars="0" w:right="0" w:rightChars="0" w:firstLine="0" w:firstLineChars="0"/>
                    <w:jc w:val="center"/>
                    <w:rPr>
                      <w:bCs/>
                      <w:color w:val="auto"/>
                      <w:szCs w:val="21"/>
                    </w:rPr>
                  </w:pPr>
                  <w:r>
                    <w:rPr>
                      <w:bCs/>
                      <w:color w:val="auto"/>
                      <w:szCs w:val="21"/>
                    </w:rPr>
                    <w:t>符合</w:t>
                  </w:r>
                </w:p>
              </w:tc>
            </w:tr>
            <w:tr w14:paraId="48E03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 w:type="pct"/>
                  <w:vMerge w:val="continue"/>
                  <w:tcBorders>
                    <w:tl2br w:val="nil"/>
                    <w:tr2bl w:val="nil"/>
                  </w:tcBorders>
                  <w:vAlign w:val="center"/>
                </w:tcPr>
                <w:p w14:paraId="0C3D58C1">
                  <w:pPr>
                    <w:spacing w:line="240" w:lineRule="auto"/>
                    <w:ind w:left="0" w:leftChars="0" w:right="0" w:rightChars="0" w:firstLine="0" w:firstLineChars="0"/>
                    <w:jc w:val="center"/>
                    <w:rPr>
                      <w:color w:val="auto"/>
                      <w:szCs w:val="21"/>
                    </w:rPr>
                  </w:pPr>
                </w:p>
              </w:tc>
              <w:tc>
                <w:tcPr>
                  <w:tcW w:w="284" w:type="pct"/>
                  <w:tcBorders>
                    <w:tl2br w:val="nil"/>
                    <w:tr2bl w:val="nil"/>
                  </w:tcBorders>
                  <w:vAlign w:val="center"/>
                </w:tcPr>
                <w:p w14:paraId="63537D98">
                  <w:pPr>
                    <w:autoSpaceDE w:val="0"/>
                    <w:autoSpaceDN w:val="0"/>
                    <w:adjustRightInd w:val="0"/>
                    <w:spacing w:line="240" w:lineRule="auto"/>
                    <w:ind w:left="0" w:leftChars="0" w:right="0" w:rightChars="0" w:firstLine="0" w:firstLineChars="0"/>
                    <w:jc w:val="center"/>
                    <w:rPr>
                      <w:color w:val="auto"/>
                      <w:szCs w:val="21"/>
                    </w:rPr>
                  </w:pPr>
                  <w:r>
                    <w:rPr>
                      <w:color w:val="auto"/>
                      <w:szCs w:val="21"/>
                    </w:rPr>
                    <w:t>污染排放管控</w:t>
                  </w:r>
                </w:p>
              </w:tc>
              <w:tc>
                <w:tcPr>
                  <w:tcW w:w="3214" w:type="pct"/>
                  <w:tcBorders>
                    <w:tl2br w:val="nil"/>
                    <w:tr2bl w:val="nil"/>
                  </w:tcBorders>
                  <w:vAlign w:val="center"/>
                </w:tcPr>
                <w:p w14:paraId="0BE1A09B">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1．到2025年，全市河湖水质达到准Ⅳ类。</w:t>
                  </w:r>
                </w:p>
                <w:p w14:paraId="6EA9F328">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2．到2025年，单位国内生产总值二氧化碳排放降低15%。</w:t>
                  </w:r>
                </w:p>
                <w:p w14:paraId="6553AF25">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3．到2025年，空气质量优良天数比例达到74%，地表水达到或好于Ⅲ类水体比例达到73%以上。</w:t>
                  </w:r>
                </w:p>
              </w:tc>
              <w:tc>
                <w:tcPr>
                  <w:tcW w:w="992" w:type="pct"/>
                  <w:tcBorders>
                    <w:tl2br w:val="nil"/>
                    <w:tr2bl w:val="nil"/>
                  </w:tcBorders>
                  <w:vAlign w:val="center"/>
                </w:tcPr>
                <w:p w14:paraId="664630BE">
                  <w:pPr>
                    <w:spacing w:line="240" w:lineRule="auto"/>
                    <w:ind w:left="0" w:leftChars="0" w:right="0" w:rightChars="0" w:firstLine="0" w:firstLineChars="0"/>
                    <w:jc w:val="both"/>
                    <w:rPr>
                      <w:color w:val="auto"/>
                      <w:szCs w:val="21"/>
                      <w:lang w:eastAsia="zh-CN"/>
                    </w:rPr>
                  </w:pPr>
                  <w:r>
                    <w:rPr>
                      <w:rFonts w:hint="eastAsia"/>
                      <w:color w:val="auto"/>
                      <w:szCs w:val="21"/>
                      <w:lang w:eastAsia="zh-CN"/>
                    </w:rPr>
                    <w:t>/</w:t>
                  </w:r>
                </w:p>
              </w:tc>
              <w:tc>
                <w:tcPr>
                  <w:tcW w:w="348" w:type="pct"/>
                  <w:tcBorders>
                    <w:tl2br w:val="nil"/>
                    <w:tr2bl w:val="nil"/>
                  </w:tcBorders>
                  <w:vAlign w:val="center"/>
                </w:tcPr>
                <w:p w14:paraId="424C85CE">
                  <w:pPr>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w:t>
                  </w:r>
                </w:p>
              </w:tc>
            </w:tr>
            <w:tr w14:paraId="0C8BAF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 w:type="pct"/>
                  <w:vMerge w:val="continue"/>
                  <w:tcBorders>
                    <w:tl2br w:val="nil"/>
                    <w:tr2bl w:val="nil"/>
                  </w:tcBorders>
                  <w:vAlign w:val="center"/>
                </w:tcPr>
                <w:p w14:paraId="0D3A6EE2">
                  <w:pPr>
                    <w:spacing w:line="240" w:lineRule="auto"/>
                    <w:ind w:left="0" w:leftChars="0" w:right="0" w:rightChars="0" w:firstLine="0" w:firstLineChars="0"/>
                    <w:jc w:val="center"/>
                    <w:rPr>
                      <w:color w:val="auto"/>
                      <w:szCs w:val="21"/>
                    </w:rPr>
                  </w:pPr>
                </w:p>
              </w:tc>
              <w:tc>
                <w:tcPr>
                  <w:tcW w:w="284" w:type="pct"/>
                  <w:tcBorders>
                    <w:tl2br w:val="nil"/>
                    <w:tr2bl w:val="nil"/>
                  </w:tcBorders>
                  <w:vAlign w:val="center"/>
                </w:tcPr>
                <w:p w14:paraId="65867D94">
                  <w:pPr>
                    <w:autoSpaceDE w:val="0"/>
                    <w:autoSpaceDN w:val="0"/>
                    <w:adjustRightInd w:val="0"/>
                    <w:spacing w:line="240" w:lineRule="auto"/>
                    <w:ind w:left="0" w:leftChars="0" w:right="0" w:rightChars="0" w:firstLine="0" w:firstLineChars="0"/>
                    <w:jc w:val="center"/>
                    <w:rPr>
                      <w:color w:val="auto"/>
                      <w:szCs w:val="21"/>
                    </w:rPr>
                  </w:pPr>
                  <w:r>
                    <w:rPr>
                      <w:color w:val="auto"/>
                      <w:szCs w:val="21"/>
                    </w:rPr>
                    <w:t>环境风险防控</w:t>
                  </w:r>
                </w:p>
              </w:tc>
              <w:tc>
                <w:tcPr>
                  <w:tcW w:w="3214" w:type="pct"/>
                  <w:tcBorders>
                    <w:tl2br w:val="nil"/>
                    <w:tr2bl w:val="nil"/>
                  </w:tcBorders>
                  <w:vAlign w:val="center"/>
                </w:tcPr>
                <w:p w14:paraId="68F23EDD">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1．将环境风险纳入常态化管理，推进固体废物、化学物质、重金属、核与辐射等重点领域环境风险防控，推动环境风险防控由应急管理向全过程管理转变。</w:t>
                  </w:r>
                </w:p>
                <w:p w14:paraId="7F801060">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2．渭河流域内化工、印染、电镀、冶金、重金属废矿、危险废物堆放填埋场所等土地使用单位，转让或者改变土地用途时，应当对土壤环境调查评估，编制修复和处置方案，报环境保护行政主管部门批准后实施。</w:t>
                  </w:r>
                </w:p>
              </w:tc>
              <w:tc>
                <w:tcPr>
                  <w:tcW w:w="992" w:type="pct"/>
                  <w:tcBorders>
                    <w:tl2br w:val="nil"/>
                    <w:tr2bl w:val="nil"/>
                  </w:tcBorders>
                  <w:vAlign w:val="center"/>
                </w:tcPr>
                <w:p w14:paraId="16A675A2">
                  <w:pPr>
                    <w:spacing w:line="240" w:lineRule="auto"/>
                    <w:ind w:left="0" w:leftChars="0" w:right="0" w:rightChars="0" w:firstLine="0" w:firstLineChars="0"/>
                    <w:jc w:val="both"/>
                    <w:rPr>
                      <w:color w:val="auto"/>
                      <w:szCs w:val="21"/>
                      <w:lang w:eastAsia="zh-CN"/>
                    </w:rPr>
                  </w:pPr>
                  <w:r>
                    <w:rPr>
                      <w:rFonts w:hint="eastAsia"/>
                      <w:color w:val="auto"/>
                      <w:szCs w:val="21"/>
                      <w:lang w:eastAsia="zh-CN"/>
                    </w:rPr>
                    <w:t>本项目环境风险物质为废润滑油，收集后密闭存放于危废暂存间，企业已编制突发环境事件应急预案，并进行了备案；评价要求将本项目纳入企业应急预案，并定期进行预案演习、组织人员培训等，</w:t>
                  </w:r>
                  <w:r>
                    <w:rPr>
                      <w:color w:val="auto"/>
                      <w:szCs w:val="21"/>
                      <w:lang w:eastAsia="zh-CN"/>
                    </w:rPr>
                    <w:t>环境风险可控。</w:t>
                  </w:r>
                </w:p>
              </w:tc>
              <w:tc>
                <w:tcPr>
                  <w:tcW w:w="348" w:type="pct"/>
                  <w:tcBorders>
                    <w:tl2br w:val="nil"/>
                    <w:tr2bl w:val="nil"/>
                  </w:tcBorders>
                  <w:vAlign w:val="center"/>
                </w:tcPr>
                <w:p w14:paraId="1A56A971">
                  <w:pPr>
                    <w:snapToGrid w:val="0"/>
                    <w:spacing w:line="240" w:lineRule="auto"/>
                    <w:ind w:left="0" w:leftChars="0" w:right="0" w:rightChars="0" w:firstLine="0" w:firstLineChars="0"/>
                    <w:jc w:val="center"/>
                    <w:rPr>
                      <w:bCs/>
                      <w:color w:val="auto"/>
                      <w:szCs w:val="21"/>
                    </w:rPr>
                  </w:pPr>
                  <w:r>
                    <w:rPr>
                      <w:bCs/>
                      <w:color w:val="auto"/>
                      <w:szCs w:val="21"/>
                    </w:rPr>
                    <w:t>符合</w:t>
                  </w:r>
                </w:p>
              </w:tc>
            </w:tr>
            <w:tr w14:paraId="4CF33A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 w:type="pct"/>
                  <w:vMerge w:val="continue"/>
                  <w:tcBorders>
                    <w:tl2br w:val="nil"/>
                    <w:tr2bl w:val="nil"/>
                  </w:tcBorders>
                  <w:vAlign w:val="center"/>
                </w:tcPr>
                <w:p w14:paraId="57C8BCA5">
                  <w:pPr>
                    <w:spacing w:line="240" w:lineRule="auto"/>
                    <w:ind w:left="0" w:leftChars="0" w:right="0" w:rightChars="0" w:firstLine="0" w:firstLineChars="0"/>
                    <w:jc w:val="center"/>
                    <w:rPr>
                      <w:color w:val="auto"/>
                      <w:szCs w:val="21"/>
                    </w:rPr>
                  </w:pPr>
                </w:p>
              </w:tc>
              <w:tc>
                <w:tcPr>
                  <w:tcW w:w="284" w:type="pct"/>
                  <w:tcBorders>
                    <w:tl2br w:val="nil"/>
                    <w:tr2bl w:val="nil"/>
                  </w:tcBorders>
                  <w:vAlign w:val="center"/>
                </w:tcPr>
                <w:p w14:paraId="671BFDE7">
                  <w:pPr>
                    <w:autoSpaceDE w:val="0"/>
                    <w:autoSpaceDN w:val="0"/>
                    <w:adjustRightInd w:val="0"/>
                    <w:spacing w:line="240" w:lineRule="auto"/>
                    <w:ind w:left="0" w:leftChars="0" w:right="0" w:rightChars="0" w:firstLine="0" w:firstLineChars="0"/>
                    <w:jc w:val="center"/>
                    <w:rPr>
                      <w:color w:val="auto"/>
                      <w:szCs w:val="21"/>
                    </w:rPr>
                  </w:pPr>
                  <w:r>
                    <w:rPr>
                      <w:color w:val="auto"/>
                      <w:szCs w:val="21"/>
                    </w:rPr>
                    <w:t>资源利用效率要求</w:t>
                  </w:r>
                </w:p>
              </w:tc>
              <w:tc>
                <w:tcPr>
                  <w:tcW w:w="3214" w:type="pct"/>
                  <w:tcBorders>
                    <w:tl2br w:val="nil"/>
                    <w:tr2bl w:val="nil"/>
                  </w:tcBorders>
                  <w:vAlign w:val="center"/>
                </w:tcPr>
                <w:p w14:paraId="1ABA3B7C">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1．到2025年，全市森林覆盖率不低于48.03%。</w:t>
                  </w:r>
                </w:p>
                <w:p w14:paraId="32C484BC">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2．到2025年，单位地区生产总值用水量累计降低2%。</w:t>
                  </w:r>
                </w:p>
                <w:p w14:paraId="12B53033">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3．到2025年，单位地区生产总值能源消耗累计降低12%。</w:t>
                  </w:r>
                </w:p>
                <w:p w14:paraId="5B999F14">
                  <w:pPr>
                    <w:autoSpaceDE w:val="0"/>
                    <w:autoSpaceDN w:val="0"/>
                    <w:adjustRightInd w:val="0"/>
                    <w:spacing w:line="240" w:lineRule="auto"/>
                    <w:ind w:left="0" w:leftChars="0" w:right="0" w:rightChars="0" w:firstLine="0" w:firstLineChars="0"/>
                    <w:rPr>
                      <w:color w:val="auto"/>
                      <w:szCs w:val="21"/>
                      <w:lang w:eastAsia="zh-CN"/>
                    </w:rPr>
                  </w:pPr>
                  <w:r>
                    <w:rPr>
                      <w:color w:val="auto"/>
                      <w:szCs w:val="21"/>
                      <w:lang w:eastAsia="zh-CN"/>
                    </w:rPr>
                    <w:t>4．持续实施煤炭消费总量控制，大力推进以电代煤、以气代煤等清洁替代形式；稳步提高天然气消费比例；有序发展新能源。</w:t>
                  </w:r>
                </w:p>
              </w:tc>
              <w:tc>
                <w:tcPr>
                  <w:tcW w:w="992" w:type="pct"/>
                  <w:tcBorders>
                    <w:tl2br w:val="nil"/>
                    <w:tr2bl w:val="nil"/>
                  </w:tcBorders>
                  <w:vAlign w:val="center"/>
                </w:tcPr>
                <w:p w14:paraId="45F5938F">
                  <w:pPr>
                    <w:spacing w:line="240" w:lineRule="auto"/>
                    <w:ind w:left="0" w:leftChars="0" w:right="0" w:rightChars="0" w:firstLine="0" w:firstLineChars="0"/>
                    <w:jc w:val="both"/>
                    <w:rPr>
                      <w:color w:val="auto"/>
                      <w:szCs w:val="21"/>
                      <w:lang w:eastAsia="zh-CN"/>
                    </w:rPr>
                  </w:pPr>
                  <w:r>
                    <w:rPr>
                      <w:color w:val="auto"/>
                      <w:szCs w:val="21"/>
                      <w:lang w:eastAsia="zh-CN"/>
                    </w:rPr>
                    <w:t>本项目</w:t>
                  </w:r>
                  <w:r>
                    <w:rPr>
                      <w:rFonts w:hint="eastAsia"/>
                      <w:color w:val="auto"/>
                      <w:szCs w:val="21"/>
                      <w:lang w:eastAsia="zh-CN"/>
                    </w:rPr>
                    <w:t>燃烧机</w:t>
                  </w:r>
                  <w:r>
                    <w:rPr>
                      <w:color w:val="auto"/>
                      <w:szCs w:val="21"/>
                      <w:lang w:eastAsia="zh-CN"/>
                    </w:rPr>
                    <w:t>使用</w:t>
                  </w:r>
                  <w:r>
                    <w:rPr>
                      <w:rFonts w:hint="eastAsia"/>
                      <w:color w:val="auto"/>
                      <w:szCs w:val="21"/>
                      <w:lang w:eastAsia="zh-CN"/>
                    </w:rPr>
                    <w:t>清洁能源天然气</w:t>
                  </w:r>
                  <w:r>
                    <w:rPr>
                      <w:color w:val="auto"/>
                      <w:szCs w:val="21"/>
                      <w:lang w:eastAsia="zh-CN"/>
                    </w:rPr>
                    <w:t>。</w:t>
                  </w:r>
                </w:p>
              </w:tc>
              <w:tc>
                <w:tcPr>
                  <w:tcW w:w="348" w:type="pct"/>
                  <w:tcBorders>
                    <w:tl2br w:val="nil"/>
                    <w:tr2bl w:val="nil"/>
                  </w:tcBorders>
                  <w:vAlign w:val="center"/>
                </w:tcPr>
                <w:p w14:paraId="02B138CD">
                  <w:pPr>
                    <w:snapToGrid w:val="0"/>
                    <w:spacing w:line="240" w:lineRule="auto"/>
                    <w:ind w:left="0" w:leftChars="0" w:right="0" w:rightChars="0" w:firstLine="0" w:firstLineChars="0"/>
                    <w:jc w:val="center"/>
                    <w:rPr>
                      <w:bCs/>
                      <w:color w:val="auto"/>
                      <w:szCs w:val="21"/>
                      <w:lang w:eastAsia="zh-CN"/>
                    </w:rPr>
                  </w:pPr>
                  <w:r>
                    <w:rPr>
                      <w:bCs/>
                      <w:color w:val="auto"/>
                      <w:szCs w:val="21"/>
                      <w:lang w:eastAsia="zh-CN"/>
                    </w:rPr>
                    <w:t>符合</w:t>
                  </w:r>
                </w:p>
              </w:tc>
            </w:tr>
          </w:tbl>
          <w:p w14:paraId="6654DD4B">
            <w:pPr>
              <w:autoSpaceDE w:val="0"/>
              <w:autoSpaceDN w:val="0"/>
              <w:adjustRightInd w:val="0"/>
              <w:snapToGrid w:val="0"/>
              <w:spacing w:line="240" w:lineRule="auto"/>
              <w:ind w:left="0" w:leftChars="0" w:right="0" w:rightChars="0" w:firstLine="0" w:firstLineChars="0"/>
              <w:jc w:val="center"/>
              <w:rPr>
                <w:rFonts w:eastAsia="宋体" w:cs="Times New Roman"/>
                <w:b/>
                <w:color w:val="auto"/>
                <w:szCs w:val="21"/>
                <w:lang w:eastAsia="zh-CN"/>
              </w:rPr>
            </w:pPr>
          </w:p>
          <w:p w14:paraId="012A889C">
            <w:pPr>
              <w:autoSpaceDE w:val="0"/>
              <w:autoSpaceDN w:val="0"/>
              <w:adjustRightInd w:val="0"/>
              <w:snapToGrid w:val="0"/>
              <w:spacing w:line="240" w:lineRule="auto"/>
              <w:ind w:left="0" w:leftChars="0" w:right="0" w:rightChars="0" w:firstLine="0" w:firstLineChars="0"/>
              <w:jc w:val="center"/>
              <w:rPr>
                <w:rFonts w:eastAsia="宋体" w:cs="Times New Roman"/>
                <w:b/>
                <w:color w:val="auto"/>
                <w:szCs w:val="21"/>
                <w:lang w:eastAsia="zh-CN"/>
              </w:rPr>
            </w:pPr>
          </w:p>
          <w:p w14:paraId="683C9F86">
            <w:pPr>
              <w:autoSpaceDE w:val="0"/>
              <w:autoSpaceDN w:val="0"/>
              <w:adjustRightInd w:val="0"/>
              <w:snapToGrid w:val="0"/>
              <w:spacing w:line="240" w:lineRule="auto"/>
              <w:ind w:left="0" w:leftChars="0" w:right="0" w:rightChars="0" w:firstLine="0" w:firstLineChars="0"/>
              <w:jc w:val="center"/>
              <w:rPr>
                <w:rFonts w:eastAsia="宋体" w:cs="Times New Roman"/>
                <w:b/>
                <w:color w:val="auto"/>
                <w:szCs w:val="21"/>
                <w:lang w:eastAsia="zh-CN"/>
              </w:rPr>
            </w:pPr>
          </w:p>
          <w:p w14:paraId="08D8E13F">
            <w:pPr>
              <w:autoSpaceDE w:val="0"/>
              <w:autoSpaceDN w:val="0"/>
              <w:adjustRightInd w:val="0"/>
              <w:snapToGrid w:val="0"/>
              <w:spacing w:line="240" w:lineRule="auto"/>
              <w:ind w:left="0" w:leftChars="0" w:right="0" w:rightChars="0" w:firstLine="0" w:firstLineChars="0"/>
              <w:jc w:val="center"/>
              <w:rPr>
                <w:b/>
                <w:color w:val="auto"/>
                <w:sz w:val="24"/>
                <w:lang w:eastAsia="zh-CN"/>
              </w:rPr>
            </w:pPr>
            <w:r>
              <w:rPr>
                <w:rFonts w:eastAsia="宋体" w:cs="Times New Roman"/>
                <w:b/>
                <w:color w:val="auto"/>
                <w:szCs w:val="21"/>
                <w:lang w:eastAsia="zh-CN"/>
              </w:rPr>
              <w:t>表1-</w:t>
            </w:r>
            <w:r>
              <w:rPr>
                <w:rFonts w:hint="eastAsia" w:eastAsia="宋体" w:cs="Times New Roman"/>
                <w:b/>
                <w:color w:val="auto"/>
                <w:szCs w:val="21"/>
                <w:lang w:eastAsia="zh-CN"/>
              </w:rPr>
              <w:t xml:space="preserve">4   </w:t>
            </w:r>
            <w:r>
              <w:rPr>
                <w:rFonts w:eastAsia="宋体" w:cs="Times New Roman"/>
                <w:b/>
                <w:bCs/>
                <w:color w:val="auto"/>
                <w:szCs w:val="21"/>
                <w:lang w:eastAsia="zh-CN" w:bidi="ar"/>
              </w:rPr>
              <w:t>项目</w:t>
            </w:r>
            <w:r>
              <w:rPr>
                <w:rFonts w:hint="eastAsia" w:eastAsia="宋体" w:cs="Times New Roman"/>
                <w:b/>
                <w:bCs/>
                <w:color w:val="auto"/>
                <w:szCs w:val="21"/>
                <w:lang w:eastAsia="zh-CN" w:bidi="ar"/>
              </w:rPr>
              <w:t>与</w:t>
            </w:r>
            <w:r>
              <w:rPr>
                <w:rFonts w:eastAsia="宋体" w:cs="Times New Roman"/>
                <w:b/>
                <w:bCs/>
                <w:color w:val="auto"/>
                <w:szCs w:val="21"/>
                <w:lang w:eastAsia="zh-CN" w:bidi="ar"/>
              </w:rPr>
              <w:t>涉及的生态环境管控单元准入清单</w:t>
            </w:r>
            <w:r>
              <w:rPr>
                <w:rFonts w:hint="eastAsia" w:eastAsia="宋体" w:cs="Times New Roman"/>
                <w:b/>
                <w:bCs/>
                <w:color w:val="auto"/>
                <w:szCs w:val="21"/>
                <w:lang w:eastAsia="zh-CN" w:bidi="ar"/>
              </w:rPr>
              <w:t>的符合性分析</w:t>
            </w:r>
          </w:p>
          <w:tbl>
            <w:tblPr>
              <w:tblStyle w:val="26"/>
              <w:tblW w:w="4995"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427"/>
              <w:gridCol w:w="678"/>
              <w:gridCol w:w="618"/>
              <w:gridCol w:w="664"/>
              <w:gridCol w:w="7066"/>
              <w:gridCol w:w="705"/>
              <w:gridCol w:w="2483"/>
              <w:gridCol w:w="880"/>
            </w:tblGrid>
            <w:tr w14:paraId="197E62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tcBorders>
                    <w:tl2br w:val="nil"/>
                    <w:tr2bl w:val="nil"/>
                  </w:tcBorders>
                  <w:vAlign w:val="center"/>
                </w:tcPr>
                <w:p w14:paraId="199DEA7F">
                  <w:pPr>
                    <w:snapToGrid w:val="0"/>
                    <w:spacing w:line="240" w:lineRule="auto"/>
                    <w:ind w:left="0" w:leftChars="0" w:right="0" w:rightChars="0" w:firstLine="0" w:firstLineChars="0"/>
                    <w:jc w:val="both"/>
                    <w:rPr>
                      <w:b/>
                      <w:color w:val="auto"/>
                      <w:szCs w:val="21"/>
                    </w:rPr>
                  </w:pPr>
                  <w:r>
                    <w:rPr>
                      <w:b/>
                      <w:color w:val="auto"/>
                      <w:szCs w:val="21"/>
                    </w:rPr>
                    <w:t>序号</w:t>
                  </w:r>
                </w:p>
              </w:tc>
              <w:tc>
                <w:tcPr>
                  <w:tcW w:w="140" w:type="pct"/>
                  <w:tcBorders>
                    <w:tl2br w:val="nil"/>
                    <w:tr2bl w:val="nil"/>
                  </w:tcBorders>
                  <w:vAlign w:val="center"/>
                </w:tcPr>
                <w:p w14:paraId="2FD0CF69">
                  <w:pPr>
                    <w:snapToGrid w:val="0"/>
                    <w:spacing w:line="240" w:lineRule="auto"/>
                    <w:ind w:left="0" w:leftChars="0" w:right="0" w:rightChars="0" w:firstLine="0" w:firstLineChars="0"/>
                    <w:jc w:val="both"/>
                    <w:rPr>
                      <w:b/>
                      <w:color w:val="auto"/>
                      <w:szCs w:val="21"/>
                    </w:rPr>
                  </w:pPr>
                  <w:r>
                    <w:rPr>
                      <w:b/>
                      <w:color w:val="auto"/>
                      <w:szCs w:val="21"/>
                    </w:rPr>
                    <w:t>市</w:t>
                  </w:r>
                </w:p>
              </w:tc>
              <w:tc>
                <w:tcPr>
                  <w:tcW w:w="125" w:type="pct"/>
                  <w:tcBorders>
                    <w:tl2br w:val="nil"/>
                    <w:tr2bl w:val="nil"/>
                  </w:tcBorders>
                  <w:vAlign w:val="center"/>
                </w:tcPr>
                <w:p w14:paraId="5A066B72">
                  <w:pPr>
                    <w:snapToGrid w:val="0"/>
                    <w:spacing w:line="240" w:lineRule="auto"/>
                    <w:ind w:left="0" w:leftChars="0" w:right="0" w:rightChars="0" w:firstLine="0" w:firstLineChars="0"/>
                    <w:jc w:val="center"/>
                    <w:rPr>
                      <w:b/>
                      <w:color w:val="auto"/>
                      <w:szCs w:val="21"/>
                    </w:rPr>
                  </w:pPr>
                  <w:r>
                    <w:rPr>
                      <w:b/>
                      <w:color w:val="auto"/>
                      <w:szCs w:val="21"/>
                    </w:rPr>
                    <w:t>区/县</w:t>
                  </w:r>
                </w:p>
              </w:tc>
              <w:tc>
                <w:tcPr>
                  <w:tcW w:w="245" w:type="pct"/>
                  <w:tcBorders>
                    <w:tl2br w:val="nil"/>
                    <w:tr2bl w:val="nil"/>
                  </w:tcBorders>
                  <w:vAlign w:val="center"/>
                </w:tcPr>
                <w:p w14:paraId="2000AE9C">
                  <w:pPr>
                    <w:snapToGrid w:val="0"/>
                    <w:spacing w:line="240" w:lineRule="auto"/>
                    <w:ind w:left="0" w:leftChars="0" w:right="0" w:rightChars="0" w:firstLine="0" w:firstLineChars="0"/>
                    <w:jc w:val="center"/>
                    <w:rPr>
                      <w:b/>
                      <w:color w:val="auto"/>
                      <w:szCs w:val="21"/>
                    </w:rPr>
                  </w:pPr>
                  <w:r>
                    <w:rPr>
                      <w:b/>
                      <w:color w:val="auto"/>
                      <w:szCs w:val="21"/>
                    </w:rPr>
                    <w:t>环境管控单元名称</w:t>
                  </w:r>
                </w:p>
              </w:tc>
              <w:tc>
                <w:tcPr>
                  <w:tcW w:w="224" w:type="pct"/>
                  <w:tcBorders>
                    <w:tl2br w:val="nil"/>
                    <w:tr2bl w:val="nil"/>
                  </w:tcBorders>
                  <w:vAlign w:val="center"/>
                </w:tcPr>
                <w:p w14:paraId="4E51A81C">
                  <w:pPr>
                    <w:snapToGrid w:val="0"/>
                    <w:spacing w:line="240" w:lineRule="auto"/>
                    <w:ind w:left="0" w:leftChars="0" w:right="0" w:rightChars="0" w:firstLine="0" w:firstLineChars="0"/>
                    <w:jc w:val="center"/>
                    <w:rPr>
                      <w:b/>
                      <w:color w:val="auto"/>
                      <w:szCs w:val="21"/>
                    </w:rPr>
                  </w:pPr>
                  <w:r>
                    <w:rPr>
                      <w:b/>
                      <w:color w:val="auto"/>
                      <w:szCs w:val="21"/>
                    </w:rPr>
                    <w:t>单元要素属性</w:t>
                  </w:r>
                </w:p>
              </w:tc>
              <w:tc>
                <w:tcPr>
                  <w:tcW w:w="240" w:type="pct"/>
                  <w:tcBorders>
                    <w:tl2br w:val="nil"/>
                    <w:tr2bl w:val="nil"/>
                  </w:tcBorders>
                  <w:vAlign w:val="center"/>
                </w:tcPr>
                <w:p w14:paraId="15777402">
                  <w:pPr>
                    <w:snapToGrid w:val="0"/>
                    <w:spacing w:line="240" w:lineRule="auto"/>
                    <w:ind w:left="0" w:leftChars="0" w:right="0" w:rightChars="0" w:firstLine="0" w:firstLineChars="0"/>
                    <w:jc w:val="center"/>
                    <w:rPr>
                      <w:b/>
                      <w:color w:val="auto"/>
                      <w:szCs w:val="21"/>
                      <w:lang w:eastAsia="zh-CN"/>
                    </w:rPr>
                  </w:pPr>
                  <w:r>
                    <w:rPr>
                      <w:rFonts w:hint="eastAsia"/>
                      <w:b/>
                      <w:color w:val="auto"/>
                      <w:szCs w:val="21"/>
                      <w:lang w:eastAsia="zh-CN"/>
                    </w:rPr>
                    <w:t>管控要求类别</w:t>
                  </w:r>
                </w:p>
              </w:tc>
              <w:tc>
                <w:tcPr>
                  <w:tcW w:w="2465" w:type="pct"/>
                  <w:tcBorders>
                    <w:tl2br w:val="nil"/>
                    <w:tr2bl w:val="nil"/>
                  </w:tcBorders>
                  <w:vAlign w:val="center"/>
                </w:tcPr>
                <w:p w14:paraId="076BE695">
                  <w:pPr>
                    <w:snapToGrid w:val="0"/>
                    <w:spacing w:line="240" w:lineRule="auto"/>
                    <w:ind w:left="0" w:leftChars="0" w:right="0" w:rightChars="0" w:firstLine="0" w:firstLineChars="0"/>
                    <w:jc w:val="center"/>
                    <w:rPr>
                      <w:b/>
                      <w:color w:val="auto"/>
                      <w:szCs w:val="21"/>
                    </w:rPr>
                  </w:pPr>
                  <w:r>
                    <w:rPr>
                      <w:b/>
                      <w:color w:val="auto"/>
                      <w:szCs w:val="21"/>
                    </w:rPr>
                    <w:t>管控要求</w:t>
                  </w:r>
                </w:p>
              </w:tc>
              <w:tc>
                <w:tcPr>
                  <w:tcW w:w="254" w:type="pct"/>
                  <w:tcBorders>
                    <w:tl2br w:val="nil"/>
                    <w:tr2bl w:val="nil"/>
                  </w:tcBorders>
                  <w:vAlign w:val="center"/>
                </w:tcPr>
                <w:p w14:paraId="28737922">
                  <w:pPr>
                    <w:snapToGrid w:val="0"/>
                    <w:spacing w:line="240" w:lineRule="auto"/>
                    <w:ind w:left="0" w:leftChars="0" w:right="0" w:rightChars="0" w:firstLine="0" w:firstLineChars="0"/>
                    <w:jc w:val="center"/>
                    <w:rPr>
                      <w:b/>
                      <w:color w:val="auto"/>
                      <w:szCs w:val="21"/>
                    </w:rPr>
                  </w:pPr>
                  <w:r>
                    <w:rPr>
                      <w:b/>
                      <w:color w:val="auto"/>
                      <w:szCs w:val="21"/>
                    </w:rPr>
                    <w:t>面积</w:t>
                  </w:r>
                </w:p>
                <w:p w14:paraId="5255DAA5">
                  <w:pPr>
                    <w:snapToGrid w:val="0"/>
                    <w:spacing w:line="240" w:lineRule="auto"/>
                    <w:ind w:left="0" w:leftChars="0" w:right="0" w:rightChars="0" w:firstLine="0" w:firstLineChars="0"/>
                    <w:jc w:val="center"/>
                    <w:rPr>
                      <w:b/>
                      <w:color w:val="auto"/>
                      <w:szCs w:val="21"/>
                    </w:rPr>
                  </w:pPr>
                  <w:r>
                    <w:rPr>
                      <w:b/>
                      <w:color w:val="auto"/>
                      <w:szCs w:val="21"/>
                    </w:rPr>
                    <w:t>/长度</w:t>
                  </w:r>
                </w:p>
              </w:tc>
              <w:tc>
                <w:tcPr>
                  <w:tcW w:w="872" w:type="pct"/>
                  <w:tcBorders>
                    <w:tl2br w:val="nil"/>
                    <w:tr2bl w:val="nil"/>
                  </w:tcBorders>
                  <w:vAlign w:val="center"/>
                </w:tcPr>
                <w:p w14:paraId="29BC8B68">
                  <w:pPr>
                    <w:snapToGrid w:val="0"/>
                    <w:spacing w:line="240" w:lineRule="auto"/>
                    <w:ind w:left="0" w:leftChars="0" w:right="0" w:rightChars="0" w:firstLine="0" w:firstLineChars="0"/>
                    <w:jc w:val="center"/>
                    <w:rPr>
                      <w:b/>
                      <w:color w:val="auto"/>
                      <w:szCs w:val="21"/>
                    </w:rPr>
                  </w:pPr>
                  <w:r>
                    <w:rPr>
                      <w:b/>
                      <w:color w:val="auto"/>
                      <w:szCs w:val="21"/>
                    </w:rPr>
                    <w:t>本项目情况</w:t>
                  </w:r>
                </w:p>
              </w:tc>
              <w:tc>
                <w:tcPr>
                  <w:tcW w:w="315" w:type="pct"/>
                  <w:tcBorders>
                    <w:tl2br w:val="nil"/>
                    <w:tr2bl w:val="nil"/>
                  </w:tcBorders>
                  <w:vAlign w:val="center"/>
                </w:tcPr>
                <w:p w14:paraId="28621E2B">
                  <w:pPr>
                    <w:snapToGrid w:val="0"/>
                    <w:spacing w:line="240" w:lineRule="auto"/>
                    <w:ind w:left="0" w:leftChars="0" w:right="0" w:rightChars="0" w:firstLine="0" w:firstLineChars="0"/>
                    <w:jc w:val="center"/>
                    <w:rPr>
                      <w:bCs/>
                      <w:color w:val="auto"/>
                      <w:szCs w:val="21"/>
                    </w:rPr>
                  </w:pPr>
                  <w:r>
                    <w:rPr>
                      <w:b/>
                      <w:color w:val="auto"/>
                      <w:szCs w:val="21"/>
                    </w:rPr>
                    <w:t>符合性</w:t>
                  </w:r>
                </w:p>
              </w:tc>
            </w:tr>
            <w:tr w14:paraId="3539F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restart"/>
                  <w:tcBorders>
                    <w:tl2br w:val="nil"/>
                    <w:tr2bl w:val="nil"/>
                  </w:tcBorders>
                  <w:vAlign w:val="center"/>
                </w:tcPr>
                <w:p w14:paraId="6CD03D56">
                  <w:pPr>
                    <w:snapToGrid w:val="0"/>
                    <w:spacing w:line="240" w:lineRule="auto"/>
                    <w:ind w:left="0" w:leftChars="0" w:right="0" w:rightChars="0" w:firstLine="0" w:firstLineChars="0"/>
                    <w:jc w:val="both"/>
                    <w:rPr>
                      <w:color w:val="auto"/>
                      <w:szCs w:val="21"/>
                    </w:rPr>
                  </w:pPr>
                  <w:r>
                    <w:rPr>
                      <w:color w:val="auto"/>
                      <w:szCs w:val="21"/>
                    </w:rPr>
                    <w:t>1</w:t>
                  </w:r>
                </w:p>
              </w:tc>
              <w:tc>
                <w:tcPr>
                  <w:tcW w:w="140" w:type="pct"/>
                  <w:vMerge w:val="restart"/>
                  <w:tcBorders>
                    <w:tl2br w:val="nil"/>
                    <w:tr2bl w:val="nil"/>
                  </w:tcBorders>
                  <w:vAlign w:val="center"/>
                </w:tcPr>
                <w:p w14:paraId="5EDF72F5">
                  <w:pPr>
                    <w:snapToGrid w:val="0"/>
                    <w:spacing w:line="240" w:lineRule="auto"/>
                    <w:ind w:left="0" w:leftChars="0" w:right="0" w:rightChars="0" w:firstLine="0" w:firstLineChars="0"/>
                    <w:jc w:val="both"/>
                    <w:rPr>
                      <w:color w:val="auto"/>
                      <w:szCs w:val="21"/>
                    </w:rPr>
                  </w:pPr>
                  <w:r>
                    <w:rPr>
                      <w:color w:val="auto"/>
                      <w:szCs w:val="21"/>
                    </w:rPr>
                    <w:t>西安市</w:t>
                  </w:r>
                </w:p>
              </w:tc>
              <w:tc>
                <w:tcPr>
                  <w:tcW w:w="125" w:type="pct"/>
                  <w:vMerge w:val="restart"/>
                  <w:tcBorders>
                    <w:tl2br w:val="nil"/>
                    <w:tr2bl w:val="nil"/>
                  </w:tcBorders>
                  <w:vAlign w:val="center"/>
                </w:tcPr>
                <w:p w14:paraId="63715A6A">
                  <w:pPr>
                    <w:snapToGrid w:val="0"/>
                    <w:spacing w:line="240" w:lineRule="auto"/>
                    <w:ind w:left="0" w:leftChars="0" w:right="0" w:rightChars="0" w:firstLine="0" w:firstLineChars="0"/>
                    <w:jc w:val="both"/>
                    <w:rPr>
                      <w:color w:val="auto"/>
                      <w:szCs w:val="21"/>
                      <w:lang w:eastAsia="zh-CN"/>
                    </w:rPr>
                  </w:pPr>
                  <w:r>
                    <w:rPr>
                      <w:rFonts w:hint="eastAsia"/>
                      <w:color w:val="auto"/>
                      <w:szCs w:val="21"/>
                      <w:lang w:eastAsia="zh-CN"/>
                    </w:rPr>
                    <w:t>蓝田县</w:t>
                  </w:r>
                </w:p>
              </w:tc>
              <w:tc>
                <w:tcPr>
                  <w:tcW w:w="245" w:type="pct"/>
                  <w:vMerge w:val="restart"/>
                  <w:tcBorders>
                    <w:tl2br w:val="nil"/>
                    <w:tr2bl w:val="nil"/>
                  </w:tcBorders>
                  <w:vAlign w:val="center"/>
                </w:tcPr>
                <w:p w14:paraId="4D555F83">
                  <w:pPr>
                    <w:snapToGrid w:val="0"/>
                    <w:spacing w:line="240" w:lineRule="auto"/>
                    <w:ind w:left="0" w:leftChars="0" w:right="0" w:rightChars="0" w:firstLine="0" w:firstLineChars="0"/>
                    <w:jc w:val="center"/>
                    <w:rPr>
                      <w:color w:val="auto"/>
                      <w:szCs w:val="21"/>
                      <w:lang w:eastAsia="zh-CN"/>
                    </w:rPr>
                  </w:pPr>
                  <w:r>
                    <w:rPr>
                      <w:rFonts w:hint="eastAsia" w:eastAsia="宋体" w:cs="Times New Roman"/>
                      <w:bCs/>
                      <w:color w:val="auto"/>
                      <w:szCs w:val="21"/>
                      <w:lang w:eastAsia="zh-CN"/>
                    </w:rPr>
                    <w:t>蓝田县西北家具工业园</w:t>
                  </w:r>
                </w:p>
              </w:tc>
              <w:tc>
                <w:tcPr>
                  <w:tcW w:w="224" w:type="pct"/>
                  <w:vMerge w:val="restart"/>
                  <w:tcBorders>
                    <w:tl2br w:val="nil"/>
                    <w:tr2bl w:val="nil"/>
                  </w:tcBorders>
                  <w:vAlign w:val="center"/>
                </w:tcPr>
                <w:p w14:paraId="3416D7D5">
                  <w:pPr>
                    <w:snapToGrid w:val="0"/>
                    <w:spacing w:line="240" w:lineRule="auto"/>
                    <w:ind w:left="0" w:leftChars="0" w:right="0" w:rightChars="0" w:firstLine="0" w:firstLineChars="0"/>
                    <w:jc w:val="center"/>
                    <w:rPr>
                      <w:b/>
                      <w:color w:val="auto"/>
                      <w:szCs w:val="21"/>
                      <w:lang w:eastAsia="zh-CN"/>
                    </w:rPr>
                  </w:pPr>
                  <w:r>
                    <w:rPr>
                      <w:rFonts w:hint="eastAsia"/>
                      <w:bCs/>
                      <w:color w:val="auto"/>
                      <w:szCs w:val="21"/>
                      <w:lang w:eastAsia="zh-CN"/>
                    </w:rPr>
                    <w:t>大气环境布局敏感重点管控区</w:t>
                  </w:r>
                </w:p>
              </w:tc>
              <w:tc>
                <w:tcPr>
                  <w:tcW w:w="240" w:type="pct"/>
                  <w:tcBorders>
                    <w:tl2br w:val="nil"/>
                    <w:tr2bl w:val="nil"/>
                  </w:tcBorders>
                  <w:vAlign w:val="center"/>
                </w:tcPr>
                <w:p w14:paraId="719729D5">
                  <w:pPr>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空间布局约束</w:t>
                  </w:r>
                </w:p>
              </w:tc>
              <w:tc>
                <w:tcPr>
                  <w:tcW w:w="2465" w:type="pct"/>
                  <w:tcBorders>
                    <w:tl2br w:val="nil"/>
                    <w:tr2bl w:val="nil"/>
                  </w:tcBorders>
                  <w:vAlign w:val="center"/>
                </w:tcPr>
                <w:p w14:paraId="2E89F7D9">
                  <w:pPr>
                    <w:numPr>
                      <w:ilvl w:val="0"/>
                      <w:numId w:val="3"/>
                    </w:numPr>
                    <w:snapToGrid w:val="0"/>
                    <w:spacing w:line="240" w:lineRule="auto"/>
                    <w:ind w:left="0" w:leftChars="0" w:right="0" w:rightChars="0" w:firstLine="0" w:firstLineChars="0"/>
                    <w:jc w:val="both"/>
                    <w:rPr>
                      <w:color w:val="auto"/>
                      <w:lang w:eastAsia="zh-CN"/>
                    </w:rPr>
                  </w:pPr>
                  <w:r>
                    <w:rPr>
                      <w:rFonts w:hint="eastAsia"/>
                      <w:bCs/>
                      <w:color w:val="auto"/>
                      <w:szCs w:val="21"/>
                      <w:lang w:eastAsia="zh-CN"/>
                    </w:rPr>
                    <w:t>大气污染防治重点区域严禁新增钢铁、水泥熟料、平板玻璃、炼化产能。</w:t>
                  </w:r>
                </w:p>
                <w:p w14:paraId="750C7D7D">
                  <w:pPr>
                    <w:numPr>
                      <w:ilvl w:val="0"/>
                      <w:numId w:val="3"/>
                    </w:numPr>
                    <w:snapToGrid w:val="0"/>
                    <w:spacing w:line="240" w:lineRule="auto"/>
                    <w:ind w:left="0" w:leftChars="0" w:right="0" w:rightChars="0" w:firstLine="0" w:firstLineChars="0"/>
                    <w:jc w:val="both"/>
                    <w:rPr>
                      <w:color w:val="auto"/>
                      <w:lang w:eastAsia="zh-CN"/>
                    </w:rPr>
                  </w:pPr>
                  <w:r>
                    <w:rPr>
                      <w:rFonts w:hint="eastAsia"/>
                      <w:bCs/>
                      <w:color w:val="auto"/>
                      <w:szCs w:val="21"/>
                      <w:lang w:eastAsia="zh-CN"/>
                    </w:rPr>
                    <w:t>推动重污染企业搬迁入园或依法关闭。</w:t>
                  </w:r>
                </w:p>
              </w:tc>
              <w:tc>
                <w:tcPr>
                  <w:tcW w:w="254" w:type="pct"/>
                  <w:vMerge w:val="restart"/>
                  <w:tcBorders>
                    <w:tl2br w:val="nil"/>
                    <w:tr2bl w:val="nil"/>
                  </w:tcBorders>
                  <w:vAlign w:val="center"/>
                </w:tcPr>
                <w:p w14:paraId="62C3B874">
                  <w:pPr>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7410</w:t>
                  </w:r>
                </w:p>
                <w:p w14:paraId="7C6CDBFC">
                  <w:pPr>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m</w:t>
                  </w:r>
                  <w:r>
                    <w:rPr>
                      <w:rFonts w:hint="eastAsia"/>
                      <w:bCs/>
                      <w:color w:val="auto"/>
                      <w:szCs w:val="21"/>
                      <w:vertAlign w:val="superscript"/>
                      <w:lang w:eastAsia="zh-CN"/>
                    </w:rPr>
                    <w:t>2</w:t>
                  </w:r>
                </w:p>
              </w:tc>
              <w:tc>
                <w:tcPr>
                  <w:tcW w:w="872" w:type="pct"/>
                  <w:tcBorders>
                    <w:tl2br w:val="nil"/>
                    <w:tr2bl w:val="nil"/>
                  </w:tcBorders>
                  <w:vAlign w:val="center"/>
                </w:tcPr>
                <w:p w14:paraId="7527C5FD">
                  <w:pPr>
                    <w:snapToGrid w:val="0"/>
                    <w:spacing w:line="240" w:lineRule="auto"/>
                    <w:ind w:left="0" w:leftChars="0" w:right="0" w:rightChars="0" w:firstLine="0" w:firstLineChars="0"/>
                    <w:jc w:val="both"/>
                    <w:rPr>
                      <w:bCs/>
                      <w:color w:val="auto"/>
                      <w:szCs w:val="21"/>
                      <w:lang w:eastAsia="zh-CN"/>
                    </w:rPr>
                  </w:pPr>
                  <w:r>
                    <w:rPr>
                      <w:color w:val="auto"/>
                      <w:szCs w:val="21"/>
                      <w:lang w:eastAsia="zh-CN"/>
                    </w:rPr>
                    <w:t>本项目为</w:t>
                  </w:r>
                  <w:r>
                    <w:rPr>
                      <w:rFonts w:hint="eastAsia"/>
                      <w:color w:val="auto"/>
                      <w:szCs w:val="21"/>
                      <w:lang w:eastAsia="zh-CN"/>
                    </w:rPr>
                    <w:t>金属家具、金属制品制造行业</w:t>
                  </w:r>
                  <w:r>
                    <w:rPr>
                      <w:color w:val="auto"/>
                      <w:szCs w:val="21"/>
                      <w:lang w:eastAsia="zh-CN"/>
                    </w:rPr>
                    <w:t>，不属于上述</w:t>
                  </w:r>
                  <w:r>
                    <w:rPr>
                      <w:rFonts w:hint="eastAsia"/>
                      <w:color w:val="auto"/>
                      <w:szCs w:val="21"/>
                      <w:lang w:eastAsia="zh-CN"/>
                    </w:rPr>
                    <w:t>行业</w:t>
                  </w:r>
                  <w:r>
                    <w:rPr>
                      <w:color w:val="auto"/>
                      <w:szCs w:val="21"/>
                      <w:lang w:eastAsia="zh-CN"/>
                    </w:rPr>
                    <w:t>。</w:t>
                  </w:r>
                </w:p>
              </w:tc>
              <w:tc>
                <w:tcPr>
                  <w:tcW w:w="315" w:type="pct"/>
                  <w:tcBorders>
                    <w:tl2br w:val="nil"/>
                    <w:tr2bl w:val="nil"/>
                  </w:tcBorders>
                  <w:vAlign w:val="center"/>
                </w:tcPr>
                <w:p w14:paraId="091123AE">
                  <w:pPr>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符合</w:t>
                  </w:r>
                </w:p>
              </w:tc>
            </w:tr>
            <w:tr w14:paraId="5A44EC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6A0F88A5">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08B7778C">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6D8DF3C2">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7B2E03D2">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vMerge w:val="continue"/>
                  <w:tcBorders>
                    <w:tl2br w:val="nil"/>
                    <w:tr2bl w:val="nil"/>
                  </w:tcBorders>
                  <w:vAlign w:val="center"/>
                </w:tcPr>
                <w:p w14:paraId="67AF12B6">
                  <w:pPr>
                    <w:snapToGrid w:val="0"/>
                    <w:spacing w:line="240" w:lineRule="auto"/>
                    <w:ind w:left="0" w:leftChars="0" w:right="0" w:rightChars="0" w:firstLine="0" w:firstLineChars="0"/>
                    <w:jc w:val="center"/>
                    <w:rPr>
                      <w:color w:val="auto"/>
                      <w:szCs w:val="21"/>
                      <w:lang w:eastAsia="zh-CN"/>
                    </w:rPr>
                  </w:pPr>
                </w:p>
              </w:tc>
              <w:tc>
                <w:tcPr>
                  <w:tcW w:w="240" w:type="pct"/>
                  <w:tcBorders>
                    <w:tl2br w:val="nil"/>
                    <w:tr2bl w:val="nil"/>
                  </w:tcBorders>
                  <w:vAlign w:val="center"/>
                </w:tcPr>
                <w:p w14:paraId="26C8D4E8">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污染物排放管控</w:t>
                  </w:r>
                </w:p>
              </w:tc>
              <w:tc>
                <w:tcPr>
                  <w:tcW w:w="2465" w:type="pct"/>
                  <w:tcBorders>
                    <w:tl2br w:val="nil"/>
                    <w:tr2bl w:val="nil"/>
                  </w:tcBorders>
                  <w:vAlign w:val="center"/>
                </w:tcPr>
                <w:p w14:paraId="2263D9BA">
                  <w:pPr>
                    <w:widowControl/>
                    <w:numPr>
                      <w:ilvl w:val="0"/>
                      <w:numId w:val="4"/>
                    </w:numPr>
                    <w:spacing w:line="240" w:lineRule="auto"/>
                    <w:ind w:left="0" w:leftChars="0" w:right="0" w:rightChars="0" w:firstLine="0" w:firstLineChars="0"/>
                    <w:jc w:val="both"/>
                    <w:rPr>
                      <w:rFonts w:eastAsia="宋体" w:cs="Times New Roman"/>
                      <w:color w:val="auto"/>
                      <w:szCs w:val="21"/>
                      <w:lang w:eastAsia="zh-CN" w:bidi="ar"/>
                    </w:rPr>
                  </w:pPr>
                  <w:r>
                    <w:rPr>
                      <w:rFonts w:eastAsia="宋体" w:cs="Times New Roman"/>
                      <w:color w:val="auto"/>
                      <w:szCs w:val="21"/>
                      <w:lang w:eastAsia="zh-CN" w:bidi="ar"/>
                    </w:rPr>
                    <w:t>区域内保留企业采用先进生产工艺、严格落实污染治理设施，污染物执行超低排放或特别排放限值。</w:t>
                  </w:r>
                </w:p>
                <w:p w14:paraId="3D82CD04">
                  <w:pPr>
                    <w:widowControl/>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bidi="ar"/>
                    </w:rPr>
                    <w:t xml:space="preserve">2．鼓励将老旧车辆和非道路移动机械替换为清洁能源车辆；推进新能源或清洁能源汽车使用。 </w:t>
                  </w:r>
                </w:p>
                <w:p w14:paraId="74F14C38">
                  <w:pPr>
                    <w:widowControl/>
                    <w:spacing w:line="240" w:lineRule="auto"/>
                    <w:ind w:left="0" w:leftChars="0" w:right="0" w:rightChars="0" w:firstLine="0" w:firstLineChars="0"/>
                    <w:jc w:val="both"/>
                    <w:rPr>
                      <w:color w:val="auto"/>
                      <w:szCs w:val="21"/>
                      <w:lang w:eastAsia="zh-CN"/>
                    </w:rPr>
                  </w:pPr>
                  <w:r>
                    <w:rPr>
                      <w:rFonts w:eastAsia="宋体" w:cs="Times New Roman"/>
                      <w:color w:val="auto"/>
                      <w:szCs w:val="21"/>
                      <w:lang w:eastAsia="zh-CN" w:bidi="ar"/>
                    </w:rPr>
                    <w:t>3．进行散煤替代，加快铺设天然气管网和集中供暖管网。</w:t>
                  </w:r>
                </w:p>
              </w:tc>
              <w:tc>
                <w:tcPr>
                  <w:tcW w:w="254" w:type="pct"/>
                  <w:vMerge w:val="continue"/>
                  <w:tcBorders>
                    <w:tl2br w:val="nil"/>
                    <w:tr2bl w:val="nil"/>
                  </w:tcBorders>
                  <w:vAlign w:val="center"/>
                </w:tcPr>
                <w:p w14:paraId="4ADDA0F7">
                  <w:pPr>
                    <w:snapToGrid w:val="0"/>
                    <w:spacing w:line="240" w:lineRule="auto"/>
                    <w:ind w:left="0" w:leftChars="0" w:right="0" w:rightChars="0" w:firstLine="0" w:firstLineChars="0"/>
                    <w:jc w:val="center"/>
                    <w:rPr>
                      <w:color w:val="auto"/>
                      <w:szCs w:val="21"/>
                      <w:lang w:eastAsia="zh-CN"/>
                    </w:rPr>
                  </w:pPr>
                </w:p>
              </w:tc>
              <w:tc>
                <w:tcPr>
                  <w:tcW w:w="872" w:type="pct"/>
                  <w:tcBorders>
                    <w:tl2br w:val="nil"/>
                    <w:tr2bl w:val="nil"/>
                  </w:tcBorders>
                  <w:vAlign w:val="center"/>
                </w:tcPr>
                <w:p w14:paraId="5387228E">
                  <w:pPr>
                    <w:snapToGrid w:val="0"/>
                    <w:spacing w:line="240" w:lineRule="auto"/>
                    <w:ind w:left="0" w:leftChars="0" w:right="0" w:rightChars="0" w:firstLine="0" w:firstLineChars="0"/>
                    <w:jc w:val="both"/>
                    <w:rPr>
                      <w:color w:val="auto"/>
                      <w:szCs w:val="21"/>
                      <w:lang w:eastAsia="zh-CN"/>
                    </w:rPr>
                  </w:pPr>
                  <w:r>
                    <w:rPr>
                      <w:rFonts w:hint="eastAsia"/>
                      <w:color w:val="auto"/>
                      <w:szCs w:val="21"/>
                      <w:lang w:eastAsia="zh-CN"/>
                    </w:rPr>
                    <w:t>本项目喷涂采用先进的静电喷涂工艺，已落实各污染物治理措施，有机废气及燃烧机执行超低排放限值；厂内叉车为新能源（电能）车辆；燃烧机热源使用天然气；满足上述管控要求。</w:t>
                  </w:r>
                </w:p>
              </w:tc>
              <w:tc>
                <w:tcPr>
                  <w:tcW w:w="315" w:type="pct"/>
                  <w:tcBorders>
                    <w:tl2br w:val="nil"/>
                    <w:tr2bl w:val="nil"/>
                  </w:tcBorders>
                  <w:vAlign w:val="center"/>
                </w:tcPr>
                <w:p w14:paraId="019E08A2">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r w14:paraId="62AE7B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5C7B8350">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6647A040">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6AF976D6">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4CA9D973">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vMerge w:val="restart"/>
                  <w:tcBorders>
                    <w:tl2br w:val="nil"/>
                    <w:tr2bl w:val="nil"/>
                  </w:tcBorders>
                  <w:vAlign w:val="center"/>
                </w:tcPr>
                <w:p w14:paraId="4D42178A">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大气环境受体敏感重点管控区</w:t>
                  </w:r>
                </w:p>
              </w:tc>
              <w:tc>
                <w:tcPr>
                  <w:tcW w:w="240" w:type="pct"/>
                  <w:tcBorders>
                    <w:tl2br w:val="nil"/>
                    <w:tr2bl w:val="nil"/>
                  </w:tcBorders>
                  <w:vAlign w:val="center"/>
                </w:tcPr>
                <w:p w14:paraId="0FA55202">
                  <w:pPr>
                    <w:snapToGrid w:val="0"/>
                    <w:spacing w:line="240" w:lineRule="auto"/>
                    <w:ind w:left="0" w:leftChars="0" w:right="0" w:rightChars="0" w:firstLine="0" w:firstLineChars="0"/>
                    <w:jc w:val="center"/>
                    <w:rPr>
                      <w:color w:val="auto"/>
                      <w:szCs w:val="21"/>
                      <w:lang w:eastAsia="zh-CN"/>
                    </w:rPr>
                  </w:pPr>
                  <w:r>
                    <w:rPr>
                      <w:rFonts w:hint="eastAsia"/>
                      <w:bCs/>
                      <w:color w:val="auto"/>
                      <w:szCs w:val="21"/>
                      <w:lang w:eastAsia="zh-CN"/>
                    </w:rPr>
                    <w:t>空间布局约束</w:t>
                  </w:r>
                </w:p>
              </w:tc>
              <w:tc>
                <w:tcPr>
                  <w:tcW w:w="2465" w:type="pct"/>
                  <w:tcBorders>
                    <w:tl2br w:val="nil"/>
                    <w:tr2bl w:val="nil"/>
                  </w:tcBorders>
                  <w:vAlign w:val="center"/>
                </w:tcPr>
                <w:p w14:paraId="77F37CF5">
                  <w:pPr>
                    <w:autoSpaceDE w:val="0"/>
                    <w:autoSpaceDN w:val="0"/>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1．大气污染防治重点区域严禁新增钢铁、水泥熟料、平板玻璃、炼化产能。</w:t>
                  </w:r>
                </w:p>
                <w:p w14:paraId="6696CB8C">
                  <w:pPr>
                    <w:autoSpaceDE w:val="0"/>
                    <w:autoSpaceDN w:val="0"/>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2．推动重污染企业搬迁入园或依法关闭。</w:t>
                  </w:r>
                </w:p>
                <w:p w14:paraId="1C75EB37">
                  <w:pPr>
                    <w:autoSpaceDE w:val="0"/>
                    <w:autoSpaceDN w:val="0"/>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3．禁止新建非清洁能源供热企业，集中供热面积逐步提高，提高清洁能源供热和远距离输送供热比重。</w:t>
                  </w:r>
                </w:p>
              </w:tc>
              <w:tc>
                <w:tcPr>
                  <w:tcW w:w="254" w:type="pct"/>
                  <w:vMerge w:val="continue"/>
                  <w:tcBorders>
                    <w:tl2br w:val="nil"/>
                    <w:tr2bl w:val="nil"/>
                  </w:tcBorders>
                  <w:vAlign w:val="center"/>
                </w:tcPr>
                <w:p w14:paraId="1B4ED675">
                  <w:pPr>
                    <w:snapToGrid w:val="0"/>
                    <w:spacing w:line="240" w:lineRule="auto"/>
                    <w:ind w:left="0" w:leftChars="0" w:right="0" w:rightChars="0" w:firstLine="0" w:firstLineChars="0"/>
                    <w:jc w:val="center"/>
                    <w:rPr>
                      <w:color w:val="auto"/>
                      <w:szCs w:val="21"/>
                      <w:lang w:eastAsia="zh-CN"/>
                    </w:rPr>
                  </w:pPr>
                </w:p>
              </w:tc>
              <w:tc>
                <w:tcPr>
                  <w:tcW w:w="872" w:type="pct"/>
                  <w:tcBorders>
                    <w:tl2br w:val="nil"/>
                    <w:tr2bl w:val="nil"/>
                  </w:tcBorders>
                  <w:vAlign w:val="center"/>
                </w:tcPr>
                <w:p w14:paraId="01818573">
                  <w:pPr>
                    <w:snapToGrid w:val="0"/>
                    <w:spacing w:line="240" w:lineRule="auto"/>
                    <w:ind w:left="0" w:leftChars="0" w:right="0" w:rightChars="0" w:firstLine="0" w:firstLineChars="0"/>
                    <w:jc w:val="both"/>
                    <w:rPr>
                      <w:color w:val="auto"/>
                      <w:szCs w:val="21"/>
                      <w:lang w:eastAsia="zh-CN"/>
                    </w:rPr>
                  </w:pPr>
                  <w:r>
                    <w:rPr>
                      <w:color w:val="auto"/>
                      <w:szCs w:val="21"/>
                      <w:lang w:eastAsia="zh-CN"/>
                    </w:rPr>
                    <w:t>本项目为</w:t>
                  </w:r>
                  <w:r>
                    <w:rPr>
                      <w:rFonts w:hint="eastAsia"/>
                      <w:color w:val="auto"/>
                      <w:szCs w:val="21"/>
                      <w:lang w:eastAsia="zh-CN"/>
                    </w:rPr>
                    <w:t>金属家具、金属制品制造行业</w:t>
                  </w:r>
                  <w:r>
                    <w:rPr>
                      <w:color w:val="auto"/>
                      <w:szCs w:val="21"/>
                      <w:lang w:eastAsia="zh-CN"/>
                    </w:rPr>
                    <w:t>，不属于上述</w:t>
                  </w:r>
                  <w:r>
                    <w:rPr>
                      <w:rFonts w:hint="eastAsia"/>
                      <w:color w:val="auto"/>
                      <w:szCs w:val="21"/>
                      <w:lang w:eastAsia="zh-CN"/>
                    </w:rPr>
                    <w:t>行业</w:t>
                  </w:r>
                  <w:r>
                    <w:rPr>
                      <w:color w:val="auto"/>
                      <w:szCs w:val="21"/>
                      <w:lang w:eastAsia="zh-CN"/>
                    </w:rPr>
                    <w:t>。</w:t>
                  </w:r>
                </w:p>
              </w:tc>
              <w:tc>
                <w:tcPr>
                  <w:tcW w:w="315" w:type="pct"/>
                  <w:tcBorders>
                    <w:tl2br w:val="nil"/>
                    <w:tr2bl w:val="nil"/>
                  </w:tcBorders>
                  <w:vAlign w:val="center"/>
                </w:tcPr>
                <w:p w14:paraId="468A3427">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r w14:paraId="1D19C4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2C721AC7">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3768FF96">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7831ED52">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68335836">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vMerge w:val="continue"/>
                  <w:tcBorders>
                    <w:tl2br w:val="nil"/>
                    <w:tr2bl w:val="nil"/>
                  </w:tcBorders>
                  <w:vAlign w:val="center"/>
                </w:tcPr>
                <w:p w14:paraId="5701EBA6">
                  <w:pPr>
                    <w:snapToGrid w:val="0"/>
                    <w:spacing w:line="240" w:lineRule="auto"/>
                    <w:ind w:left="0" w:leftChars="0" w:right="0" w:rightChars="0" w:firstLine="0" w:firstLineChars="0"/>
                    <w:jc w:val="center"/>
                    <w:rPr>
                      <w:color w:val="auto"/>
                      <w:szCs w:val="21"/>
                      <w:lang w:eastAsia="zh-CN"/>
                    </w:rPr>
                  </w:pPr>
                </w:p>
              </w:tc>
              <w:tc>
                <w:tcPr>
                  <w:tcW w:w="240" w:type="pct"/>
                  <w:tcBorders>
                    <w:tl2br w:val="nil"/>
                    <w:tr2bl w:val="nil"/>
                  </w:tcBorders>
                  <w:vAlign w:val="center"/>
                </w:tcPr>
                <w:p w14:paraId="2431FA7C">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污染物排放管控</w:t>
                  </w:r>
                </w:p>
              </w:tc>
              <w:tc>
                <w:tcPr>
                  <w:tcW w:w="2465" w:type="pct"/>
                  <w:tcBorders>
                    <w:tl2br w:val="nil"/>
                    <w:tr2bl w:val="nil"/>
                  </w:tcBorders>
                  <w:vAlign w:val="center"/>
                </w:tcPr>
                <w:p w14:paraId="349B3E58">
                  <w:pPr>
                    <w:autoSpaceDE w:val="0"/>
                    <w:autoSpaceDN w:val="0"/>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1．区域内保留企业采用先进生产工艺、严格落实污染治理设施，污染物执行超低排放或特别排放限值。</w:t>
                  </w:r>
                </w:p>
                <w:p w14:paraId="55A4DC19">
                  <w:pPr>
                    <w:autoSpaceDE w:val="0"/>
                    <w:autoSpaceDN w:val="0"/>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2．鼓励将老旧车辆和非道路移动机械替换为清洁能源车辆；推进新能源或清洁能源汽车使用。</w:t>
                  </w:r>
                </w:p>
                <w:p w14:paraId="74133691">
                  <w:pPr>
                    <w:autoSpaceDE w:val="0"/>
                    <w:autoSpaceDN w:val="0"/>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3．加大餐饮油烟治理力度，排放油烟的饮食业单位全部安装油烟净化装置并实现达标排放。</w:t>
                  </w:r>
                </w:p>
                <w:p w14:paraId="34CCD422">
                  <w:pPr>
                    <w:autoSpaceDE w:val="0"/>
                    <w:autoSpaceDN w:val="0"/>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4．积极推进地热供暖技术。</w:t>
                  </w:r>
                </w:p>
              </w:tc>
              <w:tc>
                <w:tcPr>
                  <w:tcW w:w="254" w:type="pct"/>
                  <w:vMerge w:val="continue"/>
                  <w:tcBorders>
                    <w:tl2br w:val="nil"/>
                    <w:tr2bl w:val="nil"/>
                  </w:tcBorders>
                  <w:vAlign w:val="center"/>
                </w:tcPr>
                <w:p w14:paraId="493FD48D">
                  <w:pPr>
                    <w:snapToGrid w:val="0"/>
                    <w:spacing w:line="240" w:lineRule="auto"/>
                    <w:ind w:left="0" w:leftChars="0" w:right="0" w:rightChars="0" w:firstLine="0" w:firstLineChars="0"/>
                    <w:jc w:val="center"/>
                    <w:rPr>
                      <w:color w:val="auto"/>
                      <w:szCs w:val="21"/>
                      <w:lang w:eastAsia="zh-CN"/>
                    </w:rPr>
                  </w:pPr>
                </w:p>
              </w:tc>
              <w:tc>
                <w:tcPr>
                  <w:tcW w:w="872" w:type="pct"/>
                  <w:tcBorders>
                    <w:tl2br w:val="nil"/>
                    <w:tr2bl w:val="nil"/>
                  </w:tcBorders>
                  <w:vAlign w:val="center"/>
                </w:tcPr>
                <w:p w14:paraId="0FD4837F">
                  <w:pPr>
                    <w:snapToGrid w:val="0"/>
                    <w:spacing w:line="240" w:lineRule="auto"/>
                    <w:ind w:left="0" w:leftChars="0" w:right="0" w:rightChars="0" w:firstLine="0" w:firstLineChars="0"/>
                    <w:jc w:val="both"/>
                    <w:rPr>
                      <w:color w:val="auto"/>
                      <w:szCs w:val="21"/>
                      <w:lang w:eastAsia="zh-CN"/>
                    </w:rPr>
                  </w:pPr>
                  <w:r>
                    <w:rPr>
                      <w:rFonts w:hint="eastAsia"/>
                      <w:color w:val="auto"/>
                      <w:szCs w:val="21"/>
                      <w:lang w:eastAsia="zh-CN"/>
                    </w:rPr>
                    <w:t>本项目喷涂采用先进的静电喷涂工艺，有机废气及燃烧机废气执行超低排放限值；燃烧机热源使用清洁能源天然气；员工食堂安装油烟净化器，油烟废气经处理后达标排放，满足上述管控要求。</w:t>
                  </w:r>
                </w:p>
              </w:tc>
              <w:tc>
                <w:tcPr>
                  <w:tcW w:w="315" w:type="pct"/>
                  <w:tcBorders>
                    <w:tl2br w:val="nil"/>
                    <w:tr2bl w:val="nil"/>
                  </w:tcBorders>
                  <w:vAlign w:val="center"/>
                </w:tcPr>
                <w:p w14:paraId="211A192F">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r w14:paraId="022F60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158EED05">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611ABD9C">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0B0FDD98">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3044F2E9">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vMerge w:val="restart"/>
                  <w:tcBorders>
                    <w:tl2br w:val="nil"/>
                    <w:tr2bl w:val="nil"/>
                  </w:tcBorders>
                  <w:vAlign w:val="center"/>
                </w:tcPr>
                <w:p w14:paraId="6C7A670E">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水环境城镇生活污染重点管控区</w:t>
                  </w:r>
                </w:p>
              </w:tc>
              <w:tc>
                <w:tcPr>
                  <w:tcW w:w="240" w:type="pct"/>
                  <w:tcBorders>
                    <w:tl2br w:val="nil"/>
                    <w:tr2bl w:val="nil"/>
                  </w:tcBorders>
                  <w:vAlign w:val="center"/>
                </w:tcPr>
                <w:p w14:paraId="090CD61B">
                  <w:pPr>
                    <w:snapToGrid w:val="0"/>
                    <w:spacing w:line="240" w:lineRule="auto"/>
                    <w:ind w:left="0" w:leftChars="0" w:right="0" w:rightChars="0" w:firstLine="0" w:firstLineChars="0"/>
                    <w:jc w:val="center"/>
                    <w:rPr>
                      <w:color w:val="auto"/>
                      <w:szCs w:val="21"/>
                      <w:lang w:eastAsia="zh-CN"/>
                    </w:rPr>
                  </w:pPr>
                  <w:r>
                    <w:rPr>
                      <w:rFonts w:hint="eastAsia"/>
                      <w:bCs/>
                      <w:color w:val="auto"/>
                      <w:szCs w:val="21"/>
                      <w:lang w:eastAsia="zh-CN"/>
                    </w:rPr>
                    <w:t>空间布局约束</w:t>
                  </w:r>
                </w:p>
              </w:tc>
              <w:tc>
                <w:tcPr>
                  <w:tcW w:w="2465" w:type="pct"/>
                  <w:tcBorders>
                    <w:tl2br w:val="nil"/>
                    <w:tr2bl w:val="nil"/>
                  </w:tcBorders>
                  <w:vAlign w:val="center"/>
                </w:tcPr>
                <w:p w14:paraId="030BBF97">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1．统筹做好城市、县城及农村污水处理设施建设</w:t>
                  </w:r>
                  <w:r>
                    <w:rPr>
                      <w:rFonts w:hint="eastAsia"/>
                      <w:color w:val="auto"/>
                      <w:szCs w:val="21"/>
                      <w:lang w:eastAsia="zh-CN"/>
                    </w:rPr>
                    <w:t>......</w:t>
                  </w:r>
                  <w:r>
                    <w:rPr>
                      <w:color w:val="auto"/>
                      <w:szCs w:val="21"/>
                      <w:lang w:eastAsia="zh-CN"/>
                    </w:rPr>
                    <w:t>加强雨污管网管理与建设。</w:t>
                  </w:r>
                </w:p>
                <w:p w14:paraId="6B4AC830">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2．持续巩固城市建成区黑臭水体整治成果</w:t>
                  </w:r>
                  <w:r>
                    <w:rPr>
                      <w:rFonts w:hint="eastAsia"/>
                      <w:color w:val="auto"/>
                      <w:szCs w:val="21"/>
                      <w:lang w:eastAsia="zh-CN"/>
                    </w:rPr>
                    <w:t>......</w:t>
                  </w:r>
                  <w:r>
                    <w:rPr>
                      <w:color w:val="auto"/>
                      <w:szCs w:val="21"/>
                      <w:lang w:eastAsia="zh-CN"/>
                    </w:rPr>
                    <w:t>有效防止水质反弹。</w:t>
                  </w:r>
                </w:p>
                <w:p w14:paraId="413D5F88">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3．严格控制新建、扩建化学制浆造纸、化工、印染、果汁和淀粉加工等高耗水、高污染项目。水污染排放企业严格执行排污许可制度，实施</w:t>
                  </w:r>
                  <w:r>
                    <w:rPr>
                      <w:rFonts w:hint="eastAsia"/>
                      <w:color w:val="auto"/>
                      <w:szCs w:val="21"/>
                      <w:lang w:eastAsia="zh-CN"/>
                    </w:rPr>
                    <w:t>“</w:t>
                  </w:r>
                  <w:r>
                    <w:rPr>
                      <w:color w:val="auto"/>
                      <w:szCs w:val="21"/>
                      <w:lang w:eastAsia="zh-CN"/>
                    </w:rPr>
                    <w:t>持证排水</w:t>
                  </w:r>
                  <w:r>
                    <w:rPr>
                      <w:rFonts w:hint="eastAsia"/>
                      <w:color w:val="auto"/>
                      <w:szCs w:val="21"/>
                      <w:lang w:eastAsia="zh-CN"/>
                    </w:rPr>
                    <w:t>”</w:t>
                  </w:r>
                  <w:r>
                    <w:rPr>
                      <w:color w:val="auto"/>
                      <w:szCs w:val="21"/>
                      <w:lang w:eastAsia="zh-CN"/>
                    </w:rPr>
                    <w:t>。</w:t>
                  </w:r>
                </w:p>
                <w:p w14:paraId="2F5DCB6C">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4．全面推进工业园区污水管网排查整治和污水收集处理设施建设</w:t>
                  </w:r>
                  <w:r>
                    <w:rPr>
                      <w:rFonts w:hint="eastAsia"/>
                      <w:color w:val="auto"/>
                      <w:szCs w:val="21"/>
                      <w:lang w:eastAsia="zh-CN"/>
                    </w:rPr>
                    <w:t>......</w:t>
                  </w:r>
                  <w:r>
                    <w:rPr>
                      <w:color w:val="auto"/>
                      <w:szCs w:val="21"/>
                      <w:lang w:eastAsia="zh-CN"/>
                    </w:rPr>
                    <w:t>污染物排放等量或减量置换。</w:t>
                  </w:r>
                </w:p>
              </w:tc>
              <w:tc>
                <w:tcPr>
                  <w:tcW w:w="254" w:type="pct"/>
                  <w:vMerge w:val="continue"/>
                  <w:tcBorders>
                    <w:tl2br w:val="nil"/>
                    <w:tr2bl w:val="nil"/>
                  </w:tcBorders>
                  <w:vAlign w:val="center"/>
                </w:tcPr>
                <w:p w14:paraId="2BD79E44">
                  <w:pPr>
                    <w:snapToGrid w:val="0"/>
                    <w:spacing w:line="240" w:lineRule="auto"/>
                    <w:ind w:left="0" w:leftChars="0" w:right="0" w:rightChars="0" w:firstLine="0" w:firstLineChars="0"/>
                    <w:jc w:val="center"/>
                    <w:rPr>
                      <w:color w:val="auto"/>
                      <w:szCs w:val="21"/>
                      <w:lang w:eastAsia="zh-CN"/>
                    </w:rPr>
                  </w:pPr>
                </w:p>
              </w:tc>
              <w:tc>
                <w:tcPr>
                  <w:tcW w:w="872" w:type="pct"/>
                  <w:tcBorders>
                    <w:tl2br w:val="nil"/>
                    <w:tr2bl w:val="nil"/>
                  </w:tcBorders>
                  <w:vAlign w:val="center"/>
                </w:tcPr>
                <w:p w14:paraId="3C49EFF4">
                  <w:pPr>
                    <w:snapToGrid w:val="0"/>
                    <w:spacing w:line="240" w:lineRule="auto"/>
                    <w:ind w:left="0" w:leftChars="0" w:right="0" w:rightChars="0" w:firstLine="0" w:firstLineChars="0"/>
                    <w:jc w:val="both"/>
                    <w:rPr>
                      <w:color w:val="auto"/>
                      <w:szCs w:val="21"/>
                      <w:lang w:eastAsia="zh-CN"/>
                    </w:rPr>
                  </w:pPr>
                  <w:r>
                    <w:rPr>
                      <w:rFonts w:hint="eastAsia"/>
                      <w:color w:val="auto"/>
                      <w:szCs w:val="21"/>
                      <w:lang w:eastAsia="zh-CN"/>
                    </w:rPr>
                    <w:t>本项目</w:t>
                  </w:r>
                  <w:r>
                    <w:rPr>
                      <w:color w:val="auto"/>
                      <w:szCs w:val="21"/>
                      <w:lang w:eastAsia="zh-CN"/>
                    </w:rPr>
                    <w:t>为</w:t>
                  </w:r>
                  <w:r>
                    <w:rPr>
                      <w:rFonts w:hint="eastAsia"/>
                      <w:color w:val="auto"/>
                      <w:szCs w:val="21"/>
                      <w:lang w:eastAsia="zh-CN"/>
                    </w:rPr>
                    <w:t>金属家具、金属制品制造行业</w:t>
                  </w:r>
                  <w:r>
                    <w:rPr>
                      <w:color w:val="auto"/>
                      <w:szCs w:val="21"/>
                      <w:lang w:eastAsia="zh-CN"/>
                    </w:rPr>
                    <w:t>，不属于上述</w:t>
                  </w:r>
                  <w:r>
                    <w:rPr>
                      <w:rFonts w:hint="eastAsia"/>
                      <w:color w:val="auto"/>
                      <w:szCs w:val="21"/>
                      <w:lang w:eastAsia="zh-CN"/>
                    </w:rPr>
                    <w:t>高耗水、高污染行业；项目位于工业园区，生活污水经管网进入园区污水处理厂</w:t>
                  </w:r>
                  <w:r>
                    <w:rPr>
                      <w:color w:val="auto"/>
                      <w:szCs w:val="21"/>
                      <w:lang w:eastAsia="zh-CN"/>
                    </w:rPr>
                    <w:t>。</w:t>
                  </w:r>
                </w:p>
              </w:tc>
              <w:tc>
                <w:tcPr>
                  <w:tcW w:w="315" w:type="pct"/>
                  <w:tcBorders>
                    <w:tl2br w:val="nil"/>
                    <w:tr2bl w:val="nil"/>
                  </w:tcBorders>
                  <w:vAlign w:val="center"/>
                </w:tcPr>
                <w:p w14:paraId="49D8943E">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r w14:paraId="4CCA15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258EDFBA">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3CEC8600">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3B923B1F">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7C764453">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vMerge w:val="continue"/>
                  <w:tcBorders>
                    <w:tl2br w:val="nil"/>
                    <w:tr2bl w:val="nil"/>
                  </w:tcBorders>
                  <w:vAlign w:val="center"/>
                </w:tcPr>
                <w:p w14:paraId="7B660806">
                  <w:pPr>
                    <w:snapToGrid w:val="0"/>
                    <w:spacing w:line="240" w:lineRule="auto"/>
                    <w:ind w:left="0" w:leftChars="0" w:right="0" w:rightChars="0" w:firstLine="0" w:firstLineChars="0"/>
                    <w:jc w:val="center"/>
                    <w:rPr>
                      <w:color w:val="auto"/>
                      <w:szCs w:val="21"/>
                      <w:lang w:eastAsia="zh-CN"/>
                    </w:rPr>
                  </w:pPr>
                </w:p>
              </w:tc>
              <w:tc>
                <w:tcPr>
                  <w:tcW w:w="240" w:type="pct"/>
                  <w:tcBorders>
                    <w:tl2br w:val="nil"/>
                    <w:tr2bl w:val="nil"/>
                  </w:tcBorders>
                  <w:vAlign w:val="center"/>
                </w:tcPr>
                <w:p w14:paraId="5F488ADD">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污染物排放管控</w:t>
                  </w:r>
                </w:p>
              </w:tc>
              <w:tc>
                <w:tcPr>
                  <w:tcW w:w="2465" w:type="pct"/>
                  <w:tcBorders>
                    <w:tl2br w:val="nil"/>
                    <w:tr2bl w:val="nil"/>
                  </w:tcBorders>
                  <w:vAlign w:val="center"/>
                </w:tcPr>
                <w:p w14:paraId="5FF5FE0D">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到2025年，基本消除城市建成区生活污水直排口</w:t>
                  </w:r>
                  <w:r>
                    <w:rPr>
                      <w:rFonts w:hint="eastAsia"/>
                      <w:color w:val="auto"/>
                      <w:szCs w:val="21"/>
                      <w:lang w:eastAsia="zh-CN"/>
                    </w:rPr>
                    <w:t>......</w:t>
                  </w:r>
                  <w:r>
                    <w:rPr>
                      <w:color w:val="auto"/>
                      <w:szCs w:val="21"/>
                      <w:lang w:eastAsia="zh-CN"/>
                    </w:rPr>
                    <w:t>完善城镇配套管网建设，实施雨污分流改造。</w:t>
                  </w:r>
                </w:p>
              </w:tc>
              <w:tc>
                <w:tcPr>
                  <w:tcW w:w="254" w:type="pct"/>
                  <w:vMerge w:val="continue"/>
                  <w:tcBorders>
                    <w:tl2br w:val="nil"/>
                    <w:tr2bl w:val="nil"/>
                  </w:tcBorders>
                  <w:vAlign w:val="center"/>
                </w:tcPr>
                <w:p w14:paraId="189E5175">
                  <w:pPr>
                    <w:snapToGrid w:val="0"/>
                    <w:spacing w:line="240" w:lineRule="auto"/>
                    <w:ind w:left="0" w:leftChars="0" w:right="0" w:rightChars="0" w:firstLine="0" w:firstLineChars="0"/>
                    <w:jc w:val="center"/>
                    <w:rPr>
                      <w:color w:val="auto"/>
                      <w:szCs w:val="21"/>
                      <w:lang w:eastAsia="zh-CN"/>
                    </w:rPr>
                  </w:pPr>
                </w:p>
              </w:tc>
              <w:tc>
                <w:tcPr>
                  <w:tcW w:w="872" w:type="pct"/>
                  <w:tcBorders>
                    <w:tl2br w:val="nil"/>
                    <w:tr2bl w:val="nil"/>
                  </w:tcBorders>
                  <w:vAlign w:val="center"/>
                </w:tcPr>
                <w:p w14:paraId="47E652A5">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w:t>
                  </w:r>
                </w:p>
              </w:tc>
              <w:tc>
                <w:tcPr>
                  <w:tcW w:w="315" w:type="pct"/>
                  <w:tcBorders>
                    <w:tl2br w:val="nil"/>
                    <w:tr2bl w:val="nil"/>
                  </w:tcBorders>
                  <w:vAlign w:val="center"/>
                </w:tcPr>
                <w:p w14:paraId="5E0E4EBC">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r w14:paraId="56D53E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504DF19E">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605FAA76">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40B9C002">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43AC2F50">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tcBorders>
                    <w:tl2br w:val="nil"/>
                    <w:tr2bl w:val="nil"/>
                  </w:tcBorders>
                  <w:vAlign w:val="center"/>
                </w:tcPr>
                <w:p w14:paraId="49F9B8F4">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土地资源重点管控区</w:t>
                  </w:r>
                </w:p>
              </w:tc>
              <w:tc>
                <w:tcPr>
                  <w:tcW w:w="240" w:type="pct"/>
                  <w:tcBorders>
                    <w:tl2br w:val="nil"/>
                    <w:tr2bl w:val="nil"/>
                  </w:tcBorders>
                  <w:vAlign w:val="center"/>
                </w:tcPr>
                <w:p w14:paraId="76DCE679">
                  <w:pPr>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空间布局约束</w:t>
                  </w:r>
                </w:p>
              </w:tc>
              <w:tc>
                <w:tcPr>
                  <w:tcW w:w="2465" w:type="pct"/>
                  <w:tcBorders>
                    <w:tl2br w:val="nil"/>
                    <w:tr2bl w:val="nil"/>
                  </w:tcBorders>
                  <w:vAlign w:val="center"/>
                </w:tcPr>
                <w:p w14:paraId="6BAC0E57">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 xml:space="preserve">1．根据建设用地土壤污染状况调查结果，动态更新污染地块名录，合理确定土地用途。暂不开发利用或现阶段不具备治理修复条件的污染地块，由所在地区（县）人民政府组织划定管控区域，设立标识，发布公告，开展土壤、地表水、地下水、空气环境监测；存在潜在污染扩散风险的，责令相关责任方制定环境风险管控方案；发现污染扩散的，封闭污染区域，采取污染物隔离、阻断等工程和管理措施。 </w:t>
                  </w:r>
                </w:p>
                <w:p w14:paraId="15F69470">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2．重点管控园区应推进园区土地集约、节约利用，项目入园要严格按照有关部门审核同意的项目建设内容使用土地，不得擅自改变土地用途、超越地界线占用土地。</w:t>
                  </w:r>
                </w:p>
              </w:tc>
              <w:tc>
                <w:tcPr>
                  <w:tcW w:w="254" w:type="pct"/>
                  <w:vMerge w:val="continue"/>
                  <w:tcBorders>
                    <w:tl2br w:val="nil"/>
                    <w:tr2bl w:val="nil"/>
                  </w:tcBorders>
                  <w:vAlign w:val="center"/>
                </w:tcPr>
                <w:p w14:paraId="7A60A5F1">
                  <w:pPr>
                    <w:snapToGrid w:val="0"/>
                    <w:spacing w:line="240" w:lineRule="auto"/>
                    <w:ind w:left="0" w:leftChars="0" w:right="0" w:rightChars="0" w:firstLine="0" w:firstLineChars="0"/>
                    <w:jc w:val="center"/>
                    <w:rPr>
                      <w:color w:val="auto"/>
                      <w:szCs w:val="21"/>
                      <w:lang w:eastAsia="zh-CN"/>
                    </w:rPr>
                  </w:pPr>
                </w:p>
              </w:tc>
              <w:tc>
                <w:tcPr>
                  <w:tcW w:w="872" w:type="pct"/>
                  <w:tcBorders>
                    <w:tl2br w:val="nil"/>
                    <w:tr2bl w:val="nil"/>
                  </w:tcBorders>
                  <w:vAlign w:val="center"/>
                </w:tcPr>
                <w:p w14:paraId="66F8F018">
                  <w:pPr>
                    <w:snapToGrid w:val="0"/>
                    <w:spacing w:line="240" w:lineRule="auto"/>
                    <w:ind w:left="0" w:leftChars="0" w:right="0" w:rightChars="0" w:firstLine="0" w:firstLineChars="0"/>
                    <w:jc w:val="both"/>
                    <w:rPr>
                      <w:color w:val="auto"/>
                      <w:szCs w:val="21"/>
                      <w:lang w:eastAsia="zh-CN"/>
                    </w:rPr>
                  </w:pPr>
                  <w:r>
                    <w:rPr>
                      <w:rFonts w:hint="eastAsia"/>
                      <w:color w:val="auto"/>
                      <w:szCs w:val="21"/>
                      <w:lang w:eastAsia="zh-CN"/>
                    </w:rPr>
                    <w:t>本项目位于西北家具工业园，不新增占地，仅在现有厂房内安装设备；厂区用地已全面硬化，危废暂存间已重点防渗，项目建设符合入园要求。</w:t>
                  </w:r>
                </w:p>
              </w:tc>
              <w:tc>
                <w:tcPr>
                  <w:tcW w:w="315" w:type="pct"/>
                  <w:tcBorders>
                    <w:tl2br w:val="nil"/>
                    <w:tr2bl w:val="nil"/>
                  </w:tcBorders>
                  <w:vAlign w:val="center"/>
                </w:tcPr>
                <w:p w14:paraId="134C8F05">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r w14:paraId="494A16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7ABBE9DF">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02DE4177">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7E51432C">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1B325594">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vMerge w:val="restart"/>
                  <w:tcBorders>
                    <w:tl2br w:val="nil"/>
                    <w:tr2bl w:val="nil"/>
                  </w:tcBorders>
                  <w:vAlign w:val="center"/>
                </w:tcPr>
                <w:p w14:paraId="67E191B9">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高污染燃料禁燃区</w:t>
                  </w:r>
                </w:p>
              </w:tc>
              <w:tc>
                <w:tcPr>
                  <w:tcW w:w="240" w:type="pct"/>
                  <w:tcBorders>
                    <w:tl2br w:val="nil"/>
                    <w:tr2bl w:val="nil"/>
                  </w:tcBorders>
                  <w:vAlign w:val="center"/>
                </w:tcPr>
                <w:p w14:paraId="744B4AC7">
                  <w:pPr>
                    <w:snapToGrid w:val="0"/>
                    <w:spacing w:line="240" w:lineRule="auto"/>
                    <w:ind w:left="0" w:leftChars="0" w:right="0" w:rightChars="0" w:firstLine="0" w:firstLineChars="0"/>
                    <w:jc w:val="center"/>
                    <w:rPr>
                      <w:color w:val="auto"/>
                      <w:szCs w:val="21"/>
                      <w:lang w:eastAsia="zh-CN"/>
                    </w:rPr>
                  </w:pPr>
                  <w:r>
                    <w:rPr>
                      <w:rFonts w:hint="eastAsia"/>
                      <w:bCs/>
                      <w:color w:val="auto"/>
                      <w:szCs w:val="21"/>
                      <w:lang w:eastAsia="zh-CN"/>
                    </w:rPr>
                    <w:t>空间布局约束</w:t>
                  </w:r>
                </w:p>
              </w:tc>
              <w:tc>
                <w:tcPr>
                  <w:tcW w:w="2465" w:type="pct"/>
                  <w:tcBorders>
                    <w:tl2br w:val="nil"/>
                    <w:tr2bl w:val="nil"/>
                  </w:tcBorders>
                  <w:vAlign w:val="center"/>
                </w:tcPr>
                <w:p w14:paraId="4ECC6B65">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 xml:space="preserve">1．禁止销售、燃用高污染燃料；禁止新建、扩建燃用高污染燃料的设施。 </w:t>
                  </w:r>
                </w:p>
                <w:p w14:paraId="55741A59">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2．新建、改建、扩建</w:t>
                  </w:r>
                  <w:r>
                    <w:rPr>
                      <w:rFonts w:hint="eastAsia"/>
                      <w:color w:val="auto"/>
                      <w:szCs w:val="21"/>
                      <w:lang w:eastAsia="zh-CN"/>
                    </w:rPr>
                    <w:t>“</w:t>
                  </w:r>
                  <w:r>
                    <w:rPr>
                      <w:color w:val="auto"/>
                      <w:szCs w:val="21"/>
                      <w:lang w:eastAsia="zh-CN"/>
                    </w:rPr>
                    <w:t>两高</w:t>
                  </w:r>
                  <w:r>
                    <w:rPr>
                      <w:rFonts w:hint="eastAsia"/>
                      <w:color w:val="auto"/>
                      <w:szCs w:val="21"/>
                      <w:lang w:eastAsia="zh-CN"/>
                    </w:rPr>
                    <w:t>”</w:t>
                  </w:r>
                  <w:r>
                    <w:rPr>
                      <w:color w:val="auto"/>
                      <w:szCs w:val="21"/>
                      <w:lang w:eastAsia="zh-CN"/>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254" w:type="pct"/>
                  <w:vMerge w:val="continue"/>
                  <w:tcBorders>
                    <w:tl2br w:val="nil"/>
                    <w:tr2bl w:val="nil"/>
                  </w:tcBorders>
                  <w:vAlign w:val="center"/>
                </w:tcPr>
                <w:p w14:paraId="194E2999">
                  <w:pPr>
                    <w:snapToGrid w:val="0"/>
                    <w:spacing w:line="240" w:lineRule="auto"/>
                    <w:ind w:left="0" w:leftChars="0" w:right="0" w:rightChars="0" w:firstLine="0" w:firstLineChars="0"/>
                    <w:jc w:val="center"/>
                    <w:rPr>
                      <w:color w:val="auto"/>
                      <w:szCs w:val="21"/>
                      <w:lang w:eastAsia="zh-CN"/>
                    </w:rPr>
                  </w:pPr>
                </w:p>
              </w:tc>
              <w:tc>
                <w:tcPr>
                  <w:tcW w:w="872" w:type="pct"/>
                  <w:vMerge w:val="restart"/>
                  <w:tcBorders>
                    <w:tl2br w:val="nil"/>
                    <w:tr2bl w:val="nil"/>
                  </w:tcBorders>
                  <w:vAlign w:val="center"/>
                </w:tcPr>
                <w:p w14:paraId="77D66C43">
                  <w:pPr>
                    <w:snapToGrid w:val="0"/>
                    <w:spacing w:line="240" w:lineRule="auto"/>
                    <w:ind w:left="0" w:leftChars="0" w:right="0" w:rightChars="0" w:firstLine="0" w:firstLineChars="0"/>
                    <w:jc w:val="both"/>
                    <w:rPr>
                      <w:color w:val="auto"/>
                      <w:szCs w:val="21"/>
                      <w:lang w:eastAsia="zh-CN"/>
                    </w:rPr>
                  </w:pPr>
                  <w:r>
                    <w:rPr>
                      <w:rFonts w:hint="eastAsia"/>
                      <w:color w:val="auto"/>
                      <w:szCs w:val="21"/>
                      <w:lang w:eastAsia="zh-CN"/>
                    </w:rPr>
                    <w:t>本项目</w:t>
                  </w:r>
                  <w:r>
                    <w:rPr>
                      <w:color w:val="auto"/>
                      <w:szCs w:val="21"/>
                      <w:lang w:eastAsia="zh-CN"/>
                    </w:rPr>
                    <w:t>为</w:t>
                  </w:r>
                  <w:r>
                    <w:rPr>
                      <w:rFonts w:hint="eastAsia"/>
                      <w:color w:val="auto"/>
                      <w:szCs w:val="21"/>
                      <w:lang w:eastAsia="zh-CN"/>
                    </w:rPr>
                    <w:t>金属家具、金属制品制造行业</w:t>
                  </w:r>
                  <w:r>
                    <w:rPr>
                      <w:color w:val="auto"/>
                      <w:szCs w:val="21"/>
                      <w:lang w:eastAsia="zh-CN"/>
                    </w:rPr>
                    <w:t>，不属于</w:t>
                  </w:r>
                  <w:r>
                    <w:rPr>
                      <w:rFonts w:hint="eastAsia"/>
                      <w:color w:val="auto"/>
                      <w:szCs w:val="21"/>
                      <w:lang w:eastAsia="zh-CN"/>
                    </w:rPr>
                    <w:t>“两高”项目；燃烧机使用清洁能源天然气；挥发性有机物、燃烧机废气均执行超低排放限值；满足上述管控要求。</w:t>
                  </w:r>
                </w:p>
              </w:tc>
              <w:tc>
                <w:tcPr>
                  <w:tcW w:w="315" w:type="pct"/>
                  <w:tcBorders>
                    <w:tl2br w:val="nil"/>
                    <w:tr2bl w:val="nil"/>
                  </w:tcBorders>
                  <w:vAlign w:val="center"/>
                </w:tcPr>
                <w:p w14:paraId="4AD41084">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r w14:paraId="699E28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4992B6C5">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5B3B6587">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3DFD4E64">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5B395A69">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vMerge w:val="continue"/>
                  <w:tcBorders>
                    <w:tl2br w:val="nil"/>
                    <w:tr2bl w:val="nil"/>
                  </w:tcBorders>
                  <w:vAlign w:val="center"/>
                </w:tcPr>
                <w:p w14:paraId="63D4F19D">
                  <w:pPr>
                    <w:snapToGrid w:val="0"/>
                    <w:spacing w:line="240" w:lineRule="auto"/>
                    <w:ind w:left="0" w:leftChars="0" w:right="0" w:rightChars="0" w:firstLine="0" w:firstLineChars="0"/>
                    <w:jc w:val="center"/>
                    <w:rPr>
                      <w:color w:val="auto"/>
                      <w:szCs w:val="21"/>
                      <w:lang w:eastAsia="zh-CN"/>
                    </w:rPr>
                  </w:pPr>
                </w:p>
              </w:tc>
              <w:tc>
                <w:tcPr>
                  <w:tcW w:w="240" w:type="pct"/>
                  <w:tcBorders>
                    <w:tl2br w:val="nil"/>
                    <w:tr2bl w:val="nil"/>
                  </w:tcBorders>
                  <w:vAlign w:val="center"/>
                </w:tcPr>
                <w:p w14:paraId="54F7A280">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污染物排放管控</w:t>
                  </w:r>
                </w:p>
              </w:tc>
              <w:tc>
                <w:tcPr>
                  <w:tcW w:w="2465" w:type="pct"/>
                  <w:tcBorders>
                    <w:tl2br w:val="nil"/>
                    <w:tr2bl w:val="nil"/>
                  </w:tcBorders>
                  <w:vAlign w:val="center"/>
                </w:tcPr>
                <w:p w14:paraId="07E65EFF">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推进重点行业污染治理升级改造。二氧化硫、氮氧化物、颗粒物全面执行大气污染物特别排放限值。采取以电代煤、以气代煤，以及地热能、风能和太阳能等清洁能源替代措施。加强秸秆等生物质禁烧。严防因秸秆露天焚烧造成区域性重污染天气。</w:t>
                  </w:r>
                </w:p>
              </w:tc>
              <w:tc>
                <w:tcPr>
                  <w:tcW w:w="254" w:type="pct"/>
                  <w:vMerge w:val="continue"/>
                  <w:tcBorders>
                    <w:tl2br w:val="nil"/>
                    <w:tr2bl w:val="nil"/>
                  </w:tcBorders>
                  <w:vAlign w:val="center"/>
                </w:tcPr>
                <w:p w14:paraId="37261340">
                  <w:pPr>
                    <w:snapToGrid w:val="0"/>
                    <w:spacing w:line="240" w:lineRule="auto"/>
                    <w:ind w:left="0" w:leftChars="0" w:right="0" w:rightChars="0" w:firstLine="0" w:firstLineChars="0"/>
                    <w:jc w:val="center"/>
                    <w:rPr>
                      <w:color w:val="auto"/>
                      <w:szCs w:val="21"/>
                      <w:lang w:eastAsia="zh-CN"/>
                    </w:rPr>
                  </w:pPr>
                </w:p>
              </w:tc>
              <w:tc>
                <w:tcPr>
                  <w:tcW w:w="872" w:type="pct"/>
                  <w:vMerge w:val="continue"/>
                  <w:tcBorders>
                    <w:tl2br w:val="nil"/>
                    <w:tr2bl w:val="nil"/>
                  </w:tcBorders>
                  <w:vAlign w:val="center"/>
                </w:tcPr>
                <w:p w14:paraId="5FEDEFB1">
                  <w:pPr>
                    <w:snapToGrid w:val="0"/>
                    <w:spacing w:line="240" w:lineRule="auto"/>
                    <w:ind w:left="0" w:leftChars="0" w:right="0" w:rightChars="0" w:firstLine="0" w:firstLineChars="0"/>
                    <w:jc w:val="both"/>
                    <w:rPr>
                      <w:color w:val="auto"/>
                      <w:szCs w:val="21"/>
                      <w:lang w:eastAsia="zh-CN"/>
                    </w:rPr>
                  </w:pPr>
                </w:p>
              </w:tc>
              <w:tc>
                <w:tcPr>
                  <w:tcW w:w="315" w:type="pct"/>
                  <w:tcBorders>
                    <w:tl2br w:val="nil"/>
                    <w:tr2bl w:val="nil"/>
                  </w:tcBorders>
                  <w:vAlign w:val="center"/>
                </w:tcPr>
                <w:p w14:paraId="13AAD22D">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r w14:paraId="247310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 w:type="pct"/>
                  <w:vMerge w:val="continue"/>
                  <w:tcBorders>
                    <w:tl2br w:val="nil"/>
                    <w:tr2bl w:val="nil"/>
                  </w:tcBorders>
                  <w:vAlign w:val="center"/>
                </w:tcPr>
                <w:p w14:paraId="00369D13">
                  <w:pPr>
                    <w:snapToGrid w:val="0"/>
                    <w:spacing w:line="240" w:lineRule="auto"/>
                    <w:ind w:left="0" w:leftChars="0" w:right="0" w:rightChars="0" w:firstLine="0" w:firstLineChars="0"/>
                    <w:jc w:val="both"/>
                    <w:rPr>
                      <w:color w:val="auto"/>
                      <w:szCs w:val="21"/>
                    </w:rPr>
                  </w:pPr>
                </w:p>
              </w:tc>
              <w:tc>
                <w:tcPr>
                  <w:tcW w:w="140" w:type="pct"/>
                  <w:vMerge w:val="continue"/>
                  <w:tcBorders>
                    <w:tl2br w:val="nil"/>
                    <w:tr2bl w:val="nil"/>
                  </w:tcBorders>
                  <w:vAlign w:val="center"/>
                </w:tcPr>
                <w:p w14:paraId="684537D8">
                  <w:pPr>
                    <w:snapToGrid w:val="0"/>
                    <w:spacing w:line="240" w:lineRule="auto"/>
                    <w:ind w:left="0" w:leftChars="0" w:right="0" w:rightChars="0" w:firstLine="0" w:firstLineChars="0"/>
                    <w:jc w:val="both"/>
                    <w:rPr>
                      <w:color w:val="auto"/>
                      <w:szCs w:val="21"/>
                    </w:rPr>
                  </w:pPr>
                </w:p>
              </w:tc>
              <w:tc>
                <w:tcPr>
                  <w:tcW w:w="125" w:type="pct"/>
                  <w:vMerge w:val="continue"/>
                  <w:tcBorders>
                    <w:tl2br w:val="nil"/>
                    <w:tr2bl w:val="nil"/>
                  </w:tcBorders>
                  <w:vAlign w:val="center"/>
                </w:tcPr>
                <w:p w14:paraId="409356BE">
                  <w:pPr>
                    <w:snapToGrid w:val="0"/>
                    <w:spacing w:line="240" w:lineRule="auto"/>
                    <w:ind w:left="0" w:leftChars="0" w:right="0" w:rightChars="0" w:firstLine="0" w:firstLineChars="0"/>
                    <w:jc w:val="both"/>
                    <w:rPr>
                      <w:color w:val="auto"/>
                      <w:szCs w:val="21"/>
                      <w:lang w:eastAsia="zh-CN"/>
                    </w:rPr>
                  </w:pPr>
                </w:p>
              </w:tc>
              <w:tc>
                <w:tcPr>
                  <w:tcW w:w="245" w:type="pct"/>
                  <w:vMerge w:val="continue"/>
                  <w:tcBorders>
                    <w:tl2br w:val="nil"/>
                    <w:tr2bl w:val="nil"/>
                  </w:tcBorders>
                  <w:vAlign w:val="center"/>
                </w:tcPr>
                <w:p w14:paraId="41B1A40A">
                  <w:pPr>
                    <w:snapToGrid w:val="0"/>
                    <w:spacing w:line="240" w:lineRule="auto"/>
                    <w:ind w:left="0" w:leftChars="0" w:right="0" w:rightChars="0" w:firstLine="0" w:firstLineChars="0"/>
                    <w:jc w:val="center"/>
                    <w:rPr>
                      <w:rFonts w:eastAsia="宋体" w:cs="Times New Roman"/>
                      <w:color w:val="auto"/>
                      <w:szCs w:val="21"/>
                      <w:lang w:eastAsia="zh-CN"/>
                    </w:rPr>
                  </w:pPr>
                </w:p>
              </w:tc>
              <w:tc>
                <w:tcPr>
                  <w:tcW w:w="224" w:type="pct"/>
                  <w:vMerge w:val="continue"/>
                  <w:tcBorders>
                    <w:tl2br w:val="nil"/>
                    <w:tr2bl w:val="nil"/>
                  </w:tcBorders>
                  <w:vAlign w:val="center"/>
                </w:tcPr>
                <w:p w14:paraId="570D3937">
                  <w:pPr>
                    <w:snapToGrid w:val="0"/>
                    <w:spacing w:line="240" w:lineRule="auto"/>
                    <w:ind w:left="0" w:leftChars="0" w:right="0" w:rightChars="0" w:firstLine="0" w:firstLineChars="0"/>
                    <w:jc w:val="center"/>
                    <w:rPr>
                      <w:color w:val="auto"/>
                      <w:szCs w:val="21"/>
                      <w:lang w:eastAsia="zh-CN"/>
                    </w:rPr>
                  </w:pPr>
                </w:p>
              </w:tc>
              <w:tc>
                <w:tcPr>
                  <w:tcW w:w="240" w:type="pct"/>
                  <w:tcBorders>
                    <w:tl2br w:val="nil"/>
                    <w:tr2bl w:val="nil"/>
                  </w:tcBorders>
                  <w:vAlign w:val="center"/>
                </w:tcPr>
                <w:p w14:paraId="34634440">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资源利用效率</w:t>
                  </w:r>
                </w:p>
              </w:tc>
              <w:tc>
                <w:tcPr>
                  <w:tcW w:w="2465" w:type="pct"/>
                  <w:tcBorders>
                    <w:tl2br w:val="nil"/>
                    <w:tr2bl w:val="nil"/>
                  </w:tcBorders>
                  <w:vAlign w:val="center"/>
                </w:tcPr>
                <w:p w14:paraId="2E8ED852">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 xml:space="preserve">1．实施煤炭消费总量控制。煤炭消费总量控制以散煤削减为主，规上工业以燃料煤削减为主，完成省上下达的年度煤炭削减任务。 </w:t>
                  </w:r>
                </w:p>
                <w:p w14:paraId="633DF108">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 xml:space="preserve">2．全面加强秸秆综合利用。推广固化成型、生物气化、热解气化、炭化等能源化利用技术。 </w:t>
                  </w:r>
                </w:p>
                <w:p w14:paraId="24165AD3">
                  <w:pPr>
                    <w:adjustRightInd w:val="0"/>
                    <w:snapToGrid w:val="0"/>
                    <w:spacing w:line="240" w:lineRule="auto"/>
                    <w:ind w:left="0" w:leftChars="0" w:right="0" w:rightChars="0" w:firstLine="0" w:firstLineChars="0"/>
                    <w:jc w:val="both"/>
                    <w:rPr>
                      <w:color w:val="auto"/>
                      <w:szCs w:val="21"/>
                      <w:lang w:eastAsia="zh-CN"/>
                    </w:rPr>
                  </w:pPr>
                  <w:r>
                    <w:rPr>
                      <w:color w:val="auto"/>
                      <w:szCs w:val="21"/>
                      <w:lang w:eastAsia="zh-CN"/>
                    </w:rPr>
                    <w:t>3．加快发展清洁能源和新能源。有序发展水电，优化风能、太阳能开发布局，因地制宜发展地热能等。</w:t>
                  </w:r>
                </w:p>
              </w:tc>
              <w:tc>
                <w:tcPr>
                  <w:tcW w:w="254" w:type="pct"/>
                  <w:vMerge w:val="continue"/>
                  <w:tcBorders>
                    <w:tl2br w:val="nil"/>
                    <w:tr2bl w:val="nil"/>
                  </w:tcBorders>
                  <w:vAlign w:val="center"/>
                </w:tcPr>
                <w:p w14:paraId="1198D7F7">
                  <w:pPr>
                    <w:snapToGrid w:val="0"/>
                    <w:spacing w:line="240" w:lineRule="auto"/>
                    <w:ind w:left="0" w:leftChars="0" w:right="0" w:rightChars="0" w:firstLine="0" w:firstLineChars="0"/>
                    <w:jc w:val="center"/>
                    <w:rPr>
                      <w:color w:val="auto"/>
                      <w:szCs w:val="21"/>
                      <w:lang w:eastAsia="zh-CN"/>
                    </w:rPr>
                  </w:pPr>
                </w:p>
              </w:tc>
              <w:tc>
                <w:tcPr>
                  <w:tcW w:w="872" w:type="pct"/>
                  <w:vMerge w:val="continue"/>
                  <w:tcBorders>
                    <w:tl2br w:val="nil"/>
                    <w:tr2bl w:val="nil"/>
                  </w:tcBorders>
                  <w:vAlign w:val="center"/>
                </w:tcPr>
                <w:p w14:paraId="14301BC9">
                  <w:pPr>
                    <w:snapToGrid w:val="0"/>
                    <w:spacing w:line="240" w:lineRule="auto"/>
                    <w:ind w:left="0" w:leftChars="0" w:right="0" w:rightChars="0" w:firstLine="0" w:firstLineChars="0"/>
                    <w:jc w:val="both"/>
                    <w:rPr>
                      <w:color w:val="auto"/>
                      <w:szCs w:val="21"/>
                      <w:lang w:eastAsia="zh-CN"/>
                    </w:rPr>
                  </w:pPr>
                </w:p>
              </w:tc>
              <w:tc>
                <w:tcPr>
                  <w:tcW w:w="315" w:type="pct"/>
                  <w:tcBorders>
                    <w:tl2br w:val="nil"/>
                    <w:tr2bl w:val="nil"/>
                  </w:tcBorders>
                  <w:vAlign w:val="center"/>
                </w:tcPr>
                <w:p w14:paraId="21A66750">
                  <w:pPr>
                    <w:snapToGrid w:val="0"/>
                    <w:spacing w:line="240" w:lineRule="auto"/>
                    <w:ind w:left="0" w:leftChars="0" w:right="0" w:rightChars="0" w:firstLine="0" w:firstLineChars="0"/>
                    <w:jc w:val="center"/>
                    <w:rPr>
                      <w:color w:val="auto"/>
                      <w:szCs w:val="21"/>
                    </w:rPr>
                  </w:pPr>
                  <w:r>
                    <w:rPr>
                      <w:rFonts w:hint="eastAsia"/>
                      <w:bCs/>
                      <w:color w:val="auto"/>
                      <w:szCs w:val="21"/>
                      <w:lang w:eastAsia="zh-CN"/>
                    </w:rPr>
                    <w:t>符合</w:t>
                  </w:r>
                </w:p>
              </w:tc>
            </w:tr>
          </w:tbl>
          <w:p w14:paraId="2831CF46">
            <w:pPr>
              <w:numPr>
                <w:ilvl w:val="0"/>
                <w:numId w:val="2"/>
              </w:numPr>
              <w:autoSpaceDE w:val="0"/>
              <w:autoSpaceDN w:val="0"/>
              <w:adjustRightInd w:val="0"/>
              <w:snapToGrid w:val="0"/>
              <w:ind w:left="0" w:leftChars="0" w:firstLine="480"/>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“一说明”</w:t>
            </w:r>
          </w:p>
          <w:p w14:paraId="695D8C55">
            <w:pPr>
              <w:ind w:firstLine="420"/>
              <w:jc w:val="both"/>
              <w:rPr>
                <w:rFonts w:eastAsia="宋体" w:cs="Times New Roman"/>
                <w:color w:val="0000FF"/>
                <w:sz w:val="24"/>
                <w:szCs w:val="24"/>
                <w:lang w:eastAsia="zh-CN"/>
              </w:rPr>
            </w:pPr>
            <w:r>
              <w:rPr>
                <w:rFonts w:hint="eastAsia"/>
                <w:color w:val="0000FF"/>
                <w:lang w:eastAsia="zh-CN"/>
              </w:rPr>
              <w:t xml:space="preserve"> </w:t>
            </w:r>
            <w:r>
              <w:rPr>
                <w:rFonts w:hint="eastAsia" w:ascii="宋体" w:hAnsi="宋体" w:eastAsia="宋体" w:cs="宋体"/>
                <w:snapToGrid w:val="0"/>
                <w:color w:val="0000FF"/>
                <w:kern w:val="2"/>
                <w:sz w:val="24"/>
                <w:szCs w:val="24"/>
                <w:lang w:eastAsia="zh-CN"/>
              </w:rPr>
              <w:t>本项目位于</w:t>
            </w:r>
            <w:r>
              <w:rPr>
                <w:rFonts w:hint="eastAsia" w:ascii="宋体" w:hAnsi="宋体" w:eastAsia="宋体" w:cs="宋体"/>
                <w:snapToGrid w:val="0"/>
                <w:color w:val="0000FF"/>
                <w:kern w:val="2"/>
                <w:sz w:val="24"/>
                <w:szCs w:val="24"/>
                <w:lang w:val="en-US" w:eastAsia="zh-CN"/>
              </w:rPr>
              <w:t>西安市</w:t>
            </w:r>
            <w:r>
              <w:rPr>
                <w:rFonts w:hint="eastAsia" w:ascii="宋体" w:hAnsi="宋体" w:eastAsia="宋体" w:cs="宋体"/>
                <w:snapToGrid w:val="0"/>
                <w:color w:val="0000FF"/>
                <w:kern w:val="2"/>
                <w:sz w:val="24"/>
                <w:szCs w:val="24"/>
                <w:lang w:eastAsia="zh-CN"/>
              </w:rPr>
              <w:t>重点管控</w:t>
            </w:r>
            <w:r>
              <w:rPr>
                <w:rFonts w:hint="eastAsia" w:ascii="宋体" w:hAnsi="宋体" w:eastAsia="宋体" w:cs="宋体"/>
                <w:snapToGrid w:val="0"/>
                <w:color w:val="0000FF"/>
                <w:kern w:val="2"/>
                <w:sz w:val="24"/>
                <w:szCs w:val="24"/>
                <w:lang w:val="en-US" w:eastAsia="zh-CN"/>
              </w:rPr>
              <w:t>单元</w:t>
            </w:r>
            <w:r>
              <w:rPr>
                <w:rFonts w:hint="eastAsia" w:ascii="宋体" w:hAnsi="宋体" w:eastAsia="宋体" w:cs="宋体"/>
                <w:snapToGrid w:val="0"/>
                <w:color w:val="0000FF"/>
                <w:kern w:val="2"/>
                <w:sz w:val="24"/>
                <w:szCs w:val="24"/>
                <w:lang w:eastAsia="zh-CN"/>
              </w:rPr>
              <w:t>，不涉及优先保护单元、一般管控单元，不涉及生态保护红线、不突破环境质量底线、不触及资源利用上线，项目建设符合“三线一单”及其管控要求。</w:t>
            </w:r>
          </w:p>
          <w:p w14:paraId="24E205D9">
            <w:pPr>
              <w:autoSpaceDE w:val="0"/>
              <w:autoSpaceDN w:val="0"/>
              <w:adjustRightInd w:val="0"/>
              <w:snapToGrid w:val="0"/>
              <w:ind w:left="0" w:leftChars="0" w:firstLine="482"/>
              <w:jc w:val="both"/>
              <w:rPr>
                <w:rFonts w:cs="Times New Roman"/>
                <w:b/>
                <w:bCs/>
                <w:color w:val="auto"/>
                <w:sz w:val="24"/>
                <w:szCs w:val="24"/>
                <w:lang w:eastAsia="zh-CN"/>
              </w:rPr>
            </w:pPr>
            <w:r>
              <w:rPr>
                <w:rFonts w:hint="eastAsia" w:cs="Times New Roman"/>
                <w:b/>
                <w:bCs/>
                <w:color w:val="auto"/>
                <w:sz w:val="24"/>
                <w:szCs w:val="24"/>
                <w:lang w:eastAsia="zh-CN"/>
              </w:rPr>
              <w:t>3</w:t>
            </w:r>
            <w:r>
              <w:rPr>
                <w:rFonts w:cs="Times New Roman"/>
                <w:b/>
                <w:bCs/>
                <w:color w:val="auto"/>
                <w:sz w:val="24"/>
                <w:szCs w:val="24"/>
                <w:lang w:eastAsia="zh-CN"/>
              </w:rPr>
              <w:t>、相关环保政策符合性分析</w:t>
            </w:r>
          </w:p>
          <w:p w14:paraId="04392127">
            <w:pPr>
              <w:autoSpaceDE w:val="0"/>
              <w:autoSpaceDN w:val="0"/>
              <w:adjustRightInd w:val="0"/>
              <w:snapToGrid w:val="0"/>
              <w:ind w:firstLine="480"/>
              <w:jc w:val="both"/>
              <w:rPr>
                <w:rFonts w:cs="Times New Roman"/>
                <w:color w:val="auto"/>
                <w:sz w:val="24"/>
                <w:szCs w:val="24"/>
                <w:lang w:eastAsia="zh-CN"/>
              </w:rPr>
            </w:pPr>
            <w:r>
              <w:rPr>
                <w:rFonts w:cs="Times New Roman"/>
                <w:color w:val="auto"/>
                <w:sz w:val="24"/>
                <w:szCs w:val="24"/>
                <w:lang w:eastAsia="zh-CN"/>
              </w:rPr>
              <w:t>本项目与相关环保政策符合性分析见下表。</w:t>
            </w:r>
          </w:p>
          <w:p w14:paraId="4EFC94C4">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w:t>
            </w:r>
            <w:r>
              <w:rPr>
                <w:rFonts w:hint="eastAsia" w:eastAsia="宋体" w:cs="Times New Roman"/>
                <w:b/>
                <w:bCs/>
                <w:color w:val="auto"/>
                <w:szCs w:val="21"/>
                <w:lang w:eastAsia="zh-CN"/>
              </w:rPr>
              <w:t xml:space="preserve">1-5   </w:t>
            </w:r>
            <w:r>
              <w:rPr>
                <w:rFonts w:eastAsia="宋体" w:cs="Times New Roman"/>
                <w:b/>
                <w:bCs/>
                <w:color w:val="auto"/>
                <w:szCs w:val="21"/>
                <w:lang w:eastAsia="zh-CN"/>
              </w:rPr>
              <w:t>项目与相关环保政策符合性分析表</w:t>
            </w:r>
          </w:p>
          <w:tbl>
            <w:tblPr>
              <w:tblStyle w:val="26"/>
              <w:tblW w:w="4995"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079"/>
              <w:gridCol w:w="8867"/>
              <w:gridCol w:w="2543"/>
              <w:gridCol w:w="886"/>
            </w:tblGrid>
            <w:tr w14:paraId="5C6EB6D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tcBorders>
                    <w:tl2br w:val="nil"/>
                    <w:tr2bl w:val="nil"/>
                  </w:tcBorders>
                  <w:vAlign w:val="center"/>
                </w:tcPr>
                <w:p w14:paraId="459C1C45">
                  <w:pPr>
                    <w:widowControl/>
                    <w:spacing w:line="240" w:lineRule="auto"/>
                    <w:ind w:left="0" w:leftChars="0" w:right="0" w:rightChars="0" w:firstLine="0" w:firstLineChars="0"/>
                    <w:jc w:val="center"/>
                    <w:rPr>
                      <w:rFonts w:eastAsia="宋体" w:cs="Times New Roman"/>
                      <w:b/>
                      <w:bCs/>
                      <w:color w:val="auto"/>
                      <w:szCs w:val="21"/>
                      <w:u w:color="000000"/>
                    </w:rPr>
                  </w:pPr>
                  <w:r>
                    <w:rPr>
                      <w:rFonts w:eastAsia="宋体" w:cs="Times New Roman"/>
                      <w:b/>
                      <w:bCs/>
                      <w:color w:val="auto"/>
                      <w:szCs w:val="21"/>
                      <w:u w:color="000000"/>
                    </w:rPr>
                    <w:t>名称</w:t>
                  </w:r>
                </w:p>
              </w:tc>
              <w:tc>
                <w:tcPr>
                  <w:tcW w:w="3083" w:type="pct"/>
                  <w:tcBorders>
                    <w:tl2br w:val="nil"/>
                    <w:tr2bl w:val="nil"/>
                  </w:tcBorders>
                  <w:vAlign w:val="center"/>
                </w:tcPr>
                <w:p w14:paraId="6B261111">
                  <w:pPr>
                    <w:widowControl/>
                    <w:spacing w:line="240" w:lineRule="auto"/>
                    <w:ind w:left="0" w:leftChars="0" w:right="0" w:rightChars="0" w:firstLine="0" w:firstLineChars="0"/>
                    <w:jc w:val="center"/>
                    <w:rPr>
                      <w:rFonts w:eastAsia="宋体" w:cs="Times New Roman"/>
                      <w:b/>
                      <w:bCs/>
                      <w:color w:val="auto"/>
                      <w:szCs w:val="21"/>
                      <w:u w:color="000000"/>
                      <w:lang w:eastAsia="zh-CN"/>
                    </w:rPr>
                  </w:pPr>
                  <w:r>
                    <w:rPr>
                      <w:rFonts w:eastAsia="宋体" w:cs="Times New Roman"/>
                      <w:b/>
                      <w:bCs/>
                      <w:color w:val="auto"/>
                      <w:szCs w:val="21"/>
                      <w:u w:color="000000"/>
                      <w:lang w:eastAsia="zh-CN"/>
                    </w:rPr>
                    <w:t>政策要求</w:t>
                  </w:r>
                </w:p>
              </w:tc>
              <w:tc>
                <w:tcPr>
                  <w:tcW w:w="884" w:type="pct"/>
                  <w:tcBorders>
                    <w:tl2br w:val="nil"/>
                    <w:tr2bl w:val="nil"/>
                  </w:tcBorders>
                  <w:vAlign w:val="center"/>
                </w:tcPr>
                <w:p w14:paraId="1C71AA7C">
                  <w:pPr>
                    <w:widowControl/>
                    <w:spacing w:line="240" w:lineRule="auto"/>
                    <w:ind w:left="0" w:leftChars="0" w:right="0" w:rightChars="0" w:firstLine="0" w:firstLineChars="0"/>
                    <w:jc w:val="center"/>
                    <w:rPr>
                      <w:rFonts w:eastAsia="宋体" w:cs="Times New Roman"/>
                      <w:color w:val="auto"/>
                      <w:szCs w:val="21"/>
                      <w:u w:color="000000"/>
                    </w:rPr>
                  </w:pPr>
                  <w:r>
                    <w:rPr>
                      <w:rFonts w:eastAsia="宋体" w:cs="Times New Roman"/>
                      <w:b/>
                      <w:bCs/>
                      <w:color w:val="auto"/>
                      <w:szCs w:val="21"/>
                      <w:u w:color="000000"/>
                    </w:rPr>
                    <w:t>本</w:t>
                  </w:r>
                  <w:r>
                    <w:rPr>
                      <w:rFonts w:eastAsia="宋体" w:cs="Times New Roman"/>
                      <w:b/>
                      <w:bCs/>
                      <w:color w:val="auto"/>
                      <w:szCs w:val="21"/>
                      <w:u w:color="000000"/>
                      <w:lang w:eastAsia="zh-CN"/>
                    </w:rPr>
                    <w:t>扩建</w:t>
                  </w:r>
                  <w:r>
                    <w:rPr>
                      <w:rFonts w:eastAsia="宋体" w:cs="Times New Roman"/>
                      <w:b/>
                      <w:bCs/>
                      <w:color w:val="auto"/>
                      <w:szCs w:val="21"/>
                      <w:u w:color="000000"/>
                    </w:rPr>
                    <w:t>项目情况</w:t>
                  </w:r>
                </w:p>
              </w:tc>
              <w:tc>
                <w:tcPr>
                  <w:tcW w:w="308" w:type="pct"/>
                  <w:tcBorders>
                    <w:tl2br w:val="nil"/>
                    <w:tr2bl w:val="nil"/>
                  </w:tcBorders>
                  <w:vAlign w:val="center"/>
                </w:tcPr>
                <w:p w14:paraId="73E830B0">
                  <w:pPr>
                    <w:widowControl/>
                    <w:spacing w:line="240" w:lineRule="auto"/>
                    <w:ind w:left="0" w:leftChars="0" w:right="0" w:rightChars="0" w:firstLine="0" w:firstLineChars="0"/>
                    <w:jc w:val="center"/>
                    <w:rPr>
                      <w:rFonts w:eastAsia="宋体" w:cs="Times New Roman"/>
                      <w:color w:val="auto"/>
                      <w:szCs w:val="21"/>
                      <w:u w:color="000000"/>
                    </w:rPr>
                  </w:pPr>
                  <w:r>
                    <w:rPr>
                      <w:rFonts w:eastAsia="宋体" w:cs="Times New Roman"/>
                      <w:b/>
                      <w:bCs/>
                      <w:color w:val="auto"/>
                      <w:szCs w:val="21"/>
                      <w:u w:color="000000"/>
                    </w:rPr>
                    <w:t>符合性</w:t>
                  </w:r>
                </w:p>
              </w:tc>
            </w:tr>
            <w:tr w14:paraId="7CBD3A2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tcBorders>
                    <w:tl2br w:val="nil"/>
                    <w:tr2bl w:val="nil"/>
                  </w:tcBorders>
                  <w:vAlign w:val="center"/>
                </w:tcPr>
                <w:p w14:paraId="3EC94CF7">
                  <w:pPr>
                    <w:widowControl/>
                    <w:spacing w:line="240" w:lineRule="auto"/>
                    <w:ind w:left="0" w:leftChars="0" w:right="0" w:rightChars="0" w:firstLine="0" w:firstLineChars="0"/>
                    <w:jc w:val="center"/>
                    <w:rPr>
                      <w:rFonts w:eastAsia="宋体" w:cs="Times New Roman"/>
                      <w:b/>
                      <w:bCs/>
                      <w:color w:val="auto"/>
                      <w:szCs w:val="21"/>
                      <w:u w:color="000000"/>
                      <w:lang w:eastAsia="zh-CN"/>
                    </w:rPr>
                  </w:pPr>
                  <w:r>
                    <w:rPr>
                      <w:rFonts w:eastAsia="宋体" w:cs="Times New Roman"/>
                      <w:color w:val="auto"/>
                      <w:szCs w:val="21"/>
                      <w:lang w:eastAsia="zh-CN"/>
                    </w:rPr>
                    <w:t>《陕西省</w:t>
                  </w:r>
                  <w:r>
                    <w:rPr>
                      <w:rFonts w:hint="eastAsia" w:eastAsia="宋体" w:cs="Times New Roman"/>
                      <w:color w:val="auto"/>
                      <w:szCs w:val="21"/>
                      <w:lang w:eastAsia="zh-CN"/>
                    </w:rPr>
                    <w:t>“</w:t>
                  </w:r>
                  <w:r>
                    <w:rPr>
                      <w:rFonts w:eastAsia="宋体" w:cs="Times New Roman"/>
                      <w:color w:val="auto"/>
                      <w:szCs w:val="21"/>
                      <w:lang w:eastAsia="zh-CN"/>
                    </w:rPr>
                    <w:t>十四五</w:t>
                  </w:r>
                  <w:r>
                    <w:rPr>
                      <w:rFonts w:hint="eastAsia" w:eastAsia="宋体" w:cs="Times New Roman"/>
                      <w:color w:val="auto"/>
                      <w:szCs w:val="21"/>
                      <w:lang w:eastAsia="zh-CN"/>
                    </w:rPr>
                    <w:t>”</w:t>
                  </w:r>
                  <w:r>
                    <w:rPr>
                      <w:rFonts w:eastAsia="宋体" w:cs="Times New Roman"/>
                      <w:color w:val="auto"/>
                      <w:szCs w:val="21"/>
                      <w:lang w:eastAsia="zh-CN"/>
                    </w:rPr>
                    <w:t>生态环境保护规划》</w:t>
                  </w:r>
                </w:p>
              </w:tc>
              <w:tc>
                <w:tcPr>
                  <w:tcW w:w="3083" w:type="pct"/>
                  <w:tcBorders>
                    <w:tl2br w:val="nil"/>
                    <w:tr2bl w:val="nil"/>
                  </w:tcBorders>
                  <w:vAlign w:val="center"/>
                </w:tcPr>
                <w:p w14:paraId="64B5B07F">
                  <w:pPr>
                    <w:widowControl/>
                    <w:spacing w:line="240" w:lineRule="auto"/>
                    <w:ind w:left="0" w:leftChars="0" w:right="0" w:rightChars="0" w:firstLine="0" w:firstLineChars="0"/>
                    <w:jc w:val="both"/>
                    <w:rPr>
                      <w:rFonts w:eastAsia="宋体" w:cs="Times New Roman"/>
                      <w:b/>
                      <w:bCs/>
                      <w:color w:val="auto"/>
                      <w:szCs w:val="21"/>
                      <w:u w:color="000000"/>
                      <w:lang w:eastAsia="zh-CN"/>
                    </w:rPr>
                  </w:pPr>
                  <w:r>
                    <w:rPr>
                      <w:rFonts w:eastAsia="宋体" w:cs="Times New Roman"/>
                      <w:color w:val="auto"/>
                      <w:szCs w:val="21"/>
                      <w:lang w:eastAsia="zh-CN"/>
                    </w:rPr>
                    <w:t>推进重点行业挥发性有机物综合整治。建立石化、化工、工业涂装、包装印刷、家具、电子制造、工程机械制造等重点行业源头、过程和末端全过程控制体系，实施挥发性有机物总量控制。全面落实《挥发性有机物无组织排放控制标准（GB37822-2019）》要求，持续开展无组织排放排查整治工作，加强含挥发性有机物物料全方位、全链条、全环节密闭管理。企业新建治污设施或对现有治污设施实施改造，应依据排放废气的浓度、组分、风量，温度、湿度、压力，以及生产工况等，合理选择治理技术和治污设施，提高挥发性有机物治理效率。</w:t>
                  </w:r>
                </w:p>
              </w:tc>
              <w:tc>
                <w:tcPr>
                  <w:tcW w:w="884" w:type="pct"/>
                  <w:vMerge w:val="restart"/>
                  <w:tcBorders>
                    <w:tl2br w:val="nil"/>
                    <w:tr2bl w:val="nil"/>
                  </w:tcBorders>
                  <w:vAlign w:val="center"/>
                </w:tcPr>
                <w:p w14:paraId="43CBF914">
                  <w:pPr>
                    <w:widowControl/>
                    <w:spacing w:line="240" w:lineRule="auto"/>
                    <w:ind w:left="0" w:leftChars="0" w:right="0" w:rightChars="0" w:firstLine="0" w:firstLineChars="0"/>
                    <w:jc w:val="both"/>
                    <w:rPr>
                      <w:rFonts w:cs="Times New Roman"/>
                      <w:color w:val="auto"/>
                      <w:szCs w:val="21"/>
                      <w:u w:color="000000"/>
                      <w:lang w:eastAsia="zh-CN"/>
                    </w:rPr>
                  </w:pPr>
                  <w:r>
                    <w:rPr>
                      <w:rFonts w:hint="eastAsia" w:eastAsia="宋体" w:cs="Times New Roman"/>
                      <w:color w:val="auto"/>
                      <w:szCs w:val="21"/>
                      <w:u w:color="000000"/>
                      <w:lang w:eastAsia="zh-CN"/>
                    </w:rPr>
                    <w:t>本项目建立了源头、过程、末端全过程控制体系，实施挥发性有机物总量控制；生产过程中可全面落实</w:t>
                  </w:r>
                  <w:r>
                    <w:rPr>
                      <w:rFonts w:eastAsia="宋体" w:cs="Times New Roman"/>
                      <w:color w:val="auto"/>
                      <w:szCs w:val="21"/>
                      <w:lang w:eastAsia="zh-CN"/>
                    </w:rPr>
                    <w:t>《挥发性有机物无组织排放控制标准（GB37822-2019）》要求</w:t>
                  </w:r>
                  <w:r>
                    <w:rPr>
                      <w:rFonts w:hint="eastAsia" w:eastAsia="宋体" w:cs="Times New Roman"/>
                      <w:color w:val="auto"/>
                      <w:szCs w:val="21"/>
                      <w:lang w:eastAsia="zh-CN"/>
                    </w:rPr>
                    <w:t>。</w:t>
                  </w:r>
                </w:p>
              </w:tc>
              <w:tc>
                <w:tcPr>
                  <w:tcW w:w="308" w:type="pct"/>
                  <w:tcBorders>
                    <w:tl2br w:val="nil"/>
                    <w:tr2bl w:val="nil"/>
                  </w:tcBorders>
                  <w:vAlign w:val="center"/>
                </w:tcPr>
                <w:p w14:paraId="0A5D1B78">
                  <w:pPr>
                    <w:widowControl/>
                    <w:spacing w:line="240" w:lineRule="auto"/>
                    <w:ind w:left="0" w:leftChars="0" w:right="0" w:rightChars="0" w:firstLine="0" w:firstLineChars="0"/>
                    <w:jc w:val="center"/>
                    <w:rPr>
                      <w:rFonts w:eastAsia="宋体" w:cs="Times New Roman"/>
                      <w:color w:val="auto"/>
                      <w:szCs w:val="21"/>
                      <w:u w:color="000000"/>
                      <w:lang w:eastAsia="zh-CN"/>
                    </w:rPr>
                  </w:pPr>
                  <w:r>
                    <w:rPr>
                      <w:rFonts w:hint="eastAsia" w:eastAsia="宋体" w:cs="Times New Roman"/>
                      <w:color w:val="auto"/>
                      <w:szCs w:val="21"/>
                      <w:u w:color="000000"/>
                      <w:lang w:eastAsia="zh-CN"/>
                    </w:rPr>
                    <w:t>符合</w:t>
                  </w:r>
                </w:p>
              </w:tc>
            </w:tr>
            <w:tr w14:paraId="58774FE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tcBorders>
                    <w:tl2br w:val="nil"/>
                    <w:tr2bl w:val="nil"/>
                  </w:tcBorders>
                  <w:vAlign w:val="center"/>
                </w:tcPr>
                <w:p w14:paraId="077EA01D">
                  <w:pPr>
                    <w:adjustRightInd w:val="0"/>
                    <w:snapToGrid w:val="0"/>
                    <w:spacing w:line="240" w:lineRule="auto"/>
                    <w:ind w:left="0" w:leftChars="0" w:right="0" w:rightChars="0" w:firstLine="0" w:firstLineChars="0"/>
                    <w:jc w:val="center"/>
                    <w:rPr>
                      <w:rFonts w:eastAsia="宋体" w:cs="Times New Roman"/>
                      <w:b/>
                      <w:bCs/>
                      <w:color w:val="auto"/>
                      <w:szCs w:val="21"/>
                      <w:u w:color="000000"/>
                      <w:lang w:eastAsia="zh-CN"/>
                    </w:rPr>
                  </w:pPr>
                  <w:r>
                    <w:rPr>
                      <w:rFonts w:eastAsia="宋体" w:cs="Times New Roman"/>
                      <w:color w:val="auto"/>
                      <w:szCs w:val="21"/>
                      <w:lang w:eastAsia="zh-CN"/>
                    </w:rPr>
                    <w:t>《西安市</w:t>
                  </w:r>
                  <w:r>
                    <w:rPr>
                      <w:rFonts w:hint="eastAsia" w:eastAsia="宋体" w:cs="Times New Roman"/>
                      <w:color w:val="auto"/>
                      <w:szCs w:val="21"/>
                      <w:lang w:eastAsia="zh-CN"/>
                    </w:rPr>
                    <w:t>“</w:t>
                  </w:r>
                  <w:r>
                    <w:rPr>
                      <w:rFonts w:eastAsia="宋体" w:cs="Times New Roman"/>
                      <w:color w:val="auto"/>
                      <w:szCs w:val="21"/>
                      <w:lang w:eastAsia="zh-CN"/>
                    </w:rPr>
                    <w:t>十四五</w:t>
                  </w:r>
                  <w:r>
                    <w:rPr>
                      <w:rFonts w:hint="eastAsia" w:eastAsia="宋体" w:cs="Times New Roman"/>
                      <w:color w:val="auto"/>
                      <w:szCs w:val="21"/>
                      <w:lang w:eastAsia="zh-CN"/>
                    </w:rPr>
                    <w:t>”</w:t>
                  </w:r>
                  <w:r>
                    <w:rPr>
                      <w:rFonts w:eastAsia="宋体" w:cs="Times New Roman"/>
                      <w:color w:val="auto"/>
                      <w:szCs w:val="21"/>
                      <w:lang w:eastAsia="zh-CN"/>
                    </w:rPr>
                    <w:t>生态环境保护规划》</w:t>
                  </w:r>
                </w:p>
              </w:tc>
              <w:tc>
                <w:tcPr>
                  <w:tcW w:w="3083" w:type="pct"/>
                  <w:tcBorders>
                    <w:tl2br w:val="nil"/>
                    <w:tr2bl w:val="nil"/>
                  </w:tcBorders>
                  <w:vAlign w:val="center"/>
                </w:tcPr>
                <w:p w14:paraId="2DCC0631">
                  <w:pPr>
                    <w:adjustRightInd w:val="0"/>
                    <w:snapToGrid w:val="0"/>
                    <w:spacing w:line="240" w:lineRule="auto"/>
                    <w:ind w:left="0" w:leftChars="0" w:right="0" w:rightChars="0" w:firstLine="0" w:firstLineChars="0"/>
                    <w:jc w:val="both"/>
                    <w:rPr>
                      <w:rFonts w:eastAsia="宋体" w:cs="Times New Roman"/>
                      <w:b/>
                      <w:bCs/>
                      <w:color w:val="auto"/>
                      <w:szCs w:val="21"/>
                      <w:u w:color="000000"/>
                      <w:lang w:eastAsia="zh-CN"/>
                    </w:rPr>
                  </w:pPr>
                  <w:r>
                    <w:rPr>
                      <w:rFonts w:eastAsia="宋体" w:cs="Times New Roman"/>
                      <w:color w:val="auto"/>
                      <w:szCs w:val="21"/>
                      <w:lang w:eastAsia="zh-CN"/>
                    </w:rPr>
                    <w:t>强化VOCs综合整治。将挥发性有机物纳入污染物排放总量控制体系，有效减少重点污染源、全社会挥发性有机物和NOx排放总量。开展重点行业工业企业挥发性有机物无组织排放治理，以工业涂装、包装印刷、汽修和油品储运销等为重点领域，以工业园区、企业集群和重点企业为重点管控对象，全面加强对光化学反应活性强的VOCs物质控制。建立完善重点行业源头、过程和末端VOCs全过程控制体系，实施VOCs总量控制。严格落实产品强制标准中VOCs含量限值；全面落实《挥发性有机物无组织排放控制标准》要求，引导企业加强对含VOCs物料的存储、转移和输送等环节的全方位密闭管理，以及对设备与管线组件泄漏、敞开液面逸散以及工艺过程等方面的全过程精细化管控，实现VOCs排放量明显下降。</w:t>
                  </w:r>
                </w:p>
              </w:tc>
              <w:tc>
                <w:tcPr>
                  <w:tcW w:w="884" w:type="pct"/>
                  <w:vMerge w:val="continue"/>
                  <w:tcBorders>
                    <w:tl2br w:val="nil"/>
                    <w:tr2bl w:val="nil"/>
                  </w:tcBorders>
                  <w:vAlign w:val="center"/>
                </w:tcPr>
                <w:p w14:paraId="4854A938">
                  <w:pPr>
                    <w:widowControl/>
                    <w:spacing w:line="240" w:lineRule="auto"/>
                    <w:ind w:left="0" w:leftChars="0" w:right="0" w:rightChars="0" w:firstLine="0" w:firstLineChars="0"/>
                    <w:jc w:val="both"/>
                    <w:rPr>
                      <w:rFonts w:eastAsia="宋体" w:cs="Times New Roman"/>
                      <w:color w:val="auto"/>
                      <w:szCs w:val="21"/>
                      <w:u w:color="000000"/>
                      <w:lang w:eastAsia="zh-CN"/>
                    </w:rPr>
                  </w:pPr>
                </w:p>
              </w:tc>
              <w:tc>
                <w:tcPr>
                  <w:tcW w:w="308" w:type="pct"/>
                  <w:tcBorders>
                    <w:tl2br w:val="nil"/>
                    <w:tr2bl w:val="nil"/>
                  </w:tcBorders>
                  <w:vAlign w:val="center"/>
                </w:tcPr>
                <w:p w14:paraId="4EFB24C8">
                  <w:pPr>
                    <w:widowControl/>
                    <w:spacing w:line="240" w:lineRule="auto"/>
                    <w:ind w:left="0" w:leftChars="0" w:right="0" w:rightChars="0" w:firstLine="0" w:firstLineChars="0"/>
                    <w:jc w:val="center"/>
                    <w:rPr>
                      <w:rFonts w:eastAsia="宋体" w:cs="Times New Roman"/>
                      <w:color w:val="auto"/>
                      <w:szCs w:val="21"/>
                      <w:u w:color="000000"/>
                      <w:lang w:eastAsia="zh-CN"/>
                    </w:rPr>
                  </w:pPr>
                  <w:r>
                    <w:rPr>
                      <w:rFonts w:hint="eastAsia" w:eastAsia="宋体" w:cs="Times New Roman"/>
                      <w:color w:val="auto"/>
                      <w:szCs w:val="21"/>
                      <w:u w:color="000000"/>
                      <w:lang w:eastAsia="zh-CN"/>
                    </w:rPr>
                    <w:t>符合</w:t>
                  </w:r>
                </w:p>
              </w:tc>
            </w:tr>
            <w:tr w14:paraId="7BBE15C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tcBorders>
                    <w:tl2br w:val="nil"/>
                    <w:tr2bl w:val="nil"/>
                  </w:tcBorders>
                  <w:vAlign w:val="center"/>
                </w:tcPr>
                <w:p w14:paraId="72387BAB">
                  <w:pPr>
                    <w:adjustRightInd w:val="0"/>
                    <w:snapToGrid w:val="0"/>
                    <w:spacing w:line="240" w:lineRule="auto"/>
                    <w:ind w:left="0" w:leftChars="0" w:right="0" w:rightChars="0" w:firstLine="0" w:firstLineChars="0"/>
                    <w:jc w:val="center"/>
                    <w:rPr>
                      <w:rFonts w:eastAsia="宋体" w:cs="Times New Roman"/>
                      <w:b/>
                      <w:bCs/>
                      <w:color w:val="auto"/>
                      <w:szCs w:val="21"/>
                      <w:u w:color="000000"/>
                      <w:lang w:eastAsia="zh-CN"/>
                    </w:rPr>
                  </w:pPr>
                  <w:r>
                    <w:rPr>
                      <w:rFonts w:hint="eastAsia" w:eastAsia="宋体" w:cs="Times New Roman"/>
                      <w:color w:val="auto"/>
                      <w:szCs w:val="21"/>
                      <w:lang w:eastAsia="zh-CN"/>
                    </w:rPr>
                    <w:t>《</w:t>
                  </w:r>
                  <w:r>
                    <w:rPr>
                      <w:rFonts w:eastAsia="宋体" w:cs="Times New Roman"/>
                      <w:color w:val="auto"/>
                      <w:szCs w:val="21"/>
                      <w:lang w:eastAsia="zh-CN"/>
                    </w:rPr>
                    <w:t>陕西省大气污染治理专项行动方案（2023-2027年）》（</w:t>
                  </w:r>
                  <w:r>
                    <w:rPr>
                      <w:rFonts w:hint="eastAsia" w:eastAsia="宋体" w:cs="Times New Roman"/>
                      <w:color w:val="auto"/>
                      <w:szCs w:val="21"/>
                      <w:lang w:eastAsia="zh-CN"/>
                    </w:rPr>
                    <w:t>陕发</w:t>
                  </w:r>
                  <w:r>
                    <w:rPr>
                      <w:rStyle w:val="75"/>
                      <w:rFonts w:eastAsia="宋体" w:cs="Times New Roman"/>
                      <w:color w:val="auto"/>
                      <w:szCs w:val="21"/>
                      <w:lang w:eastAsia="zh-CN"/>
                    </w:rPr>
                    <w:t>〔</w:t>
                  </w:r>
                  <w:r>
                    <w:rPr>
                      <w:rFonts w:eastAsia="宋体" w:cs="Times New Roman"/>
                      <w:color w:val="auto"/>
                      <w:szCs w:val="21"/>
                      <w:lang w:eastAsia="zh-CN"/>
                    </w:rPr>
                    <w:t>2023</w:t>
                  </w:r>
                  <w:r>
                    <w:rPr>
                      <w:rStyle w:val="75"/>
                      <w:rFonts w:eastAsia="宋体" w:cs="Times New Roman"/>
                      <w:color w:val="auto"/>
                      <w:szCs w:val="21"/>
                      <w:lang w:eastAsia="zh-CN"/>
                    </w:rPr>
                    <w:t>〕</w:t>
                  </w:r>
                  <w:r>
                    <w:rPr>
                      <w:rFonts w:hint="eastAsia" w:eastAsia="宋体" w:cs="Times New Roman"/>
                      <w:color w:val="auto"/>
                      <w:szCs w:val="21"/>
                      <w:lang w:eastAsia="zh-CN"/>
                    </w:rPr>
                    <w:t>4</w:t>
                  </w:r>
                  <w:r>
                    <w:rPr>
                      <w:rFonts w:eastAsia="宋体" w:cs="Times New Roman"/>
                      <w:color w:val="auto"/>
                      <w:szCs w:val="21"/>
                      <w:lang w:eastAsia="zh-CN"/>
                    </w:rPr>
                    <w:t>号）</w:t>
                  </w:r>
                </w:p>
              </w:tc>
              <w:tc>
                <w:tcPr>
                  <w:tcW w:w="3083" w:type="pct"/>
                  <w:tcBorders>
                    <w:tl2br w:val="nil"/>
                    <w:tr2bl w:val="nil"/>
                  </w:tcBorders>
                  <w:vAlign w:val="center"/>
                </w:tcPr>
                <w:p w14:paraId="3A2F37B7">
                  <w:pPr>
                    <w:adjustRightInd w:val="0"/>
                    <w:snapToGrid w:val="0"/>
                    <w:spacing w:line="240" w:lineRule="auto"/>
                    <w:ind w:left="0" w:leftChars="0" w:right="0" w:rightChars="0" w:firstLine="0" w:firstLineChars="0"/>
                    <w:jc w:val="both"/>
                    <w:rPr>
                      <w:rFonts w:eastAsia="宋体" w:cs="Times New Roman"/>
                      <w:b/>
                      <w:bCs/>
                      <w:color w:val="auto"/>
                      <w:szCs w:val="21"/>
                      <w:u w:color="000000"/>
                      <w:lang w:eastAsia="zh-CN"/>
                    </w:rPr>
                  </w:pPr>
                  <w:r>
                    <w:rPr>
                      <w:rFonts w:eastAsia="宋体" w:cs="Times New Roman"/>
                      <w:color w:val="auto"/>
                      <w:szCs w:val="21"/>
                      <w:lang w:eastAsia="zh-CN"/>
                    </w:rPr>
                    <w:t>关中地区市辖区及开发区范围内新、改、扩建涉气重点行业企业应达到环保绩效A级、绩效引领性水平，西安市、咸阳市、渭南市的其他区域应达到环保绩效B级及以上水平。</w:t>
                  </w:r>
                </w:p>
              </w:tc>
              <w:tc>
                <w:tcPr>
                  <w:tcW w:w="884" w:type="pct"/>
                  <w:vMerge w:val="restart"/>
                  <w:tcBorders>
                    <w:tl2br w:val="nil"/>
                    <w:tr2bl w:val="nil"/>
                  </w:tcBorders>
                  <w:vAlign w:val="center"/>
                </w:tcPr>
                <w:p w14:paraId="048BAB82">
                  <w:pPr>
                    <w:widowControl/>
                    <w:spacing w:line="240" w:lineRule="auto"/>
                    <w:ind w:left="0" w:leftChars="0" w:right="0" w:rightChars="0" w:firstLine="0" w:firstLineChars="0"/>
                    <w:jc w:val="both"/>
                    <w:rPr>
                      <w:rFonts w:eastAsia="宋体" w:cs="Times New Roman"/>
                      <w:color w:val="auto"/>
                      <w:szCs w:val="21"/>
                      <w:u w:color="000000"/>
                      <w:lang w:eastAsia="zh-CN"/>
                    </w:rPr>
                  </w:pPr>
                  <w:r>
                    <w:rPr>
                      <w:rFonts w:hint="eastAsia" w:eastAsia="宋体" w:cs="Times New Roman"/>
                      <w:color w:val="auto"/>
                      <w:szCs w:val="21"/>
                      <w:u w:color="000000"/>
                      <w:lang w:eastAsia="zh-CN"/>
                    </w:rPr>
                    <w:t>通过比对《重污染天气重点行业绩效分级及减排措施-家具制造行业》，本项目可达到环保绩效引领性水平，详见环保绩效管理篇章。</w:t>
                  </w:r>
                </w:p>
              </w:tc>
              <w:tc>
                <w:tcPr>
                  <w:tcW w:w="308" w:type="pct"/>
                  <w:tcBorders>
                    <w:tl2br w:val="nil"/>
                    <w:tr2bl w:val="nil"/>
                  </w:tcBorders>
                  <w:vAlign w:val="center"/>
                </w:tcPr>
                <w:p w14:paraId="33F8FB2E">
                  <w:pPr>
                    <w:widowControl/>
                    <w:spacing w:line="240" w:lineRule="auto"/>
                    <w:ind w:left="0" w:leftChars="0" w:right="0" w:rightChars="0" w:firstLine="0" w:firstLineChars="0"/>
                    <w:jc w:val="center"/>
                    <w:rPr>
                      <w:rFonts w:eastAsia="宋体" w:cs="Times New Roman"/>
                      <w:color w:val="auto"/>
                      <w:szCs w:val="21"/>
                      <w:u w:color="000000"/>
                      <w:lang w:eastAsia="zh-CN"/>
                    </w:rPr>
                  </w:pPr>
                  <w:r>
                    <w:rPr>
                      <w:rFonts w:hint="eastAsia" w:eastAsia="宋体" w:cs="Times New Roman"/>
                      <w:color w:val="auto"/>
                      <w:szCs w:val="21"/>
                      <w:u w:color="000000"/>
                      <w:lang w:eastAsia="zh-CN"/>
                    </w:rPr>
                    <w:t>符合</w:t>
                  </w:r>
                </w:p>
              </w:tc>
            </w:tr>
            <w:tr w14:paraId="190567E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tcBorders>
                    <w:tl2br w:val="nil"/>
                    <w:tr2bl w:val="nil"/>
                  </w:tcBorders>
                  <w:vAlign w:val="center"/>
                </w:tcPr>
                <w:p w14:paraId="66FE20F3">
                  <w:pPr>
                    <w:adjustRightInd w:val="0"/>
                    <w:snapToGrid w:val="0"/>
                    <w:spacing w:line="240" w:lineRule="auto"/>
                    <w:ind w:left="0" w:leftChars="0" w:right="0" w:rightChars="0" w:firstLine="0" w:firstLineChars="0"/>
                    <w:jc w:val="center"/>
                    <w:rPr>
                      <w:rFonts w:eastAsia="宋体" w:cs="Times New Roman"/>
                      <w:b/>
                      <w:bCs/>
                      <w:color w:val="auto"/>
                      <w:szCs w:val="21"/>
                      <w:u w:color="000000"/>
                      <w:lang w:eastAsia="zh-CN"/>
                    </w:rPr>
                  </w:pPr>
                  <w:r>
                    <w:rPr>
                      <w:rFonts w:eastAsia="宋体" w:cs="Times New Roman"/>
                      <w:color w:val="auto"/>
                      <w:szCs w:val="21"/>
                      <w:lang w:eastAsia="zh-CN"/>
                    </w:rPr>
                    <w:t>《西安市大气污染治理专项行动方案（2023-2027年）》（市字</w:t>
                  </w:r>
                  <w:r>
                    <w:rPr>
                      <w:rStyle w:val="75"/>
                      <w:rFonts w:eastAsia="宋体" w:cs="Times New Roman"/>
                      <w:color w:val="auto"/>
                      <w:szCs w:val="21"/>
                      <w:lang w:eastAsia="zh-CN"/>
                    </w:rPr>
                    <w:t>〔</w:t>
                  </w:r>
                  <w:r>
                    <w:rPr>
                      <w:rFonts w:eastAsia="宋体" w:cs="Times New Roman"/>
                      <w:color w:val="auto"/>
                      <w:szCs w:val="21"/>
                      <w:lang w:eastAsia="zh-CN"/>
                    </w:rPr>
                    <w:t>2023</w:t>
                  </w:r>
                  <w:r>
                    <w:rPr>
                      <w:rStyle w:val="75"/>
                      <w:rFonts w:eastAsia="宋体" w:cs="Times New Roman"/>
                      <w:color w:val="auto"/>
                      <w:szCs w:val="21"/>
                      <w:lang w:eastAsia="zh-CN"/>
                    </w:rPr>
                    <w:t>〕</w:t>
                  </w:r>
                  <w:r>
                    <w:rPr>
                      <w:rFonts w:eastAsia="宋体" w:cs="Times New Roman"/>
                      <w:color w:val="auto"/>
                      <w:szCs w:val="21"/>
                      <w:lang w:eastAsia="zh-CN"/>
                    </w:rPr>
                    <w:t>32号）</w:t>
                  </w:r>
                </w:p>
              </w:tc>
              <w:tc>
                <w:tcPr>
                  <w:tcW w:w="3083" w:type="pct"/>
                  <w:tcBorders>
                    <w:tl2br w:val="nil"/>
                    <w:tr2bl w:val="nil"/>
                  </w:tcBorders>
                  <w:vAlign w:val="center"/>
                </w:tcPr>
                <w:p w14:paraId="701F669B">
                  <w:pPr>
                    <w:spacing w:line="240" w:lineRule="auto"/>
                    <w:ind w:left="0" w:leftChars="0" w:right="0" w:rightChars="0" w:firstLine="0" w:firstLineChars="0"/>
                    <w:jc w:val="both"/>
                    <w:rPr>
                      <w:rFonts w:eastAsia="宋体" w:cs="Times New Roman"/>
                      <w:b/>
                      <w:bCs/>
                      <w:color w:val="auto"/>
                      <w:szCs w:val="21"/>
                      <w:u w:color="000000"/>
                      <w:lang w:eastAsia="zh-CN"/>
                    </w:rPr>
                  </w:pPr>
                  <w:r>
                    <w:rPr>
                      <w:rFonts w:eastAsia="宋体" w:cs="Times New Roman"/>
                      <w:color w:val="auto"/>
                      <w:szCs w:val="21"/>
                      <w:lang w:eastAsia="zh-CN"/>
                    </w:rPr>
                    <w:t>严格新改扩建涉气重点行业绩效评级限制条件。各区、开发区范围内新改扩建涉气重点行业企业应达到环保绩效A级、绩效引领性水平，周至县、蓝田县应达到环保绩效B级及以上水平。</w:t>
                  </w:r>
                </w:p>
              </w:tc>
              <w:tc>
                <w:tcPr>
                  <w:tcW w:w="884" w:type="pct"/>
                  <w:vMerge w:val="continue"/>
                  <w:tcBorders>
                    <w:tl2br w:val="nil"/>
                    <w:tr2bl w:val="nil"/>
                  </w:tcBorders>
                  <w:vAlign w:val="center"/>
                </w:tcPr>
                <w:p w14:paraId="2E7BFE53">
                  <w:pPr>
                    <w:widowControl/>
                    <w:spacing w:line="240" w:lineRule="auto"/>
                    <w:ind w:left="0" w:leftChars="0" w:right="0" w:rightChars="0" w:firstLine="0" w:firstLineChars="0"/>
                    <w:jc w:val="both"/>
                    <w:rPr>
                      <w:rFonts w:eastAsia="宋体" w:cs="Times New Roman"/>
                      <w:color w:val="auto"/>
                      <w:szCs w:val="21"/>
                      <w:u w:color="000000"/>
                      <w:lang w:eastAsia="zh-CN"/>
                    </w:rPr>
                  </w:pPr>
                </w:p>
              </w:tc>
              <w:tc>
                <w:tcPr>
                  <w:tcW w:w="308" w:type="pct"/>
                  <w:tcBorders>
                    <w:tl2br w:val="nil"/>
                    <w:tr2bl w:val="nil"/>
                  </w:tcBorders>
                  <w:vAlign w:val="center"/>
                </w:tcPr>
                <w:p w14:paraId="6CE7416F">
                  <w:pPr>
                    <w:widowControl/>
                    <w:spacing w:line="240" w:lineRule="auto"/>
                    <w:ind w:left="0" w:leftChars="0" w:right="0" w:rightChars="0" w:firstLine="0" w:firstLineChars="0"/>
                    <w:jc w:val="center"/>
                    <w:rPr>
                      <w:rFonts w:eastAsia="宋体" w:cs="Times New Roman"/>
                      <w:color w:val="auto"/>
                      <w:szCs w:val="21"/>
                      <w:u w:color="000000"/>
                      <w:lang w:eastAsia="zh-CN"/>
                    </w:rPr>
                  </w:pPr>
                  <w:r>
                    <w:rPr>
                      <w:rFonts w:hint="eastAsia" w:eastAsia="宋体" w:cs="Times New Roman"/>
                      <w:color w:val="auto"/>
                      <w:szCs w:val="21"/>
                      <w:u w:color="000000"/>
                      <w:lang w:eastAsia="zh-CN"/>
                    </w:rPr>
                    <w:t>符合</w:t>
                  </w:r>
                </w:p>
              </w:tc>
            </w:tr>
            <w:tr w14:paraId="5C909DE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tcBorders>
                    <w:tl2br w:val="nil"/>
                    <w:tr2bl w:val="nil"/>
                  </w:tcBorders>
                  <w:vAlign w:val="center"/>
                </w:tcPr>
                <w:p w14:paraId="24728658">
                  <w:pPr>
                    <w:adjustRightInd w:val="0"/>
                    <w:snapToGrid w:val="0"/>
                    <w:spacing w:line="240" w:lineRule="auto"/>
                    <w:ind w:left="0" w:leftChars="0" w:right="0" w:rightChars="0" w:firstLine="0" w:firstLineChars="0"/>
                    <w:jc w:val="center"/>
                    <w:rPr>
                      <w:rFonts w:eastAsia="宋体" w:cs="Times New Roman"/>
                      <w:b/>
                      <w:bCs/>
                      <w:color w:val="auto"/>
                      <w:szCs w:val="21"/>
                      <w:u w:color="000000"/>
                      <w:lang w:eastAsia="zh-CN"/>
                    </w:rPr>
                  </w:pPr>
                  <w:r>
                    <w:rPr>
                      <w:rFonts w:eastAsia="宋体" w:cs="Times New Roman"/>
                      <w:color w:val="auto"/>
                      <w:szCs w:val="21"/>
                      <w:lang w:eastAsia="zh-CN"/>
                    </w:rPr>
                    <w:t>《西安市挥发性有机物污染整治专项实施方案（2023-2027）年》</w:t>
                  </w:r>
                </w:p>
              </w:tc>
              <w:tc>
                <w:tcPr>
                  <w:tcW w:w="3083" w:type="pct"/>
                  <w:tcBorders>
                    <w:tl2br w:val="nil"/>
                    <w:tr2bl w:val="nil"/>
                  </w:tcBorders>
                  <w:vAlign w:val="center"/>
                </w:tcPr>
                <w:p w14:paraId="4BA12279">
                  <w:pPr>
                    <w:spacing w:line="240" w:lineRule="auto"/>
                    <w:ind w:left="0" w:leftChars="0" w:right="0" w:rightChars="0" w:firstLine="0" w:firstLineChars="0"/>
                    <w:jc w:val="both"/>
                    <w:rPr>
                      <w:rFonts w:eastAsia="宋体" w:cs="Times New Roman"/>
                      <w:b/>
                      <w:bCs/>
                      <w:color w:val="auto"/>
                      <w:szCs w:val="21"/>
                      <w:u w:color="000000"/>
                      <w:lang w:eastAsia="zh-CN"/>
                    </w:rPr>
                  </w:pPr>
                  <w:r>
                    <w:rPr>
                      <w:rFonts w:eastAsia="宋体" w:cs="Times New Roman"/>
                      <w:color w:val="auto"/>
                      <w:szCs w:val="21"/>
                      <w:lang w:eastAsia="zh-CN"/>
                    </w:rPr>
                    <w:t>采用活性炭吸附技术的，其中颗粒碳碘吸附值不低于800mg/g或四氯化碳吸附率不低于60%，蜂窝活性炭碘吸附值不低于600mg/g或四氯化碳吸附率不低于30%，按设计要求足量添加、定期更换，动态更新挥发性有机物治理设施台账。组织开展活性炭技术等VOCs治理设施排查，对达不到要求的，应当更换或升级改造，实现稳定达标排放。</w:t>
                  </w:r>
                </w:p>
              </w:tc>
              <w:tc>
                <w:tcPr>
                  <w:tcW w:w="884" w:type="pct"/>
                  <w:tcBorders>
                    <w:tl2br w:val="nil"/>
                    <w:tr2bl w:val="nil"/>
                  </w:tcBorders>
                  <w:vAlign w:val="center"/>
                </w:tcPr>
                <w:p w14:paraId="77D8B66A">
                  <w:pPr>
                    <w:widowControl/>
                    <w:spacing w:line="240" w:lineRule="auto"/>
                    <w:ind w:left="0" w:leftChars="0" w:right="0" w:rightChars="0" w:firstLine="0" w:firstLineChars="0"/>
                    <w:jc w:val="both"/>
                    <w:rPr>
                      <w:rFonts w:eastAsia="宋体" w:cs="Times New Roman"/>
                      <w:color w:val="auto"/>
                      <w:szCs w:val="21"/>
                      <w:u w:color="000000"/>
                      <w:lang w:eastAsia="zh-CN"/>
                    </w:rPr>
                  </w:pPr>
                  <w:r>
                    <w:rPr>
                      <w:rFonts w:hint="eastAsia" w:eastAsia="宋体" w:cs="Times New Roman"/>
                      <w:color w:val="auto"/>
                      <w:szCs w:val="21"/>
                      <w:u w:color="000000"/>
                      <w:lang w:eastAsia="zh-CN"/>
                    </w:rPr>
                    <w:t>本项目有机废气经收集后采用两级活性炭吸附治理技术，颗粒碳碘吸附值不低于</w:t>
                  </w:r>
                  <w:r>
                    <w:rPr>
                      <w:rFonts w:eastAsia="宋体" w:cs="Times New Roman"/>
                      <w:color w:val="auto"/>
                      <w:szCs w:val="21"/>
                      <w:lang w:eastAsia="zh-CN"/>
                    </w:rPr>
                    <w:t>800mg/g</w:t>
                  </w:r>
                  <w:r>
                    <w:rPr>
                      <w:rFonts w:hint="eastAsia" w:eastAsia="宋体" w:cs="Times New Roman"/>
                      <w:color w:val="auto"/>
                      <w:szCs w:val="21"/>
                      <w:lang w:eastAsia="zh-CN"/>
                    </w:rPr>
                    <w:t>；环评要求企业定期更换活性炭，并按照相关要求建立台账。</w:t>
                  </w:r>
                </w:p>
              </w:tc>
              <w:tc>
                <w:tcPr>
                  <w:tcW w:w="308" w:type="pct"/>
                  <w:tcBorders>
                    <w:tl2br w:val="nil"/>
                    <w:tr2bl w:val="nil"/>
                  </w:tcBorders>
                  <w:vAlign w:val="center"/>
                </w:tcPr>
                <w:p w14:paraId="61D67752">
                  <w:pPr>
                    <w:widowControl/>
                    <w:spacing w:line="240" w:lineRule="auto"/>
                    <w:ind w:left="0" w:leftChars="0" w:right="0" w:rightChars="0" w:firstLine="0" w:firstLineChars="0"/>
                    <w:jc w:val="center"/>
                    <w:rPr>
                      <w:rFonts w:eastAsia="宋体" w:cs="Times New Roman"/>
                      <w:color w:val="auto"/>
                      <w:szCs w:val="21"/>
                      <w:u w:color="000000"/>
                      <w:lang w:eastAsia="zh-CN"/>
                    </w:rPr>
                  </w:pPr>
                  <w:r>
                    <w:rPr>
                      <w:rFonts w:hint="eastAsia" w:eastAsia="宋体" w:cs="Times New Roman"/>
                      <w:color w:val="auto"/>
                      <w:szCs w:val="21"/>
                      <w:u w:color="000000"/>
                      <w:lang w:eastAsia="zh-CN"/>
                    </w:rPr>
                    <w:t>符合</w:t>
                  </w:r>
                </w:p>
              </w:tc>
            </w:tr>
            <w:tr w14:paraId="621DE8D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vMerge w:val="restart"/>
                  <w:tcBorders>
                    <w:tl2br w:val="nil"/>
                    <w:tr2bl w:val="nil"/>
                  </w:tcBorders>
                  <w:vAlign w:val="center"/>
                </w:tcPr>
                <w:p w14:paraId="128A3F4A">
                  <w:pPr>
                    <w:widowControl/>
                    <w:spacing w:line="240" w:lineRule="auto"/>
                    <w:ind w:left="0" w:leftChars="0" w:right="0" w:rightChars="0" w:firstLine="0" w:firstLineChars="0"/>
                    <w:jc w:val="center"/>
                    <w:rPr>
                      <w:rFonts w:eastAsia="宋体" w:cs="Times New Roman"/>
                      <w:b/>
                      <w:bCs/>
                      <w:color w:val="auto"/>
                      <w:szCs w:val="21"/>
                      <w:u w:color="000000"/>
                      <w:lang w:eastAsia="zh-CN"/>
                    </w:rPr>
                  </w:pPr>
                  <w:r>
                    <w:rPr>
                      <w:rFonts w:eastAsia="宋体" w:cs="Times New Roman"/>
                      <w:color w:val="auto"/>
                      <w:szCs w:val="21"/>
                      <w:lang w:eastAsia="zh-CN"/>
                    </w:rPr>
                    <w:t>《西安市空气质量达标规划（2023—2030年）</w:t>
                  </w:r>
                </w:p>
              </w:tc>
              <w:tc>
                <w:tcPr>
                  <w:tcW w:w="3083" w:type="pct"/>
                  <w:tcBorders>
                    <w:tl2br w:val="nil"/>
                    <w:tr2bl w:val="nil"/>
                  </w:tcBorders>
                  <w:vAlign w:val="center"/>
                </w:tcPr>
                <w:p w14:paraId="1D706C8F">
                  <w:pPr>
                    <w:spacing w:line="240" w:lineRule="auto"/>
                    <w:ind w:left="0" w:leftChars="0" w:right="0" w:rightChars="0" w:firstLine="0" w:firstLineChars="0"/>
                    <w:jc w:val="both"/>
                    <w:rPr>
                      <w:rFonts w:eastAsia="宋体" w:cs="Times New Roman"/>
                      <w:b/>
                      <w:bCs/>
                      <w:color w:val="auto"/>
                      <w:szCs w:val="21"/>
                      <w:u w:color="000000"/>
                      <w:lang w:eastAsia="zh-CN"/>
                    </w:rPr>
                  </w:pPr>
                  <w:r>
                    <w:rPr>
                      <w:rFonts w:eastAsia="宋体" w:cs="Times New Roman"/>
                      <w:color w:val="auto"/>
                      <w:szCs w:val="21"/>
                      <w:lang w:eastAsia="zh-CN"/>
                    </w:rPr>
                    <w:t>新建项目不再采用单一低温等离子、光氧化、光催化等治理技术，非水溶性VOCs废气不再采用单一喷淋吸收方式处理。严格新改扩建涉气重点行业绩效评级限制条件，各区县、开发区范围内新改扩建涉气重点行业企业应达到环保绩效A级、绩效引领性水平，周至县、蓝田县应达到环保绩效B级及以上水平。督促指导企业落实重污染天气重点行业绩效分级技术指南要求。</w:t>
                  </w:r>
                </w:p>
              </w:tc>
              <w:tc>
                <w:tcPr>
                  <w:tcW w:w="884" w:type="pct"/>
                  <w:vMerge w:val="restart"/>
                  <w:tcBorders>
                    <w:tl2br w:val="nil"/>
                    <w:tr2bl w:val="nil"/>
                  </w:tcBorders>
                  <w:vAlign w:val="center"/>
                </w:tcPr>
                <w:p w14:paraId="792D7A8C">
                  <w:pPr>
                    <w:widowControl/>
                    <w:spacing w:line="240" w:lineRule="auto"/>
                    <w:ind w:left="0" w:leftChars="0" w:right="0" w:rightChars="0" w:firstLine="0" w:firstLineChars="0"/>
                    <w:jc w:val="both"/>
                    <w:rPr>
                      <w:rFonts w:eastAsia="宋体" w:cs="Times New Roman"/>
                      <w:color w:val="auto"/>
                      <w:szCs w:val="21"/>
                      <w:u w:color="000000"/>
                      <w:lang w:eastAsia="zh-CN"/>
                    </w:rPr>
                  </w:pPr>
                  <w:r>
                    <w:rPr>
                      <w:rFonts w:hint="eastAsia" w:eastAsia="宋体" w:cs="Times New Roman"/>
                      <w:color w:val="auto"/>
                      <w:szCs w:val="21"/>
                      <w:u w:color="000000"/>
                      <w:lang w:eastAsia="zh-CN"/>
                    </w:rPr>
                    <w:t>本项目为扩建项目，使用无溶剂型粉末涂料、采用静电喷涂工艺，有</w:t>
                  </w:r>
                  <w:r>
                    <w:rPr>
                      <w:color w:val="auto"/>
                      <w:szCs w:val="21"/>
                      <w:lang w:eastAsia="zh-CN"/>
                    </w:rPr>
                    <w:t>机废气采用</w:t>
                  </w:r>
                  <w:r>
                    <w:rPr>
                      <w:rFonts w:hint="eastAsia"/>
                      <w:color w:val="auto"/>
                      <w:szCs w:val="21"/>
                      <w:lang w:eastAsia="zh-CN"/>
                    </w:rPr>
                    <w:t>“</w:t>
                  </w:r>
                  <w:r>
                    <w:rPr>
                      <w:color w:val="auto"/>
                      <w:szCs w:val="21"/>
                      <w:lang w:eastAsia="zh-CN"/>
                    </w:rPr>
                    <w:t>集气罩+二级活性炭吸附装置</w:t>
                  </w:r>
                  <w:r>
                    <w:rPr>
                      <w:rFonts w:hint="eastAsia"/>
                      <w:color w:val="auto"/>
                      <w:szCs w:val="21"/>
                      <w:lang w:eastAsia="zh-CN"/>
                    </w:rPr>
                    <w:t>”，活性炭定期更换，</w:t>
                  </w:r>
                  <w:r>
                    <w:rPr>
                      <w:rFonts w:hint="eastAsia" w:eastAsia="宋体" w:cs="Times New Roman"/>
                      <w:color w:val="auto"/>
                      <w:szCs w:val="21"/>
                      <w:u w:color="000000"/>
                      <w:lang w:eastAsia="zh-CN"/>
                    </w:rPr>
                    <w:t>通过比对《重污染天气重点行业绩效分级及减排措施-家具制造行业》，可达到环保绩效引领性水平。</w:t>
                  </w:r>
                </w:p>
              </w:tc>
              <w:tc>
                <w:tcPr>
                  <w:tcW w:w="308" w:type="pct"/>
                  <w:vMerge w:val="restart"/>
                  <w:tcBorders>
                    <w:tl2br w:val="nil"/>
                    <w:tr2bl w:val="nil"/>
                  </w:tcBorders>
                  <w:vAlign w:val="center"/>
                </w:tcPr>
                <w:p w14:paraId="44BA9E0E">
                  <w:pPr>
                    <w:widowControl/>
                    <w:spacing w:line="240" w:lineRule="auto"/>
                    <w:ind w:left="0" w:leftChars="0" w:right="0" w:rightChars="0" w:firstLine="0" w:firstLineChars="0"/>
                    <w:jc w:val="center"/>
                    <w:rPr>
                      <w:rFonts w:eastAsia="宋体" w:cs="Times New Roman"/>
                      <w:color w:val="auto"/>
                      <w:szCs w:val="21"/>
                      <w:u w:color="000000"/>
                      <w:lang w:eastAsia="zh-CN"/>
                    </w:rPr>
                  </w:pPr>
                  <w:r>
                    <w:rPr>
                      <w:rFonts w:hint="eastAsia" w:eastAsia="宋体" w:cs="Times New Roman"/>
                      <w:color w:val="auto"/>
                      <w:szCs w:val="21"/>
                      <w:u w:color="000000"/>
                      <w:lang w:eastAsia="zh-CN"/>
                    </w:rPr>
                    <w:t>符合</w:t>
                  </w:r>
                </w:p>
              </w:tc>
            </w:tr>
            <w:tr w14:paraId="53814A9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vAlign w:val="center"/>
                </w:tcPr>
                <w:p w14:paraId="382220EB">
                  <w:pPr>
                    <w:widowControl/>
                    <w:spacing w:line="240" w:lineRule="auto"/>
                    <w:ind w:left="0" w:leftChars="0" w:right="0" w:rightChars="0" w:firstLine="0" w:firstLineChars="0"/>
                    <w:jc w:val="center"/>
                    <w:rPr>
                      <w:rFonts w:eastAsia="宋体" w:cs="Times New Roman"/>
                      <w:b/>
                      <w:bCs/>
                      <w:color w:val="auto"/>
                      <w:szCs w:val="21"/>
                      <w:u w:color="000000"/>
                    </w:rPr>
                  </w:pPr>
                </w:p>
              </w:tc>
              <w:tc>
                <w:tcPr>
                  <w:tcW w:w="3083" w:type="pct"/>
                  <w:tcBorders>
                    <w:tl2br w:val="nil"/>
                    <w:tr2bl w:val="nil"/>
                  </w:tcBorders>
                  <w:vAlign w:val="center"/>
                </w:tcPr>
                <w:p w14:paraId="2B82B2DB">
                  <w:pPr>
                    <w:spacing w:line="240" w:lineRule="auto"/>
                    <w:ind w:left="0" w:leftChars="0" w:right="0" w:rightChars="0" w:firstLine="0" w:firstLineChars="0"/>
                    <w:jc w:val="both"/>
                    <w:rPr>
                      <w:rFonts w:eastAsia="宋体" w:cs="Times New Roman"/>
                      <w:b/>
                      <w:bCs/>
                      <w:color w:val="auto"/>
                      <w:szCs w:val="21"/>
                      <w:u w:color="000000"/>
                      <w:lang w:eastAsia="zh-CN"/>
                    </w:rPr>
                  </w:pPr>
                  <w:r>
                    <w:rPr>
                      <w:rFonts w:eastAsia="宋体" w:cs="Times New Roman"/>
                      <w:color w:val="auto"/>
                      <w:szCs w:val="21"/>
                      <w:lang w:eastAsia="zh-CN"/>
                    </w:rPr>
                    <w:t>大力推进涉VOCs企业低挥发性原辅材料替代和污染治理设施升级改造，鼓励企业积极进行源头替代，推广使用低（无）挥发性有机物含量、低反应活性的原辅材料。现有工业涂装、包装印刷、汽车整车制造等重点涉VOCs行业企业要加快产品升级转型，制定工作计划，加大低VOCs含量原辅材料的源头替代力度，提高水性、高固体分、无溶剂、粉末等低VOCs含量产品的比重。深入开展重点行业工业企业环保绩效提升工作，逐步提高绩效分级B级及以上和引领性企业占比，推动重点行业头部企业、排放大户率先升级。2025年底前评定为环保绩效最低等级水平的涉气企业，由区县政府、开发区管委会依法依规处置。</w:t>
                  </w:r>
                </w:p>
              </w:tc>
              <w:tc>
                <w:tcPr>
                  <w:tcW w:w="884" w:type="pct"/>
                  <w:vMerge w:val="continue"/>
                  <w:tcBorders>
                    <w:tl2br w:val="nil"/>
                    <w:tr2bl w:val="nil"/>
                  </w:tcBorders>
                  <w:vAlign w:val="center"/>
                </w:tcPr>
                <w:p w14:paraId="25F92411">
                  <w:pPr>
                    <w:widowControl/>
                    <w:spacing w:line="240" w:lineRule="auto"/>
                    <w:ind w:left="0" w:leftChars="0" w:right="0" w:rightChars="0" w:firstLine="0" w:firstLineChars="0"/>
                    <w:jc w:val="both"/>
                    <w:rPr>
                      <w:rFonts w:eastAsia="宋体" w:cs="Times New Roman"/>
                      <w:color w:val="auto"/>
                      <w:szCs w:val="21"/>
                      <w:u w:color="000000"/>
                      <w:lang w:eastAsia="zh-CN"/>
                    </w:rPr>
                  </w:pPr>
                </w:p>
              </w:tc>
              <w:tc>
                <w:tcPr>
                  <w:tcW w:w="308" w:type="pct"/>
                  <w:vMerge w:val="continue"/>
                  <w:tcBorders>
                    <w:tl2br w:val="nil"/>
                    <w:tr2bl w:val="nil"/>
                  </w:tcBorders>
                  <w:vAlign w:val="center"/>
                </w:tcPr>
                <w:p w14:paraId="6D720E3E">
                  <w:pPr>
                    <w:widowControl/>
                    <w:spacing w:line="240" w:lineRule="auto"/>
                    <w:ind w:left="0" w:leftChars="0" w:right="0" w:rightChars="0" w:firstLine="0" w:firstLineChars="0"/>
                    <w:jc w:val="center"/>
                    <w:rPr>
                      <w:rFonts w:eastAsia="宋体" w:cs="Times New Roman"/>
                      <w:color w:val="auto"/>
                      <w:szCs w:val="21"/>
                      <w:u w:color="000000"/>
                      <w:lang w:eastAsia="zh-CN"/>
                    </w:rPr>
                  </w:pPr>
                </w:p>
              </w:tc>
            </w:tr>
            <w:tr w14:paraId="170B106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tcBorders>
                    <w:tl2br w:val="nil"/>
                    <w:tr2bl w:val="nil"/>
                  </w:tcBorders>
                  <w:vAlign w:val="center"/>
                </w:tcPr>
                <w:p w14:paraId="3D112BF2">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《西安市生态环境局关于加强挥发性有机物活性炭吸附处理设施运行管理工作的通知》（市环发[2022]65号）</w:t>
                  </w:r>
                </w:p>
              </w:tc>
              <w:tc>
                <w:tcPr>
                  <w:tcW w:w="3083" w:type="pct"/>
                  <w:tcBorders>
                    <w:tl2br w:val="nil"/>
                    <w:tr2bl w:val="nil"/>
                  </w:tcBorders>
                  <w:vAlign w:val="center"/>
                </w:tcPr>
                <w:p w14:paraId="333AEF39">
                  <w:pPr>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污处设施运行维护管理规程：企业自行制定《污处设施运行维护管理规程》，规程内容要详实，具有针对性和操作性应明确过滤棉、活性炭等易损耗材料的更换周期，更换周期应结合理论计算和实际运行得出，原则上活性炭更换周期一般不应超过累计运行500小时或3个月（从严执行）。</w:t>
                  </w:r>
                </w:p>
              </w:tc>
              <w:tc>
                <w:tcPr>
                  <w:tcW w:w="884" w:type="pct"/>
                  <w:vMerge w:val="continue"/>
                  <w:tcBorders>
                    <w:tl2br w:val="nil"/>
                    <w:tr2bl w:val="nil"/>
                  </w:tcBorders>
                  <w:vAlign w:val="center"/>
                </w:tcPr>
                <w:p w14:paraId="11A7B181">
                  <w:pPr>
                    <w:widowControl/>
                    <w:spacing w:line="240" w:lineRule="auto"/>
                    <w:ind w:left="0" w:leftChars="0" w:right="0" w:rightChars="0" w:firstLine="0" w:firstLineChars="0"/>
                    <w:jc w:val="both"/>
                    <w:rPr>
                      <w:rFonts w:eastAsia="宋体" w:cs="Times New Roman"/>
                      <w:color w:val="auto"/>
                      <w:szCs w:val="21"/>
                      <w:u w:color="000000"/>
                      <w:lang w:eastAsia="zh-CN"/>
                    </w:rPr>
                  </w:pPr>
                </w:p>
              </w:tc>
              <w:tc>
                <w:tcPr>
                  <w:tcW w:w="308" w:type="pct"/>
                  <w:tcBorders>
                    <w:tl2br w:val="nil"/>
                    <w:tr2bl w:val="nil"/>
                  </w:tcBorders>
                  <w:vAlign w:val="center"/>
                </w:tcPr>
                <w:p w14:paraId="493C75D8">
                  <w:pPr>
                    <w:widowControl/>
                    <w:spacing w:line="240" w:lineRule="auto"/>
                    <w:ind w:left="0" w:leftChars="0" w:right="0" w:rightChars="0" w:firstLine="0" w:firstLineChars="0"/>
                    <w:jc w:val="center"/>
                    <w:rPr>
                      <w:rFonts w:eastAsia="宋体" w:cs="Times New Roman"/>
                      <w:color w:val="auto"/>
                      <w:szCs w:val="21"/>
                      <w:u w:color="000000"/>
                      <w:lang w:eastAsia="zh-CN"/>
                    </w:rPr>
                  </w:pPr>
                  <w:r>
                    <w:rPr>
                      <w:rFonts w:hint="eastAsia" w:eastAsia="宋体" w:cs="Times New Roman"/>
                      <w:color w:val="auto"/>
                      <w:szCs w:val="21"/>
                      <w:u w:color="000000"/>
                      <w:lang w:eastAsia="zh-CN"/>
                    </w:rPr>
                    <w:t>符合</w:t>
                  </w:r>
                </w:p>
              </w:tc>
            </w:tr>
            <w:tr w14:paraId="239D2E1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vMerge w:val="restart"/>
                  <w:tcBorders>
                    <w:tl2br w:val="nil"/>
                    <w:tr2bl w:val="nil"/>
                  </w:tcBorders>
                  <w:vAlign w:val="center"/>
                </w:tcPr>
                <w:p w14:paraId="0D19CFF6">
                  <w:pPr>
                    <w:adjustRightInd w:val="0"/>
                    <w:snapToGrid w:val="0"/>
                    <w:spacing w:line="240" w:lineRule="auto"/>
                    <w:ind w:left="0" w:leftChars="0" w:right="0" w:rightChars="0" w:firstLine="0" w:firstLineChars="0"/>
                    <w:jc w:val="center"/>
                    <w:rPr>
                      <w:rFonts w:eastAsia="宋体" w:cs="Times New Roman"/>
                      <w:b/>
                      <w:bCs/>
                      <w:color w:val="auto"/>
                      <w:szCs w:val="21"/>
                      <w:u w:color="000000"/>
                      <w:lang w:eastAsia="zh-CN"/>
                    </w:rPr>
                  </w:pPr>
                  <w:r>
                    <w:rPr>
                      <w:rFonts w:eastAsia="宋体" w:cs="Times New Roman"/>
                      <w:color w:val="auto"/>
                      <w:szCs w:val="21"/>
                      <w:lang w:eastAsia="zh-CN"/>
                    </w:rPr>
                    <w:t>挥发性有机物（VOC</w:t>
                  </w:r>
                  <w:r>
                    <w:rPr>
                      <w:rFonts w:eastAsia="宋体" w:cs="Times New Roman"/>
                      <w:color w:val="auto"/>
                      <w:szCs w:val="21"/>
                      <w:vertAlign w:val="subscript"/>
                      <w:lang w:eastAsia="zh-CN"/>
                    </w:rPr>
                    <w:t>S</w:t>
                  </w:r>
                  <w:r>
                    <w:rPr>
                      <w:rFonts w:eastAsia="宋体" w:cs="Times New Roman"/>
                      <w:color w:val="auto"/>
                      <w:szCs w:val="21"/>
                      <w:lang w:eastAsia="zh-CN"/>
                    </w:rPr>
                    <w:t>）污染防治技术政策</w:t>
                  </w:r>
                </w:p>
              </w:tc>
              <w:tc>
                <w:tcPr>
                  <w:tcW w:w="3083" w:type="pct"/>
                  <w:tcBorders>
                    <w:tl2br w:val="nil"/>
                    <w:tr2bl w:val="nil"/>
                  </w:tcBorders>
                  <w:vAlign w:val="center"/>
                </w:tcPr>
                <w:p w14:paraId="5C7F6E16">
                  <w:pPr>
                    <w:pStyle w:val="57"/>
                    <w:spacing w:line="240" w:lineRule="auto"/>
                    <w:ind w:left="0" w:leftChars="0" w:right="0" w:rightChars="0" w:firstLine="0" w:firstLineChars="0"/>
                    <w:jc w:val="both"/>
                    <w:rPr>
                      <w:rFonts w:ascii="Times New Roman" w:hAnsi="Times New Roman" w:eastAsia="宋体" w:cs="Times New Roman"/>
                      <w:b/>
                      <w:bCs/>
                      <w:color w:val="auto"/>
                      <w:sz w:val="21"/>
                      <w:szCs w:val="21"/>
                      <w:u w:color="000000"/>
                      <w:lang w:eastAsia="zh-CN"/>
                    </w:rPr>
                  </w:pPr>
                  <w:r>
                    <w:rPr>
                      <w:rFonts w:ascii="Times New Roman" w:hAnsi="Times New Roman" w:eastAsia="宋体" w:cs="Times New Roman"/>
                      <w:color w:val="auto"/>
                      <w:sz w:val="21"/>
                      <w:szCs w:val="21"/>
                      <w:lang w:eastAsia="zh-CN"/>
                    </w:rPr>
                    <w:t>二、源头和过程控制：对生产装置排放的含VOC</w:t>
                  </w:r>
                  <w:r>
                    <w:rPr>
                      <w:rFonts w:ascii="Times New Roman" w:hAnsi="Times New Roman" w:eastAsia="宋体" w:cs="Times New Roman"/>
                      <w:color w:val="auto"/>
                      <w:sz w:val="21"/>
                      <w:szCs w:val="21"/>
                      <w:vertAlign w:val="subscript"/>
                      <w:lang w:eastAsia="zh-CN"/>
                    </w:rPr>
                    <w:t>S</w:t>
                  </w:r>
                  <w:r>
                    <w:rPr>
                      <w:rFonts w:ascii="Times New Roman" w:hAnsi="Times New Roman" w:eastAsia="宋体" w:cs="Times New Roman"/>
                      <w:color w:val="auto"/>
                      <w:sz w:val="21"/>
                      <w:szCs w:val="21"/>
                      <w:lang w:eastAsia="zh-CN"/>
                    </w:rPr>
                    <w:t>工艺排气宜优先回收利用，不能（或不能完全）回收利用的经处理后达标排放；废水收集和处理过程产生的含VOC</w:t>
                  </w:r>
                  <w:r>
                    <w:rPr>
                      <w:rFonts w:ascii="Times New Roman" w:hAnsi="Times New Roman" w:eastAsia="宋体" w:cs="Times New Roman"/>
                      <w:color w:val="auto"/>
                      <w:sz w:val="21"/>
                      <w:szCs w:val="21"/>
                      <w:vertAlign w:val="subscript"/>
                      <w:lang w:eastAsia="zh-CN"/>
                    </w:rPr>
                    <w:t>S</w:t>
                  </w:r>
                  <w:r>
                    <w:rPr>
                      <w:rFonts w:ascii="Times New Roman" w:hAnsi="Times New Roman" w:eastAsia="宋体" w:cs="Times New Roman"/>
                      <w:color w:val="auto"/>
                      <w:sz w:val="21"/>
                      <w:szCs w:val="21"/>
                      <w:lang w:eastAsia="zh-CN"/>
                    </w:rPr>
                    <w:t>废气经收集处理后达标排放；根据涂装工艺的不同，鼓励使用水性涂料、高固份涂料、粉末涂料、紫外光固化（UV）涂料等环保型涂料；推广采用静电喷涂、淋涂、辊涂、浸涂等效率较高的涂装工艺；应尽量避免无VOC</w:t>
                  </w:r>
                  <w:r>
                    <w:rPr>
                      <w:rFonts w:ascii="Times New Roman" w:hAnsi="Times New Roman" w:eastAsia="宋体" w:cs="Times New Roman"/>
                      <w:color w:val="auto"/>
                      <w:sz w:val="21"/>
                      <w:szCs w:val="21"/>
                      <w:vertAlign w:val="subscript"/>
                      <w:lang w:eastAsia="zh-CN"/>
                    </w:rPr>
                    <w:t>S</w:t>
                  </w:r>
                  <w:r>
                    <w:rPr>
                      <w:rFonts w:ascii="Times New Roman" w:hAnsi="Times New Roman" w:eastAsia="宋体" w:cs="Times New Roman"/>
                      <w:color w:val="auto"/>
                      <w:sz w:val="21"/>
                      <w:szCs w:val="21"/>
                      <w:lang w:eastAsia="zh-CN"/>
                    </w:rPr>
                    <w:t>净化、回收措施的露天喷涂作业；含VOC</w:t>
                  </w:r>
                  <w:r>
                    <w:rPr>
                      <w:rFonts w:ascii="Times New Roman" w:hAnsi="Times New Roman" w:eastAsia="宋体" w:cs="Times New Roman"/>
                      <w:color w:val="auto"/>
                      <w:sz w:val="21"/>
                      <w:szCs w:val="21"/>
                      <w:vertAlign w:val="subscript"/>
                      <w:lang w:eastAsia="zh-CN"/>
                    </w:rPr>
                    <w:t>S</w:t>
                  </w:r>
                  <w:r>
                    <w:rPr>
                      <w:rFonts w:ascii="Times New Roman" w:hAnsi="Times New Roman" w:eastAsia="宋体" w:cs="Times New Roman"/>
                      <w:color w:val="auto"/>
                      <w:sz w:val="21"/>
                      <w:szCs w:val="21"/>
                      <w:lang w:eastAsia="zh-CN"/>
                    </w:rPr>
                    <w:t>产品的使用过程中，应采取废气收集措施，提高废气收集效率，减少废气的无组织排放与逸散，并对收集后的废气进行回收或处理后达标排放，并辅助以其他治理技术实现达标排放。</w:t>
                  </w:r>
                </w:p>
              </w:tc>
              <w:tc>
                <w:tcPr>
                  <w:tcW w:w="884" w:type="pct"/>
                  <w:vMerge w:val="restart"/>
                  <w:tcBorders>
                    <w:tl2br w:val="nil"/>
                    <w:tr2bl w:val="nil"/>
                  </w:tcBorders>
                  <w:vAlign w:val="center"/>
                </w:tcPr>
                <w:p w14:paraId="669D99BE">
                  <w:pPr>
                    <w:widowControl/>
                    <w:spacing w:line="240" w:lineRule="auto"/>
                    <w:ind w:left="0" w:leftChars="0" w:right="0" w:rightChars="0" w:firstLine="0" w:firstLineChars="0"/>
                    <w:jc w:val="both"/>
                    <w:rPr>
                      <w:rFonts w:eastAsia="宋体" w:cs="Times New Roman"/>
                      <w:color w:val="auto"/>
                      <w:szCs w:val="21"/>
                      <w:u w:color="000000"/>
                      <w:lang w:eastAsia="zh-CN"/>
                    </w:rPr>
                  </w:pPr>
                  <w:r>
                    <w:rPr>
                      <w:rFonts w:hint="eastAsia" w:eastAsia="宋体" w:cs="Times New Roman"/>
                      <w:color w:val="auto"/>
                      <w:szCs w:val="21"/>
                      <w:u w:color="000000"/>
                      <w:lang w:eastAsia="zh-CN"/>
                    </w:rPr>
                    <w:t>本项目使用无溶剂型粉末涂料、油墨满足低挥发有机有机化合物含量涂料产品技术要求，采用静电喷涂工艺，</w:t>
                  </w:r>
                  <w:r>
                    <w:rPr>
                      <w:rFonts w:hint="eastAsia"/>
                      <w:color w:val="auto"/>
                      <w:lang w:eastAsia="zh-CN"/>
                    </w:rPr>
                    <w:t>有</w:t>
                  </w:r>
                  <w:r>
                    <w:rPr>
                      <w:color w:val="auto"/>
                      <w:szCs w:val="21"/>
                      <w:lang w:eastAsia="zh-CN"/>
                    </w:rPr>
                    <w:t>机废气采用</w:t>
                  </w:r>
                  <w:r>
                    <w:rPr>
                      <w:rFonts w:hint="eastAsia"/>
                      <w:color w:val="auto"/>
                      <w:szCs w:val="21"/>
                      <w:lang w:eastAsia="zh-CN"/>
                    </w:rPr>
                    <w:t>“</w:t>
                  </w:r>
                  <w:r>
                    <w:rPr>
                      <w:color w:val="auto"/>
                      <w:szCs w:val="21"/>
                      <w:lang w:eastAsia="zh-CN"/>
                    </w:rPr>
                    <w:t>集气罩+二级活性炭吸附装置</w:t>
                  </w:r>
                  <w:r>
                    <w:rPr>
                      <w:rFonts w:hint="eastAsia"/>
                      <w:color w:val="auto"/>
                      <w:szCs w:val="21"/>
                      <w:lang w:eastAsia="zh-CN"/>
                    </w:rPr>
                    <w:t>”，活性炭定期更换，可实现源头和过程控制、末端治理的防治要求</w:t>
                  </w:r>
                  <w:r>
                    <w:rPr>
                      <w:rFonts w:hint="eastAsia" w:eastAsia="宋体" w:cs="Times New Roman"/>
                      <w:color w:val="auto"/>
                      <w:szCs w:val="21"/>
                      <w:u w:color="000000"/>
                      <w:lang w:eastAsia="zh-CN"/>
                    </w:rPr>
                    <w:t>。</w:t>
                  </w:r>
                </w:p>
              </w:tc>
              <w:tc>
                <w:tcPr>
                  <w:tcW w:w="308" w:type="pct"/>
                  <w:vMerge w:val="restart"/>
                  <w:tcBorders>
                    <w:tl2br w:val="nil"/>
                    <w:tr2bl w:val="nil"/>
                  </w:tcBorders>
                  <w:vAlign w:val="center"/>
                </w:tcPr>
                <w:p w14:paraId="4CB02797">
                  <w:pPr>
                    <w:widowControl/>
                    <w:spacing w:line="240" w:lineRule="auto"/>
                    <w:ind w:left="0" w:leftChars="0" w:right="0" w:rightChars="0" w:firstLine="0" w:firstLineChars="0"/>
                    <w:jc w:val="center"/>
                    <w:rPr>
                      <w:rFonts w:eastAsia="宋体" w:cs="Times New Roman"/>
                      <w:color w:val="auto"/>
                      <w:szCs w:val="21"/>
                      <w:u w:color="000000"/>
                      <w:lang w:eastAsia="zh-CN"/>
                    </w:rPr>
                  </w:pPr>
                  <w:r>
                    <w:rPr>
                      <w:rFonts w:hint="eastAsia" w:eastAsia="宋体" w:cs="Times New Roman"/>
                      <w:color w:val="auto"/>
                      <w:szCs w:val="21"/>
                      <w:u w:color="000000"/>
                      <w:lang w:eastAsia="zh-CN"/>
                    </w:rPr>
                    <w:t>符合</w:t>
                  </w:r>
                </w:p>
              </w:tc>
            </w:tr>
            <w:tr w14:paraId="11B9636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vAlign w:val="center"/>
                </w:tcPr>
                <w:p w14:paraId="1E365720">
                  <w:pPr>
                    <w:spacing w:line="240" w:lineRule="auto"/>
                    <w:ind w:left="0" w:leftChars="0" w:right="0" w:rightChars="0" w:firstLine="0" w:firstLineChars="0"/>
                    <w:jc w:val="center"/>
                    <w:rPr>
                      <w:color w:val="auto"/>
                    </w:rPr>
                  </w:pPr>
                </w:p>
              </w:tc>
              <w:tc>
                <w:tcPr>
                  <w:tcW w:w="3083" w:type="pct"/>
                  <w:tcBorders>
                    <w:tl2br w:val="nil"/>
                    <w:tr2bl w:val="nil"/>
                  </w:tcBorders>
                  <w:vAlign w:val="center"/>
                </w:tcPr>
                <w:p w14:paraId="1B63165E">
                  <w:pPr>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三、末端治理与综合利用：对于含中等浓度VOCs的废气，可采用吸附技术回收有机溶剂，或采用催化燃烧和热力焚烧技术净化后达标排放。当采用催化燃烧和热力焚烧技术进行净化时，应进行余热回收利用；对于含低浓度VOC</w:t>
                  </w:r>
                  <w:r>
                    <w:rPr>
                      <w:rFonts w:eastAsia="宋体" w:cs="Times New Roman"/>
                      <w:color w:val="auto"/>
                      <w:szCs w:val="21"/>
                      <w:vertAlign w:val="subscript"/>
                      <w:lang w:eastAsia="zh-CN"/>
                    </w:rPr>
                    <w:t>S</w:t>
                  </w:r>
                  <w:r>
                    <w:rPr>
                      <w:rFonts w:eastAsia="宋体" w:cs="Times New Roman"/>
                      <w:color w:val="auto"/>
                      <w:szCs w:val="21"/>
                      <w:lang w:eastAsia="zh-CN"/>
                    </w:rPr>
                    <w:t>的废气，有回收价值时可采用吸附技术、吸收技术对有机溶剂回收后达标排放；不宜回收时，可采用吸附浓缩燃烧技术、生物技术、吸收技术、等离子体技术或紫外光高级氧化技术等净化后达标排放；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884" w:type="pct"/>
                  <w:vMerge w:val="continue"/>
                  <w:tcBorders>
                    <w:tl2br w:val="nil"/>
                    <w:tr2bl w:val="nil"/>
                  </w:tcBorders>
                  <w:vAlign w:val="center"/>
                </w:tcPr>
                <w:p w14:paraId="46A0EA1C">
                  <w:pPr>
                    <w:spacing w:line="240" w:lineRule="auto"/>
                    <w:ind w:left="0" w:leftChars="0" w:right="0" w:rightChars="0" w:firstLine="0" w:firstLineChars="0"/>
                    <w:jc w:val="both"/>
                    <w:rPr>
                      <w:rFonts w:eastAsia="宋体" w:cs="Times New Roman"/>
                      <w:color w:val="auto"/>
                      <w:szCs w:val="21"/>
                      <w:lang w:eastAsia="zh-CN"/>
                    </w:rPr>
                  </w:pPr>
                </w:p>
              </w:tc>
              <w:tc>
                <w:tcPr>
                  <w:tcW w:w="308" w:type="pct"/>
                  <w:vMerge w:val="continue"/>
                  <w:tcBorders>
                    <w:tl2br w:val="nil"/>
                    <w:tr2bl w:val="nil"/>
                  </w:tcBorders>
                  <w:vAlign w:val="center"/>
                </w:tcPr>
                <w:p w14:paraId="66656937">
                  <w:pPr>
                    <w:spacing w:line="240" w:lineRule="auto"/>
                    <w:ind w:left="0" w:leftChars="0" w:right="0" w:rightChars="0" w:firstLine="0" w:firstLineChars="0"/>
                    <w:jc w:val="center"/>
                    <w:rPr>
                      <w:rFonts w:eastAsia="宋体" w:cs="Times New Roman"/>
                      <w:color w:val="auto"/>
                      <w:szCs w:val="21"/>
                      <w:lang w:eastAsia="zh-CN"/>
                    </w:rPr>
                  </w:pPr>
                </w:p>
              </w:tc>
            </w:tr>
            <w:tr w14:paraId="60299BB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vAlign w:val="center"/>
                </w:tcPr>
                <w:p w14:paraId="204D2131">
                  <w:pPr>
                    <w:widowControl/>
                    <w:spacing w:line="240" w:lineRule="auto"/>
                    <w:ind w:left="0" w:leftChars="0" w:right="0" w:rightChars="0" w:firstLine="0" w:firstLineChars="0"/>
                    <w:jc w:val="center"/>
                    <w:rPr>
                      <w:rFonts w:eastAsia="宋体" w:cs="Times New Roman"/>
                      <w:b/>
                      <w:bCs/>
                      <w:color w:val="auto"/>
                      <w:szCs w:val="21"/>
                      <w:u w:color="000000"/>
                      <w:lang w:eastAsia="zh-CN"/>
                    </w:rPr>
                  </w:pPr>
                </w:p>
              </w:tc>
              <w:tc>
                <w:tcPr>
                  <w:tcW w:w="3083" w:type="pct"/>
                  <w:tcBorders>
                    <w:tl2br w:val="nil"/>
                    <w:tr2bl w:val="nil"/>
                  </w:tcBorders>
                  <w:vAlign w:val="center"/>
                </w:tcPr>
                <w:p w14:paraId="485494CF">
                  <w:pPr>
                    <w:spacing w:line="240" w:lineRule="auto"/>
                    <w:ind w:left="0" w:leftChars="0" w:right="0" w:rightChars="0" w:firstLine="0" w:firstLineChars="0"/>
                    <w:jc w:val="both"/>
                    <w:rPr>
                      <w:rFonts w:eastAsia="宋体" w:cs="Times New Roman"/>
                      <w:b/>
                      <w:bCs/>
                      <w:color w:val="auto"/>
                      <w:szCs w:val="21"/>
                      <w:u w:color="000000"/>
                      <w:lang w:eastAsia="zh-CN"/>
                    </w:rPr>
                  </w:pPr>
                  <w:r>
                    <w:rPr>
                      <w:rFonts w:eastAsia="宋体" w:cs="Times New Roman"/>
                      <w:color w:val="auto"/>
                      <w:szCs w:val="21"/>
                      <w:lang w:eastAsia="zh-CN"/>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非水溶性的VOCs废气禁止采用水或水溶液喷淋吸收处理。采用一次性活性炭吸附技术的，应定期更换活性炭，废旧活性炭应再生或处理处置。</w:t>
                  </w:r>
                </w:p>
              </w:tc>
              <w:tc>
                <w:tcPr>
                  <w:tcW w:w="884" w:type="pct"/>
                  <w:vMerge w:val="continue"/>
                  <w:tcBorders>
                    <w:tl2br w:val="nil"/>
                    <w:tr2bl w:val="nil"/>
                  </w:tcBorders>
                  <w:vAlign w:val="center"/>
                </w:tcPr>
                <w:p w14:paraId="56BDEEB0">
                  <w:pPr>
                    <w:widowControl/>
                    <w:spacing w:line="240" w:lineRule="auto"/>
                    <w:ind w:left="0" w:leftChars="0" w:right="0" w:rightChars="0" w:firstLine="0" w:firstLineChars="0"/>
                    <w:jc w:val="both"/>
                    <w:rPr>
                      <w:rFonts w:eastAsia="宋体" w:cs="Times New Roman"/>
                      <w:color w:val="auto"/>
                      <w:szCs w:val="21"/>
                      <w:u w:color="000000"/>
                      <w:lang w:eastAsia="zh-CN"/>
                    </w:rPr>
                  </w:pPr>
                </w:p>
              </w:tc>
              <w:tc>
                <w:tcPr>
                  <w:tcW w:w="308" w:type="pct"/>
                  <w:vMerge w:val="continue"/>
                  <w:tcBorders>
                    <w:tl2br w:val="nil"/>
                    <w:tr2bl w:val="nil"/>
                  </w:tcBorders>
                  <w:vAlign w:val="center"/>
                </w:tcPr>
                <w:p w14:paraId="117B9315">
                  <w:pPr>
                    <w:widowControl/>
                    <w:spacing w:line="240" w:lineRule="auto"/>
                    <w:ind w:left="0" w:leftChars="0" w:right="0" w:rightChars="0" w:firstLine="0" w:firstLineChars="0"/>
                    <w:jc w:val="center"/>
                    <w:rPr>
                      <w:rFonts w:eastAsia="宋体" w:cs="Times New Roman"/>
                      <w:color w:val="auto"/>
                      <w:szCs w:val="21"/>
                      <w:u w:color="000000"/>
                      <w:lang w:eastAsia="zh-CN"/>
                    </w:rPr>
                  </w:pPr>
                </w:p>
              </w:tc>
            </w:tr>
            <w:tr w14:paraId="3C6BB06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8" w:hRule="atLeast"/>
                <w:jc w:val="center"/>
              </w:trPr>
              <w:tc>
                <w:tcPr>
                  <w:tcW w:w="723" w:type="pct"/>
                  <w:vMerge w:val="restart"/>
                  <w:tcBorders>
                    <w:tl2br w:val="nil"/>
                    <w:tr2bl w:val="nil"/>
                  </w:tcBorders>
                  <w:vAlign w:val="center"/>
                </w:tcPr>
                <w:p w14:paraId="79A2F8F3">
                  <w:pPr>
                    <w:widowControl/>
                    <w:spacing w:line="240" w:lineRule="auto"/>
                    <w:ind w:left="0" w:leftChars="0" w:right="0" w:rightChars="0" w:firstLine="0" w:firstLineChars="0"/>
                    <w:jc w:val="center"/>
                    <w:rPr>
                      <w:rFonts w:hint="default" w:eastAsia="宋体" w:cs="Times New Roman"/>
                      <w:b w:val="0"/>
                      <w:bCs w:val="0"/>
                      <w:color w:val="0000FF"/>
                      <w:szCs w:val="21"/>
                      <w:u w:color="000000"/>
                      <w:lang w:val="en-US" w:eastAsia="zh-CN"/>
                    </w:rPr>
                  </w:pPr>
                  <w:r>
                    <w:rPr>
                      <w:rFonts w:hint="eastAsia" w:eastAsia="宋体" w:cs="Times New Roman"/>
                      <w:b w:val="0"/>
                      <w:bCs w:val="0"/>
                      <w:color w:val="0000FF"/>
                      <w:szCs w:val="21"/>
                      <w:u w:color="000000"/>
                      <w:lang w:val="en-US" w:eastAsia="zh-CN"/>
                    </w:rPr>
                    <w:t>《西安市大气污染治理2024年专项行动方案》</w:t>
                  </w:r>
                </w:p>
              </w:tc>
              <w:tc>
                <w:tcPr>
                  <w:tcW w:w="3083" w:type="pct"/>
                  <w:tcBorders>
                    <w:tl2br w:val="nil"/>
                    <w:tr2bl w:val="nil"/>
                  </w:tcBorders>
                  <w:vAlign w:val="center"/>
                </w:tcPr>
                <w:p w14:paraId="09CE06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rPr>
                    <w:t>严格新、改、扩建涉气重点行业绩效评级限制条件。各区、开发区范围内新改扩建涉气重点行业企业应达到环保绩效A级、绩效引领性水平，周至县、蓝田县应达到环保绩效B级及以上水平</w:t>
                  </w:r>
                  <w:r>
                    <w:rPr>
                      <w:rFonts w:hint="default" w:ascii="Times New Roman" w:hAnsi="Times New Roman" w:eastAsia="宋体" w:cs="Times New Roman"/>
                      <w:color w:val="0000FF"/>
                      <w:lang w:eastAsia="zh-CN"/>
                    </w:rPr>
                    <w:t>。</w:t>
                  </w:r>
                </w:p>
              </w:tc>
              <w:tc>
                <w:tcPr>
                  <w:tcW w:w="884" w:type="pct"/>
                  <w:tcBorders>
                    <w:tl2br w:val="nil"/>
                    <w:tr2bl w:val="nil"/>
                  </w:tcBorders>
                  <w:vAlign w:val="center"/>
                </w:tcPr>
                <w:p w14:paraId="1AD610D1">
                  <w:pPr>
                    <w:widowControl/>
                    <w:spacing w:line="240" w:lineRule="auto"/>
                    <w:ind w:left="0" w:leftChars="0" w:right="0" w:rightChars="0" w:firstLine="0" w:firstLineChars="0"/>
                    <w:jc w:val="both"/>
                    <w:rPr>
                      <w:rFonts w:hint="default" w:eastAsia="宋体" w:cs="Times New Roman"/>
                      <w:b w:val="0"/>
                      <w:bCs w:val="0"/>
                      <w:color w:val="0000FF"/>
                      <w:szCs w:val="21"/>
                      <w:u w:color="000000"/>
                      <w:lang w:val="en-US" w:eastAsia="zh-CN"/>
                    </w:rPr>
                  </w:pPr>
                  <w:r>
                    <w:rPr>
                      <w:rFonts w:hint="eastAsia" w:eastAsia="宋体" w:cs="Times New Roman"/>
                      <w:b w:val="0"/>
                      <w:bCs w:val="0"/>
                      <w:color w:val="0000FF"/>
                      <w:szCs w:val="21"/>
                      <w:u w:color="000000"/>
                      <w:lang w:val="en-US" w:eastAsia="zh-CN"/>
                    </w:rPr>
                    <w:t>本项目属于涉气重点行业，在落实本项目提出的各项改进措施后，可达到环保绩效引领性水平。</w:t>
                  </w:r>
                </w:p>
              </w:tc>
              <w:tc>
                <w:tcPr>
                  <w:tcW w:w="308" w:type="pct"/>
                  <w:vMerge w:val="restart"/>
                  <w:tcBorders>
                    <w:tl2br w:val="nil"/>
                    <w:tr2bl w:val="nil"/>
                  </w:tcBorders>
                  <w:vAlign w:val="center"/>
                </w:tcPr>
                <w:p w14:paraId="33BF3815">
                  <w:pPr>
                    <w:widowControl/>
                    <w:spacing w:line="240" w:lineRule="auto"/>
                    <w:ind w:left="0" w:leftChars="0" w:right="0" w:rightChars="0" w:firstLine="0" w:firstLineChars="0"/>
                    <w:jc w:val="center"/>
                    <w:rPr>
                      <w:rFonts w:hint="default" w:eastAsia="宋体" w:cs="Times New Roman"/>
                      <w:b w:val="0"/>
                      <w:bCs w:val="0"/>
                      <w:color w:val="0000FF"/>
                      <w:szCs w:val="21"/>
                      <w:u w:color="000000"/>
                      <w:lang w:val="en-US" w:eastAsia="zh-CN"/>
                    </w:rPr>
                  </w:pPr>
                  <w:r>
                    <w:rPr>
                      <w:rFonts w:hint="eastAsia" w:eastAsia="宋体" w:cs="Times New Roman"/>
                      <w:b w:val="0"/>
                      <w:bCs w:val="0"/>
                      <w:color w:val="0000FF"/>
                      <w:szCs w:val="21"/>
                      <w:u w:color="000000"/>
                      <w:lang w:val="en-US" w:eastAsia="zh-CN"/>
                    </w:rPr>
                    <w:t>符合</w:t>
                  </w:r>
                </w:p>
              </w:tc>
            </w:tr>
            <w:tr w14:paraId="042E6EE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8" w:hRule="atLeast"/>
                <w:jc w:val="center"/>
              </w:trPr>
              <w:tc>
                <w:tcPr>
                  <w:tcW w:w="723" w:type="pct"/>
                  <w:vMerge w:val="continue"/>
                  <w:tcBorders>
                    <w:tl2br w:val="nil"/>
                    <w:tr2bl w:val="nil"/>
                  </w:tcBorders>
                  <w:vAlign w:val="center"/>
                </w:tcPr>
                <w:p w14:paraId="52BDD50F">
                  <w:pPr>
                    <w:spacing w:line="240" w:lineRule="auto"/>
                    <w:ind w:left="0" w:leftChars="0" w:right="0" w:rightChars="0" w:firstLine="0" w:firstLineChars="0"/>
                    <w:jc w:val="both"/>
                  </w:pPr>
                </w:p>
              </w:tc>
              <w:tc>
                <w:tcPr>
                  <w:tcW w:w="3083" w:type="pct"/>
                  <w:tcBorders>
                    <w:tl2br w:val="nil"/>
                    <w:tr2bl w:val="nil"/>
                  </w:tcBorders>
                  <w:vAlign w:val="center"/>
                </w:tcPr>
                <w:p w14:paraId="0451B6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rPr>
                    <w:t>强化涉活性炭VOCs处理工艺治理。深入开展简易低效挥发性有机物治理设施清理整治，组织开展涉活性炭挥发性有机物处理工艺专项整治行动，推广先进VOCs治理工艺，全面提升VOCs治理水平</w:t>
                  </w:r>
                </w:p>
              </w:tc>
              <w:tc>
                <w:tcPr>
                  <w:tcW w:w="884" w:type="pct"/>
                  <w:tcBorders>
                    <w:tl2br w:val="nil"/>
                    <w:tr2bl w:val="nil"/>
                  </w:tcBorders>
                  <w:vAlign w:val="center"/>
                </w:tcPr>
                <w:p w14:paraId="11CA26AA">
                  <w:pPr>
                    <w:spacing w:line="240" w:lineRule="auto"/>
                    <w:ind w:left="0" w:leftChars="0" w:right="0" w:rightChars="0" w:firstLine="0" w:firstLineChars="0"/>
                    <w:jc w:val="both"/>
                    <w:rPr>
                      <w:rFonts w:hint="default" w:eastAsia="宋体" w:cs="Times New Roman"/>
                      <w:b w:val="0"/>
                      <w:bCs w:val="0"/>
                      <w:color w:val="0000FF"/>
                      <w:szCs w:val="21"/>
                      <w:lang w:val="en-US" w:eastAsia="zh-CN"/>
                    </w:rPr>
                  </w:pPr>
                  <w:r>
                    <w:rPr>
                      <w:rFonts w:hint="eastAsia" w:eastAsia="宋体" w:cs="Times New Roman"/>
                      <w:b w:val="0"/>
                      <w:bCs w:val="0"/>
                      <w:color w:val="0000FF"/>
                      <w:szCs w:val="21"/>
                      <w:lang w:val="en-US" w:eastAsia="zh-CN"/>
                    </w:rPr>
                    <w:t>本项目使用二级活性炭吸附装置，不属于简易低效挥发性有机物治理设施。</w:t>
                  </w:r>
                </w:p>
              </w:tc>
              <w:tc>
                <w:tcPr>
                  <w:tcW w:w="308" w:type="pct"/>
                  <w:vMerge w:val="continue"/>
                  <w:tcBorders>
                    <w:tl2br w:val="nil"/>
                    <w:tr2bl w:val="nil"/>
                  </w:tcBorders>
                  <w:vAlign w:val="center"/>
                </w:tcPr>
                <w:p w14:paraId="1F47EB37">
                  <w:pPr>
                    <w:spacing w:line="240" w:lineRule="auto"/>
                    <w:ind w:left="0" w:leftChars="0" w:right="0" w:rightChars="0" w:firstLine="0" w:firstLineChars="0"/>
                    <w:jc w:val="both"/>
                    <w:rPr>
                      <w:rFonts w:hint="default" w:eastAsia="宋体" w:cs="Times New Roman"/>
                      <w:b w:val="0"/>
                      <w:bCs w:val="0"/>
                      <w:color w:val="0000FF"/>
                      <w:szCs w:val="21"/>
                      <w:lang w:val="en-US" w:eastAsia="zh-CN"/>
                    </w:rPr>
                  </w:pPr>
                </w:p>
              </w:tc>
            </w:tr>
          </w:tbl>
          <w:p w14:paraId="083926E9">
            <w:pPr>
              <w:pStyle w:val="2"/>
              <w:keepNext/>
              <w:ind w:left="0" w:leftChars="0" w:right="0" w:rightChars="0" w:firstLine="480"/>
              <w:jc w:val="both"/>
              <w:outlineLvl w:val="1"/>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对照《重污染天气重点行业应急减排措施制定技术指南》、《关于印发&lt;重污染天气重点行业绩效分级及减排措施&gt;补充说明的通知》，本项目属于</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三十六、家具制造</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中的金属家具制造，</w:t>
            </w:r>
            <w:r>
              <w:rPr>
                <w:rFonts w:hint="eastAsia" w:ascii="Times New Roman" w:hAnsi="Times New Roman" w:eastAsia="宋体" w:cs="Times New Roman"/>
                <w:color w:val="0000FF"/>
                <w:sz w:val="24"/>
                <w:lang w:eastAsia="zh-CN"/>
              </w:rPr>
              <w:t>可</w:t>
            </w:r>
            <w:r>
              <w:rPr>
                <w:rFonts w:ascii="Times New Roman" w:hAnsi="Times New Roman" w:eastAsia="宋体" w:cs="Times New Roman"/>
                <w:color w:val="0000FF"/>
                <w:sz w:val="24"/>
                <w:lang w:eastAsia="zh-CN"/>
              </w:rPr>
              <w:t>达到</w:t>
            </w:r>
            <w:r>
              <w:rPr>
                <w:rFonts w:hint="eastAsia" w:ascii="Times New Roman" w:hAnsi="Times New Roman" w:eastAsia="宋体" w:cs="Times New Roman"/>
                <w:color w:val="0000FF"/>
                <w:sz w:val="24"/>
                <w:lang w:eastAsia="zh-CN"/>
              </w:rPr>
              <w:t>环保绩效引领性水平</w:t>
            </w:r>
            <w:r>
              <w:rPr>
                <w:rFonts w:ascii="Times New Roman" w:hAnsi="Times New Roman" w:eastAsia="宋体" w:cs="Times New Roman"/>
                <w:color w:val="0000FF"/>
                <w:sz w:val="24"/>
                <w:lang w:eastAsia="zh-CN"/>
              </w:rPr>
              <w:t>，</w:t>
            </w:r>
            <w:r>
              <w:rPr>
                <w:rFonts w:ascii="Times New Roman" w:hAnsi="Times New Roman" w:eastAsia="宋体" w:cs="Times New Roman"/>
                <w:color w:val="auto"/>
                <w:sz w:val="24"/>
                <w:lang w:eastAsia="zh-CN"/>
              </w:rPr>
              <w:t>各指标对比如下：</w:t>
            </w:r>
          </w:p>
          <w:p w14:paraId="7FACB2F3">
            <w:pPr>
              <w:pStyle w:val="35"/>
              <w:snapToGrid w:val="0"/>
              <w:spacing w:line="240" w:lineRule="auto"/>
              <w:ind w:firstLine="422" w:firstLineChars="200"/>
              <w:jc w:val="center"/>
              <w:rPr>
                <w:b/>
                <w:color w:val="0000FF"/>
                <w:sz w:val="21"/>
                <w:szCs w:val="21"/>
              </w:rPr>
            </w:pPr>
            <w:r>
              <w:rPr>
                <w:rFonts w:hint="eastAsia"/>
                <w:b/>
                <w:color w:val="0000FF"/>
                <w:sz w:val="21"/>
                <w:szCs w:val="21"/>
              </w:rPr>
              <w:t xml:space="preserve">表1-4  </w:t>
            </w:r>
            <w:r>
              <w:rPr>
                <w:rFonts w:hint="eastAsia"/>
                <w:b/>
                <w:color w:val="0000FF"/>
                <w:sz w:val="21"/>
                <w:szCs w:val="21"/>
                <w:lang w:val="en-US" w:eastAsia="zh-CN"/>
              </w:rPr>
              <w:t>使用粉末涂料的家具制造</w:t>
            </w:r>
            <w:r>
              <w:rPr>
                <w:rFonts w:hint="eastAsia"/>
                <w:b/>
                <w:color w:val="0000FF"/>
                <w:sz w:val="21"/>
                <w:szCs w:val="21"/>
              </w:rPr>
              <w:t>绩效</w:t>
            </w:r>
            <w:r>
              <w:rPr>
                <w:rFonts w:hint="eastAsia"/>
                <w:b/>
                <w:color w:val="0000FF"/>
                <w:sz w:val="21"/>
                <w:szCs w:val="21"/>
                <w:lang w:val="en-US" w:eastAsia="zh-CN"/>
              </w:rPr>
              <w:t>引领性指标</w:t>
            </w:r>
            <w:r>
              <w:rPr>
                <w:rFonts w:hint="eastAsia"/>
                <w:b/>
                <w:color w:val="0000FF"/>
                <w:sz w:val="21"/>
                <w:szCs w:val="21"/>
              </w:rPr>
              <w:t>水平分析</w:t>
            </w:r>
          </w:p>
          <w:tbl>
            <w:tblPr>
              <w:tblStyle w:val="26"/>
              <w:tblW w:w="4995"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9"/>
              <w:gridCol w:w="6415"/>
              <w:gridCol w:w="4759"/>
              <w:gridCol w:w="1062"/>
            </w:tblGrid>
            <w:tr w14:paraId="3CACF5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pct"/>
                  <w:tcBorders>
                    <w:tl2br w:val="nil"/>
                    <w:tr2bl w:val="nil"/>
                  </w:tcBorders>
                  <w:vAlign w:val="center"/>
                </w:tcPr>
                <w:p w14:paraId="1E795C4E">
                  <w:pPr>
                    <w:widowControl/>
                    <w:spacing w:line="240" w:lineRule="auto"/>
                    <w:ind w:left="0" w:leftChars="0" w:right="0" w:rightChars="0" w:firstLine="0" w:firstLineChars="0"/>
                    <w:jc w:val="center"/>
                    <w:rPr>
                      <w:rFonts w:ascii="宋体" w:hAnsi="宋体" w:eastAsia="宋体" w:cs="宋体"/>
                      <w:color w:val="0000FF"/>
                      <w:szCs w:val="21"/>
                      <w:lang w:eastAsia="zh-CN" w:bidi="ar"/>
                    </w:rPr>
                  </w:pPr>
                  <w:r>
                    <w:rPr>
                      <w:rFonts w:hint="eastAsia" w:ascii="宋体" w:hAnsi="宋体" w:cs="宋体"/>
                      <w:b/>
                      <w:bCs/>
                      <w:color w:val="0000FF"/>
                      <w:szCs w:val="21"/>
                      <w:lang w:eastAsia="zh-CN" w:bidi="ar"/>
                    </w:rPr>
                    <w:t>差异化指标</w:t>
                  </w:r>
                </w:p>
              </w:tc>
              <w:tc>
                <w:tcPr>
                  <w:tcW w:w="2231" w:type="pct"/>
                  <w:tcBorders>
                    <w:tl2br w:val="nil"/>
                    <w:tr2bl w:val="nil"/>
                  </w:tcBorders>
                  <w:vAlign w:val="center"/>
                </w:tcPr>
                <w:p w14:paraId="3642368C">
                  <w:pPr>
                    <w:pStyle w:val="81"/>
                    <w:spacing w:line="240" w:lineRule="auto"/>
                    <w:ind w:left="0" w:leftChars="0" w:right="0" w:rightChars="0" w:firstLine="0" w:firstLineChars="0"/>
                    <w:jc w:val="center"/>
                    <w:rPr>
                      <w:rFonts w:hint="default"/>
                      <w:b/>
                      <w:bCs/>
                      <w:color w:val="0000FF"/>
                      <w:sz w:val="21"/>
                      <w:szCs w:val="21"/>
                      <w:lang w:val="en-US" w:eastAsia="zh-CN"/>
                    </w:rPr>
                  </w:pPr>
                  <w:r>
                    <w:rPr>
                      <w:rFonts w:hint="eastAsia"/>
                      <w:b/>
                      <w:bCs/>
                      <w:color w:val="0000FF"/>
                      <w:sz w:val="21"/>
                      <w:szCs w:val="21"/>
                      <w:lang w:val="en-US" w:eastAsia="zh-CN"/>
                    </w:rPr>
                    <w:t>使用粉末涂料的家具制造</w:t>
                  </w:r>
                </w:p>
              </w:tc>
              <w:tc>
                <w:tcPr>
                  <w:tcW w:w="1655" w:type="pct"/>
                  <w:tcBorders>
                    <w:tl2br w:val="nil"/>
                    <w:tr2bl w:val="nil"/>
                  </w:tcBorders>
                  <w:vAlign w:val="center"/>
                </w:tcPr>
                <w:p w14:paraId="48935FB5">
                  <w:pPr>
                    <w:pStyle w:val="81"/>
                    <w:spacing w:line="240" w:lineRule="auto"/>
                    <w:ind w:left="0" w:leftChars="0" w:right="0" w:rightChars="0" w:firstLine="0" w:firstLineChars="0"/>
                    <w:jc w:val="center"/>
                    <w:rPr>
                      <w:color w:val="0000FF"/>
                      <w:sz w:val="21"/>
                      <w:szCs w:val="21"/>
                      <w:lang w:eastAsia="zh-CN"/>
                    </w:rPr>
                  </w:pPr>
                  <w:r>
                    <w:rPr>
                      <w:rFonts w:hint="eastAsia"/>
                      <w:b/>
                      <w:bCs/>
                      <w:color w:val="0000FF"/>
                      <w:sz w:val="21"/>
                      <w:szCs w:val="21"/>
                      <w:lang w:eastAsia="zh-CN"/>
                    </w:rPr>
                    <w:t>本项目情况</w:t>
                  </w:r>
                </w:p>
              </w:tc>
              <w:tc>
                <w:tcPr>
                  <w:tcW w:w="369" w:type="pct"/>
                  <w:tcBorders>
                    <w:tl2br w:val="nil"/>
                    <w:tr2bl w:val="nil"/>
                  </w:tcBorders>
                  <w:vAlign w:val="center"/>
                </w:tcPr>
                <w:p w14:paraId="33D93A3E">
                  <w:pPr>
                    <w:pStyle w:val="81"/>
                    <w:spacing w:line="240" w:lineRule="auto"/>
                    <w:ind w:left="0" w:leftChars="0" w:right="0" w:rightChars="0" w:firstLine="0" w:firstLineChars="0"/>
                    <w:jc w:val="center"/>
                    <w:rPr>
                      <w:b/>
                      <w:bCs/>
                      <w:color w:val="0000FF"/>
                      <w:sz w:val="21"/>
                      <w:szCs w:val="21"/>
                      <w:lang w:eastAsia="zh-CN"/>
                    </w:rPr>
                  </w:pPr>
                  <w:r>
                    <w:rPr>
                      <w:rFonts w:hint="eastAsia"/>
                      <w:b/>
                      <w:bCs/>
                      <w:color w:val="0000FF"/>
                      <w:sz w:val="21"/>
                      <w:szCs w:val="21"/>
                      <w:lang w:eastAsia="zh-CN"/>
                    </w:rPr>
                    <w:t>是否满足</w:t>
                  </w:r>
                </w:p>
              </w:tc>
            </w:tr>
            <w:tr w14:paraId="1164EA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pct"/>
                  <w:tcBorders>
                    <w:tl2br w:val="nil"/>
                    <w:tr2bl w:val="nil"/>
                  </w:tcBorders>
                  <w:vAlign w:val="center"/>
                </w:tcPr>
                <w:p w14:paraId="007B7181">
                  <w:pPr>
                    <w:widowControl/>
                    <w:spacing w:line="240" w:lineRule="auto"/>
                    <w:ind w:left="0" w:leftChars="0" w:right="0" w:rightChars="0" w:firstLine="0" w:firstLineChars="0"/>
                    <w:jc w:val="center"/>
                    <w:rPr>
                      <w:color w:val="0000FF"/>
                      <w:szCs w:val="21"/>
                    </w:rPr>
                  </w:pPr>
                  <w:r>
                    <w:rPr>
                      <w:rFonts w:hint="eastAsia" w:ascii="宋体" w:hAnsi="宋体" w:eastAsia="宋体" w:cs="宋体"/>
                      <w:color w:val="0000FF"/>
                      <w:szCs w:val="21"/>
                      <w:lang w:eastAsia="zh-CN" w:bidi="ar"/>
                    </w:rPr>
                    <w:t>原辅材料</w:t>
                  </w:r>
                </w:p>
              </w:tc>
              <w:tc>
                <w:tcPr>
                  <w:tcW w:w="2231" w:type="pct"/>
                  <w:tcBorders>
                    <w:tl2br w:val="nil"/>
                    <w:tr2bl w:val="nil"/>
                  </w:tcBorders>
                  <w:vAlign w:val="center"/>
                </w:tcPr>
                <w:p w14:paraId="4E855F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cs="Times New Roman"/>
                      <w:color w:val="0000FF"/>
                      <w:szCs w:val="21"/>
                      <w:lang w:val="en-US" w:eastAsia="zh-CN"/>
                    </w:rPr>
                  </w:pPr>
                  <w:r>
                    <w:rPr>
                      <w:rFonts w:hint="eastAsia"/>
                      <w:color w:val="0000FF"/>
                      <w:lang w:eastAsia="zh-CN"/>
                    </w:rPr>
                    <w:t>使用</w:t>
                  </w:r>
                  <w:r>
                    <w:rPr>
                      <w:rFonts w:hint="eastAsia"/>
                      <w:color w:val="0000FF"/>
                      <w:lang w:val="en-US" w:eastAsia="zh-CN"/>
                    </w:rPr>
                    <w:t>的粉末涂料</w:t>
                  </w:r>
                  <w:r>
                    <w:rPr>
                      <w:rFonts w:hint="eastAsia"/>
                      <w:color w:val="0000FF"/>
                      <w:lang w:eastAsia="zh-CN"/>
                    </w:rPr>
                    <w:t>满足《木器涂料中有害物质限量》（</w:t>
                  </w:r>
                  <w:r>
                    <w:rPr>
                      <w:color w:val="0000FF"/>
                      <w:lang w:eastAsia="zh-CN"/>
                    </w:rPr>
                    <w:t>GB18581-2020</w:t>
                  </w:r>
                  <w:r>
                    <w:rPr>
                      <w:rFonts w:hint="eastAsia"/>
                      <w:color w:val="0000FF"/>
                      <w:lang w:eastAsia="zh-CN"/>
                    </w:rPr>
                    <w:t>）要求；</w:t>
                  </w:r>
                  <w:r>
                    <w:rPr>
                      <w:rFonts w:hint="eastAsia"/>
                      <w:color w:val="0000FF"/>
                      <w:lang w:val="en-US" w:eastAsia="zh-CN"/>
                    </w:rPr>
                    <w:t>使用的水性和本体胶粘剂满足《胶粘剂挥发性有机化合物限量》（GB 33372-2020）要求；使用的稀释剂满足</w:t>
                  </w:r>
                  <w:r>
                    <w:rPr>
                      <w:rFonts w:hint="eastAsia" w:eastAsia="宋体" w:cs="Times New Roman"/>
                      <w:color w:val="0000FF"/>
                      <w:szCs w:val="21"/>
                      <w:lang w:eastAsia="zh-CN" w:bidi="ar"/>
                    </w:rPr>
                    <w:t>《稀释剂挥发性有机化合物含量限值》（</w:t>
                  </w:r>
                  <w:r>
                    <w:rPr>
                      <w:rFonts w:eastAsia="宋体" w:cs="Times New Roman"/>
                      <w:color w:val="0000FF"/>
                      <w:szCs w:val="21"/>
                      <w:lang w:eastAsia="zh-CN" w:bidi="ar"/>
                    </w:rPr>
                    <w:t>GB 38508-2020</w:t>
                  </w:r>
                  <w:r>
                    <w:rPr>
                      <w:rFonts w:hint="eastAsia" w:eastAsia="宋体" w:cs="Times New Roman"/>
                      <w:color w:val="0000FF"/>
                      <w:szCs w:val="21"/>
                      <w:lang w:eastAsia="zh-CN" w:bidi="ar"/>
                    </w:rPr>
                    <w:t>）要求。</w:t>
                  </w:r>
                </w:p>
              </w:tc>
              <w:tc>
                <w:tcPr>
                  <w:tcW w:w="1655" w:type="pct"/>
                  <w:tcBorders>
                    <w:tl2br w:val="nil"/>
                    <w:tr2bl w:val="nil"/>
                  </w:tcBorders>
                  <w:vAlign w:val="center"/>
                </w:tcPr>
                <w:p w14:paraId="0CA7FDB0">
                  <w:pPr>
                    <w:pStyle w:val="81"/>
                    <w:spacing w:line="240" w:lineRule="auto"/>
                    <w:ind w:left="0" w:leftChars="0" w:right="0" w:rightChars="0" w:firstLine="0" w:firstLineChars="0"/>
                    <w:jc w:val="both"/>
                    <w:rPr>
                      <w:rFonts w:eastAsia="宋体"/>
                      <w:color w:val="0000FF"/>
                      <w:sz w:val="21"/>
                      <w:szCs w:val="21"/>
                      <w:lang w:eastAsia="zh-CN"/>
                    </w:rPr>
                  </w:pPr>
                  <w:r>
                    <w:rPr>
                      <w:rFonts w:cs="Times New Roman"/>
                      <w:color w:val="0000FF"/>
                      <w:sz w:val="21"/>
                      <w:szCs w:val="21"/>
                      <w:lang w:eastAsia="zh-CN"/>
                    </w:rPr>
                    <w:t>本项目喷涂使用的粉末涂料，用量为60t/a，满足</w:t>
                  </w:r>
                  <w:r>
                    <w:rPr>
                      <w:rFonts w:eastAsia="宋体" w:cs="Times New Roman"/>
                      <w:color w:val="0000FF"/>
                      <w:sz w:val="21"/>
                      <w:szCs w:val="21"/>
                      <w:lang w:eastAsia="zh-CN" w:bidi="ar"/>
                    </w:rPr>
                    <w:t>《木器涂料中有害物质限量》（GB18581-2020）要求。</w:t>
                  </w:r>
                </w:p>
              </w:tc>
              <w:tc>
                <w:tcPr>
                  <w:tcW w:w="369" w:type="pct"/>
                  <w:tcBorders>
                    <w:tl2br w:val="nil"/>
                    <w:tr2bl w:val="nil"/>
                  </w:tcBorders>
                  <w:vAlign w:val="center"/>
                </w:tcPr>
                <w:p w14:paraId="36B284AE">
                  <w:pPr>
                    <w:pStyle w:val="81"/>
                    <w:spacing w:line="240" w:lineRule="auto"/>
                    <w:ind w:left="0" w:leftChars="0" w:right="0" w:rightChars="0" w:firstLine="0" w:firstLineChars="0"/>
                    <w:jc w:val="center"/>
                    <w:rPr>
                      <w:color w:val="0000FF"/>
                      <w:sz w:val="21"/>
                      <w:szCs w:val="21"/>
                      <w:lang w:eastAsia="zh-CN"/>
                    </w:rPr>
                  </w:pPr>
                  <w:r>
                    <w:rPr>
                      <w:rFonts w:hint="eastAsia"/>
                      <w:color w:val="0000FF"/>
                      <w:sz w:val="21"/>
                      <w:szCs w:val="21"/>
                      <w:lang w:eastAsia="zh-CN"/>
                    </w:rPr>
                    <w:t>满足</w:t>
                  </w:r>
                </w:p>
              </w:tc>
            </w:tr>
            <w:tr w14:paraId="0C3CB1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pct"/>
                  <w:tcBorders>
                    <w:tl2br w:val="nil"/>
                    <w:tr2bl w:val="nil"/>
                  </w:tcBorders>
                  <w:vAlign w:val="center"/>
                </w:tcPr>
                <w:p w14:paraId="6824963A">
                  <w:pPr>
                    <w:widowControl/>
                    <w:spacing w:line="240" w:lineRule="auto"/>
                    <w:ind w:left="0" w:leftChars="0" w:right="0" w:rightChars="0" w:firstLine="0" w:firstLineChars="0"/>
                    <w:jc w:val="center"/>
                    <w:rPr>
                      <w:rFonts w:ascii="宋体" w:hAnsi="宋体" w:eastAsia="宋体" w:cs="宋体"/>
                      <w:color w:val="0000FF"/>
                      <w:szCs w:val="21"/>
                      <w:lang w:eastAsia="zh-CN" w:bidi="ar"/>
                    </w:rPr>
                  </w:pPr>
                  <w:r>
                    <w:rPr>
                      <w:rFonts w:hint="eastAsia" w:ascii="宋体" w:hAnsi="宋体" w:eastAsia="宋体" w:cs="宋体"/>
                      <w:color w:val="0000FF"/>
                      <w:szCs w:val="21"/>
                      <w:lang w:eastAsia="zh-CN" w:bidi="ar"/>
                    </w:rPr>
                    <w:t>生产工艺</w:t>
                  </w:r>
                </w:p>
              </w:tc>
              <w:tc>
                <w:tcPr>
                  <w:tcW w:w="2231" w:type="pct"/>
                  <w:tcBorders>
                    <w:tl2br w:val="nil"/>
                    <w:tr2bl w:val="nil"/>
                  </w:tcBorders>
                  <w:vAlign w:val="center"/>
                </w:tcPr>
                <w:p w14:paraId="1BADDFD4">
                  <w:pPr>
                    <w:pStyle w:val="81"/>
                    <w:spacing w:line="240" w:lineRule="auto"/>
                    <w:ind w:left="0" w:leftChars="0" w:right="0" w:rightChars="0" w:firstLine="0" w:firstLineChars="0"/>
                    <w:jc w:val="both"/>
                    <w:rPr>
                      <w:rFonts w:hint="default"/>
                      <w:color w:val="0000FF"/>
                      <w:sz w:val="21"/>
                      <w:szCs w:val="21"/>
                      <w:lang w:val="en-US" w:eastAsia="zh-CN"/>
                    </w:rPr>
                  </w:pPr>
                  <w:r>
                    <w:rPr>
                      <w:rFonts w:hint="eastAsia"/>
                      <w:color w:val="0000FF"/>
                      <w:sz w:val="21"/>
                      <w:szCs w:val="21"/>
                      <w:lang w:val="en-US" w:eastAsia="zh-CN"/>
                    </w:rPr>
                    <w:t>喷涂工位使用自动静电喷涂技术。</w:t>
                  </w:r>
                </w:p>
              </w:tc>
              <w:tc>
                <w:tcPr>
                  <w:tcW w:w="1655" w:type="pct"/>
                  <w:tcBorders>
                    <w:tl2br w:val="nil"/>
                    <w:tr2bl w:val="nil"/>
                  </w:tcBorders>
                  <w:vAlign w:val="center"/>
                </w:tcPr>
                <w:p w14:paraId="730DED9F">
                  <w:pPr>
                    <w:pStyle w:val="81"/>
                    <w:spacing w:line="240" w:lineRule="auto"/>
                    <w:ind w:left="0" w:leftChars="0" w:right="0" w:rightChars="0" w:firstLine="0" w:firstLineChars="0"/>
                    <w:jc w:val="both"/>
                    <w:rPr>
                      <w:color w:val="0000FF"/>
                      <w:sz w:val="21"/>
                      <w:szCs w:val="21"/>
                      <w:lang w:eastAsia="zh-CN"/>
                    </w:rPr>
                  </w:pPr>
                  <w:r>
                    <w:rPr>
                      <w:rFonts w:hint="eastAsia"/>
                      <w:color w:val="0000FF"/>
                      <w:sz w:val="21"/>
                      <w:szCs w:val="21"/>
                      <w:lang w:eastAsia="zh-CN"/>
                    </w:rPr>
                    <w:t>本项目采用</w:t>
                  </w:r>
                  <w:r>
                    <w:rPr>
                      <w:rFonts w:hint="eastAsia"/>
                      <w:color w:val="0000FF"/>
                      <w:sz w:val="21"/>
                      <w:szCs w:val="21"/>
                      <w:lang w:val="en-US" w:eastAsia="zh-CN"/>
                    </w:rPr>
                    <w:t>自动</w:t>
                  </w:r>
                  <w:r>
                    <w:rPr>
                      <w:rFonts w:hint="eastAsia"/>
                      <w:color w:val="0000FF"/>
                      <w:sz w:val="21"/>
                      <w:szCs w:val="21"/>
                      <w:lang w:eastAsia="zh-CN"/>
                    </w:rPr>
                    <w:t>静电喷涂技术</w:t>
                  </w:r>
                </w:p>
              </w:tc>
              <w:tc>
                <w:tcPr>
                  <w:tcW w:w="369" w:type="pct"/>
                  <w:tcBorders>
                    <w:tl2br w:val="nil"/>
                    <w:tr2bl w:val="nil"/>
                  </w:tcBorders>
                  <w:vAlign w:val="center"/>
                </w:tcPr>
                <w:p w14:paraId="33F4D73C">
                  <w:pPr>
                    <w:pStyle w:val="81"/>
                    <w:spacing w:line="240" w:lineRule="auto"/>
                    <w:ind w:left="0" w:leftChars="0" w:right="0" w:rightChars="0" w:firstLine="0" w:firstLineChars="0"/>
                    <w:jc w:val="center"/>
                    <w:rPr>
                      <w:color w:val="0000FF"/>
                      <w:sz w:val="21"/>
                      <w:szCs w:val="21"/>
                      <w:lang w:eastAsia="zh-CN"/>
                    </w:rPr>
                  </w:pPr>
                  <w:r>
                    <w:rPr>
                      <w:rFonts w:hint="eastAsia"/>
                      <w:color w:val="0000FF"/>
                      <w:sz w:val="21"/>
                      <w:szCs w:val="21"/>
                      <w:lang w:eastAsia="zh-CN"/>
                    </w:rPr>
                    <w:t>满足</w:t>
                  </w:r>
                </w:p>
              </w:tc>
            </w:tr>
            <w:tr w14:paraId="3694D9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pct"/>
                  <w:tcBorders>
                    <w:tl2br w:val="nil"/>
                    <w:tr2bl w:val="nil"/>
                  </w:tcBorders>
                  <w:vAlign w:val="center"/>
                </w:tcPr>
                <w:p w14:paraId="1DFF4F42">
                  <w:pPr>
                    <w:widowControl/>
                    <w:spacing w:line="240" w:lineRule="auto"/>
                    <w:ind w:left="0" w:leftChars="0" w:right="0" w:rightChars="0" w:firstLine="0" w:firstLineChars="0"/>
                    <w:jc w:val="center"/>
                    <w:rPr>
                      <w:rFonts w:ascii="宋体" w:hAnsi="宋体" w:eastAsia="宋体" w:cs="宋体"/>
                      <w:color w:val="0000FF"/>
                      <w:szCs w:val="21"/>
                      <w:lang w:eastAsia="zh-CN" w:bidi="ar"/>
                    </w:rPr>
                  </w:pPr>
                  <w:r>
                    <w:rPr>
                      <w:rFonts w:hint="eastAsia" w:ascii="宋体" w:hAnsi="宋体" w:eastAsia="宋体" w:cs="宋体"/>
                      <w:color w:val="0000FF"/>
                      <w:szCs w:val="21"/>
                      <w:lang w:eastAsia="zh-CN" w:bidi="ar"/>
                    </w:rPr>
                    <w:t>无组织排放</w:t>
                  </w:r>
                </w:p>
              </w:tc>
              <w:tc>
                <w:tcPr>
                  <w:tcW w:w="2231" w:type="pct"/>
                  <w:tcBorders>
                    <w:tl2br w:val="nil"/>
                    <w:tr2bl w:val="nil"/>
                  </w:tcBorders>
                  <w:vAlign w:val="center"/>
                </w:tcPr>
                <w:p w14:paraId="78E394CC">
                  <w:pPr>
                    <w:pStyle w:val="81"/>
                    <w:spacing w:line="240" w:lineRule="auto"/>
                    <w:ind w:left="0" w:leftChars="0" w:right="0" w:rightChars="0" w:firstLine="0" w:firstLineChars="0"/>
                    <w:jc w:val="both"/>
                    <w:rPr>
                      <w:rFonts w:hint="default" w:eastAsia="宋体"/>
                      <w:color w:val="0000FF"/>
                      <w:sz w:val="21"/>
                      <w:szCs w:val="21"/>
                      <w:lang w:val="en-US" w:eastAsia="zh-CN"/>
                    </w:rPr>
                  </w:pPr>
                  <w:r>
                    <w:rPr>
                      <w:rFonts w:hint="eastAsia" w:eastAsia="宋体"/>
                      <w:color w:val="0000FF"/>
                      <w:sz w:val="21"/>
                      <w:szCs w:val="21"/>
                      <w:lang w:val="en-US" w:eastAsia="zh-CN"/>
                    </w:rPr>
                    <w:t>开料、砂光等工序设置中央除尘系统；机加工、打磨工序设置中央除尘系统或采用袋式除尘、滤筒除尘等除尘工艺；焊接烟尘配备除尘设施；喷涂工位进出口配备风幕。</w:t>
                  </w:r>
                </w:p>
              </w:tc>
              <w:tc>
                <w:tcPr>
                  <w:tcW w:w="1655" w:type="pct"/>
                  <w:tcBorders>
                    <w:tl2br w:val="nil"/>
                    <w:tr2bl w:val="nil"/>
                  </w:tcBorders>
                  <w:vAlign w:val="center"/>
                </w:tcPr>
                <w:p w14:paraId="0E8889A0">
                  <w:pPr>
                    <w:pStyle w:val="81"/>
                    <w:spacing w:line="240" w:lineRule="auto"/>
                    <w:ind w:left="0" w:leftChars="0" w:right="0" w:rightChars="0" w:firstLine="0" w:firstLineChars="0"/>
                    <w:jc w:val="both"/>
                    <w:rPr>
                      <w:rFonts w:hint="default" w:eastAsia="宋体"/>
                      <w:color w:val="0000FF"/>
                      <w:sz w:val="21"/>
                      <w:szCs w:val="21"/>
                      <w:lang w:val="en-US" w:eastAsia="zh-CN"/>
                    </w:rPr>
                  </w:pPr>
                  <w:r>
                    <w:rPr>
                      <w:rFonts w:hint="eastAsia" w:eastAsia="宋体"/>
                      <w:color w:val="0000FF"/>
                      <w:sz w:val="21"/>
                      <w:szCs w:val="21"/>
                      <w:lang w:eastAsia="zh-CN"/>
                    </w:rPr>
                    <w:t>本项目切割工序、焊接工序均采用</w:t>
                  </w:r>
                  <w:r>
                    <w:rPr>
                      <w:rFonts w:hint="eastAsia" w:eastAsia="宋体" w:cs="Times New Roman"/>
                      <w:color w:val="0000FF"/>
                      <w:sz w:val="21"/>
                      <w:szCs w:val="21"/>
                      <w:lang w:eastAsia="zh-CN"/>
                    </w:rPr>
                    <w:t>滤筒除尘工艺；</w:t>
                  </w:r>
                  <w:r>
                    <w:rPr>
                      <w:rFonts w:hint="eastAsia" w:eastAsia="宋体" w:cs="Times New Roman"/>
                      <w:color w:val="0000FF"/>
                      <w:sz w:val="21"/>
                      <w:szCs w:val="21"/>
                      <w:lang w:val="en-US" w:eastAsia="zh-CN"/>
                    </w:rPr>
                    <w:t>现有喷涂工位进出口暂未配备风幕，本次评价要求</w:t>
                  </w:r>
                </w:p>
              </w:tc>
              <w:tc>
                <w:tcPr>
                  <w:tcW w:w="369" w:type="pct"/>
                  <w:tcBorders>
                    <w:tl2br w:val="nil"/>
                    <w:tr2bl w:val="nil"/>
                  </w:tcBorders>
                  <w:vAlign w:val="center"/>
                </w:tcPr>
                <w:p w14:paraId="3DD3E11D">
                  <w:pPr>
                    <w:spacing w:line="240" w:lineRule="auto"/>
                    <w:ind w:left="0" w:leftChars="0" w:right="0" w:rightChars="0" w:firstLine="0" w:firstLineChars="0"/>
                    <w:jc w:val="center"/>
                    <w:rPr>
                      <w:color w:val="0000FF"/>
                      <w:szCs w:val="21"/>
                      <w:lang w:eastAsia="zh-CN"/>
                    </w:rPr>
                  </w:pPr>
                  <w:r>
                    <w:rPr>
                      <w:rFonts w:hint="eastAsia"/>
                      <w:color w:val="0000FF"/>
                      <w:szCs w:val="21"/>
                      <w:lang w:val="en-US" w:eastAsia="zh-CN"/>
                    </w:rPr>
                    <w:t>现有项目部满足；整改后可</w:t>
                  </w:r>
                  <w:r>
                    <w:rPr>
                      <w:rFonts w:hint="eastAsia"/>
                      <w:color w:val="0000FF"/>
                      <w:szCs w:val="21"/>
                      <w:lang w:eastAsia="zh-CN"/>
                    </w:rPr>
                    <w:t>满足</w:t>
                  </w:r>
                </w:p>
              </w:tc>
            </w:tr>
            <w:tr w14:paraId="7FDC42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pct"/>
                  <w:tcBorders>
                    <w:tl2br w:val="nil"/>
                    <w:tr2bl w:val="nil"/>
                  </w:tcBorders>
                  <w:vAlign w:val="center"/>
                </w:tcPr>
                <w:p w14:paraId="5F7CF117">
                  <w:pPr>
                    <w:widowControl/>
                    <w:spacing w:line="240" w:lineRule="auto"/>
                    <w:ind w:left="0" w:leftChars="0" w:right="0" w:rightChars="0" w:firstLine="0" w:firstLineChars="0"/>
                    <w:jc w:val="center"/>
                    <w:rPr>
                      <w:rFonts w:ascii="宋体" w:hAnsi="宋体" w:eastAsia="宋体" w:cs="宋体"/>
                      <w:color w:val="0000FF"/>
                      <w:szCs w:val="21"/>
                      <w:lang w:eastAsia="zh-CN" w:bidi="ar"/>
                    </w:rPr>
                  </w:pPr>
                  <w:r>
                    <w:rPr>
                      <w:rFonts w:hint="eastAsia" w:eastAsia="宋体" w:cs="Times New Roman"/>
                      <w:color w:val="0000FF"/>
                      <w:szCs w:val="21"/>
                      <w:lang w:eastAsia="zh-CN" w:bidi="ar"/>
                    </w:rPr>
                    <w:t>废气治理工艺</w:t>
                  </w:r>
                </w:p>
              </w:tc>
              <w:tc>
                <w:tcPr>
                  <w:tcW w:w="2231" w:type="pct"/>
                  <w:tcBorders>
                    <w:tl2br w:val="nil"/>
                    <w:tr2bl w:val="nil"/>
                  </w:tcBorders>
                  <w:vAlign w:val="center"/>
                </w:tcPr>
                <w:p w14:paraId="6E9B3DD6">
                  <w:pPr>
                    <w:pStyle w:val="81"/>
                    <w:spacing w:line="240" w:lineRule="auto"/>
                    <w:ind w:left="0" w:leftChars="0" w:right="0" w:rightChars="0" w:firstLine="0" w:firstLineChars="0"/>
                    <w:jc w:val="both"/>
                    <w:rPr>
                      <w:rFonts w:hint="default"/>
                      <w:color w:val="0000FF"/>
                      <w:sz w:val="21"/>
                      <w:szCs w:val="21"/>
                      <w:lang w:val="en-US" w:eastAsia="zh-CN"/>
                    </w:rPr>
                  </w:pPr>
                  <w:r>
                    <w:rPr>
                      <w:rFonts w:hint="eastAsia"/>
                      <w:color w:val="0000FF"/>
                      <w:sz w:val="21"/>
                      <w:szCs w:val="21"/>
                      <w:lang w:val="en-US" w:eastAsia="zh-CN"/>
                    </w:rPr>
                    <w:t>粉末喷涂工位废气收集后采用旋风+布袋除尘或旋风+滤筒除尘处理。</w:t>
                  </w:r>
                </w:p>
              </w:tc>
              <w:tc>
                <w:tcPr>
                  <w:tcW w:w="1655" w:type="pct"/>
                  <w:tcBorders>
                    <w:tl2br w:val="nil"/>
                    <w:tr2bl w:val="nil"/>
                  </w:tcBorders>
                  <w:vAlign w:val="center"/>
                </w:tcPr>
                <w:p w14:paraId="2809064A">
                  <w:pPr>
                    <w:pStyle w:val="81"/>
                    <w:spacing w:line="240" w:lineRule="auto"/>
                    <w:ind w:left="0" w:leftChars="0" w:right="0" w:rightChars="0" w:firstLine="0" w:firstLineChars="0"/>
                    <w:jc w:val="both"/>
                    <w:rPr>
                      <w:rFonts w:hint="default"/>
                      <w:color w:val="0000FF"/>
                      <w:sz w:val="21"/>
                      <w:szCs w:val="21"/>
                      <w:lang w:val="en-US" w:eastAsia="zh-CN"/>
                    </w:rPr>
                  </w:pPr>
                  <w:r>
                    <w:rPr>
                      <w:rFonts w:hint="eastAsia"/>
                      <w:color w:val="0000FF"/>
                      <w:sz w:val="21"/>
                      <w:szCs w:val="21"/>
                      <w:lang w:eastAsia="zh-CN"/>
                    </w:rPr>
                    <w:t>本项目</w:t>
                  </w:r>
                  <w:r>
                    <w:rPr>
                      <w:rFonts w:hint="eastAsia"/>
                      <w:color w:val="0000FF"/>
                      <w:sz w:val="21"/>
                      <w:szCs w:val="21"/>
                      <w:lang w:val="en-US" w:eastAsia="zh-CN"/>
                    </w:rPr>
                    <w:t>喷涂废气采用“旋风+脉冲布袋除尘”工艺</w:t>
                  </w:r>
                </w:p>
              </w:tc>
              <w:tc>
                <w:tcPr>
                  <w:tcW w:w="369" w:type="pct"/>
                  <w:tcBorders>
                    <w:tl2br w:val="nil"/>
                    <w:tr2bl w:val="nil"/>
                  </w:tcBorders>
                  <w:vAlign w:val="center"/>
                </w:tcPr>
                <w:p w14:paraId="3C5B97F8">
                  <w:pPr>
                    <w:spacing w:line="240" w:lineRule="auto"/>
                    <w:ind w:left="0" w:leftChars="0" w:right="0" w:rightChars="0" w:firstLine="0" w:firstLineChars="0"/>
                    <w:jc w:val="center"/>
                    <w:rPr>
                      <w:color w:val="0000FF"/>
                      <w:szCs w:val="21"/>
                      <w:lang w:eastAsia="zh-CN"/>
                    </w:rPr>
                  </w:pPr>
                  <w:r>
                    <w:rPr>
                      <w:rFonts w:hint="eastAsia"/>
                      <w:color w:val="0000FF"/>
                      <w:szCs w:val="21"/>
                      <w:lang w:eastAsia="zh-CN"/>
                    </w:rPr>
                    <w:t>满足</w:t>
                  </w:r>
                </w:p>
              </w:tc>
            </w:tr>
            <w:tr w14:paraId="12FC3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pct"/>
                  <w:tcBorders>
                    <w:tl2br w:val="nil"/>
                    <w:tr2bl w:val="nil"/>
                  </w:tcBorders>
                  <w:vAlign w:val="center"/>
                </w:tcPr>
                <w:p w14:paraId="1C62E499">
                  <w:pPr>
                    <w:widowControl/>
                    <w:spacing w:line="240" w:lineRule="auto"/>
                    <w:ind w:left="0" w:leftChars="0" w:right="0" w:rightChars="0" w:firstLine="0" w:firstLineChars="0"/>
                    <w:jc w:val="center"/>
                    <w:rPr>
                      <w:rFonts w:ascii="宋体" w:hAnsi="宋体" w:eastAsia="宋体" w:cs="宋体"/>
                      <w:color w:val="0000FF"/>
                      <w:szCs w:val="21"/>
                      <w:lang w:eastAsia="zh-CN" w:bidi="ar"/>
                    </w:rPr>
                  </w:pPr>
                  <w:r>
                    <w:rPr>
                      <w:rFonts w:hint="eastAsia" w:ascii="宋体" w:hAnsi="宋体" w:eastAsia="宋体" w:cs="宋体"/>
                      <w:color w:val="0000FF"/>
                      <w:szCs w:val="21"/>
                      <w:lang w:eastAsia="zh-CN" w:bidi="ar"/>
                    </w:rPr>
                    <w:t>排放限值</w:t>
                  </w:r>
                </w:p>
              </w:tc>
              <w:tc>
                <w:tcPr>
                  <w:tcW w:w="2231" w:type="pct"/>
                  <w:tcBorders>
                    <w:tl2br w:val="nil"/>
                    <w:tr2bl w:val="nil"/>
                  </w:tcBorders>
                  <w:vAlign w:val="center"/>
                </w:tcPr>
                <w:p w14:paraId="431441A4">
                  <w:pPr>
                    <w:pStyle w:val="81"/>
                    <w:spacing w:line="240" w:lineRule="auto"/>
                    <w:ind w:left="0" w:leftChars="0" w:right="0" w:rightChars="0" w:firstLine="0" w:firstLineChars="0"/>
                    <w:jc w:val="both"/>
                    <w:rPr>
                      <w:rFonts w:hint="eastAsia"/>
                      <w:color w:val="0000FF"/>
                      <w:sz w:val="21"/>
                      <w:szCs w:val="21"/>
                      <w:lang w:eastAsia="zh-CN"/>
                    </w:rPr>
                  </w:pPr>
                  <w:r>
                    <w:rPr>
                      <w:rFonts w:hint="eastAsia"/>
                      <w:color w:val="0000FF"/>
                      <w:sz w:val="21"/>
                      <w:szCs w:val="21"/>
                      <w:lang w:val="en-US" w:eastAsia="zh-CN"/>
                    </w:rPr>
                    <w:t>PM排</w:t>
                  </w:r>
                  <w:r>
                    <w:rPr>
                      <w:rFonts w:hint="eastAsia" w:eastAsia="宋体" w:cs="Times New Roman"/>
                      <w:color w:val="0000FF"/>
                      <w:sz w:val="21"/>
                      <w:szCs w:val="21"/>
                      <w:lang w:eastAsia="zh-CN" w:bidi="ar"/>
                    </w:rPr>
                    <w:t>放浓度</w:t>
                  </w:r>
                  <w:r>
                    <w:rPr>
                      <w:rFonts w:hint="eastAsia" w:eastAsia="宋体" w:cs="Times New Roman"/>
                      <w:color w:val="0000FF"/>
                      <w:sz w:val="21"/>
                      <w:szCs w:val="21"/>
                      <w:lang w:val="en-US" w:eastAsia="zh-CN" w:bidi="ar"/>
                    </w:rPr>
                    <w:t>不高</w:t>
                  </w:r>
                  <w:r>
                    <w:rPr>
                      <w:rFonts w:hint="eastAsia" w:eastAsia="宋体" w:cs="Times New Roman"/>
                      <w:color w:val="0000FF"/>
                      <w:sz w:val="21"/>
                      <w:szCs w:val="21"/>
                      <w:lang w:eastAsia="zh-CN" w:bidi="ar"/>
                    </w:rPr>
                    <w:t>于</w:t>
                  </w:r>
                  <w:r>
                    <w:rPr>
                      <w:rFonts w:hint="eastAsia" w:eastAsia="宋体" w:cs="Times New Roman"/>
                      <w:color w:val="0000FF"/>
                      <w:sz w:val="21"/>
                      <w:szCs w:val="21"/>
                      <w:lang w:val="en-US" w:eastAsia="zh-CN" w:bidi="ar"/>
                    </w:rPr>
                    <w:t>1</w:t>
                  </w:r>
                  <w:r>
                    <w:rPr>
                      <w:rFonts w:hint="eastAsia" w:eastAsia="宋体" w:cs="Times New Roman"/>
                      <w:color w:val="0000FF"/>
                      <w:sz w:val="21"/>
                      <w:szCs w:val="21"/>
                      <w:lang w:eastAsia="zh-CN" w:bidi="ar"/>
                    </w:rPr>
                    <w:t>0</w:t>
                  </w:r>
                  <w:r>
                    <w:rPr>
                      <w:rFonts w:eastAsia="宋体" w:cs="Times New Roman"/>
                      <w:color w:val="0000FF"/>
                      <w:sz w:val="21"/>
                      <w:szCs w:val="21"/>
                      <w:lang w:eastAsia="zh-CN" w:bidi="ar"/>
                    </w:rPr>
                    <w:t>mg/m</w:t>
                  </w:r>
                  <w:r>
                    <w:rPr>
                      <w:rFonts w:eastAsia="宋体" w:cs="Times New Roman"/>
                      <w:color w:val="0000FF"/>
                      <w:sz w:val="21"/>
                      <w:szCs w:val="21"/>
                      <w:vertAlign w:val="superscript"/>
                      <w:lang w:eastAsia="zh-CN" w:bidi="ar"/>
                    </w:rPr>
                    <w:t>3</w:t>
                  </w:r>
                  <w:r>
                    <w:rPr>
                      <w:rFonts w:hint="eastAsia" w:eastAsia="宋体" w:cs="Times New Roman"/>
                      <w:color w:val="0000FF"/>
                      <w:sz w:val="21"/>
                      <w:szCs w:val="21"/>
                      <w:lang w:eastAsia="zh-CN" w:bidi="ar"/>
                    </w:rPr>
                    <w:t>；</w:t>
                  </w:r>
                  <w:r>
                    <w:rPr>
                      <w:rFonts w:hint="eastAsia" w:eastAsia="宋体" w:cs="Times New Roman"/>
                      <w:color w:val="0000FF"/>
                      <w:sz w:val="21"/>
                      <w:szCs w:val="21"/>
                      <w:lang w:val="en-US" w:eastAsia="zh-CN" w:bidi="ar"/>
                    </w:rPr>
                    <w:t>且所有污染物稳定达到地标排放限值。</w:t>
                  </w:r>
                </w:p>
              </w:tc>
              <w:tc>
                <w:tcPr>
                  <w:tcW w:w="1655" w:type="pct"/>
                  <w:tcBorders>
                    <w:tl2br w:val="nil"/>
                    <w:tr2bl w:val="nil"/>
                  </w:tcBorders>
                  <w:vAlign w:val="center"/>
                </w:tcPr>
                <w:p w14:paraId="5071B1C0">
                  <w:pPr>
                    <w:pStyle w:val="81"/>
                    <w:spacing w:line="240" w:lineRule="auto"/>
                    <w:ind w:left="0" w:leftChars="0" w:right="0" w:rightChars="0" w:firstLine="0" w:firstLineChars="0"/>
                    <w:jc w:val="both"/>
                    <w:rPr>
                      <w:rFonts w:eastAsia="宋体"/>
                      <w:color w:val="0000FF"/>
                      <w:sz w:val="21"/>
                      <w:szCs w:val="21"/>
                      <w:lang w:eastAsia="zh-CN"/>
                    </w:rPr>
                  </w:pPr>
                  <w:r>
                    <w:rPr>
                      <w:rFonts w:hint="eastAsia"/>
                      <w:color w:val="0000FF"/>
                      <w:sz w:val="21"/>
                      <w:szCs w:val="21"/>
                      <w:lang w:eastAsia="zh-CN"/>
                    </w:rPr>
                    <w:t>本项目</w:t>
                  </w:r>
                  <w:r>
                    <w:rPr>
                      <w:rFonts w:hint="eastAsia" w:eastAsia="宋体" w:cs="Times New Roman"/>
                      <w:color w:val="0000FF"/>
                      <w:sz w:val="21"/>
                      <w:szCs w:val="21"/>
                      <w:lang w:eastAsia="zh-CN" w:bidi="ar"/>
                    </w:rPr>
                    <w:t>颗粒物排放浓度低于</w:t>
                  </w:r>
                  <w:r>
                    <w:rPr>
                      <w:rFonts w:hint="eastAsia" w:eastAsia="宋体" w:cs="Times New Roman"/>
                      <w:color w:val="0000FF"/>
                      <w:sz w:val="21"/>
                      <w:szCs w:val="21"/>
                      <w:lang w:val="en-US" w:eastAsia="zh-CN" w:bidi="ar"/>
                    </w:rPr>
                    <w:t>1</w:t>
                  </w:r>
                  <w:r>
                    <w:rPr>
                      <w:rFonts w:hint="eastAsia" w:eastAsia="宋体" w:cs="Times New Roman"/>
                      <w:color w:val="0000FF"/>
                      <w:sz w:val="21"/>
                      <w:szCs w:val="21"/>
                      <w:lang w:eastAsia="zh-CN" w:bidi="ar"/>
                    </w:rPr>
                    <w:t>0</w:t>
                  </w:r>
                  <w:r>
                    <w:rPr>
                      <w:rFonts w:eastAsia="宋体" w:cs="Times New Roman"/>
                      <w:color w:val="0000FF"/>
                      <w:sz w:val="21"/>
                      <w:szCs w:val="21"/>
                      <w:lang w:eastAsia="zh-CN" w:bidi="ar"/>
                    </w:rPr>
                    <w:t>mg/m</w:t>
                  </w:r>
                  <w:r>
                    <w:rPr>
                      <w:rFonts w:eastAsia="宋体" w:cs="Times New Roman"/>
                      <w:color w:val="0000FF"/>
                      <w:sz w:val="21"/>
                      <w:szCs w:val="21"/>
                      <w:vertAlign w:val="superscript"/>
                      <w:lang w:eastAsia="zh-CN" w:bidi="ar"/>
                    </w:rPr>
                    <w:t>3</w:t>
                  </w:r>
                  <w:r>
                    <w:rPr>
                      <w:rFonts w:eastAsia="宋体" w:cs="Times New Roman"/>
                      <w:color w:val="0000FF"/>
                      <w:sz w:val="21"/>
                      <w:szCs w:val="21"/>
                      <w:lang w:eastAsia="zh-CN" w:bidi="ar"/>
                    </w:rPr>
                    <w:t>、</w:t>
                  </w:r>
                  <w:r>
                    <w:rPr>
                      <w:rFonts w:hint="eastAsia" w:eastAsia="宋体" w:cs="Times New Roman"/>
                      <w:color w:val="0000FF"/>
                      <w:sz w:val="21"/>
                      <w:szCs w:val="21"/>
                      <w:lang w:eastAsia="zh-CN" w:bidi="ar"/>
                    </w:rPr>
                    <w:t>且</w:t>
                  </w:r>
                  <w:r>
                    <w:rPr>
                      <w:rFonts w:eastAsia="宋体" w:cs="Times New Roman"/>
                      <w:color w:val="0000FF"/>
                      <w:sz w:val="21"/>
                      <w:szCs w:val="21"/>
                      <w:lang w:eastAsia="zh-CN" w:bidi="ar"/>
                    </w:rPr>
                    <w:t>NMHC</w:t>
                  </w:r>
                  <w:r>
                    <w:rPr>
                      <w:rFonts w:hint="eastAsia" w:eastAsia="宋体" w:cs="Times New Roman"/>
                      <w:color w:val="0000FF"/>
                      <w:sz w:val="21"/>
                      <w:szCs w:val="21"/>
                      <w:lang w:eastAsia="zh-CN" w:bidi="ar"/>
                    </w:rPr>
                    <w:t>可确保稳定达到</w:t>
                  </w:r>
                  <w:r>
                    <w:rPr>
                      <w:rFonts w:eastAsia="宋体" w:cs="Times New Roman"/>
                      <w:color w:val="0000FF"/>
                      <w:sz w:val="21"/>
                      <w:szCs w:val="21"/>
                      <w:lang w:eastAsia="zh-CN" w:bidi="ar"/>
                    </w:rPr>
                    <w:t>《挥发性有机物排放控制标准》（DB61/T1061-2017）中的标准限值</w:t>
                  </w:r>
                  <w:r>
                    <w:rPr>
                      <w:rFonts w:hint="eastAsia" w:eastAsia="宋体" w:cs="Times New Roman"/>
                      <w:color w:val="0000FF"/>
                      <w:sz w:val="21"/>
                      <w:szCs w:val="21"/>
                      <w:lang w:eastAsia="zh-CN" w:bidi="ar"/>
                    </w:rPr>
                    <w:t>。</w:t>
                  </w:r>
                </w:p>
              </w:tc>
              <w:tc>
                <w:tcPr>
                  <w:tcW w:w="369" w:type="pct"/>
                  <w:tcBorders>
                    <w:tl2br w:val="nil"/>
                    <w:tr2bl w:val="nil"/>
                  </w:tcBorders>
                  <w:vAlign w:val="center"/>
                </w:tcPr>
                <w:p w14:paraId="5116A1CC">
                  <w:pPr>
                    <w:spacing w:line="240" w:lineRule="auto"/>
                    <w:ind w:left="0" w:leftChars="0" w:right="0" w:rightChars="0" w:firstLine="0" w:firstLineChars="0"/>
                    <w:jc w:val="center"/>
                    <w:rPr>
                      <w:color w:val="0000FF"/>
                      <w:szCs w:val="21"/>
                      <w:lang w:eastAsia="zh-CN"/>
                    </w:rPr>
                  </w:pPr>
                  <w:r>
                    <w:rPr>
                      <w:rFonts w:hint="eastAsia"/>
                      <w:color w:val="0000FF"/>
                      <w:szCs w:val="21"/>
                      <w:lang w:eastAsia="zh-CN"/>
                    </w:rPr>
                    <w:t>满足</w:t>
                  </w:r>
                </w:p>
              </w:tc>
            </w:tr>
            <w:tr w14:paraId="7F7BC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744" w:type="pct"/>
                  <w:vMerge w:val="restart"/>
                  <w:tcBorders>
                    <w:tl2br w:val="nil"/>
                    <w:tr2bl w:val="nil"/>
                  </w:tcBorders>
                  <w:vAlign w:val="center"/>
                </w:tcPr>
                <w:p w14:paraId="460515B0">
                  <w:pPr>
                    <w:widowControl/>
                    <w:spacing w:line="240" w:lineRule="auto"/>
                    <w:ind w:left="0" w:leftChars="0" w:right="0" w:rightChars="0" w:firstLine="0" w:firstLineChars="0"/>
                    <w:jc w:val="center"/>
                    <w:rPr>
                      <w:rFonts w:ascii="宋体" w:hAnsi="宋体" w:eastAsia="宋体" w:cs="宋体"/>
                      <w:color w:val="0000FF"/>
                      <w:szCs w:val="21"/>
                      <w:lang w:eastAsia="zh-CN" w:bidi="ar"/>
                    </w:rPr>
                  </w:pPr>
                  <w:r>
                    <w:rPr>
                      <w:rFonts w:hint="eastAsia" w:ascii="宋体" w:hAnsi="宋体" w:eastAsia="宋体" w:cs="宋体"/>
                      <w:color w:val="0000FF"/>
                      <w:szCs w:val="21"/>
                      <w:lang w:eastAsia="zh-CN" w:bidi="ar"/>
                    </w:rPr>
                    <w:t xml:space="preserve">环境管理水平 </w:t>
                  </w:r>
                </w:p>
              </w:tc>
              <w:tc>
                <w:tcPr>
                  <w:tcW w:w="2231" w:type="pct"/>
                  <w:tcBorders>
                    <w:tl2br w:val="nil"/>
                    <w:tr2bl w:val="nil"/>
                  </w:tcBorders>
                  <w:vAlign w:val="center"/>
                </w:tcPr>
                <w:p w14:paraId="1829A563">
                  <w:pPr>
                    <w:widowControl/>
                    <w:spacing w:line="240" w:lineRule="auto"/>
                    <w:ind w:left="0" w:leftChars="0" w:right="0" w:rightChars="0" w:firstLine="0" w:firstLineChars="0"/>
                    <w:rPr>
                      <w:rFonts w:hint="eastAsia"/>
                      <w:color w:val="0000FF"/>
                      <w:szCs w:val="21"/>
                      <w:lang w:eastAsia="zh-CN"/>
                    </w:rPr>
                  </w:pPr>
                  <w:r>
                    <w:rPr>
                      <w:rFonts w:hint="eastAsia"/>
                      <w:color w:val="0000FF"/>
                      <w:szCs w:val="21"/>
                      <w:lang w:eastAsia="zh-CN"/>
                    </w:rPr>
                    <w:t>环保档案：</w:t>
                  </w:r>
                  <w:r>
                    <w:rPr>
                      <w:color w:val="0000FF"/>
                      <w:szCs w:val="21"/>
                      <w:lang w:eastAsia="zh-CN"/>
                    </w:rPr>
                    <w:t>1</w:t>
                  </w:r>
                  <w:r>
                    <w:rPr>
                      <w:rFonts w:hint="eastAsia"/>
                      <w:color w:val="0000FF"/>
                      <w:szCs w:val="21"/>
                      <w:lang w:eastAsia="zh-CN"/>
                    </w:rPr>
                    <w:t>、环评批复文件；</w:t>
                  </w:r>
                  <w:r>
                    <w:rPr>
                      <w:color w:val="0000FF"/>
                      <w:szCs w:val="21"/>
                      <w:lang w:eastAsia="zh-CN"/>
                    </w:rPr>
                    <w:t>2</w:t>
                  </w:r>
                  <w:r>
                    <w:rPr>
                      <w:rFonts w:hint="eastAsia"/>
                      <w:color w:val="0000FF"/>
                      <w:szCs w:val="21"/>
                      <w:lang w:eastAsia="zh-CN"/>
                    </w:rPr>
                    <w:t>、排污许可证及季度、年度执行报告；</w:t>
                  </w:r>
                  <w:r>
                    <w:rPr>
                      <w:color w:val="0000FF"/>
                      <w:szCs w:val="21"/>
                      <w:lang w:eastAsia="zh-CN"/>
                    </w:rPr>
                    <w:t>3</w:t>
                  </w:r>
                  <w:r>
                    <w:rPr>
                      <w:rFonts w:hint="eastAsia"/>
                      <w:color w:val="0000FF"/>
                      <w:szCs w:val="21"/>
                      <w:lang w:eastAsia="zh-CN"/>
                    </w:rPr>
                    <w:t>、竣工验收文件；</w:t>
                  </w:r>
                  <w:r>
                    <w:rPr>
                      <w:color w:val="0000FF"/>
                      <w:szCs w:val="21"/>
                      <w:lang w:eastAsia="zh-CN"/>
                    </w:rPr>
                    <w:t>4</w:t>
                  </w:r>
                  <w:r>
                    <w:rPr>
                      <w:rFonts w:hint="eastAsia"/>
                      <w:color w:val="0000FF"/>
                      <w:szCs w:val="21"/>
                      <w:lang w:eastAsia="zh-CN"/>
                    </w:rPr>
                    <w:t>、废气治理设施运行管理规程；</w:t>
                  </w:r>
                  <w:r>
                    <w:rPr>
                      <w:color w:val="0000FF"/>
                      <w:szCs w:val="21"/>
                      <w:lang w:eastAsia="zh-CN"/>
                    </w:rPr>
                    <w:t>5</w:t>
                  </w:r>
                  <w:r>
                    <w:rPr>
                      <w:rFonts w:hint="eastAsia"/>
                      <w:color w:val="0000FF"/>
                      <w:szCs w:val="21"/>
                      <w:lang w:eastAsia="zh-CN"/>
                    </w:rPr>
                    <w:t>、一年内废气监测报告；</w:t>
                  </w:r>
                  <w:r>
                    <w:rPr>
                      <w:color w:val="0000FF"/>
                      <w:szCs w:val="21"/>
                      <w:lang w:eastAsia="zh-CN"/>
                    </w:rPr>
                    <w:t>6</w:t>
                  </w:r>
                  <w:r>
                    <w:rPr>
                      <w:rFonts w:hint="eastAsia"/>
                      <w:color w:val="0000FF"/>
                      <w:szCs w:val="21"/>
                      <w:lang w:eastAsia="zh-CN"/>
                    </w:rPr>
                    <w:t xml:space="preserve">、涂料、胶黏剂、稀释剂中 </w:t>
                  </w:r>
                  <w:r>
                    <w:rPr>
                      <w:color w:val="0000FF"/>
                      <w:szCs w:val="21"/>
                      <w:lang w:eastAsia="zh-CN"/>
                    </w:rPr>
                    <w:t xml:space="preserve">VOCs </w:t>
                  </w:r>
                  <w:r>
                    <w:rPr>
                      <w:rFonts w:hint="eastAsia"/>
                      <w:color w:val="0000FF"/>
                      <w:szCs w:val="21"/>
                      <w:lang w:eastAsia="zh-CN"/>
                    </w:rPr>
                    <w:t>含量检测报告（包括密度、含水率等）。</w:t>
                  </w:r>
                </w:p>
              </w:tc>
              <w:tc>
                <w:tcPr>
                  <w:tcW w:w="1655" w:type="pct"/>
                  <w:tcBorders>
                    <w:tl2br w:val="nil"/>
                    <w:tr2bl w:val="nil"/>
                  </w:tcBorders>
                  <w:vAlign w:val="center"/>
                </w:tcPr>
                <w:p w14:paraId="6D26F0FF">
                  <w:pPr>
                    <w:autoSpaceDE w:val="0"/>
                    <w:autoSpaceDN w:val="0"/>
                    <w:adjustRightInd w:val="0"/>
                    <w:spacing w:line="240" w:lineRule="auto"/>
                    <w:ind w:left="0" w:leftChars="0" w:right="0" w:rightChars="0" w:firstLine="0" w:firstLineChars="0"/>
                    <w:rPr>
                      <w:color w:val="0000FF"/>
                      <w:szCs w:val="21"/>
                      <w:lang w:eastAsia="zh-CN"/>
                    </w:rPr>
                  </w:pPr>
                  <w:r>
                    <w:rPr>
                      <w:rFonts w:hint="eastAsia"/>
                      <w:color w:val="0000FF"/>
                      <w:szCs w:val="21"/>
                      <w:lang w:eastAsia="zh-CN"/>
                    </w:rPr>
                    <w:t>本项目为扩建项目，现有项目环保手续齐全，评价要求本项目</w:t>
                  </w:r>
                  <w:r>
                    <w:rPr>
                      <w:color w:val="0000FF"/>
                      <w:szCs w:val="21"/>
                      <w:lang w:eastAsia="zh-CN"/>
                    </w:rPr>
                    <w:t>企业</w:t>
                  </w:r>
                  <w:r>
                    <w:rPr>
                      <w:rFonts w:hint="eastAsia"/>
                      <w:color w:val="0000FF"/>
                      <w:szCs w:val="21"/>
                      <w:lang w:eastAsia="zh-CN"/>
                    </w:rPr>
                    <w:t>扩建后继续按照上述要求对环保档案进行管理。</w:t>
                  </w:r>
                </w:p>
              </w:tc>
              <w:tc>
                <w:tcPr>
                  <w:tcW w:w="369" w:type="pct"/>
                  <w:tcBorders>
                    <w:tl2br w:val="nil"/>
                    <w:tr2bl w:val="nil"/>
                  </w:tcBorders>
                  <w:vAlign w:val="center"/>
                </w:tcPr>
                <w:p w14:paraId="7A75577A">
                  <w:pPr>
                    <w:autoSpaceDE w:val="0"/>
                    <w:autoSpaceDN w:val="0"/>
                    <w:adjustRightInd w:val="0"/>
                    <w:spacing w:line="240" w:lineRule="auto"/>
                    <w:ind w:left="0" w:leftChars="0" w:right="0" w:rightChars="0" w:firstLine="0" w:firstLineChars="0"/>
                    <w:jc w:val="center"/>
                    <w:rPr>
                      <w:color w:val="0000FF"/>
                      <w:szCs w:val="21"/>
                    </w:rPr>
                  </w:pPr>
                  <w:r>
                    <w:rPr>
                      <w:rFonts w:hint="eastAsia"/>
                      <w:color w:val="0000FF"/>
                      <w:szCs w:val="21"/>
                      <w:lang w:eastAsia="zh-CN"/>
                    </w:rPr>
                    <w:t>满足</w:t>
                  </w:r>
                </w:p>
              </w:tc>
            </w:tr>
            <w:tr w14:paraId="42AE81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744" w:type="pct"/>
                  <w:vMerge w:val="continue"/>
                  <w:tcBorders>
                    <w:tl2br w:val="nil"/>
                    <w:tr2bl w:val="nil"/>
                  </w:tcBorders>
                  <w:vAlign w:val="center"/>
                </w:tcPr>
                <w:p w14:paraId="7D2306A0">
                  <w:pPr>
                    <w:widowControl/>
                    <w:spacing w:line="240" w:lineRule="auto"/>
                    <w:ind w:left="0" w:leftChars="0" w:right="0" w:rightChars="0" w:firstLine="0" w:firstLineChars="0"/>
                    <w:rPr>
                      <w:color w:val="0000FF"/>
                      <w:szCs w:val="21"/>
                    </w:rPr>
                  </w:pPr>
                </w:p>
              </w:tc>
              <w:tc>
                <w:tcPr>
                  <w:tcW w:w="2231" w:type="pct"/>
                  <w:tcBorders>
                    <w:tl2br w:val="nil"/>
                    <w:tr2bl w:val="nil"/>
                  </w:tcBorders>
                  <w:vAlign w:val="center"/>
                </w:tcPr>
                <w:p w14:paraId="69DAE36C">
                  <w:pPr>
                    <w:widowControl/>
                    <w:spacing w:line="240" w:lineRule="auto"/>
                    <w:ind w:left="0" w:leftChars="0" w:right="0" w:rightChars="0" w:firstLine="0" w:firstLineChars="0"/>
                    <w:jc w:val="both"/>
                    <w:rPr>
                      <w:rFonts w:hint="eastAsia"/>
                      <w:color w:val="0000FF"/>
                      <w:szCs w:val="21"/>
                      <w:lang w:eastAsia="zh-CN"/>
                    </w:rPr>
                  </w:pPr>
                  <w:r>
                    <w:rPr>
                      <w:rFonts w:hint="eastAsia" w:ascii="宋体" w:hAnsi="宋体" w:cs="宋体"/>
                      <w:color w:val="0000FF"/>
                      <w:szCs w:val="21"/>
                      <w:lang w:eastAsia="zh-CN" w:bidi="ar"/>
                    </w:rPr>
                    <w:t>台账记录：</w:t>
                  </w:r>
                  <w:r>
                    <w:rPr>
                      <w:rFonts w:hint="eastAsia" w:ascii="宋体" w:hAnsi="宋体" w:eastAsia="宋体" w:cs="宋体"/>
                      <w:color w:val="0000FF"/>
                      <w:szCs w:val="21"/>
                      <w:lang w:eastAsia="zh-CN" w:bidi="ar"/>
                    </w:rPr>
                    <w:t>生产设施运行管理信息</w:t>
                  </w:r>
                  <w:r>
                    <w:rPr>
                      <w:rFonts w:eastAsia="宋体" w:cs="Times New Roman"/>
                      <w:color w:val="0000FF"/>
                      <w:szCs w:val="21"/>
                      <w:lang w:eastAsia="zh-CN" w:bidi="ar"/>
                    </w:rPr>
                    <w:t>(</w:t>
                  </w:r>
                  <w:r>
                    <w:rPr>
                      <w:rFonts w:hint="eastAsia" w:ascii="宋体" w:hAnsi="宋体" w:eastAsia="宋体" w:cs="宋体"/>
                      <w:color w:val="0000FF"/>
                      <w:szCs w:val="21"/>
                      <w:lang w:eastAsia="zh-CN" w:bidi="ar"/>
                    </w:rPr>
                    <w:t>生产时间、运行负荷、产品产量等，必须具备近一年及以上所用涂料的密度、扣水后</w:t>
                  </w:r>
                  <w:r>
                    <w:rPr>
                      <w:rFonts w:eastAsia="宋体" w:cs="Times New Roman"/>
                      <w:color w:val="0000FF"/>
                      <w:szCs w:val="21"/>
                      <w:lang w:eastAsia="zh-CN" w:bidi="ar"/>
                    </w:rPr>
                    <w:t>VOCs</w:t>
                  </w:r>
                  <w:r>
                    <w:rPr>
                      <w:rFonts w:hint="eastAsia" w:ascii="宋体" w:hAnsi="宋体" w:eastAsia="宋体" w:cs="宋体"/>
                      <w:color w:val="0000FF"/>
                      <w:szCs w:val="21"/>
                      <w:lang w:eastAsia="zh-CN" w:bidi="ar"/>
                    </w:rPr>
                    <w:t>含量、含水率</w:t>
                  </w:r>
                  <w:r>
                    <w:rPr>
                      <w:rFonts w:eastAsia="宋体" w:cs="Times New Roman"/>
                      <w:color w:val="0000FF"/>
                      <w:szCs w:val="21"/>
                      <w:lang w:eastAsia="zh-CN" w:bidi="ar"/>
                    </w:rPr>
                    <w:t>(</w:t>
                  </w:r>
                  <w:r>
                    <w:rPr>
                      <w:rFonts w:hint="eastAsia" w:ascii="宋体" w:hAnsi="宋体" w:eastAsia="宋体" w:cs="宋体"/>
                      <w:color w:val="0000FF"/>
                      <w:szCs w:val="21"/>
                      <w:lang w:eastAsia="zh-CN" w:bidi="ar"/>
                    </w:rPr>
                    <w:t>水性涂料</w:t>
                  </w:r>
                  <w:r>
                    <w:rPr>
                      <w:rFonts w:eastAsia="宋体" w:cs="Times New Roman"/>
                      <w:color w:val="0000FF"/>
                      <w:szCs w:val="21"/>
                      <w:lang w:eastAsia="zh-CN" w:bidi="ar"/>
                    </w:rPr>
                    <w:t>)</w:t>
                  </w:r>
                  <w:r>
                    <w:rPr>
                      <w:rFonts w:hint="eastAsia" w:ascii="宋体" w:hAnsi="宋体" w:eastAsia="宋体" w:cs="宋体"/>
                      <w:color w:val="0000FF"/>
                      <w:szCs w:val="21"/>
                      <w:lang w:eastAsia="zh-CN" w:bidi="ar"/>
                    </w:rPr>
                    <w:t>等信息的检测报告</w:t>
                  </w:r>
                  <w:r>
                    <w:rPr>
                      <w:rFonts w:eastAsia="宋体" w:cs="Times New Roman"/>
                      <w:color w:val="0000FF"/>
                      <w:szCs w:val="21"/>
                      <w:lang w:eastAsia="zh-CN" w:bidi="ar"/>
                    </w:rPr>
                    <w:t>)</w:t>
                  </w:r>
                  <w:r>
                    <w:rPr>
                      <w:rFonts w:hint="eastAsia" w:ascii="宋体" w:hAnsi="宋体" w:eastAsia="宋体" w:cs="宋体"/>
                      <w:color w:val="0000FF"/>
                      <w:szCs w:val="21"/>
                      <w:lang w:eastAsia="zh-CN" w:bidi="ar"/>
                    </w:rPr>
                    <w:t>；</w:t>
                  </w:r>
                  <w:r>
                    <w:rPr>
                      <w:rFonts w:eastAsia="宋体" w:cs="Times New Roman"/>
                      <w:color w:val="0000FF"/>
                      <w:szCs w:val="21"/>
                      <w:lang w:eastAsia="zh-CN" w:bidi="ar"/>
                    </w:rPr>
                    <w:t>2</w:t>
                  </w:r>
                  <w:r>
                    <w:rPr>
                      <w:rFonts w:hint="eastAsia" w:ascii="宋体" w:hAnsi="宋体" w:eastAsia="宋体" w:cs="宋体"/>
                      <w:color w:val="0000FF"/>
                      <w:szCs w:val="21"/>
                      <w:lang w:eastAsia="zh-CN" w:bidi="ar"/>
                    </w:rPr>
                    <w:t>、废气污染治理设施运行管理信息</w:t>
                  </w:r>
                  <w:r>
                    <w:rPr>
                      <w:rFonts w:eastAsia="宋体" w:cs="Times New Roman"/>
                      <w:color w:val="0000FF"/>
                      <w:szCs w:val="21"/>
                      <w:lang w:eastAsia="zh-CN" w:bidi="ar"/>
                    </w:rPr>
                    <w:t>(</w:t>
                  </w:r>
                  <w:r>
                    <w:rPr>
                      <w:rFonts w:hint="eastAsia" w:ascii="宋体" w:hAnsi="宋体" w:eastAsia="宋体" w:cs="宋体"/>
                      <w:color w:val="0000FF"/>
                      <w:szCs w:val="21"/>
                      <w:lang w:eastAsia="zh-CN" w:bidi="ar"/>
                    </w:rPr>
                    <w:t>燃烧室温度、冷凝温度、过滤材料更换频次、吸附剂更换频次、催化剂更换频次</w:t>
                  </w:r>
                  <w:r>
                    <w:rPr>
                      <w:rFonts w:eastAsia="宋体" w:cs="Times New Roman"/>
                      <w:color w:val="0000FF"/>
                      <w:szCs w:val="21"/>
                      <w:lang w:eastAsia="zh-CN" w:bidi="ar"/>
                    </w:rPr>
                    <w:t>)</w:t>
                  </w:r>
                  <w:r>
                    <w:rPr>
                      <w:rFonts w:hint="eastAsia" w:ascii="宋体" w:hAnsi="宋体" w:eastAsia="宋体" w:cs="宋体"/>
                      <w:color w:val="0000FF"/>
                      <w:szCs w:val="21"/>
                      <w:lang w:eastAsia="zh-CN" w:bidi="ar"/>
                    </w:rPr>
                    <w:t>；</w:t>
                  </w:r>
                  <w:r>
                    <w:rPr>
                      <w:rFonts w:eastAsia="宋体" w:cs="Times New Roman"/>
                      <w:color w:val="0000FF"/>
                      <w:szCs w:val="21"/>
                      <w:lang w:eastAsia="zh-CN" w:bidi="ar"/>
                    </w:rPr>
                    <w:t>3</w:t>
                  </w:r>
                  <w:r>
                    <w:rPr>
                      <w:rFonts w:hint="eastAsia" w:ascii="宋体" w:hAnsi="宋体" w:eastAsia="宋体" w:cs="宋体"/>
                      <w:color w:val="0000FF"/>
                      <w:szCs w:val="21"/>
                      <w:lang w:eastAsia="zh-CN" w:bidi="ar"/>
                    </w:rPr>
                    <w:t>、监测记录信息</w:t>
                  </w:r>
                  <w:r>
                    <w:rPr>
                      <w:rFonts w:eastAsia="宋体" w:cs="Times New Roman"/>
                      <w:color w:val="0000FF"/>
                      <w:szCs w:val="21"/>
                      <w:lang w:eastAsia="zh-CN" w:bidi="ar"/>
                    </w:rPr>
                    <w:t>(</w:t>
                  </w:r>
                  <w:r>
                    <w:rPr>
                      <w:rFonts w:hint="eastAsia" w:ascii="宋体" w:hAnsi="宋体" w:eastAsia="宋体" w:cs="宋体"/>
                      <w:color w:val="0000FF"/>
                      <w:szCs w:val="21"/>
                      <w:lang w:eastAsia="zh-CN" w:bidi="ar"/>
                    </w:rPr>
                    <w:t>主要污染排放口废气排放记录</w:t>
                  </w:r>
                  <w:r>
                    <w:rPr>
                      <w:rFonts w:eastAsia="宋体" w:cs="Times New Roman"/>
                      <w:color w:val="0000FF"/>
                      <w:szCs w:val="21"/>
                      <w:lang w:eastAsia="zh-CN" w:bidi="ar"/>
                    </w:rPr>
                    <w:t>(</w:t>
                  </w:r>
                  <w:r>
                    <w:rPr>
                      <w:rFonts w:hint="eastAsia" w:ascii="宋体" w:hAnsi="宋体" w:eastAsia="宋体" w:cs="宋体"/>
                      <w:color w:val="0000FF"/>
                      <w:szCs w:val="21"/>
                      <w:lang w:eastAsia="zh-CN" w:bidi="ar"/>
                    </w:rPr>
                    <w:t>手工监测或在线监测</w:t>
                  </w:r>
                  <w:r>
                    <w:rPr>
                      <w:rFonts w:eastAsia="宋体" w:cs="Times New Roman"/>
                      <w:color w:val="0000FF"/>
                      <w:szCs w:val="21"/>
                      <w:lang w:eastAsia="zh-CN" w:bidi="ar"/>
                    </w:rPr>
                    <w:t>)</w:t>
                  </w:r>
                  <w:r>
                    <w:rPr>
                      <w:rFonts w:hint="eastAsia" w:ascii="宋体" w:hAnsi="宋体" w:eastAsia="宋体" w:cs="宋体"/>
                      <w:color w:val="0000FF"/>
                      <w:szCs w:val="21"/>
                      <w:lang w:eastAsia="zh-CN" w:bidi="ar"/>
                    </w:rPr>
                    <w:t>等</w:t>
                  </w:r>
                  <w:r>
                    <w:rPr>
                      <w:rFonts w:eastAsia="宋体" w:cs="Times New Roman"/>
                      <w:color w:val="0000FF"/>
                      <w:szCs w:val="21"/>
                      <w:lang w:eastAsia="zh-CN" w:bidi="ar"/>
                    </w:rPr>
                    <w:t>)</w:t>
                  </w:r>
                  <w:r>
                    <w:rPr>
                      <w:rFonts w:hint="eastAsia" w:ascii="宋体" w:hAnsi="宋体" w:eastAsia="宋体" w:cs="宋体"/>
                      <w:color w:val="0000FF"/>
                      <w:szCs w:val="21"/>
                      <w:lang w:eastAsia="zh-CN" w:bidi="ar"/>
                    </w:rPr>
                    <w:t>；</w:t>
                  </w:r>
                  <w:r>
                    <w:rPr>
                      <w:rFonts w:eastAsia="宋体" w:cs="Times New Roman"/>
                      <w:color w:val="0000FF"/>
                      <w:szCs w:val="21"/>
                      <w:lang w:eastAsia="zh-CN" w:bidi="ar"/>
                    </w:rPr>
                    <w:t>4</w:t>
                  </w:r>
                  <w:r>
                    <w:rPr>
                      <w:rFonts w:hint="eastAsia" w:ascii="宋体" w:hAnsi="宋体" w:eastAsia="宋体" w:cs="宋体"/>
                      <w:color w:val="0000FF"/>
                      <w:szCs w:val="21"/>
                      <w:lang w:eastAsia="zh-CN" w:bidi="ar"/>
                    </w:rPr>
                    <w:t>、主要原辅材料消耗记录；</w:t>
                  </w:r>
                  <w:r>
                    <w:rPr>
                      <w:rFonts w:eastAsia="宋体" w:cs="Times New Roman"/>
                      <w:color w:val="0000FF"/>
                      <w:szCs w:val="21"/>
                      <w:lang w:eastAsia="zh-CN" w:bidi="ar"/>
                    </w:rPr>
                    <w:t>5</w:t>
                  </w:r>
                  <w:r>
                    <w:rPr>
                      <w:rFonts w:hint="eastAsia" w:ascii="宋体" w:hAnsi="宋体" w:eastAsia="宋体" w:cs="宋体"/>
                      <w:color w:val="0000FF"/>
                      <w:szCs w:val="21"/>
                      <w:lang w:eastAsia="zh-CN" w:bidi="ar"/>
                    </w:rPr>
                    <w:t>、燃料</w:t>
                  </w:r>
                  <w:r>
                    <w:rPr>
                      <w:rFonts w:eastAsia="宋体" w:cs="Times New Roman"/>
                      <w:color w:val="0000FF"/>
                      <w:szCs w:val="21"/>
                      <w:lang w:eastAsia="zh-CN" w:bidi="ar"/>
                    </w:rPr>
                    <w:t>(</w:t>
                  </w:r>
                  <w:r>
                    <w:rPr>
                      <w:rFonts w:hint="eastAsia" w:ascii="宋体" w:hAnsi="宋体" w:eastAsia="宋体" w:cs="宋体"/>
                      <w:color w:val="0000FF"/>
                      <w:szCs w:val="21"/>
                      <w:lang w:eastAsia="zh-CN" w:bidi="ar"/>
                    </w:rPr>
                    <w:t>天然气</w:t>
                  </w:r>
                  <w:r>
                    <w:rPr>
                      <w:rFonts w:eastAsia="宋体" w:cs="Times New Roman"/>
                      <w:color w:val="0000FF"/>
                      <w:szCs w:val="21"/>
                      <w:lang w:eastAsia="zh-CN" w:bidi="ar"/>
                    </w:rPr>
                    <w:t xml:space="preserve">) </w:t>
                  </w:r>
                  <w:r>
                    <w:rPr>
                      <w:rFonts w:hint="eastAsia" w:ascii="宋体" w:hAnsi="宋体" w:eastAsia="宋体" w:cs="宋体"/>
                      <w:color w:val="0000FF"/>
                      <w:szCs w:val="21"/>
                      <w:lang w:eastAsia="zh-CN" w:bidi="ar"/>
                    </w:rPr>
                    <w:t>消耗记录。</w:t>
                  </w:r>
                </w:p>
              </w:tc>
              <w:tc>
                <w:tcPr>
                  <w:tcW w:w="1655" w:type="pct"/>
                  <w:tcBorders>
                    <w:tl2br w:val="nil"/>
                    <w:tr2bl w:val="nil"/>
                  </w:tcBorders>
                  <w:vAlign w:val="center"/>
                </w:tcPr>
                <w:p w14:paraId="7C7E22F0">
                  <w:pPr>
                    <w:autoSpaceDE w:val="0"/>
                    <w:autoSpaceDN w:val="0"/>
                    <w:adjustRightInd w:val="0"/>
                    <w:spacing w:line="240" w:lineRule="auto"/>
                    <w:ind w:left="0" w:leftChars="0" w:right="0" w:rightChars="0" w:firstLine="0" w:firstLineChars="0"/>
                    <w:rPr>
                      <w:rFonts w:ascii="宋体" w:hAnsi="宋体" w:eastAsia="宋体" w:cs="宋体"/>
                      <w:b/>
                      <w:bCs/>
                      <w:color w:val="0000FF"/>
                      <w:szCs w:val="21"/>
                      <w:lang w:eastAsia="zh-CN" w:bidi="ar"/>
                    </w:rPr>
                  </w:pPr>
                  <w:r>
                    <w:rPr>
                      <w:rFonts w:hint="eastAsia"/>
                      <w:color w:val="0000FF"/>
                      <w:szCs w:val="21"/>
                      <w:lang w:eastAsia="zh-CN"/>
                    </w:rPr>
                    <w:t>现有项目生产时间、运行负荷、产品产量、废气污染治理设施吸附剂更换频次、废水废气监测记录、主要原辅材料消耗记录等均完善；</w:t>
                  </w:r>
                  <w:r>
                    <w:rPr>
                      <w:color w:val="0000FF"/>
                      <w:szCs w:val="21"/>
                      <w:lang w:eastAsia="zh-CN"/>
                    </w:rPr>
                    <w:t>评价要求企业</w:t>
                  </w:r>
                  <w:r>
                    <w:rPr>
                      <w:rFonts w:hint="eastAsia"/>
                      <w:color w:val="0000FF"/>
                      <w:szCs w:val="21"/>
                      <w:lang w:eastAsia="zh-CN"/>
                    </w:rPr>
                    <w:t>扩建后继续</w:t>
                  </w:r>
                  <w:r>
                    <w:rPr>
                      <w:color w:val="0000FF"/>
                      <w:szCs w:val="21"/>
                      <w:lang w:eastAsia="zh-CN"/>
                    </w:rPr>
                    <w:t>完整记录生产台账，生产设施运行台账，原辅材料，燃料使用台账，运输管理电子台账，设备维护记录和废气治理设备清单。</w:t>
                  </w:r>
                </w:p>
              </w:tc>
              <w:tc>
                <w:tcPr>
                  <w:tcW w:w="369" w:type="pct"/>
                  <w:tcBorders>
                    <w:tl2br w:val="nil"/>
                    <w:tr2bl w:val="nil"/>
                  </w:tcBorders>
                  <w:vAlign w:val="center"/>
                </w:tcPr>
                <w:p w14:paraId="249EC22B">
                  <w:pPr>
                    <w:autoSpaceDE w:val="0"/>
                    <w:autoSpaceDN w:val="0"/>
                    <w:adjustRightInd w:val="0"/>
                    <w:spacing w:line="240" w:lineRule="auto"/>
                    <w:ind w:left="0" w:leftChars="0" w:right="0" w:rightChars="0" w:firstLine="0" w:firstLineChars="0"/>
                    <w:jc w:val="center"/>
                    <w:rPr>
                      <w:color w:val="0000FF"/>
                      <w:szCs w:val="21"/>
                    </w:rPr>
                  </w:pPr>
                  <w:r>
                    <w:rPr>
                      <w:rFonts w:hint="eastAsia"/>
                      <w:color w:val="0000FF"/>
                      <w:szCs w:val="21"/>
                      <w:lang w:val="en-US" w:eastAsia="zh-CN"/>
                    </w:rPr>
                    <w:t>现有项目部满足；整改后可</w:t>
                  </w:r>
                  <w:r>
                    <w:rPr>
                      <w:rFonts w:hint="eastAsia"/>
                      <w:color w:val="0000FF"/>
                      <w:szCs w:val="21"/>
                      <w:lang w:eastAsia="zh-CN"/>
                    </w:rPr>
                    <w:t>满足</w:t>
                  </w:r>
                </w:p>
              </w:tc>
            </w:tr>
            <w:tr w14:paraId="7D8F3C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44" w:type="pct"/>
                  <w:vMerge w:val="continue"/>
                  <w:tcBorders>
                    <w:tl2br w:val="nil"/>
                    <w:tr2bl w:val="nil"/>
                  </w:tcBorders>
                  <w:vAlign w:val="center"/>
                </w:tcPr>
                <w:p w14:paraId="756FF6BF">
                  <w:pPr>
                    <w:widowControl/>
                    <w:spacing w:line="240" w:lineRule="auto"/>
                    <w:ind w:left="0" w:leftChars="0" w:right="0" w:rightChars="0" w:firstLine="0" w:firstLineChars="0"/>
                    <w:rPr>
                      <w:rFonts w:ascii="宋体" w:hAnsi="宋体" w:eastAsia="宋体" w:cs="宋体"/>
                      <w:color w:val="0000FF"/>
                      <w:szCs w:val="21"/>
                      <w:lang w:eastAsia="zh-CN" w:bidi="ar"/>
                    </w:rPr>
                  </w:pPr>
                </w:p>
              </w:tc>
              <w:tc>
                <w:tcPr>
                  <w:tcW w:w="2231" w:type="pct"/>
                  <w:tcBorders>
                    <w:tl2br w:val="nil"/>
                    <w:tr2bl w:val="nil"/>
                  </w:tcBorders>
                  <w:vAlign w:val="center"/>
                </w:tcPr>
                <w:p w14:paraId="4028ECFA">
                  <w:pPr>
                    <w:widowControl/>
                    <w:spacing w:line="240" w:lineRule="auto"/>
                    <w:ind w:left="0" w:leftChars="0" w:right="0" w:rightChars="0" w:firstLine="0" w:firstLineChars="0"/>
                    <w:jc w:val="both"/>
                    <w:rPr>
                      <w:rFonts w:hint="eastAsia"/>
                      <w:color w:val="0000FF"/>
                      <w:szCs w:val="21"/>
                      <w:lang w:eastAsia="zh-CN"/>
                    </w:rPr>
                  </w:pPr>
                  <w:r>
                    <w:rPr>
                      <w:rFonts w:hint="eastAsia" w:ascii="宋体" w:hAnsi="宋体" w:eastAsia="宋体" w:cs="宋体"/>
                      <w:color w:val="0000FF"/>
                      <w:szCs w:val="21"/>
                      <w:lang w:eastAsia="zh-CN" w:bidi="ar"/>
                    </w:rPr>
                    <w:t>人员配置：设置环保部门，配备专职环保人员，并具备相应的环境管理能力。</w:t>
                  </w:r>
                </w:p>
              </w:tc>
              <w:tc>
                <w:tcPr>
                  <w:tcW w:w="1655" w:type="pct"/>
                  <w:tcBorders>
                    <w:tl2br w:val="nil"/>
                    <w:tr2bl w:val="nil"/>
                  </w:tcBorders>
                  <w:vAlign w:val="center"/>
                </w:tcPr>
                <w:p w14:paraId="099EA38F">
                  <w:pPr>
                    <w:widowControl/>
                    <w:spacing w:line="240" w:lineRule="auto"/>
                    <w:ind w:left="0" w:leftChars="0" w:right="0" w:rightChars="0" w:firstLine="0" w:firstLineChars="0"/>
                    <w:rPr>
                      <w:rFonts w:ascii="宋体" w:hAnsi="宋体" w:eastAsia="宋体" w:cs="宋体"/>
                      <w:b/>
                      <w:bCs/>
                      <w:color w:val="0000FF"/>
                      <w:szCs w:val="21"/>
                      <w:lang w:eastAsia="zh-CN" w:bidi="ar"/>
                    </w:rPr>
                  </w:pPr>
                  <w:r>
                    <w:rPr>
                      <w:rFonts w:hint="eastAsia"/>
                      <w:color w:val="0000FF"/>
                      <w:szCs w:val="21"/>
                      <w:lang w:eastAsia="zh-CN"/>
                    </w:rPr>
                    <w:t>本项目为扩建项目，</w:t>
                  </w:r>
                  <w:r>
                    <w:rPr>
                      <w:color w:val="0000FF"/>
                      <w:szCs w:val="21"/>
                      <w:lang w:eastAsia="zh-CN"/>
                    </w:rPr>
                    <w:t>企业</w:t>
                  </w:r>
                  <w:r>
                    <w:rPr>
                      <w:rFonts w:hint="eastAsia"/>
                      <w:color w:val="0000FF"/>
                      <w:szCs w:val="21"/>
                      <w:lang w:eastAsia="zh-CN"/>
                    </w:rPr>
                    <w:t>已</w:t>
                  </w:r>
                  <w:r>
                    <w:rPr>
                      <w:color w:val="0000FF"/>
                      <w:szCs w:val="21"/>
                      <w:lang w:eastAsia="zh-CN"/>
                    </w:rPr>
                    <w:t>安排专兼职环保人员并设立废气治理设施运行管理规程。</w:t>
                  </w:r>
                </w:p>
              </w:tc>
              <w:tc>
                <w:tcPr>
                  <w:tcW w:w="369" w:type="pct"/>
                  <w:tcBorders>
                    <w:tl2br w:val="nil"/>
                    <w:tr2bl w:val="nil"/>
                  </w:tcBorders>
                  <w:vAlign w:val="center"/>
                </w:tcPr>
                <w:p w14:paraId="276CF022">
                  <w:pPr>
                    <w:widowControl/>
                    <w:spacing w:line="240" w:lineRule="auto"/>
                    <w:ind w:left="0" w:leftChars="0" w:right="0" w:rightChars="0" w:firstLine="0" w:firstLineChars="0"/>
                    <w:jc w:val="center"/>
                    <w:rPr>
                      <w:color w:val="0000FF"/>
                      <w:szCs w:val="21"/>
                    </w:rPr>
                  </w:pPr>
                  <w:r>
                    <w:rPr>
                      <w:rFonts w:hint="eastAsia"/>
                      <w:color w:val="0000FF"/>
                      <w:szCs w:val="21"/>
                      <w:lang w:eastAsia="zh-CN"/>
                    </w:rPr>
                    <w:t>满足</w:t>
                  </w:r>
                </w:p>
              </w:tc>
            </w:tr>
            <w:tr w14:paraId="2A1F6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pct"/>
                  <w:tcBorders>
                    <w:tl2br w:val="nil"/>
                    <w:tr2bl w:val="nil"/>
                  </w:tcBorders>
                  <w:vAlign w:val="center"/>
                </w:tcPr>
                <w:p w14:paraId="2CDEE812">
                  <w:pPr>
                    <w:widowControl/>
                    <w:spacing w:line="240" w:lineRule="auto"/>
                    <w:ind w:left="0" w:leftChars="0" w:right="0" w:rightChars="0" w:firstLine="0" w:firstLineChars="0"/>
                    <w:jc w:val="center"/>
                    <w:rPr>
                      <w:rFonts w:ascii="宋体" w:hAnsi="宋体" w:eastAsia="宋体" w:cs="宋体"/>
                      <w:color w:val="0000FF"/>
                      <w:szCs w:val="21"/>
                      <w:lang w:eastAsia="zh-CN" w:bidi="ar"/>
                    </w:rPr>
                  </w:pPr>
                  <w:r>
                    <w:rPr>
                      <w:rFonts w:hint="eastAsia" w:ascii="宋体" w:hAnsi="宋体" w:eastAsia="宋体" w:cs="宋体"/>
                      <w:color w:val="0000FF"/>
                      <w:szCs w:val="21"/>
                      <w:lang w:eastAsia="zh-CN" w:bidi="ar"/>
                    </w:rPr>
                    <w:t>运输方式</w:t>
                  </w:r>
                </w:p>
              </w:tc>
              <w:tc>
                <w:tcPr>
                  <w:tcW w:w="2231" w:type="pct"/>
                  <w:tcBorders>
                    <w:tl2br w:val="nil"/>
                    <w:tr2bl w:val="nil"/>
                  </w:tcBorders>
                  <w:vAlign w:val="center"/>
                </w:tcPr>
                <w:p w14:paraId="2CA87E2F">
                  <w:pPr>
                    <w:pStyle w:val="81"/>
                    <w:spacing w:line="240" w:lineRule="auto"/>
                    <w:ind w:left="0" w:leftChars="0" w:right="0" w:rightChars="0" w:firstLine="0" w:firstLineChars="0"/>
                    <w:jc w:val="both"/>
                    <w:rPr>
                      <w:rFonts w:hint="eastAsia"/>
                      <w:color w:val="0000FF"/>
                      <w:sz w:val="21"/>
                      <w:szCs w:val="21"/>
                      <w:lang w:val="en-US" w:eastAsia="zh-CN"/>
                    </w:rPr>
                  </w:pPr>
                  <w:r>
                    <w:rPr>
                      <w:rFonts w:hint="eastAsia"/>
                      <w:color w:val="0000FF"/>
                      <w:sz w:val="21"/>
                      <w:szCs w:val="21"/>
                      <w:lang w:val="en-US" w:eastAsia="zh-CN"/>
                    </w:rPr>
                    <w:t>物料、产品运输、厂内运输全部使用国五及以上重型载货车辆（含燃气）或者采用新能源汽车；</w:t>
                  </w:r>
                </w:p>
                <w:p w14:paraId="63EA620E">
                  <w:pPr>
                    <w:pStyle w:val="81"/>
                    <w:spacing w:line="240" w:lineRule="auto"/>
                    <w:ind w:left="0" w:leftChars="0" w:right="0" w:rightChars="0" w:firstLine="0" w:firstLineChars="0"/>
                    <w:jc w:val="both"/>
                    <w:rPr>
                      <w:rFonts w:hint="default"/>
                      <w:color w:val="0000FF"/>
                      <w:sz w:val="21"/>
                      <w:szCs w:val="21"/>
                      <w:lang w:val="en-US" w:eastAsia="zh-CN"/>
                    </w:rPr>
                  </w:pPr>
                  <w:r>
                    <w:rPr>
                      <w:rFonts w:hint="eastAsia"/>
                      <w:color w:val="0000FF"/>
                      <w:sz w:val="21"/>
                      <w:szCs w:val="21"/>
                      <w:lang w:val="en-US" w:eastAsia="zh-CN"/>
                    </w:rPr>
                    <w:t>厂内非移动机械达到国三及以上标准或使用纯电动。</w:t>
                  </w:r>
                </w:p>
              </w:tc>
              <w:tc>
                <w:tcPr>
                  <w:tcW w:w="1655" w:type="pct"/>
                  <w:tcBorders>
                    <w:tl2br w:val="nil"/>
                    <w:tr2bl w:val="nil"/>
                  </w:tcBorders>
                  <w:vAlign w:val="center"/>
                </w:tcPr>
                <w:p w14:paraId="62EE9458">
                  <w:pPr>
                    <w:pStyle w:val="81"/>
                    <w:spacing w:line="240" w:lineRule="auto"/>
                    <w:ind w:left="0" w:leftChars="0" w:right="0" w:rightChars="0" w:firstLine="0" w:firstLineChars="0"/>
                    <w:jc w:val="both"/>
                    <w:rPr>
                      <w:rFonts w:hint="eastAsia"/>
                      <w:color w:val="0000FF"/>
                      <w:sz w:val="21"/>
                      <w:szCs w:val="21"/>
                      <w:lang w:val="en-US" w:eastAsia="zh-CN"/>
                    </w:rPr>
                  </w:pPr>
                  <w:r>
                    <w:rPr>
                      <w:color w:val="0000FF"/>
                      <w:sz w:val="21"/>
                      <w:szCs w:val="21"/>
                      <w:lang w:eastAsia="zh-CN"/>
                    </w:rPr>
                    <w:t>评价要求企业</w:t>
                  </w:r>
                  <w:r>
                    <w:rPr>
                      <w:rFonts w:hint="eastAsia"/>
                      <w:color w:val="0000FF"/>
                      <w:sz w:val="21"/>
                      <w:szCs w:val="21"/>
                      <w:lang w:val="en-US" w:eastAsia="zh-CN"/>
                    </w:rPr>
                    <w:t>物料、产品运输、厂内运输全部使用国五及以上重型载货车辆（含燃气）或者采用新能源汽车；</w:t>
                  </w:r>
                </w:p>
                <w:p w14:paraId="65C75BDC">
                  <w:pPr>
                    <w:pStyle w:val="81"/>
                    <w:spacing w:line="240" w:lineRule="auto"/>
                    <w:ind w:left="0" w:leftChars="0" w:right="0" w:rightChars="0" w:firstLine="0" w:firstLineChars="0"/>
                    <w:jc w:val="both"/>
                    <w:rPr>
                      <w:color w:val="0000FF"/>
                      <w:sz w:val="21"/>
                      <w:szCs w:val="21"/>
                      <w:lang w:eastAsia="zh-CN"/>
                    </w:rPr>
                  </w:pPr>
                  <w:r>
                    <w:rPr>
                      <w:color w:val="0000FF"/>
                      <w:sz w:val="21"/>
                      <w:szCs w:val="21"/>
                      <w:lang w:eastAsia="zh-CN"/>
                    </w:rPr>
                    <w:t>厂内非道路机械全部达到国</w:t>
                  </w:r>
                  <w:r>
                    <w:rPr>
                      <w:rFonts w:hint="eastAsia"/>
                      <w:color w:val="0000FF"/>
                      <w:sz w:val="21"/>
                      <w:szCs w:val="21"/>
                      <w:lang w:eastAsia="zh-CN"/>
                    </w:rPr>
                    <w:t>三</w:t>
                  </w:r>
                  <w:r>
                    <w:rPr>
                      <w:color w:val="0000FF"/>
                      <w:sz w:val="21"/>
                      <w:szCs w:val="21"/>
                      <w:lang w:eastAsia="zh-CN"/>
                    </w:rPr>
                    <w:t>及以上排放标准或</w:t>
                  </w:r>
                  <w:r>
                    <w:rPr>
                      <w:rFonts w:hint="eastAsia"/>
                      <w:color w:val="0000FF"/>
                      <w:sz w:val="21"/>
                      <w:szCs w:val="21"/>
                      <w:lang w:val="en-US" w:eastAsia="zh-CN"/>
                    </w:rPr>
                    <w:t>使用纯电动</w:t>
                  </w:r>
                  <w:r>
                    <w:rPr>
                      <w:color w:val="0000FF"/>
                      <w:sz w:val="21"/>
                      <w:szCs w:val="21"/>
                      <w:lang w:eastAsia="zh-CN"/>
                    </w:rPr>
                    <w:t>。</w:t>
                  </w:r>
                </w:p>
              </w:tc>
              <w:tc>
                <w:tcPr>
                  <w:tcW w:w="369" w:type="pct"/>
                  <w:tcBorders>
                    <w:tl2br w:val="nil"/>
                    <w:tr2bl w:val="nil"/>
                  </w:tcBorders>
                  <w:vAlign w:val="center"/>
                </w:tcPr>
                <w:p w14:paraId="18CF063A">
                  <w:pPr>
                    <w:spacing w:line="240" w:lineRule="auto"/>
                    <w:ind w:left="0" w:leftChars="0" w:right="0" w:rightChars="0" w:firstLine="0" w:firstLineChars="0"/>
                    <w:jc w:val="center"/>
                    <w:rPr>
                      <w:color w:val="0000FF"/>
                      <w:szCs w:val="21"/>
                    </w:rPr>
                  </w:pPr>
                  <w:r>
                    <w:rPr>
                      <w:rFonts w:hint="eastAsia"/>
                      <w:color w:val="0000FF"/>
                      <w:szCs w:val="21"/>
                      <w:lang w:val="en-US" w:eastAsia="zh-CN"/>
                    </w:rPr>
                    <w:t>现有项目部满足；整改后可</w:t>
                  </w:r>
                  <w:r>
                    <w:rPr>
                      <w:rFonts w:hint="eastAsia"/>
                      <w:color w:val="0000FF"/>
                      <w:szCs w:val="21"/>
                      <w:lang w:eastAsia="zh-CN"/>
                    </w:rPr>
                    <w:t>满足</w:t>
                  </w:r>
                </w:p>
              </w:tc>
            </w:tr>
            <w:tr w14:paraId="2B9FF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pct"/>
                  <w:tcBorders>
                    <w:tl2br w:val="nil"/>
                    <w:tr2bl w:val="nil"/>
                  </w:tcBorders>
                  <w:vAlign w:val="center"/>
                </w:tcPr>
                <w:p w14:paraId="45999956">
                  <w:pPr>
                    <w:widowControl/>
                    <w:spacing w:line="240" w:lineRule="auto"/>
                    <w:ind w:left="0" w:leftChars="0" w:right="0" w:rightChars="0" w:firstLine="0" w:firstLineChars="0"/>
                    <w:jc w:val="center"/>
                    <w:rPr>
                      <w:rFonts w:ascii="宋体" w:hAnsi="宋体" w:eastAsia="宋体" w:cs="宋体"/>
                      <w:color w:val="0000FF"/>
                      <w:szCs w:val="21"/>
                      <w:lang w:eastAsia="zh-CN" w:bidi="ar"/>
                    </w:rPr>
                  </w:pPr>
                  <w:r>
                    <w:rPr>
                      <w:rFonts w:hint="eastAsia" w:ascii="宋体" w:hAnsi="宋体" w:eastAsia="宋体" w:cs="宋体"/>
                      <w:color w:val="0000FF"/>
                      <w:szCs w:val="21"/>
                      <w:lang w:eastAsia="zh-CN" w:bidi="ar"/>
                    </w:rPr>
                    <w:t xml:space="preserve">运输监管 </w:t>
                  </w:r>
                </w:p>
              </w:tc>
              <w:tc>
                <w:tcPr>
                  <w:tcW w:w="2231" w:type="pct"/>
                  <w:tcBorders>
                    <w:tl2br w:val="nil"/>
                    <w:tr2bl w:val="nil"/>
                  </w:tcBorders>
                  <w:vAlign w:val="center"/>
                </w:tcPr>
                <w:p w14:paraId="1E958AB5">
                  <w:pPr>
                    <w:pStyle w:val="81"/>
                    <w:spacing w:line="240" w:lineRule="auto"/>
                    <w:ind w:left="0" w:leftChars="0" w:right="0" w:rightChars="0" w:firstLine="0" w:firstLineChars="0"/>
                    <w:jc w:val="both"/>
                    <w:rPr>
                      <w:color w:val="0000FF"/>
                      <w:sz w:val="21"/>
                      <w:szCs w:val="21"/>
                      <w:lang w:eastAsia="zh-CN"/>
                    </w:rPr>
                  </w:pPr>
                  <w:r>
                    <w:rPr>
                      <w:rFonts w:hint="eastAsia" w:ascii="宋体" w:hAnsi="宋体" w:eastAsia="宋体" w:cs="宋体"/>
                      <w:color w:val="0000FF"/>
                      <w:szCs w:val="21"/>
                      <w:lang w:eastAsia="zh-CN" w:bidi="ar"/>
                    </w:rPr>
                    <w:t>参照《重污染天气重点行业移动源应急管理技术指南》建立门禁系统和电子台账。</w:t>
                  </w:r>
                </w:p>
              </w:tc>
              <w:tc>
                <w:tcPr>
                  <w:tcW w:w="1655" w:type="pct"/>
                  <w:tcBorders>
                    <w:tl2br w:val="nil"/>
                    <w:tr2bl w:val="nil"/>
                  </w:tcBorders>
                  <w:vAlign w:val="center"/>
                </w:tcPr>
                <w:p w14:paraId="25C31E6D">
                  <w:pPr>
                    <w:pStyle w:val="81"/>
                    <w:spacing w:line="240" w:lineRule="auto"/>
                    <w:ind w:left="0" w:leftChars="0" w:right="0" w:rightChars="0" w:firstLine="0" w:firstLineChars="0"/>
                    <w:jc w:val="both"/>
                    <w:rPr>
                      <w:color w:val="0000FF"/>
                      <w:sz w:val="21"/>
                      <w:szCs w:val="21"/>
                      <w:lang w:eastAsia="zh-CN"/>
                    </w:rPr>
                  </w:pPr>
                  <w:r>
                    <w:rPr>
                      <w:color w:val="0000FF"/>
                      <w:sz w:val="21"/>
                      <w:szCs w:val="21"/>
                      <w:lang w:eastAsia="zh-CN"/>
                    </w:rPr>
                    <w:t>评价要求企业配备门禁和视频监控系统，监控运输车辆进出厂情况，记录运输车辆电子台账；视频监控、台账数据保存三个月以上。</w:t>
                  </w:r>
                </w:p>
              </w:tc>
              <w:tc>
                <w:tcPr>
                  <w:tcW w:w="369" w:type="pct"/>
                  <w:tcBorders>
                    <w:tl2br w:val="nil"/>
                    <w:tr2bl w:val="nil"/>
                  </w:tcBorders>
                  <w:vAlign w:val="center"/>
                </w:tcPr>
                <w:p w14:paraId="45016D4A">
                  <w:pPr>
                    <w:spacing w:line="240" w:lineRule="auto"/>
                    <w:ind w:left="0" w:leftChars="0" w:right="0" w:rightChars="0" w:firstLine="0" w:firstLineChars="0"/>
                    <w:jc w:val="center"/>
                    <w:rPr>
                      <w:color w:val="0000FF"/>
                      <w:szCs w:val="21"/>
                      <w:lang w:eastAsia="zh-CN"/>
                    </w:rPr>
                  </w:pPr>
                  <w:r>
                    <w:rPr>
                      <w:rFonts w:hint="eastAsia"/>
                      <w:color w:val="0000FF"/>
                      <w:szCs w:val="21"/>
                      <w:lang w:val="en-US" w:eastAsia="zh-CN"/>
                    </w:rPr>
                    <w:t>现有项目部满足；整改后可</w:t>
                  </w:r>
                  <w:r>
                    <w:rPr>
                      <w:rFonts w:hint="eastAsia"/>
                      <w:color w:val="0000FF"/>
                      <w:szCs w:val="21"/>
                      <w:lang w:eastAsia="zh-CN"/>
                    </w:rPr>
                    <w:t>满足</w:t>
                  </w:r>
                </w:p>
              </w:tc>
            </w:tr>
          </w:tbl>
          <w:p w14:paraId="56D9BC79">
            <w:pPr>
              <w:pStyle w:val="35"/>
              <w:snapToGrid w:val="0"/>
              <w:spacing w:before="120" w:beforeLines="50" w:line="360" w:lineRule="auto"/>
              <w:ind w:left="-63" w:leftChars="-30" w:right="-63" w:rightChars="-30" w:firstLine="482" w:firstLineChars="200"/>
              <w:jc w:val="both"/>
              <w:rPr>
                <w:rFonts w:ascii="Times New Roman" w:cs="Times New Roman"/>
                <w:b/>
                <w:color w:val="auto"/>
              </w:rPr>
            </w:pPr>
            <w:r>
              <w:rPr>
                <w:rFonts w:ascii="Times New Roman" w:cs="Times New Roman"/>
                <w:b/>
                <w:color w:val="auto"/>
              </w:rPr>
              <w:t>4、项目选址合理性分析</w:t>
            </w:r>
          </w:p>
          <w:p w14:paraId="102026B0">
            <w:pPr>
              <w:adjustRightInd w:val="0"/>
              <w:snapToGrid w:val="0"/>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rPr>
              <w:t>本项目位于</w:t>
            </w:r>
            <w:r>
              <w:rPr>
                <w:rFonts w:cs="Times New Roman"/>
                <w:color w:val="auto"/>
                <w:sz w:val="24"/>
                <w:szCs w:val="24"/>
                <w:lang w:eastAsia="zh-CN"/>
              </w:rPr>
              <w:t>西安市蓝田县西北家具工业园</w:t>
            </w:r>
            <w:r>
              <w:rPr>
                <w:rFonts w:hint="eastAsia" w:cs="Times New Roman"/>
                <w:color w:val="auto"/>
                <w:sz w:val="24"/>
                <w:szCs w:val="24"/>
                <w:lang w:eastAsia="zh-CN"/>
              </w:rPr>
              <w:t>新港12路8号现有厂房内，</w:t>
            </w:r>
            <w:r>
              <w:rPr>
                <w:rFonts w:hint="eastAsia" w:eastAsia="宋体" w:cs="Times New Roman"/>
                <w:color w:val="auto"/>
                <w:sz w:val="24"/>
                <w:szCs w:val="24"/>
                <w:lang w:eastAsia="zh-CN"/>
              </w:rPr>
              <w:t>地理位置图见附图1，项目建设符合园区规划，项目所在地</w:t>
            </w:r>
            <w:r>
              <w:rPr>
                <w:rFonts w:eastAsia="宋体" w:cs="Times New Roman"/>
                <w:color w:val="auto"/>
                <w:sz w:val="24"/>
                <w:szCs w:val="24"/>
                <w:lang w:eastAsia="zh-CN"/>
              </w:rPr>
              <w:t>所在地交通便利、市政基础设施</w:t>
            </w:r>
            <w:r>
              <w:rPr>
                <w:rFonts w:hint="eastAsia" w:eastAsia="宋体" w:cs="Times New Roman"/>
                <w:color w:val="auto"/>
                <w:sz w:val="24"/>
                <w:szCs w:val="24"/>
                <w:lang w:eastAsia="zh-CN"/>
              </w:rPr>
              <w:t>完善，可满足项目要求</w:t>
            </w:r>
            <w:r>
              <w:rPr>
                <w:rFonts w:eastAsia="宋体" w:cs="Times New Roman"/>
                <w:color w:val="auto"/>
                <w:sz w:val="24"/>
                <w:szCs w:val="24"/>
                <w:lang w:eastAsia="zh-CN"/>
              </w:rPr>
              <w:t>。根据现场踏勘，项目周边无自然保护区、风景名胜区、世界文化遗产和自然遗产地、饮用水源保护区及文物保护单位；距离项目最近敏感点为东</w:t>
            </w:r>
            <w:r>
              <w:rPr>
                <w:rFonts w:hint="eastAsia" w:eastAsia="宋体" w:cs="Times New Roman"/>
                <w:color w:val="auto"/>
                <w:sz w:val="24"/>
                <w:szCs w:val="24"/>
                <w:lang w:eastAsia="zh-CN"/>
              </w:rPr>
              <w:t>北</w:t>
            </w:r>
            <w:r>
              <w:rPr>
                <w:rFonts w:eastAsia="宋体" w:cs="Times New Roman"/>
                <w:color w:val="auto"/>
                <w:sz w:val="24"/>
                <w:szCs w:val="24"/>
                <w:lang w:eastAsia="zh-CN"/>
              </w:rPr>
              <w:t>侧</w:t>
            </w:r>
            <w:r>
              <w:rPr>
                <w:rFonts w:hint="eastAsia" w:eastAsia="宋体" w:cs="Times New Roman"/>
                <w:color w:val="auto"/>
                <w:sz w:val="24"/>
                <w:szCs w:val="24"/>
                <w:lang w:eastAsia="zh-CN"/>
              </w:rPr>
              <w:t>127</w:t>
            </w:r>
            <w:r>
              <w:rPr>
                <w:rFonts w:eastAsia="宋体" w:cs="Times New Roman"/>
                <w:color w:val="auto"/>
                <w:sz w:val="24"/>
                <w:szCs w:val="24"/>
                <w:lang w:eastAsia="zh-CN"/>
              </w:rPr>
              <w:t>m处的</w:t>
            </w:r>
            <w:r>
              <w:rPr>
                <w:rFonts w:hint="eastAsia" w:eastAsia="宋体" w:cs="Times New Roman"/>
                <w:color w:val="auto"/>
                <w:sz w:val="24"/>
                <w:szCs w:val="24"/>
                <w:lang w:eastAsia="zh-CN"/>
              </w:rPr>
              <w:t>新街村，在</w:t>
            </w:r>
            <w:r>
              <w:rPr>
                <w:rFonts w:eastAsia="宋体" w:cs="Times New Roman"/>
                <w:color w:val="auto"/>
                <w:sz w:val="24"/>
                <w:szCs w:val="24"/>
                <w:lang w:eastAsia="zh-CN"/>
              </w:rPr>
              <w:t>采取本</w:t>
            </w:r>
            <w:r>
              <w:rPr>
                <w:rFonts w:hint="eastAsia" w:eastAsia="宋体" w:cs="Times New Roman"/>
                <w:color w:val="auto"/>
                <w:sz w:val="24"/>
                <w:szCs w:val="24"/>
                <w:lang w:eastAsia="zh-CN"/>
              </w:rPr>
              <w:t>次</w:t>
            </w:r>
            <w:r>
              <w:rPr>
                <w:rFonts w:eastAsia="宋体" w:cs="Times New Roman"/>
                <w:color w:val="auto"/>
                <w:sz w:val="24"/>
                <w:szCs w:val="24"/>
                <w:lang w:eastAsia="zh-CN"/>
              </w:rPr>
              <w:t>评价提出的各项环境保护措施后，</w:t>
            </w:r>
            <w:r>
              <w:rPr>
                <w:rFonts w:hint="eastAsia" w:eastAsia="宋体" w:cs="Times New Roman"/>
                <w:color w:val="auto"/>
                <w:sz w:val="24"/>
                <w:szCs w:val="24"/>
                <w:lang w:eastAsia="zh-CN"/>
              </w:rPr>
              <w:t>项目的各类</w:t>
            </w:r>
            <w:r>
              <w:rPr>
                <w:rFonts w:eastAsia="宋体" w:cs="Times New Roman"/>
                <w:color w:val="auto"/>
                <w:sz w:val="24"/>
                <w:szCs w:val="24"/>
                <w:lang w:eastAsia="zh-CN"/>
              </w:rPr>
              <w:t>污染物</w:t>
            </w:r>
            <w:r>
              <w:rPr>
                <w:rFonts w:hint="eastAsia" w:eastAsia="宋体" w:cs="Times New Roman"/>
                <w:color w:val="auto"/>
                <w:sz w:val="24"/>
                <w:szCs w:val="24"/>
                <w:lang w:eastAsia="zh-CN"/>
              </w:rPr>
              <w:t>均能</w:t>
            </w:r>
            <w:r>
              <w:rPr>
                <w:rFonts w:eastAsia="宋体" w:cs="Times New Roman"/>
                <w:color w:val="auto"/>
                <w:sz w:val="24"/>
                <w:szCs w:val="24"/>
                <w:lang w:eastAsia="zh-CN"/>
              </w:rPr>
              <w:t>达标排放，对环境</w:t>
            </w:r>
            <w:r>
              <w:rPr>
                <w:rFonts w:hint="eastAsia" w:eastAsia="宋体" w:cs="Times New Roman"/>
                <w:color w:val="auto"/>
                <w:sz w:val="24"/>
                <w:szCs w:val="24"/>
                <w:lang w:eastAsia="zh-CN"/>
              </w:rPr>
              <w:t>的</w:t>
            </w:r>
            <w:r>
              <w:rPr>
                <w:rFonts w:eastAsia="宋体" w:cs="Times New Roman"/>
                <w:color w:val="auto"/>
                <w:sz w:val="24"/>
                <w:szCs w:val="24"/>
                <w:lang w:eastAsia="zh-CN"/>
              </w:rPr>
              <w:t>影响可以接受。</w:t>
            </w:r>
          </w:p>
          <w:p w14:paraId="4ECAC9C0">
            <w:pPr>
              <w:adjustRightInd w:val="0"/>
              <w:snapToGrid w:val="0"/>
              <w:ind w:left="0" w:leftChars="0" w:right="0" w:rightChars="0" w:firstLine="480"/>
              <w:jc w:val="both"/>
              <w:rPr>
                <w:rFonts w:cs="Times New Roman"/>
                <w:color w:val="auto"/>
                <w:sz w:val="24"/>
                <w:szCs w:val="28"/>
                <w:lang w:eastAsia="zh-CN"/>
              </w:rPr>
            </w:pPr>
            <w:r>
              <w:rPr>
                <w:rFonts w:eastAsia="宋体" w:cs="Times New Roman"/>
                <w:color w:val="auto"/>
                <w:sz w:val="24"/>
                <w:szCs w:val="24"/>
                <w:lang w:eastAsia="zh-CN"/>
              </w:rPr>
              <w:t>综上，从环境保护角度分析，项目选址合理。</w:t>
            </w:r>
          </w:p>
        </w:tc>
      </w:tr>
    </w:tbl>
    <w:p w14:paraId="5D37B1EC">
      <w:pPr>
        <w:ind w:firstLine="420"/>
        <w:rPr>
          <w:color w:val="auto"/>
          <w:lang w:eastAsia="zh-CN"/>
        </w:rPr>
        <w:sectPr>
          <w:pgSz w:w="16838" w:h="11910" w:orient="landscape"/>
          <w:pgMar w:top="1800" w:right="1440" w:bottom="1689" w:left="1440" w:header="720" w:footer="1043" w:gutter="0"/>
          <w:cols w:space="0" w:num="1"/>
        </w:sectPr>
      </w:pPr>
    </w:p>
    <w:p w14:paraId="50BDE60D">
      <w:pPr>
        <w:pStyle w:val="8"/>
        <w:spacing w:before="0" w:line="240" w:lineRule="auto"/>
        <w:ind w:left="0" w:leftChars="0" w:right="0" w:rightChars="0" w:firstLine="0" w:firstLineChars="0"/>
        <w:jc w:val="center"/>
        <w:outlineLvl w:val="0"/>
        <w:rPr>
          <w:rFonts w:ascii="Times New Roman" w:hAnsi="Times New Roman" w:eastAsia="宋体" w:cs="Times New Roman"/>
          <w:b/>
          <w:bCs/>
          <w:color w:val="auto"/>
          <w:lang w:eastAsia="zh-CN"/>
        </w:rPr>
      </w:pPr>
      <w:bookmarkStart w:id="2" w:name="_Toc30954"/>
      <w:r>
        <w:rPr>
          <w:rFonts w:ascii="Times New Roman" w:hAnsi="Times New Roman" w:eastAsia="宋体" w:cs="Times New Roman"/>
          <w:b/>
          <w:bCs/>
          <w:color w:val="auto"/>
          <w:lang w:eastAsia="zh-CN"/>
        </w:rPr>
        <w:t>二、建设项目工程分析</w:t>
      </w:r>
      <w:bookmarkEnd w:id="2"/>
    </w:p>
    <w:tbl>
      <w:tblPr>
        <w:tblStyle w:val="27"/>
        <w:tblW w:w="5389" w:type="pct"/>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52"/>
      </w:tblGrid>
      <w:tr w14:paraId="1563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45" w:type="pct"/>
            <w:vAlign w:val="center"/>
          </w:tcPr>
          <w:p w14:paraId="1AF05764">
            <w:pPr>
              <w:pStyle w:val="38"/>
              <w:spacing w:line="240" w:lineRule="auto"/>
              <w:ind w:left="0" w:leftChars="0" w:right="0" w:rightChars="0" w:firstLine="0" w:firstLineChars="0"/>
              <w:jc w:val="center"/>
              <w:rPr>
                <w:rFonts w:eastAsia="宋体" w:cs="Times New Roman"/>
                <w:color w:val="auto"/>
                <w:sz w:val="24"/>
                <w:szCs w:val="24"/>
              </w:rPr>
            </w:pPr>
            <w:r>
              <w:rPr>
                <w:rFonts w:eastAsia="宋体" w:cs="Times New Roman"/>
                <w:b/>
                <w:bCs/>
                <w:color w:val="auto"/>
                <w:sz w:val="24"/>
                <w:szCs w:val="24"/>
              </w:rPr>
              <w:t>建设内容</w:t>
            </w:r>
          </w:p>
        </w:tc>
        <w:tc>
          <w:tcPr>
            <w:tcW w:w="4754" w:type="pct"/>
            <w:vAlign w:val="center"/>
          </w:tcPr>
          <w:p w14:paraId="043046D8">
            <w:pPr>
              <w:adjustRightInd w:val="0"/>
              <w:snapToGrid w:val="0"/>
              <w:ind w:left="0" w:leftChars="0" w:right="0" w:rightChars="0" w:firstLine="482"/>
              <w:jc w:val="both"/>
              <w:rPr>
                <w:rFonts w:eastAsia="宋体" w:cs="Times New Roman"/>
                <w:b/>
                <w:color w:val="auto"/>
                <w:sz w:val="24"/>
                <w:szCs w:val="24"/>
                <w:lang w:eastAsia="zh-CN"/>
              </w:rPr>
            </w:pPr>
            <w:r>
              <w:rPr>
                <w:rFonts w:eastAsia="宋体" w:cs="Times New Roman"/>
                <w:b/>
                <w:color w:val="auto"/>
                <w:sz w:val="24"/>
                <w:szCs w:val="24"/>
                <w:lang w:eastAsia="zh-CN"/>
              </w:rPr>
              <w:t>1、</w:t>
            </w:r>
            <w:r>
              <w:rPr>
                <w:rFonts w:hint="eastAsia" w:eastAsia="宋体" w:cs="Times New Roman"/>
                <w:b/>
                <w:color w:val="auto"/>
                <w:sz w:val="24"/>
                <w:szCs w:val="24"/>
                <w:lang w:eastAsia="zh-CN"/>
              </w:rPr>
              <w:t>项目基本情况</w:t>
            </w:r>
          </w:p>
          <w:p w14:paraId="5A35E788">
            <w:pPr>
              <w:wordWrap w:val="0"/>
              <w:ind w:left="0" w:leftChars="0" w:right="0" w:rightChars="0" w:firstLine="480"/>
              <w:jc w:val="both"/>
              <w:rPr>
                <w:color w:val="auto"/>
                <w:sz w:val="24"/>
                <w:lang w:eastAsia="zh-CN"/>
              </w:rPr>
            </w:pPr>
            <w:r>
              <w:rPr>
                <w:color w:val="auto"/>
                <w:sz w:val="24"/>
                <w:lang w:eastAsia="zh-CN"/>
              </w:rPr>
              <w:t>项目名称：</w:t>
            </w:r>
            <w:r>
              <w:rPr>
                <w:rFonts w:hint="eastAsia"/>
                <w:color w:val="auto"/>
                <w:sz w:val="24"/>
                <w:lang w:eastAsia="zh-CN"/>
              </w:rPr>
              <w:t>办公家具柜、金属消防栓箱生产厂房及生产线扩建项目</w:t>
            </w:r>
          </w:p>
          <w:p w14:paraId="40D26449">
            <w:pPr>
              <w:wordWrap w:val="0"/>
              <w:ind w:left="0" w:leftChars="0" w:right="0" w:rightChars="0" w:firstLine="480"/>
              <w:jc w:val="both"/>
              <w:rPr>
                <w:color w:val="auto"/>
                <w:sz w:val="24"/>
                <w:lang w:eastAsia="zh-CN"/>
              </w:rPr>
            </w:pPr>
            <w:r>
              <w:rPr>
                <w:color w:val="auto"/>
                <w:sz w:val="24"/>
                <w:lang w:eastAsia="zh-CN"/>
              </w:rPr>
              <w:t>建设性质：</w:t>
            </w:r>
            <w:r>
              <w:rPr>
                <w:rFonts w:hint="eastAsia"/>
                <w:color w:val="auto"/>
                <w:sz w:val="24"/>
                <w:lang w:eastAsia="zh-CN"/>
              </w:rPr>
              <w:t>扩</w:t>
            </w:r>
            <w:r>
              <w:rPr>
                <w:color w:val="auto"/>
                <w:sz w:val="24"/>
                <w:lang w:eastAsia="zh-CN"/>
              </w:rPr>
              <w:t>建</w:t>
            </w:r>
          </w:p>
          <w:p w14:paraId="3BB1DBCE">
            <w:pPr>
              <w:wordWrap w:val="0"/>
              <w:ind w:left="0" w:leftChars="0" w:right="0" w:rightChars="0" w:firstLine="480"/>
              <w:jc w:val="both"/>
              <w:rPr>
                <w:color w:val="auto"/>
                <w:sz w:val="24"/>
                <w:lang w:eastAsia="zh-CN"/>
              </w:rPr>
            </w:pPr>
            <w:r>
              <w:rPr>
                <w:rFonts w:hint="eastAsia"/>
                <w:color w:val="auto"/>
                <w:sz w:val="24"/>
                <w:lang w:eastAsia="zh-CN"/>
              </w:rPr>
              <w:t>建设地点：西安市蓝田县西北家具工业园新港12路8号</w:t>
            </w:r>
          </w:p>
          <w:p w14:paraId="4A4A5FE2">
            <w:pPr>
              <w:wordWrap w:val="0"/>
              <w:ind w:left="0" w:leftChars="0" w:right="0" w:rightChars="0" w:firstLine="482"/>
              <w:jc w:val="both"/>
              <w:rPr>
                <w:b/>
                <w:bCs/>
                <w:color w:val="auto"/>
                <w:sz w:val="24"/>
                <w:lang w:eastAsia="zh-CN"/>
              </w:rPr>
            </w:pPr>
            <w:r>
              <w:rPr>
                <w:rFonts w:hint="eastAsia"/>
                <w:b/>
                <w:bCs/>
                <w:color w:val="auto"/>
                <w:sz w:val="24"/>
                <w:lang w:eastAsia="zh-CN"/>
              </w:rPr>
              <w:t>2、项目四邻关系</w:t>
            </w:r>
          </w:p>
          <w:p w14:paraId="06A7C609">
            <w:pPr>
              <w:wordWrap w:val="0"/>
              <w:ind w:left="0" w:leftChars="0" w:right="0" w:rightChars="0" w:firstLine="480"/>
              <w:jc w:val="both"/>
              <w:rPr>
                <w:color w:val="auto"/>
                <w:sz w:val="24"/>
                <w:lang w:eastAsia="zh-CN"/>
              </w:rPr>
            </w:pPr>
            <w:r>
              <w:rPr>
                <w:rFonts w:hint="eastAsia"/>
                <w:color w:val="auto"/>
                <w:sz w:val="24"/>
                <w:lang w:eastAsia="zh-CN"/>
              </w:rPr>
              <w:t>根据现场踏勘，本项目厂界西北侧为空地，东北侧为同创岗亭工业园，东侧为西安亮泰外墙节能装饰一体板生产基地，东南侧为陕西永盛塑业有限公司，西南侧为陕西晨旭玻璃厂，项目四邻关系图见附图2。</w:t>
            </w:r>
          </w:p>
          <w:p w14:paraId="12B74B54">
            <w:pPr>
              <w:numPr>
                <w:ilvl w:val="0"/>
                <w:numId w:val="5"/>
              </w:numPr>
              <w:wordWrap w:val="0"/>
              <w:ind w:left="0" w:leftChars="0" w:right="0" w:rightChars="0" w:firstLine="482"/>
              <w:jc w:val="both"/>
              <w:rPr>
                <w:b/>
                <w:bCs/>
                <w:color w:val="auto"/>
                <w:sz w:val="24"/>
                <w:lang w:eastAsia="zh-CN"/>
              </w:rPr>
            </w:pPr>
            <w:r>
              <w:rPr>
                <w:rFonts w:hint="eastAsia"/>
                <w:b/>
                <w:bCs/>
                <w:color w:val="auto"/>
                <w:sz w:val="24"/>
                <w:lang w:eastAsia="zh-CN"/>
              </w:rPr>
              <w:t>项目组成及建设内容</w:t>
            </w:r>
          </w:p>
          <w:p w14:paraId="058554D8">
            <w:pPr>
              <w:pStyle w:val="7"/>
              <w:jc w:val="both"/>
              <w:rPr>
                <w:rFonts w:cs="Times New Roman"/>
                <w:color w:val="auto"/>
                <w:sz w:val="24"/>
                <w:szCs w:val="24"/>
                <w:lang w:eastAsia="zh-CN"/>
              </w:rPr>
            </w:pPr>
            <w:r>
              <w:rPr>
                <w:color w:val="auto"/>
                <w:sz w:val="24"/>
                <w:lang w:eastAsia="zh-CN"/>
              </w:rPr>
              <w:t>本项目</w:t>
            </w:r>
            <w:r>
              <w:rPr>
                <w:rFonts w:hint="eastAsia"/>
                <w:color w:val="auto"/>
                <w:sz w:val="24"/>
                <w:lang w:eastAsia="zh-CN"/>
              </w:rPr>
              <w:t>为</w:t>
            </w:r>
            <w:r>
              <w:rPr>
                <w:rFonts w:hint="eastAsia" w:cs="Times New Roman"/>
                <w:color w:val="auto"/>
                <w:sz w:val="24"/>
                <w:szCs w:val="24"/>
                <w:lang w:eastAsia="zh-CN"/>
              </w:rPr>
              <w:t>扩建项目，仅在现有加工车间空地处增加折弯机、剪板机、切割机、电焊机等相关设施，在加工车间搭建题字间，</w:t>
            </w:r>
            <w:r>
              <w:rPr>
                <w:rFonts w:hint="eastAsia"/>
                <w:color w:val="auto"/>
                <w:sz w:val="24"/>
                <w:szCs w:val="24"/>
                <w:lang w:eastAsia="zh-CN"/>
              </w:rPr>
              <w:t>本项目喷塑和固化工序在车间现有喷塑室和烘房内进行，</w:t>
            </w:r>
            <w:r>
              <w:rPr>
                <w:rFonts w:hint="eastAsia"/>
                <w:color w:val="0000FF"/>
                <w:sz w:val="24"/>
                <w:szCs w:val="24"/>
                <w:lang w:eastAsia="zh-CN"/>
              </w:rPr>
              <w:t>本次不新增喷塑和固化设备，喷涂粉尘、固化废气和燃烧机废气均依托现有废气处理设施和排气筒处理后排放。</w:t>
            </w:r>
            <w:r>
              <w:rPr>
                <w:rFonts w:hint="eastAsia" w:cs="Times New Roman"/>
                <w:color w:val="auto"/>
                <w:sz w:val="24"/>
                <w:szCs w:val="24"/>
                <w:lang w:eastAsia="zh-CN"/>
              </w:rPr>
              <w:t>办公楼、生活区均依托现有，</w:t>
            </w:r>
            <w:r>
              <w:rPr>
                <w:rFonts w:hint="eastAsia"/>
                <w:color w:val="auto"/>
                <w:sz w:val="24"/>
                <w:lang w:eastAsia="zh-CN"/>
              </w:rPr>
              <w:t>扩建项目主要为</w:t>
            </w:r>
            <w:r>
              <w:rPr>
                <w:color w:val="auto"/>
                <w:sz w:val="24"/>
                <w:lang w:eastAsia="zh-CN"/>
              </w:rPr>
              <w:t>主体工程</w:t>
            </w:r>
            <w:r>
              <w:rPr>
                <w:rFonts w:hint="eastAsia"/>
                <w:color w:val="auto"/>
                <w:sz w:val="24"/>
                <w:lang w:eastAsia="zh-CN"/>
              </w:rPr>
              <w:t>，</w:t>
            </w:r>
            <w:r>
              <w:rPr>
                <w:color w:val="auto"/>
                <w:sz w:val="24"/>
                <w:lang w:eastAsia="zh-CN"/>
              </w:rPr>
              <w:t>项目组成及主要建设内容见下表</w:t>
            </w:r>
            <w:r>
              <w:rPr>
                <w:rFonts w:hint="eastAsia"/>
                <w:color w:val="auto"/>
                <w:sz w:val="24"/>
                <w:lang w:eastAsia="zh-CN"/>
              </w:rPr>
              <w:t>。</w:t>
            </w:r>
          </w:p>
          <w:p w14:paraId="4F2589BA">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 xml:space="preserve">表2-1    </w:t>
            </w:r>
            <w:r>
              <w:rPr>
                <w:rFonts w:hint="eastAsia" w:eastAsia="宋体" w:cs="Times New Roman"/>
                <w:b/>
                <w:bCs/>
                <w:color w:val="auto"/>
                <w:szCs w:val="21"/>
                <w:lang w:eastAsia="zh-CN"/>
              </w:rPr>
              <w:t>本扩建</w:t>
            </w:r>
            <w:r>
              <w:rPr>
                <w:rFonts w:eastAsia="宋体" w:cs="Times New Roman"/>
                <w:b/>
                <w:bCs/>
                <w:color w:val="auto"/>
                <w:szCs w:val="21"/>
                <w:lang w:eastAsia="zh-CN"/>
              </w:rPr>
              <w:t>项目主要建设内容</w:t>
            </w:r>
          </w:p>
          <w:tbl>
            <w:tblPr>
              <w:tblStyle w:val="26"/>
              <w:tblW w:w="4997"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69"/>
              <w:gridCol w:w="473"/>
              <w:gridCol w:w="1383"/>
              <w:gridCol w:w="5403"/>
              <w:gridCol w:w="703"/>
            </w:tblGrid>
            <w:tr w14:paraId="70BCB8B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76C28E76">
                  <w:pPr>
                    <w:pStyle w:val="42"/>
                    <w:adjustRightInd w:val="0"/>
                    <w:snapToGrid w:val="0"/>
                    <w:spacing w:line="240" w:lineRule="auto"/>
                    <w:ind w:left="0" w:leftChars="0" w:right="0" w:rightChars="0" w:firstLine="0" w:firstLineChars="0"/>
                    <w:rPr>
                      <w:rFonts w:eastAsia="宋体" w:cs="Times New Roman"/>
                      <w:b/>
                      <w:bCs w:val="0"/>
                      <w:color w:val="auto"/>
                      <w:szCs w:val="21"/>
                    </w:rPr>
                  </w:pPr>
                  <w:r>
                    <w:rPr>
                      <w:rFonts w:eastAsia="宋体" w:cs="Times New Roman"/>
                      <w:b/>
                      <w:bCs w:val="0"/>
                      <w:color w:val="auto"/>
                      <w:szCs w:val="21"/>
                    </w:rPr>
                    <w:t>工程类别</w:t>
                  </w:r>
                </w:p>
              </w:tc>
              <w:tc>
                <w:tcPr>
                  <w:tcW w:w="1075" w:type="pct"/>
                  <w:gridSpan w:val="2"/>
                  <w:tcBorders>
                    <w:tl2br w:val="nil"/>
                    <w:tr2bl w:val="nil"/>
                  </w:tcBorders>
                  <w:vAlign w:val="center"/>
                </w:tcPr>
                <w:p w14:paraId="08A692C7">
                  <w:pPr>
                    <w:pStyle w:val="42"/>
                    <w:adjustRightInd w:val="0"/>
                    <w:snapToGrid w:val="0"/>
                    <w:spacing w:line="240" w:lineRule="auto"/>
                    <w:ind w:left="0" w:leftChars="0" w:right="0" w:rightChars="0" w:firstLine="0" w:firstLineChars="0"/>
                    <w:rPr>
                      <w:rFonts w:eastAsia="宋体" w:cs="Times New Roman"/>
                      <w:b/>
                      <w:bCs w:val="0"/>
                      <w:color w:val="auto"/>
                      <w:szCs w:val="21"/>
                    </w:rPr>
                  </w:pPr>
                  <w:r>
                    <w:rPr>
                      <w:rFonts w:eastAsia="宋体" w:cs="Times New Roman"/>
                      <w:b/>
                      <w:bCs w:val="0"/>
                      <w:color w:val="auto"/>
                      <w:szCs w:val="21"/>
                    </w:rPr>
                    <w:t>建设项目</w:t>
                  </w:r>
                </w:p>
              </w:tc>
              <w:tc>
                <w:tcPr>
                  <w:tcW w:w="3129" w:type="pct"/>
                  <w:tcBorders>
                    <w:tl2br w:val="nil"/>
                    <w:tr2bl w:val="nil"/>
                  </w:tcBorders>
                  <w:vAlign w:val="center"/>
                </w:tcPr>
                <w:p w14:paraId="3A4C0263">
                  <w:pPr>
                    <w:pStyle w:val="42"/>
                    <w:adjustRightInd w:val="0"/>
                    <w:snapToGrid w:val="0"/>
                    <w:spacing w:line="240" w:lineRule="auto"/>
                    <w:ind w:left="0" w:leftChars="0" w:right="0" w:rightChars="0" w:firstLine="0" w:firstLineChars="0"/>
                    <w:rPr>
                      <w:rFonts w:eastAsia="宋体" w:cs="Times New Roman"/>
                      <w:b/>
                      <w:bCs w:val="0"/>
                      <w:color w:val="auto"/>
                      <w:szCs w:val="21"/>
                    </w:rPr>
                  </w:pPr>
                  <w:r>
                    <w:rPr>
                      <w:rFonts w:eastAsia="宋体" w:cs="Times New Roman"/>
                      <w:b/>
                      <w:bCs w:val="0"/>
                      <w:color w:val="auto"/>
                      <w:szCs w:val="21"/>
                    </w:rPr>
                    <w:t>建设内容及规模</w:t>
                  </w:r>
                </w:p>
              </w:tc>
              <w:tc>
                <w:tcPr>
                  <w:tcW w:w="407" w:type="pct"/>
                  <w:tcBorders>
                    <w:tl2br w:val="nil"/>
                    <w:tr2bl w:val="nil"/>
                  </w:tcBorders>
                  <w:vAlign w:val="center"/>
                </w:tcPr>
                <w:p w14:paraId="2895269C">
                  <w:pPr>
                    <w:pStyle w:val="42"/>
                    <w:adjustRightInd w:val="0"/>
                    <w:snapToGrid w:val="0"/>
                    <w:spacing w:line="240" w:lineRule="auto"/>
                    <w:ind w:left="0" w:leftChars="0" w:right="0" w:rightChars="0" w:firstLine="0" w:firstLineChars="0"/>
                    <w:rPr>
                      <w:rFonts w:eastAsia="宋体" w:cs="Times New Roman"/>
                      <w:b/>
                      <w:bCs w:val="0"/>
                      <w:color w:val="auto"/>
                      <w:szCs w:val="21"/>
                      <w:lang w:eastAsia="zh-CN"/>
                    </w:rPr>
                  </w:pPr>
                  <w:r>
                    <w:rPr>
                      <w:rFonts w:hint="eastAsia" w:eastAsia="宋体" w:cs="Times New Roman"/>
                      <w:b/>
                      <w:bCs w:val="0"/>
                      <w:color w:val="auto"/>
                      <w:szCs w:val="21"/>
                      <w:lang w:eastAsia="zh-CN"/>
                    </w:rPr>
                    <w:t>备注</w:t>
                  </w:r>
                </w:p>
              </w:tc>
            </w:tr>
            <w:tr w14:paraId="21D4E10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14:paraId="6CAC061A">
                  <w:pPr>
                    <w:pStyle w:val="42"/>
                    <w:adjustRightInd w:val="0"/>
                    <w:snapToGrid w:val="0"/>
                    <w:spacing w:line="240" w:lineRule="auto"/>
                    <w:ind w:left="0" w:leftChars="0" w:right="0" w:rightChars="0" w:firstLine="0" w:firstLineChars="0"/>
                    <w:rPr>
                      <w:rFonts w:eastAsia="宋体" w:cs="Times New Roman"/>
                      <w:color w:val="auto"/>
                      <w:szCs w:val="21"/>
                    </w:rPr>
                  </w:pPr>
                  <w:r>
                    <w:rPr>
                      <w:rFonts w:eastAsia="宋体" w:cs="Times New Roman"/>
                      <w:color w:val="auto"/>
                      <w:szCs w:val="21"/>
                    </w:rPr>
                    <w:t>主体工程</w:t>
                  </w:r>
                </w:p>
              </w:tc>
              <w:tc>
                <w:tcPr>
                  <w:tcW w:w="1075" w:type="pct"/>
                  <w:gridSpan w:val="2"/>
                  <w:tcBorders>
                    <w:tl2br w:val="nil"/>
                    <w:tr2bl w:val="nil"/>
                  </w:tcBorders>
                  <w:vAlign w:val="center"/>
                </w:tcPr>
                <w:p w14:paraId="699377E3">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办公家具柜</w:t>
                  </w:r>
                </w:p>
                <w:p w14:paraId="1AAAFDD1">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金属消防栓箱生产线</w:t>
                  </w:r>
                </w:p>
              </w:tc>
              <w:tc>
                <w:tcPr>
                  <w:tcW w:w="3129" w:type="pct"/>
                  <w:tcBorders>
                    <w:tl2br w:val="nil"/>
                    <w:tr2bl w:val="nil"/>
                  </w:tcBorders>
                  <w:vAlign w:val="center"/>
                </w:tcPr>
                <w:p w14:paraId="2ED2707A">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在现有加工车间内增加折弯机、剪板机、切割机、电焊机、刨槽机等设备，新建题字间，喷塑及固化均依托现有设备；项目建成后可增加金属办公家具柜1万件/a，消火栓箱6万套/a。</w:t>
                  </w:r>
                </w:p>
              </w:tc>
              <w:tc>
                <w:tcPr>
                  <w:tcW w:w="407" w:type="pct"/>
                  <w:tcBorders>
                    <w:tl2br w:val="nil"/>
                    <w:tr2bl w:val="nil"/>
                  </w:tcBorders>
                  <w:vAlign w:val="center"/>
                </w:tcPr>
                <w:p w14:paraId="17EEF495">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在现有厂房内新增设备</w:t>
                  </w:r>
                </w:p>
              </w:tc>
            </w:tr>
            <w:tr w14:paraId="34869BC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restart"/>
                  <w:tcBorders>
                    <w:tl2br w:val="nil"/>
                    <w:tr2bl w:val="nil"/>
                  </w:tcBorders>
                  <w:vAlign w:val="center"/>
                </w:tcPr>
                <w:p w14:paraId="66C1B396">
                  <w:pPr>
                    <w:pStyle w:val="42"/>
                    <w:adjustRightInd w:val="0"/>
                    <w:snapToGrid w:val="0"/>
                    <w:spacing w:line="240" w:lineRule="auto"/>
                    <w:ind w:left="0" w:leftChars="0" w:right="0" w:rightChars="0" w:firstLine="0" w:firstLineChars="0"/>
                    <w:rPr>
                      <w:rFonts w:eastAsia="宋体" w:cs="Times New Roman"/>
                      <w:color w:val="auto"/>
                      <w:szCs w:val="21"/>
                    </w:rPr>
                  </w:pPr>
                  <w:r>
                    <w:rPr>
                      <w:rFonts w:eastAsia="宋体" w:cs="Times New Roman"/>
                      <w:color w:val="auto"/>
                      <w:szCs w:val="21"/>
                    </w:rPr>
                    <w:t>辅助工程</w:t>
                  </w:r>
                </w:p>
              </w:tc>
              <w:tc>
                <w:tcPr>
                  <w:tcW w:w="1075" w:type="pct"/>
                  <w:gridSpan w:val="2"/>
                  <w:tcBorders>
                    <w:tl2br w:val="nil"/>
                    <w:tr2bl w:val="nil"/>
                  </w:tcBorders>
                  <w:vAlign w:val="center"/>
                </w:tcPr>
                <w:p w14:paraId="628BEDF7">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办公楼</w:t>
                  </w:r>
                </w:p>
              </w:tc>
              <w:tc>
                <w:tcPr>
                  <w:tcW w:w="3129" w:type="pct"/>
                  <w:tcBorders>
                    <w:tl2br w:val="nil"/>
                    <w:tr2bl w:val="nil"/>
                  </w:tcBorders>
                  <w:vAlign w:val="center"/>
                </w:tcPr>
                <w:p w14:paraId="5FA6C80A">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依托现有办公楼。</w:t>
                  </w:r>
                </w:p>
              </w:tc>
              <w:tc>
                <w:tcPr>
                  <w:tcW w:w="407" w:type="pct"/>
                  <w:vMerge w:val="restart"/>
                  <w:tcBorders>
                    <w:tl2br w:val="nil"/>
                    <w:tr2bl w:val="nil"/>
                  </w:tcBorders>
                  <w:vAlign w:val="center"/>
                </w:tcPr>
                <w:p w14:paraId="7F7B2AA3">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依托</w:t>
                  </w:r>
                </w:p>
              </w:tc>
            </w:tr>
            <w:tr w14:paraId="5DA1298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2BF85EA7">
                  <w:pPr>
                    <w:pStyle w:val="42"/>
                    <w:adjustRightInd w:val="0"/>
                    <w:snapToGrid w:val="0"/>
                    <w:spacing w:line="240" w:lineRule="auto"/>
                    <w:ind w:left="0" w:leftChars="0" w:right="0" w:rightChars="0" w:firstLine="0" w:firstLineChars="0"/>
                    <w:rPr>
                      <w:rFonts w:eastAsia="宋体" w:cs="Times New Roman"/>
                      <w:color w:val="auto"/>
                      <w:szCs w:val="21"/>
                    </w:rPr>
                  </w:pPr>
                </w:p>
              </w:tc>
              <w:tc>
                <w:tcPr>
                  <w:tcW w:w="1075" w:type="pct"/>
                  <w:gridSpan w:val="2"/>
                  <w:tcBorders>
                    <w:tl2br w:val="nil"/>
                    <w:tr2bl w:val="nil"/>
                  </w:tcBorders>
                  <w:vAlign w:val="center"/>
                </w:tcPr>
                <w:p w14:paraId="67265B1F">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宿舍楼</w:t>
                  </w:r>
                </w:p>
              </w:tc>
              <w:tc>
                <w:tcPr>
                  <w:tcW w:w="3129" w:type="pct"/>
                  <w:tcBorders>
                    <w:tl2br w:val="nil"/>
                    <w:tr2bl w:val="nil"/>
                  </w:tcBorders>
                  <w:vAlign w:val="center"/>
                </w:tcPr>
                <w:p w14:paraId="551C0991">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依托现有。</w:t>
                  </w:r>
                </w:p>
              </w:tc>
              <w:tc>
                <w:tcPr>
                  <w:tcW w:w="407" w:type="pct"/>
                  <w:vMerge w:val="continue"/>
                  <w:tcBorders>
                    <w:tl2br w:val="nil"/>
                    <w:tr2bl w:val="nil"/>
                  </w:tcBorders>
                  <w:vAlign w:val="center"/>
                </w:tcPr>
                <w:p w14:paraId="6FC05684">
                  <w:pPr>
                    <w:pStyle w:val="42"/>
                    <w:adjustRightInd w:val="0"/>
                    <w:snapToGrid w:val="0"/>
                    <w:spacing w:line="240" w:lineRule="auto"/>
                    <w:ind w:left="0" w:leftChars="0" w:right="0" w:rightChars="0" w:firstLine="0" w:firstLineChars="0"/>
                    <w:rPr>
                      <w:rFonts w:eastAsia="宋体" w:cs="Times New Roman"/>
                      <w:color w:val="auto"/>
                      <w:szCs w:val="21"/>
                      <w:lang w:eastAsia="zh-CN"/>
                    </w:rPr>
                  </w:pPr>
                </w:p>
              </w:tc>
            </w:tr>
            <w:tr w14:paraId="5E35221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restart"/>
                  <w:tcBorders>
                    <w:tl2br w:val="nil"/>
                    <w:tr2bl w:val="nil"/>
                  </w:tcBorders>
                  <w:vAlign w:val="center"/>
                </w:tcPr>
                <w:p w14:paraId="20864CE6">
                  <w:pPr>
                    <w:pStyle w:val="42"/>
                    <w:adjustRightInd w:val="0"/>
                    <w:snapToGrid w:val="0"/>
                    <w:spacing w:line="240" w:lineRule="auto"/>
                    <w:ind w:left="0" w:leftChars="0" w:right="0" w:rightChars="0" w:firstLine="0" w:firstLineChars="0"/>
                    <w:rPr>
                      <w:rFonts w:eastAsia="宋体" w:cs="Times New Roman"/>
                      <w:color w:val="auto"/>
                      <w:szCs w:val="21"/>
                    </w:rPr>
                  </w:pPr>
                  <w:r>
                    <w:rPr>
                      <w:rFonts w:eastAsia="宋体" w:cs="Times New Roman"/>
                      <w:color w:val="auto"/>
                      <w:szCs w:val="21"/>
                    </w:rPr>
                    <w:t>公用工程</w:t>
                  </w:r>
                </w:p>
              </w:tc>
              <w:tc>
                <w:tcPr>
                  <w:tcW w:w="1075" w:type="pct"/>
                  <w:gridSpan w:val="2"/>
                  <w:tcBorders>
                    <w:tl2br w:val="nil"/>
                    <w:tr2bl w:val="nil"/>
                  </w:tcBorders>
                  <w:vAlign w:val="center"/>
                </w:tcPr>
                <w:p w14:paraId="2840B900">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给水</w:t>
                  </w:r>
                </w:p>
              </w:tc>
              <w:tc>
                <w:tcPr>
                  <w:tcW w:w="3129" w:type="pct"/>
                  <w:tcBorders>
                    <w:tl2br w:val="nil"/>
                    <w:tr2bl w:val="nil"/>
                  </w:tcBorders>
                  <w:vAlign w:val="center"/>
                </w:tcPr>
                <w:p w14:paraId="2D2B4A2D">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园区供水管网供给，取水设施依托厂区现有。</w:t>
                  </w:r>
                </w:p>
              </w:tc>
              <w:tc>
                <w:tcPr>
                  <w:tcW w:w="407" w:type="pct"/>
                  <w:vMerge w:val="restart"/>
                  <w:tcBorders>
                    <w:tl2br w:val="nil"/>
                    <w:tr2bl w:val="nil"/>
                  </w:tcBorders>
                  <w:vAlign w:val="center"/>
                </w:tcPr>
                <w:p w14:paraId="0C1B3C34">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依托</w:t>
                  </w:r>
                </w:p>
              </w:tc>
            </w:tr>
            <w:tr w14:paraId="085E101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630F2C39">
                  <w:pPr>
                    <w:pStyle w:val="42"/>
                    <w:adjustRightInd w:val="0"/>
                    <w:snapToGrid w:val="0"/>
                    <w:spacing w:line="240" w:lineRule="auto"/>
                    <w:ind w:left="0" w:leftChars="0" w:right="0" w:rightChars="0" w:firstLine="0" w:firstLineChars="0"/>
                    <w:rPr>
                      <w:rFonts w:eastAsia="宋体" w:cs="Times New Roman"/>
                      <w:color w:val="auto"/>
                      <w:szCs w:val="21"/>
                    </w:rPr>
                  </w:pPr>
                </w:p>
              </w:tc>
              <w:tc>
                <w:tcPr>
                  <w:tcW w:w="1075" w:type="pct"/>
                  <w:gridSpan w:val="2"/>
                  <w:tcBorders>
                    <w:tl2br w:val="nil"/>
                    <w:tr2bl w:val="nil"/>
                  </w:tcBorders>
                  <w:vAlign w:val="center"/>
                </w:tcPr>
                <w:p w14:paraId="08671125">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排水</w:t>
                  </w:r>
                </w:p>
              </w:tc>
              <w:tc>
                <w:tcPr>
                  <w:tcW w:w="3129" w:type="pct"/>
                  <w:tcBorders>
                    <w:tl2br w:val="nil"/>
                    <w:tr2bl w:val="nil"/>
                  </w:tcBorders>
                  <w:vAlign w:val="center"/>
                </w:tcPr>
                <w:p w14:paraId="1B85C132">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雨污分流，雨水经市政雨水管网排放；生活污水依托场内化粪池处理后通过市政管网进入园区污水处理厂集中处理。</w:t>
                  </w:r>
                </w:p>
              </w:tc>
              <w:tc>
                <w:tcPr>
                  <w:tcW w:w="407" w:type="pct"/>
                  <w:vMerge w:val="continue"/>
                  <w:tcBorders>
                    <w:tl2br w:val="nil"/>
                    <w:tr2bl w:val="nil"/>
                  </w:tcBorders>
                  <w:vAlign w:val="center"/>
                </w:tcPr>
                <w:p w14:paraId="65A54F5D">
                  <w:pPr>
                    <w:pStyle w:val="42"/>
                    <w:adjustRightInd w:val="0"/>
                    <w:snapToGrid w:val="0"/>
                    <w:spacing w:line="240" w:lineRule="auto"/>
                    <w:ind w:left="0" w:leftChars="0" w:right="0" w:rightChars="0" w:firstLine="0" w:firstLineChars="0"/>
                    <w:rPr>
                      <w:rFonts w:eastAsia="宋体" w:cs="Times New Roman"/>
                      <w:color w:val="auto"/>
                      <w:szCs w:val="21"/>
                      <w:lang w:eastAsia="zh-CN"/>
                    </w:rPr>
                  </w:pPr>
                </w:p>
              </w:tc>
            </w:tr>
            <w:tr w14:paraId="16D7478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7B949269">
                  <w:pPr>
                    <w:pStyle w:val="42"/>
                    <w:adjustRightInd w:val="0"/>
                    <w:snapToGrid w:val="0"/>
                    <w:spacing w:line="240" w:lineRule="auto"/>
                    <w:ind w:left="0" w:leftChars="0" w:right="0" w:rightChars="0" w:firstLine="0" w:firstLineChars="0"/>
                    <w:rPr>
                      <w:rFonts w:eastAsia="宋体" w:cs="Times New Roman"/>
                      <w:color w:val="auto"/>
                      <w:szCs w:val="21"/>
                      <w:lang w:eastAsia="zh-CN"/>
                    </w:rPr>
                  </w:pPr>
                </w:p>
              </w:tc>
              <w:tc>
                <w:tcPr>
                  <w:tcW w:w="1075" w:type="pct"/>
                  <w:gridSpan w:val="2"/>
                  <w:tcBorders>
                    <w:tl2br w:val="nil"/>
                    <w:tr2bl w:val="nil"/>
                  </w:tcBorders>
                  <w:vAlign w:val="center"/>
                </w:tcPr>
                <w:p w14:paraId="4F9AACC0">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供电</w:t>
                  </w:r>
                </w:p>
              </w:tc>
              <w:tc>
                <w:tcPr>
                  <w:tcW w:w="3129" w:type="pct"/>
                  <w:tcBorders>
                    <w:tl2br w:val="nil"/>
                    <w:tr2bl w:val="nil"/>
                  </w:tcBorders>
                  <w:vAlign w:val="center"/>
                </w:tcPr>
                <w:p w14:paraId="00FD51F5">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园区电网接入。</w:t>
                  </w:r>
                </w:p>
              </w:tc>
              <w:tc>
                <w:tcPr>
                  <w:tcW w:w="407" w:type="pct"/>
                  <w:vMerge w:val="continue"/>
                  <w:tcBorders>
                    <w:tl2br w:val="nil"/>
                    <w:tr2bl w:val="nil"/>
                  </w:tcBorders>
                  <w:vAlign w:val="center"/>
                </w:tcPr>
                <w:p w14:paraId="384735BC">
                  <w:pPr>
                    <w:pStyle w:val="42"/>
                    <w:adjustRightInd w:val="0"/>
                    <w:snapToGrid w:val="0"/>
                    <w:spacing w:line="240" w:lineRule="auto"/>
                    <w:ind w:left="0" w:leftChars="0" w:right="0" w:rightChars="0" w:firstLine="0" w:firstLineChars="0"/>
                    <w:rPr>
                      <w:rFonts w:eastAsia="宋体" w:cs="Times New Roman"/>
                      <w:color w:val="auto"/>
                      <w:szCs w:val="21"/>
                    </w:rPr>
                  </w:pPr>
                </w:p>
              </w:tc>
            </w:tr>
            <w:tr w14:paraId="7E1D265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6737FED4">
                  <w:pPr>
                    <w:pStyle w:val="42"/>
                    <w:adjustRightInd w:val="0"/>
                    <w:snapToGrid w:val="0"/>
                    <w:spacing w:line="240" w:lineRule="auto"/>
                    <w:ind w:left="0" w:leftChars="0" w:right="0" w:rightChars="0" w:firstLine="0" w:firstLineChars="0"/>
                    <w:rPr>
                      <w:rFonts w:eastAsia="宋体" w:cs="Times New Roman"/>
                      <w:color w:val="auto"/>
                      <w:szCs w:val="21"/>
                    </w:rPr>
                  </w:pPr>
                </w:p>
              </w:tc>
              <w:tc>
                <w:tcPr>
                  <w:tcW w:w="1075" w:type="pct"/>
                  <w:gridSpan w:val="2"/>
                  <w:tcBorders>
                    <w:tl2br w:val="nil"/>
                    <w:tr2bl w:val="nil"/>
                  </w:tcBorders>
                  <w:vAlign w:val="center"/>
                </w:tcPr>
                <w:p w14:paraId="7A5ECF1F">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制冷、供暖</w:t>
                  </w:r>
                </w:p>
              </w:tc>
              <w:tc>
                <w:tcPr>
                  <w:tcW w:w="3129" w:type="pct"/>
                  <w:tcBorders>
                    <w:tl2br w:val="nil"/>
                    <w:tr2bl w:val="nil"/>
                  </w:tcBorders>
                  <w:vAlign w:val="center"/>
                </w:tcPr>
                <w:p w14:paraId="5CB78259">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办公区采用分体式空调供暖、制冷；生产区不供暖，风扇通风。</w:t>
                  </w:r>
                </w:p>
              </w:tc>
              <w:tc>
                <w:tcPr>
                  <w:tcW w:w="407" w:type="pct"/>
                  <w:vMerge w:val="continue"/>
                  <w:tcBorders>
                    <w:tl2br w:val="nil"/>
                    <w:tr2bl w:val="nil"/>
                  </w:tcBorders>
                  <w:vAlign w:val="center"/>
                </w:tcPr>
                <w:p w14:paraId="342BB39C">
                  <w:pPr>
                    <w:pStyle w:val="42"/>
                    <w:adjustRightInd w:val="0"/>
                    <w:snapToGrid w:val="0"/>
                    <w:spacing w:line="240" w:lineRule="auto"/>
                    <w:ind w:left="0" w:leftChars="0" w:right="0" w:rightChars="0" w:firstLine="0" w:firstLineChars="0"/>
                    <w:rPr>
                      <w:rFonts w:eastAsia="宋体" w:cs="Times New Roman"/>
                      <w:color w:val="auto"/>
                      <w:szCs w:val="21"/>
                      <w:lang w:eastAsia="zh-CN"/>
                    </w:rPr>
                  </w:pPr>
                </w:p>
              </w:tc>
            </w:tr>
            <w:tr w14:paraId="660FE75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restart"/>
                  <w:tcBorders>
                    <w:tl2br w:val="nil"/>
                    <w:tr2bl w:val="nil"/>
                  </w:tcBorders>
                  <w:vAlign w:val="center"/>
                </w:tcPr>
                <w:p w14:paraId="23FFD8F0">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储运工程</w:t>
                  </w:r>
                </w:p>
              </w:tc>
              <w:tc>
                <w:tcPr>
                  <w:tcW w:w="1075" w:type="pct"/>
                  <w:gridSpan w:val="2"/>
                  <w:tcBorders>
                    <w:tl2br w:val="nil"/>
                    <w:tr2bl w:val="nil"/>
                  </w:tcBorders>
                  <w:vAlign w:val="center"/>
                </w:tcPr>
                <w:p w14:paraId="269DCDDF">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原料暂存区</w:t>
                  </w:r>
                </w:p>
              </w:tc>
              <w:tc>
                <w:tcPr>
                  <w:tcW w:w="3129" w:type="pct"/>
                  <w:tcBorders>
                    <w:tl2br w:val="nil"/>
                    <w:tr2bl w:val="nil"/>
                  </w:tcBorders>
                  <w:vAlign w:val="center"/>
                </w:tcPr>
                <w:p w14:paraId="7486F2D1">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与现有项目原料一同堆放于车间原料区。</w:t>
                  </w:r>
                </w:p>
              </w:tc>
              <w:tc>
                <w:tcPr>
                  <w:tcW w:w="407" w:type="pct"/>
                  <w:vMerge w:val="restart"/>
                  <w:tcBorders>
                    <w:tl2br w:val="nil"/>
                    <w:tr2bl w:val="nil"/>
                  </w:tcBorders>
                  <w:vAlign w:val="center"/>
                </w:tcPr>
                <w:p w14:paraId="084ACE48">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依托</w:t>
                  </w:r>
                </w:p>
              </w:tc>
            </w:tr>
            <w:tr w14:paraId="601F64C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1B9D105A">
                  <w:pPr>
                    <w:pStyle w:val="42"/>
                    <w:adjustRightInd w:val="0"/>
                    <w:snapToGrid w:val="0"/>
                    <w:spacing w:line="240" w:lineRule="auto"/>
                    <w:ind w:left="0" w:leftChars="0" w:right="0" w:rightChars="0" w:firstLine="0" w:firstLineChars="0"/>
                    <w:rPr>
                      <w:rFonts w:eastAsia="宋体" w:cs="Times New Roman"/>
                      <w:color w:val="auto"/>
                      <w:szCs w:val="21"/>
                      <w:lang w:eastAsia="zh-CN"/>
                    </w:rPr>
                  </w:pPr>
                </w:p>
              </w:tc>
              <w:tc>
                <w:tcPr>
                  <w:tcW w:w="1075" w:type="pct"/>
                  <w:gridSpan w:val="2"/>
                  <w:tcBorders>
                    <w:tl2br w:val="nil"/>
                    <w:tr2bl w:val="nil"/>
                  </w:tcBorders>
                  <w:vAlign w:val="center"/>
                </w:tcPr>
                <w:p w14:paraId="29B4AAE6">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成品暂存区</w:t>
                  </w:r>
                </w:p>
              </w:tc>
              <w:tc>
                <w:tcPr>
                  <w:tcW w:w="3129" w:type="pct"/>
                  <w:tcBorders>
                    <w:tl2br w:val="nil"/>
                    <w:tr2bl w:val="nil"/>
                  </w:tcBorders>
                  <w:vAlign w:val="center"/>
                </w:tcPr>
                <w:p w14:paraId="01999366">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与现有产品一同堆放于车间成品区。</w:t>
                  </w:r>
                </w:p>
              </w:tc>
              <w:tc>
                <w:tcPr>
                  <w:tcW w:w="407" w:type="pct"/>
                  <w:vMerge w:val="continue"/>
                  <w:tcBorders>
                    <w:tl2br w:val="nil"/>
                    <w:tr2bl w:val="nil"/>
                  </w:tcBorders>
                  <w:vAlign w:val="center"/>
                </w:tcPr>
                <w:p w14:paraId="39CD6D7E">
                  <w:pPr>
                    <w:pStyle w:val="42"/>
                    <w:adjustRightInd w:val="0"/>
                    <w:snapToGrid w:val="0"/>
                    <w:spacing w:line="240" w:lineRule="auto"/>
                    <w:ind w:left="0" w:leftChars="0" w:right="0" w:rightChars="0" w:firstLine="0" w:firstLineChars="0"/>
                    <w:rPr>
                      <w:rFonts w:eastAsia="宋体" w:cs="Times New Roman"/>
                      <w:color w:val="auto"/>
                      <w:szCs w:val="21"/>
                      <w:lang w:eastAsia="zh-CN"/>
                    </w:rPr>
                  </w:pPr>
                </w:p>
              </w:tc>
            </w:tr>
            <w:tr w14:paraId="741F32A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restart"/>
                  <w:tcBorders>
                    <w:tl2br w:val="nil"/>
                    <w:tr2bl w:val="nil"/>
                  </w:tcBorders>
                  <w:vAlign w:val="center"/>
                </w:tcPr>
                <w:p w14:paraId="3092A3A0">
                  <w:pPr>
                    <w:pStyle w:val="42"/>
                    <w:adjustRightInd w:val="0"/>
                    <w:snapToGrid w:val="0"/>
                    <w:spacing w:line="240" w:lineRule="auto"/>
                    <w:ind w:left="0" w:leftChars="0" w:right="0" w:rightChars="0" w:firstLine="0" w:firstLineChars="0"/>
                    <w:rPr>
                      <w:rFonts w:eastAsia="宋体" w:cs="Times New Roman"/>
                      <w:color w:val="auto"/>
                      <w:szCs w:val="21"/>
                    </w:rPr>
                  </w:pPr>
                  <w:r>
                    <w:rPr>
                      <w:rFonts w:eastAsia="宋体" w:cs="Times New Roman"/>
                      <w:color w:val="auto"/>
                      <w:szCs w:val="21"/>
                    </w:rPr>
                    <w:t>环保工程</w:t>
                  </w:r>
                </w:p>
              </w:tc>
              <w:tc>
                <w:tcPr>
                  <w:tcW w:w="1075" w:type="pct"/>
                  <w:gridSpan w:val="2"/>
                  <w:tcBorders>
                    <w:tl2br w:val="nil"/>
                    <w:tr2bl w:val="nil"/>
                  </w:tcBorders>
                  <w:vAlign w:val="center"/>
                </w:tcPr>
                <w:p w14:paraId="7955F9D7">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废水</w:t>
                  </w:r>
                </w:p>
              </w:tc>
              <w:tc>
                <w:tcPr>
                  <w:tcW w:w="3129" w:type="pct"/>
                  <w:tcBorders>
                    <w:tl2br w:val="nil"/>
                    <w:tr2bl w:val="nil"/>
                  </w:tcBorders>
                  <w:vAlign w:val="center"/>
                </w:tcPr>
                <w:p w14:paraId="2EC71088">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生活污水依托场内化粪池处理后通过市政管网进入园区污水处理厂集中处理。</w:t>
                  </w:r>
                </w:p>
              </w:tc>
              <w:tc>
                <w:tcPr>
                  <w:tcW w:w="407" w:type="pct"/>
                  <w:tcBorders>
                    <w:tl2br w:val="nil"/>
                    <w:tr2bl w:val="nil"/>
                  </w:tcBorders>
                  <w:vAlign w:val="center"/>
                </w:tcPr>
                <w:p w14:paraId="555A6C60">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依托</w:t>
                  </w:r>
                </w:p>
              </w:tc>
            </w:tr>
            <w:tr w14:paraId="56B3FB3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2C7F28B1">
                  <w:pPr>
                    <w:pStyle w:val="42"/>
                    <w:adjustRightInd w:val="0"/>
                    <w:snapToGrid w:val="0"/>
                    <w:spacing w:line="240" w:lineRule="auto"/>
                    <w:ind w:left="0" w:leftChars="0" w:right="0" w:rightChars="0" w:firstLine="0" w:firstLineChars="0"/>
                    <w:jc w:val="both"/>
                    <w:rPr>
                      <w:rFonts w:cs="Times New Roman"/>
                      <w:color w:val="auto"/>
                    </w:rPr>
                  </w:pPr>
                </w:p>
              </w:tc>
              <w:tc>
                <w:tcPr>
                  <w:tcW w:w="274" w:type="pct"/>
                  <w:vMerge w:val="restart"/>
                  <w:tcBorders>
                    <w:tl2br w:val="nil"/>
                    <w:tr2bl w:val="nil"/>
                  </w:tcBorders>
                  <w:vAlign w:val="center"/>
                </w:tcPr>
                <w:p w14:paraId="7180A5E7">
                  <w:pPr>
                    <w:pStyle w:val="42"/>
                    <w:adjustRightInd w:val="0"/>
                    <w:snapToGrid w:val="0"/>
                    <w:spacing w:line="240" w:lineRule="auto"/>
                    <w:ind w:left="0" w:leftChars="0" w:right="0" w:rightChars="0" w:firstLine="0" w:firstLineChars="0"/>
                    <w:rPr>
                      <w:rFonts w:eastAsia="宋体" w:cs="Times New Roman"/>
                      <w:color w:val="auto"/>
                      <w:kern w:val="2"/>
                      <w:szCs w:val="21"/>
                      <w:lang w:eastAsia="zh-CN"/>
                    </w:rPr>
                  </w:pPr>
                  <w:r>
                    <w:rPr>
                      <w:rFonts w:hint="eastAsia" w:eastAsia="宋体" w:cs="Times New Roman"/>
                      <w:color w:val="auto"/>
                      <w:kern w:val="2"/>
                      <w:szCs w:val="21"/>
                      <w:lang w:eastAsia="zh-CN"/>
                    </w:rPr>
                    <w:t>废气</w:t>
                  </w:r>
                </w:p>
              </w:tc>
              <w:tc>
                <w:tcPr>
                  <w:tcW w:w="801" w:type="pct"/>
                  <w:tcBorders>
                    <w:tl2br w:val="nil"/>
                    <w:tr2bl w:val="nil"/>
                  </w:tcBorders>
                  <w:vAlign w:val="center"/>
                </w:tcPr>
                <w:p w14:paraId="2FF3CEA3">
                  <w:pPr>
                    <w:pStyle w:val="42"/>
                    <w:adjustRightInd w:val="0"/>
                    <w:snapToGrid w:val="0"/>
                    <w:spacing w:line="240" w:lineRule="auto"/>
                    <w:ind w:left="0" w:leftChars="0" w:right="0" w:rightChars="0" w:firstLine="0" w:firstLineChars="0"/>
                    <w:rPr>
                      <w:rFonts w:eastAsia="宋体" w:cs="Times New Roman"/>
                      <w:color w:val="auto"/>
                      <w:kern w:val="2"/>
                      <w:szCs w:val="21"/>
                      <w:lang w:eastAsia="zh-CN"/>
                    </w:rPr>
                  </w:pPr>
                  <w:r>
                    <w:rPr>
                      <w:rFonts w:hint="eastAsia" w:eastAsia="宋体" w:cs="Times New Roman"/>
                      <w:color w:val="auto"/>
                      <w:kern w:val="2"/>
                      <w:szCs w:val="21"/>
                      <w:lang w:eastAsia="zh-CN"/>
                    </w:rPr>
                    <w:t>切割废气</w:t>
                  </w:r>
                </w:p>
              </w:tc>
              <w:tc>
                <w:tcPr>
                  <w:tcW w:w="3129" w:type="pct"/>
                  <w:tcBorders>
                    <w:tl2br w:val="nil"/>
                    <w:tr2bl w:val="nil"/>
                  </w:tcBorders>
                  <w:vAlign w:val="center"/>
                </w:tcPr>
                <w:p w14:paraId="1C733F91">
                  <w:pPr>
                    <w:pStyle w:val="42"/>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hint="eastAsia" w:eastAsia="宋体" w:cs="Times New Roman"/>
                      <w:color w:val="auto"/>
                      <w:szCs w:val="21"/>
                      <w:lang w:eastAsia="zh-CN"/>
                    </w:rPr>
                    <w:t>激光切割产生的切割废气经脉冲式滤筒除尘器处理后，</w:t>
                  </w:r>
                  <w:r>
                    <w:rPr>
                      <w:rFonts w:hint="eastAsia" w:eastAsia="宋体" w:cs="Times New Roman"/>
                      <w:color w:val="auto"/>
                      <w:kern w:val="2"/>
                      <w:szCs w:val="21"/>
                      <w:lang w:eastAsia="zh-CN"/>
                    </w:rPr>
                    <w:t>依托现有</w:t>
                  </w:r>
                  <w:r>
                    <w:rPr>
                      <w:rFonts w:hint="eastAsia" w:eastAsia="宋体" w:cs="Times New Roman"/>
                      <w:color w:val="auto"/>
                      <w:szCs w:val="21"/>
                      <w:lang w:eastAsia="zh-CN"/>
                    </w:rPr>
                    <w:t>15m高排气筒（DA001）排放。</w:t>
                  </w:r>
                </w:p>
              </w:tc>
              <w:tc>
                <w:tcPr>
                  <w:tcW w:w="407" w:type="pct"/>
                  <w:tcBorders>
                    <w:tl2br w:val="nil"/>
                    <w:tr2bl w:val="nil"/>
                  </w:tcBorders>
                  <w:vAlign w:val="center"/>
                </w:tcPr>
                <w:p w14:paraId="156C3329">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依托</w:t>
                  </w:r>
                </w:p>
              </w:tc>
            </w:tr>
            <w:tr w14:paraId="3A0D2EA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01790BCB">
                  <w:pPr>
                    <w:pStyle w:val="42"/>
                    <w:adjustRightInd w:val="0"/>
                    <w:snapToGrid w:val="0"/>
                    <w:spacing w:line="240" w:lineRule="auto"/>
                    <w:ind w:left="0" w:leftChars="0" w:right="0" w:rightChars="0" w:firstLine="0" w:firstLineChars="0"/>
                    <w:jc w:val="both"/>
                    <w:rPr>
                      <w:rFonts w:cs="Times New Roman"/>
                      <w:color w:val="auto"/>
                    </w:rPr>
                  </w:pPr>
                </w:p>
              </w:tc>
              <w:tc>
                <w:tcPr>
                  <w:tcW w:w="274" w:type="pct"/>
                  <w:vMerge w:val="continue"/>
                  <w:tcBorders>
                    <w:tl2br w:val="nil"/>
                    <w:tr2bl w:val="nil"/>
                  </w:tcBorders>
                  <w:vAlign w:val="center"/>
                </w:tcPr>
                <w:p w14:paraId="7ED47ADA">
                  <w:pPr>
                    <w:pStyle w:val="42"/>
                    <w:adjustRightInd w:val="0"/>
                    <w:snapToGrid w:val="0"/>
                    <w:spacing w:line="240" w:lineRule="auto"/>
                    <w:ind w:left="0" w:leftChars="0" w:right="0" w:rightChars="0" w:firstLine="0" w:firstLineChars="0"/>
                    <w:rPr>
                      <w:rFonts w:eastAsia="宋体" w:cs="Times New Roman"/>
                      <w:color w:val="auto"/>
                      <w:kern w:val="2"/>
                      <w:szCs w:val="21"/>
                      <w:lang w:eastAsia="zh-CN"/>
                    </w:rPr>
                  </w:pPr>
                </w:p>
              </w:tc>
              <w:tc>
                <w:tcPr>
                  <w:tcW w:w="801" w:type="pct"/>
                  <w:tcBorders>
                    <w:tl2br w:val="nil"/>
                    <w:tr2bl w:val="nil"/>
                  </w:tcBorders>
                  <w:vAlign w:val="center"/>
                </w:tcPr>
                <w:p w14:paraId="081C6143">
                  <w:pPr>
                    <w:pStyle w:val="42"/>
                    <w:adjustRightInd w:val="0"/>
                    <w:snapToGrid w:val="0"/>
                    <w:spacing w:line="240" w:lineRule="auto"/>
                    <w:ind w:left="0" w:leftChars="0" w:right="0" w:rightChars="0" w:firstLine="0" w:firstLineChars="0"/>
                    <w:rPr>
                      <w:rFonts w:eastAsia="宋体" w:cs="Times New Roman"/>
                      <w:color w:val="auto"/>
                      <w:kern w:val="2"/>
                      <w:szCs w:val="21"/>
                      <w:lang w:eastAsia="zh-CN"/>
                    </w:rPr>
                  </w:pPr>
                  <w:r>
                    <w:rPr>
                      <w:rFonts w:hint="eastAsia" w:eastAsia="宋体" w:cs="Times New Roman"/>
                      <w:color w:val="auto"/>
                      <w:kern w:val="2"/>
                      <w:szCs w:val="21"/>
                      <w:lang w:eastAsia="zh-CN"/>
                    </w:rPr>
                    <w:t>焊接烟尘</w:t>
                  </w:r>
                </w:p>
              </w:tc>
              <w:tc>
                <w:tcPr>
                  <w:tcW w:w="3129" w:type="pct"/>
                  <w:tcBorders>
                    <w:tl2br w:val="nil"/>
                    <w:tr2bl w:val="nil"/>
                  </w:tcBorders>
                  <w:vAlign w:val="center"/>
                </w:tcPr>
                <w:p w14:paraId="20776435">
                  <w:pPr>
                    <w:pStyle w:val="42"/>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hint="eastAsia" w:eastAsia="宋体" w:cs="Times New Roman"/>
                      <w:color w:val="auto"/>
                      <w:szCs w:val="21"/>
                      <w:lang w:eastAsia="zh-CN"/>
                    </w:rPr>
                    <w:t>经移动滤筒式烟尘净化器处理后，在车间内无组织排放。</w:t>
                  </w:r>
                </w:p>
              </w:tc>
              <w:tc>
                <w:tcPr>
                  <w:tcW w:w="407" w:type="pct"/>
                  <w:tcBorders>
                    <w:tl2br w:val="nil"/>
                    <w:tr2bl w:val="nil"/>
                  </w:tcBorders>
                  <w:vAlign w:val="center"/>
                </w:tcPr>
                <w:p w14:paraId="22C347C9">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w:t>
                  </w:r>
                </w:p>
              </w:tc>
            </w:tr>
            <w:tr w14:paraId="5D2AEED1">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88" w:type="pct"/>
                  <w:vMerge w:val="continue"/>
                  <w:tcBorders>
                    <w:tl2br w:val="nil"/>
                    <w:tr2bl w:val="nil"/>
                  </w:tcBorders>
                  <w:vAlign w:val="center"/>
                </w:tcPr>
                <w:p w14:paraId="7CFEE2F9">
                  <w:pPr>
                    <w:pStyle w:val="42"/>
                    <w:adjustRightInd w:val="0"/>
                    <w:snapToGrid w:val="0"/>
                    <w:spacing w:line="240" w:lineRule="auto"/>
                    <w:ind w:left="0" w:leftChars="0" w:right="0" w:rightChars="0" w:firstLine="0" w:firstLineChars="0"/>
                    <w:jc w:val="both"/>
                    <w:rPr>
                      <w:rFonts w:cs="Times New Roman"/>
                      <w:color w:val="auto"/>
                    </w:rPr>
                  </w:pPr>
                </w:p>
              </w:tc>
              <w:tc>
                <w:tcPr>
                  <w:tcW w:w="274" w:type="pct"/>
                  <w:vMerge w:val="continue"/>
                  <w:tcBorders>
                    <w:tl2br w:val="nil"/>
                    <w:tr2bl w:val="nil"/>
                  </w:tcBorders>
                  <w:vAlign w:val="center"/>
                </w:tcPr>
                <w:p w14:paraId="0BA74A7A">
                  <w:pPr>
                    <w:pStyle w:val="42"/>
                    <w:adjustRightInd w:val="0"/>
                    <w:snapToGrid w:val="0"/>
                    <w:spacing w:line="240" w:lineRule="auto"/>
                    <w:ind w:left="0" w:leftChars="0" w:right="0" w:rightChars="0" w:firstLine="0" w:firstLineChars="0"/>
                    <w:jc w:val="both"/>
                    <w:rPr>
                      <w:rFonts w:eastAsia="宋体" w:cs="Times New Roman"/>
                      <w:color w:val="auto"/>
                      <w:kern w:val="2"/>
                      <w:szCs w:val="21"/>
                      <w:lang w:eastAsia="zh-CN"/>
                    </w:rPr>
                  </w:pPr>
                </w:p>
              </w:tc>
              <w:tc>
                <w:tcPr>
                  <w:tcW w:w="801" w:type="pct"/>
                  <w:tcBorders>
                    <w:tl2br w:val="nil"/>
                    <w:tr2bl w:val="nil"/>
                  </w:tcBorders>
                  <w:vAlign w:val="center"/>
                </w:tcPr>
                <w:p w14:paraId="236B7749">
                  <w:pPr>
                    <w:pStyle w:val="42"/>
                    <w:adjustRightInd w:val="0"/>
                    <w:snapToGrid w:val="0"/>
                    <w:spacing w:line="240" w:lineRule="auto"/>
                    <w:ind w:left="0" w:leftChars="0" w:right="0" w:rightChars="0" w:firstLine="0" w:firstLineChars="0"/>
                    <w:rPr>
                      <w:rFonts w:eastAsia="宋体" w:cs="Times New Roman"/>
                      <w:color w:val="auto"/>
                      <w:kern w:val="2"/>
                      <w:szCs w:val="21"/>
                      <w:lang w:eastAsia="zh-CN"/>
                    </w:rPr>
                  </w:pPr>
                  <w:r>
                    <w:rPr>
                      <w:rFonts w:hint="eastAsia" w:eastAsia="宋体" w:cs="Times New Roman"/>
                      <w:color w:val="auto"/>
                      <w:kern w:val="2"/>
                      <w:szCs w:val="21"/>
                      <w:lang w:eastAsia="zh-CN"/>
                    </w:rPr>
                    <w:t>喷涂粉尘</w:t>
                  </w:r>
                </w:p>
              </w:tc>
              <w:tc>
                <w:tcPr>
                  <w:tcW w:w="3129" w:type="pct"/>
                  <w:tcBorders>
                    <w:tl2br w:val="nil"/>
                    <w:tr2bl w:val="nil"/>
                  </w:tcBorders>
                  <w:vAlign w:val="center"/>
                </w:tcPr>
                <w:p w14:paraId="2BB89460">
                  <w:pPr>
                    <w:pStyle w:val="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eastAsia="宋体" w:cs="Times New Roman"/>
                      <w:color w:val="auto"/>
                      <w:kern w:val="2"/>
                      <w:szCs w:val="21"/>
                      <w:lang w:eastAsia="zh-CN"/>
                    </w:rPr>
                  </w:pPr>
                  <w:r>
                    <w:rPr>
                      <w:rFonts w:hint="eastAsia"/>
                      <w:color w:val="0000FF"/>
                      <w:lang w:eastAsia="zh-CN"/>
                    </w:rPr>
                    <w:t>喷涂</w:t>
                  </w:r>
                  <w:r>
                    <w:rPr>
                      <w:rFonts w:hint="eastAsia"/>
                      <w:color w:val="0000FF"/>
                      <w:lang w:val="en-US" w:eastAsia="zh-CN"/>
                    </w:rPr>
                    <w:t>粉尘</w:t>
                  </w:r>
                  <w:r>
                    <w:rPr>
                      <w:rFonts w:hint="eastAsia"/>
                      <w:color w:val="auto"/>
                      <w:lang w:eastAsia="zh-CN"/>
                    </w:rPr>
                    <w:t>依托现有</w:t>
                  </w:r>
                  <w:r>
                    <w:rPr>
                      <w:rFonts w:hint="eastAsia"/>
                      <w:color w:val="0000FF"/>
                      <w:lang w:eastAsia="zh-CN"/>
                    </w:rPr>
                    <w:t>“旋风回收装置+脉冲布袋除尘器”</w:t>
                  </w:r>
                  <w:r>
                    <w:rPr>
                      <w:rFonts w:hint="eastAsia"/>
                      <w:color w:val="auto"/>
                      <w:lang w:eastAsia="zh-CN"/>
                    </w:rPr>
                    <w:t>处理后通过现有15m高排气筒（DA002）排放。</w:t>
                  </w:r>
                </w:p>
              </w:tc>
              <w:tc>
                <w:tcPr>
                  <w:tcW w:w="407" w:type="pct"/>
                  <w:tcBorders>
                    <w:tl2br w:val="nil"/>
                    <w:tr2bl w:val="nil"/>
                  </w:tcBorders>
                  <w:vAlign w:val="center"/>
                </w:tcPr>
                <w:p w14:paraId="0B1A629C">
                  <w:pPr>
                    <w:pStyle w:val="42"/>
                    <w:adjustRightInd w:val="0"/>
                    <w:snapToGrid w:val="0"/>
                    <w:spacing w:line="240" w:lineRule="auto"/>
                    <w:ind w:left="0" w:leftChars="0" w:right="0" w:rightChars="0" w:firstLine="0" w:firstLineChars="0"/>
                    <w:rPr>
                      <w:rFonts w:eastAsia="宋体" w:cs="Times New Roman"/>
                      <w:color w:val="auto"/>
                      <w:kern w:val="2"/>
                      <w:szCs w:val="21"/>
                      <w:lang w:eastAsia="zh-CN"/>
                    </w:rPr>
                  </w:pPr>
                  <w:r>
                    <w:rPr>
                      <w:rFonts w:hint="eastAsia" w:eastAsia="宋体" w:cs="Times New Roman"/>
                      <w:color w:val="auto"/>
                      <w:szCs w:val="21"/>
                      <w:lang w:eastAsia="zh-CN"/>
                    </w:rPr>
                    <w:t>依托</w:t>
                  </w:r>
                </w:p>
              </w:tc>
            </w:tr>
            <w:tr w14:paraId="6484851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142DDD8D">
                  <w:pPr>
                    <w:pStyle w:val="42"/>
                    <w:adjustRightInd w:val="0"/>
                    <w:snapToGrid w:val="0"/>
                    <w:spacing w:line="240" w:lineRule="auto"/>
                    <w:ind w:left="0" w:leftChars="0" w:right="0" w:rightChars="0" w:firstLine="0" w:firstLineChars="0"/>
                    <w:rPr>
                      <w:rFonts w:eastAsia="宋体" w:cs="Times New Roman"/>
                      <w:color w:val="auto"/>
                      <w:szCs w:val="21"/>
                    </w:rPr>
                  </w:pPr>
                </w:p>
              </w:tc>
              <w:tc>
                <w:tcPr>
                  <w:tcW w:w="274" w:type="pct"/>
                  <w:vMerge w:val="continue"/>
                  <w:tcBorders>
                    <w:tl2br w:val="nil"/>
                    <w:tr2bl w:val="nil"/>
                  </w:tcBorders>
                  <w:vAlign w:val="center"/>
                </w:tcPr>
                <w:p w14:paraId="276B44D0">
                  <w:pPr>
                    <w:pStyle w:val="42"/>
                    <w:adjustRightInd w:val="0"/>
                    <w:snapToGrid w:val="0"/>
                    <w:spacing w:line="240" w:lineRule="auto"/>
                    <w:ind w:left="0" w:leftChars="0" w:right="0" w:rightChars="0" w:firstLine="0" w:firstLineChars="0"/>
                    <w:rPr>
                      <w:rFonts w:eastAsia="宋体" w:cs="Times New Roman"/>
                      <w:color w:val="auto"/>
                      <w:szCs w:val="21"/>
                    </w:rPr>
                  </w:pPr>
                </w:p>
              </w:tc>
              <w:tc>
                <w:tcPr>
                  <w:tcW w:w="801" w:type="pct"/>
                  <w:tcBorders>
                    <w:tl2br w:val="nil"/>
                    <w:tr2bl w:val="nil"/>
                  </w:tcBorders>
                  <w:vAlign w:val="center"/>
                </w:tcPr>
                <w:p w14:paraId="2EF73591">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固化废气</w:t>
                  </w:r>
                </w:p>
              </w:tc>
              <w:tc>
                <w:tcPr>
                  <w:tcW w:w="3129" w:type="pct"/>
                  <w:tcBorders>
                    <w:tl2br w:val="nil"/>
                    <w:tr2bl w:val="nil"/>
                  </w:tcBorders>
                  <w:vAlign w:val="center"/>
                </w:tcPr>
                <w:p w14:paraId="76F396A1">
                  <w:pPr>
                    <w:pStyle w:val="42"/>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hint="eastAsia" w:eastAsia="宋体" w:cs="Times New Roman"/>
                      <w:color w:val="auto"/>
                      <w:szCs w:val="21"/>
                      <w:lang w:eastAsia="zh-CN"/>
                    </w:rPr>
                    <w:t>固化废气</w:t>
                  </w:r>
                  <w:r>
                    <w:rPr>
                      <w:rFonts w:hint="eastAsia"/>
                      <w:color w:val="auto"/>
                      <w:lang w:eastAsia="zh-CN"/>
                    </w:rPr>
                    <w:t>依托现有二级活性炭吸附装置处理后，</w:t>
                  </w:r>
                  <w:r>
                    <w:rPr>
                      <w:rFonts w:hint="eastAsia" w:eastAsia="宋体" w:cs="Times New Roman"/>
                      <w:color w:val="auto"/>
                      <w:kern w:val="2"/>
                      <w:szCs w:val="21"/>
                      <w:lang w:val="en-US" w:eastAsia="zh-CN"/>
                    </w:rPr>
                    <w:t>通过</w:t>
                  </w:r>
                  <w:r>
                    <w:rPr>
                      <w:rFonts w:hint="eastAsia" w:eastAsia="宋体" w:cs="Times New Roman"/>
                      <w:color w:val="auto"/>
                      <w:kern w:val="2"/>
                      <w:szCs w:val="21"/>
                      <w:lang w:eastAsia="zh-CN"/>
                    </w:rPr>
                    <w:t>现有</w:t>
                  </w:r>
                  <w:r>
                    <w:rPr>
                      <w:rFonts w:hint="eastAsia" w:eastAsia="宋体" w:cs="Times New Roman"/>
                      <w:color w:val="auto"/>
                      <w:szCs w:val="21"/>
                      <w:lang w:eastAsia="zh-CN"/>
                    </w:rPr>
                    <w:t>15m高排气筒（DA003）排放。</w:t>
                  </w:r>
                </w:p>
              </w:tc>
              <w:tc>
                <w:tcPr>
                  <w:tcW w:w="407" w:type="pct"/>
                  <w:tcBorders>
                    <w:tl2br w:val="nil"/>
                    <w:tr2bl w:val="nil"/>
                  </w:tcBorders>
                  <w:vAlign w:val="center"/>
                </w:tcPr>
                <w:p w14:paraId="2C97FE29">
                  <w:pPr>
                    <w:pStyle w:val="42"/>
                    <w:adjustRightInd w:val="0"/>
                    <w:snapToGrid w:val="0"/>
                    <w:spacing w:line="240" w:lineRule="auto"/>
                    <w:ind w:left="0" w:leftChars="0" w:right="0" w:rightChars="0" w:firstLine="0" w:firstLineChars="0"/>
                    <w:rPr>
                      <w:rFonts w:cs="Times New Roman"/>
                      <w:color w:val="auto"/>
                      <w:szCs w:val="21"/>
                      <w:lang w:eastAsia="zh-CN"/>
                    </w:rPr>
                  </w:pPr>
                  <w:r>
                    <w:rPr>
                      <w:rFonts w:hint="eastAsia" w:eastAsia="宋体" w:cs="Times New Roman"/>
                      <w:color w:val="auto"/>
                      <w:szCs w:val="21"/>
                      <w:lang w:eastAsia="zh-CN"/>
                    </w:rPr>
                    <w:t>依托</w:t>
                  </w:r>
                </w:p>
              </w:tc>
            </w:tr>
            <w:tr w14:paraId="49F0F6D3">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3660D3A2">
                  <w:pPr>
                    <w:pStyle w:val="42"/>
                    <w:adjustRightInd w:val="0"/>
                    <w:snapToGrid w:val="0"/>
                    <w:spacing w:line="240" w:lineRule="auto"/>
                    <w:ind w:left="0" w:leftChars="0" w:right="0" w:rightChars="0" w:firstLine="0" w:firstLineChars="0"/>
                    <w:rPr>
                      <w:rFonts w:eastAsia="宋体" w:cs="Times New Roman"/>
                      <w:color w:val="auto"/>
                      <w:szCs w:val="21"/>
                    </w:rPr>
                  </w:pPr>
                </w:p>
              </w:tc>
              <w:tc>
                <w:tcPr>
                  <w:tcW w:w="274" w:type="pct"/>
                  <w:vMerge w:val="continue"/>
                  <w:tcBorders>
                    <w:tl2br w:val="nil"/>
                    <w:tr2bl w:val="nil"/>
                  </w:tcBorders>
                  <w:vAlign w:val="center"/>
                </w:tcPr>
                <w:p w14:paraId="63380E68">
                  <w:pPr>
                    <w:pStyle w:val="42"/>
                    <w:adjustRightInd w:val="0"/>
                    <w:snapToGrid w:val="0"/>
                    <w:spacing w:line="240" w:lineRule="auto"/>
                    <w:ind w:left="0" w:leftChars="0" w:right="0" w:rightChars="0" w:firstLine="0" w:firstLineChars="0"/>
                    <w:rPr>
                      <w:rFonts w:eastAsia="宋体" w:cs="Times New Roman"/>
                      <w:color w:val="auto"/>
                      <w:szCs w:val="21"/>
                    </w:rPr>
                  </w:pPr>
                </w:p>
              </w:tc>
              <w:tc>
                <w:tcPr>
                  <w:tcW w:w="801" w:type="pct"/>
                  <w:tcBorders>
                    <w:tl2br w:val="nil"/>
                    <w:tr2bl w:val="nil"/>
                  </w:tcBorders>
                  <w:vAlign w:val="center"/>
                </w:tcPr>
                <w:p w14:paraId="589979E8">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燃烧机废气</w:t>
                  </w:r>
                </w:p>
              </w:tc>
              <w:tc>
                <w:tcPr>
                  <w:tcW w:w="3129" w:type="pct"/>
                  <w:tcBorders>
                    <w:tl2br w:val="nil"/>
                    <w:tr2bl w:val="nil"/>
                  </w:tcBorders>
                  <w:vAlign w:val="center"/>
                </w:tcPr>
                <w:p w14:paraId="6CA2D829">
                  <w:pPr>
                    <w:pStyle w:val="42"/>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hint="eastAsia" w:eastAsia="宋体" w:cs="Times New Roman"/>
                      <w:color w:val="auto"/>
                      <w:szCs w:val="21"/>
                      <w:lang w:eastAsia="zh-CN"/>
                    </w:rPr>
                    <w:t>燃烧机废气经低氮燃烧后，</w:t>
                  </w:r>
                  <w:r>
                    <w:rPr>
                      <w:rFonts w:hint="eastAsia" w:eastAsia="宋体" w:cs="Times New Roman"/>
                      <w:color w:val="auto"/>
                      <w:kern w:val="2"/>
                      <w:szCs w:val="21"/>
                      <w:lang w:eastAsia="zh-CN"/>
                    </w:rPr>
                    <w:t>依托现有</w:t>
                  </w:r>
                  <w:r>
                    <w:rPr>
                      <w:rFonts w:hint="eastAsia" w:eastAsia="宋体" w:cs="Times New Roman"/>
                      <w:color w:val="auto"/>
                      <w:szCs w:val="21"/>
                      <w:lang w:eastAsia="zh-CN"/>
                    </w:rPr>
                    <w:t>15m高排气筒（DA003）排放。</w:t>
                  </w:r>
                </w:p>
              </w:tc>
              <w:tc>
                <w:tcPr>
                  <w:tcW w:w="407" w:type="pct"/>
                  <w:tcBorders>
                    <w:tl2br w:val="nil"/>
                    <w:tr2bl w:val="nil"/>
                  </w:tcBorders>
                  <w:vAlign w:val="center"/>
                </w:tcPr>
                <w:p w14:paraId="45B0EB86">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依托</w:t>
                  </w:r>
                </w:p>
              </w:tc>
            </w:tr>
            <w:tr w14:paraId="04F7CD0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6BA544C4">
                  <w:pPr>
                    <w:pStyle w:val="42"/>
                    <w:adjustRightInd w:val="0"/>
                    <w:snapToGrid w:val="0"/>
                    <w:spacing w:line="240" w:lineRule="auto"/>
                    <w:ind w:left="0" w:leftChars="0" w:right="0" w:rightChars="0" w:firstLine="0" w:firstLineChars="0"/>
                    <w:rPr>
                      <w:rFonts w:eastAsia="宋体" w:cs="Times New Roman"/>
                      <w:color w:val="auto"/>
                      <w:szCs w:val="21"/>
                    </w:rPr>
                  </w:pPr>
                </w:p>
              </w:tc>
              <w:tc>
                <w:tcPr>
                  <w:tcW w:w="274" w:type="pct"/>
                  <w:vMerge w:val="continue"/>
                  <w:tcBorders>
                    <w:tl2br w:val="nil"/>
                    <w:tr2bl w:val="nil"/>
                  </w:tcBorders>
                  <w:vAlign w:val="center"/>
                </w:tcPr>
                <w:p w14:paraId="61DECE0D">
                  <w:pPr>
                    <w:pStyle w:val="42"/>
                    <w:adjustRightInd w:val="0"/>
                    <w:snapToGrid w:val="0"/>
                    <w:spacing w:line="240" w:lineRule="auto"/>
                    <w:ind w:left="0" w:leftChars="0" w:right="0" w:rightChars="0" w:firstLine="0" w:firstLineChars="0"/>
                    <w:rPr>
                      <w:rFonts w:eastAsia="宋体" w:cs="Times New Roman"/>
                      <w:color w:val="auto"/>
                      <w:szCs w:val="21"/>
                    </w:rPr>
                  </w:pPr>
                </w:p>
              </w:tc>
              <w:tc>
                <w:tcPr>
                  <w:tcW w:w="801" w:type="pct"/>
                  <w:tcBorders>
                    <w:tl2br w:val="nil"/>
                    <w:tr2bl w:val="nil"/>
                  </w:tcBorders>
                  <w:vAlign w:val="center"/>
                </w:tcPr>
                <w:p w14:paraId="32CFB620">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题字废气</w:t>
                  </w:r>
                </w:p>
              </w:tc>
              <w:tc>
                <w:tcPr>
                  <w:tcW w:w="3129" w:type="pct"/>
                  <w:tcBorders>
                    <w:tl2br w:val="nil"/>
                    <w:tr2bl w:val="nil"/>
                  </w:tcBorders>
                  <w:vAlign w:val="center"/>
                </w:tcPr>
                <w:p w14:paraId="7176884C">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新建题字间，油墨废气</w:t>
                  </w:r>
                  <w:r>
                    <w:rPr>
                      <w:rFonts w:hint="eastAsia"/>
                      <w:color w:val="auto"/>
                      <w:lang w:eastAsia="zh-CN"/>
                    </w:rPr>
                    <w:t>依托现有二级活性炭吸附装置处理后，</w:t>
                  </w:r>
                  <w:r>
                    <w:rPr>
                      <w:rFonts w:hint="eastAsia" w:eastAsia="宋体" w:cs="Times New Roman"/>
                      <w:color w:val="auto"/>
                      <w:kern w:val="2"/>
                      <w:szCs w:val="21"/>
                      <w:lang w:val="en-US" w:eastAsia="zh-CN"/>
                    </w:rPr>
                    <w:t>通过</w:t>
                  </w:r>
                  <w:r>
                    <w:rPr>
                      <w:rFonts w:hint="eastAsia" w:eastAsia="宋体" w:cs="Times New Roman"/>
                      <w:color w:val="auto"/>
                      <w:kern w:val="2"/>
                      <w:szCs w:val="21"/>
                      <w:lang w:eastAsia="zh-CN"/>
                    </w:rPr>
                    <w:t>现有</w:t>
                  </w:r>
                  <w:r>
                    <w:rPr>
                      <w:rFonts w:hint="eastAsia" w:eastAsia="宋体" w:cs="Times New Roman"/>
                      <w:color w:val="auto"/>
                      <w:szCs w:val="21"/>
                      <w:lang w:eastAsia="zh-CN"/>
                    </w:rPr>
                    <w:t>15m高排气筒（DA003）排放。</w:t>
                  </w:r>
                </w:p>
              </w:tc>
              <w:tc>
                <w:tcPr>
                  <w:tcW w:w="407" w:type="pct"/>
                  <w:tcBorders>
                    <w:tl2br w:val="nil"/>
                    <w:tr2bl w:val="nil"/>
                  </w:tcBorders>
                  <w:vAlign w:val="center"/>
                </w:tcPr>
                <w:p w14:paraId="7170D7EF">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依托</w:t>
                  </w:r>
                </w:p>
              </w:tc>
            </w:tr>
            <w:tr w14:paraId="4EC8697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1CBEFFCE">
                  <w:pPr>
                    <w:pStyle w:val="42"/>
                    <w:adjustRightInd w:val="0"/>
                    <w:snapToGrid w:val="0"/>
                    <w:spacing w:line="240" w:lineRule="auto"/>
                    <w:ind w:left="0" w:leftChars="0" w:right="0" w:rightChars="0" w:firstLine="0" w:firstLineChars="0"/>
                    <w:rPr>
                      <w:rFonts w:eastAsia="宋体" w:cs="Times New Roman"/>
                      <w:color w:val="auto"/>
                      <w:szCs w:val="21"/>
                    </w:rPr>
                  </w:pPr>
                </w:p>
              </w:tc>
              <w:tc>
                <w:tcPr>
                  <w:tcW w:w="1075" w:type="pct"/>
                  <w:gridSpan w:val="2"/>
                  <w:tcBorders>
                    <w:tl2br w:val="nil"/>
                    <w:tr2bl w:val="nil"/>
                  </w:tcBorders>
                  <w:vAlign w:val="center"/>
                </w:tcPr>
                <w:p w14:paraId="5C45734F">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噪声</w:t>
                  </w:r>
                </w:p>
              </w:tc>
              <w:tc>
                <w:tcPr>
                  <w:tcW w:w="3129" w:type="pct"/>
                  <w:tcBorders>
                    <w:tl2br w:val="nil"/>
                    <w:tr2bl w:val="nil"/>
                  </w:tcBorders>
                  <w:vAlign w:val="center"/>
                </w:tcPr>
                <w:p w14:paraId="49305096">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选用低噪声设备、基础减震、厂房隔音措施。</w:t>
                  </w:r>
                </w:p>
              </w:tc>
              <w:tc>
                <w:tcPr>
                  <w:tcW w:w="407" w:type="pct"/>
                  <w:tcBorders>
                    <w:tl2br w:val="nil"/>
                    <w:tr2bl w:val="nil"/>
                  </w:tcBorders>
                  <w:vAlign w:val="center"/>
                </w:tcPr>
                <w:p w14:paraId="016C8F26">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w:t>
                  </w:r>
                </w:p>
              </w:tc>
            </w:tr>
            <w:tr w14:paraId="4D58F53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60491FA0">
                  <w:pPr>
                    <w:pStyle w:val="42"/>
                    <w:adjustRightInd w:val="0"/>
                    <w:snapToGrid w:val="0"/>
                    <w:spacing w:line="240" w:lineRule="auto"/>
                    <w:ind w:left="0" w:leftChars="0" w:right="0" w:rightChars="0" w:firstLine="0" w:firstLineChars="0"/>
                    <w:rPr>
                      <w:rFonts w:eastAsia="宋体" w:cs="Times New Roman"/>
                      <w:color w:val="auto"/>
                      <w:szCs w:val="21"/>
                    </w:rPr>
                  </w:pPr>
                </w:p>
              </w:tc>
              <w:tc>
                <w:tcPr>
                  <w:tcW w:w="274" w:type="pct"/>
                  <w:vMerge w:val="restart"/>
                  <w:tcBorders>
                    <w:tl2br w:val="nil"/>
                    <w:tr2bl w:val="nil"/>
                  </w:tcBorders>
                  <w:vAlign w:val="center"/>
                </w:tcPr>
                <w:p w14:paraId="777F5820">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固体废物</w:t>
                  </w:r>
                </w:p>
              </w:tc>
              <w:tc>
                <w:tcPr>
                  <w:tcW w:w="801" w:type="pct"/>
                  <w:tcBorders>
                    <w:tl2br w:val="nil"/>
                    <w:tr2bl w:val="nil"/>
                  </w:tcBorders>
                  <w:vAlign w:val="center"/>
                </w:tcPr>
                <w:p w14:paraId="4134532A">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一般工业固废</w:t>
                  </w:r>
                </w:p>
              </w:tc>
              <w:tc>
                <w:tcPr>
                  <w:tcW w:w="3129" w:type="pct"/>
                  <w:tcBorders>
                    <w:tl2br w:val="nil"/>
                    <w:tr2bl w:val="nil"/>
                  </w:tcBorders>
                  <w:vAlign w:val="center"/>
                </w:tcPr>
                <w:p w14:paraId="5DBA852E">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废边角料、焊接废料、除尘器收集的粉尘、废滤芯、废包装等交物资公司回收利用。</w:t>
                  </w:r>
                </w:p>
              </w:tc>
              <w:tc>
                <w:tcPr>
                  <w:tcW w:w="407" w:type="pct"/>
                  <w:vMerge w:val="restart"/>
                  <w:tcBorders>
                    <w:tl2br w:val="nil"/>
                    <w:tr2bl w:val="nil"/>
                  </w:tcBorders>
                  <w:vAlign w:val="center"/>
                </w:tcPr>
                <w:p w14:paraId="6438111F">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w:t>
                  </w:r>
                </w:p>
              </w:tc>
            </w:tr>
            <w:tr w14:paraId="15798F3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414AA79E">
                  <w:pPr>
                    <w:pStyle w:val="42"/>
                    <w:adjustRightInd w:val="0"/>
                    <w:snapToGrid w:val="0"/>
                    <w:spacing w:line="240" w:lineRule="auto"/>
                    <w:ind w:left="0" w:leftChars="0" w:right="0" w:rightChars="0" w:firstLine="0" w:firstLineChars="0"/>
                    <w:jc w:val="left"/>
                    <w:rPr>
                      <w:color w:val="auto"/>
                    </w:rPr>
                  </w:pPr>
                </w:p>
              </w:tc>
              <w:tc>
                <w:tcPr>
                  <w:tcW w:w="274" w:type="pct"/>
                  <w:vMerge w:val="continue"/>
                  <w:tcBorders>
                    <w:tl2br w:val="nil"/>
                    <w:tr2bl w:val="nil"/>
                  </w:tcBorders>
                  <w:vAlign w:val="center"/>
                </w:tcPr>
                <w:p w14:paraId="185A0065">
                  <w:pPr>
                    <w:pStyle w:val="42"/>
                    <w:adjustRightInd w:val="0"/>
                    <w:snapToGrid w:val="0"/>
                    <w:spacing w:line="240" w:lineRule="auto"/>
                    <w:ind w:left="0" w:leftChars="0" w:right="0" w:rightChars="0" w:firstLine="0" w:firstLineChars="0"/>
                    <w:jc w:val="left"/>
                    <w:rPr>
                      <w:color w:val="auto"/>
                    </w:rPr>
                  </w:pPr>
                </w:p>
              </w:tc>
              <w:tc>
                <w:tcPr>
                  <w:tcW w:w="801" w:type="pct"/>
                  <w:tcBorders>
                    <w:tl2br w:val="nil"/>
                    <w:tr2bl w:val="nil"/>
                  </w:tcBorders>
                  <w:vAlign w:val="center"/>
                </w:tcPr>
                <w:p w14:paraId="5A217AE5">
                  <w:pPr>
                    <w:pStyle w:val="42"/>
                    <w:adjustRightInd w:val="0"/>
                    <w:snapToGrid w:val="0"/>
                    <w:spacing w:line="240" w:lineRule="auto"/>
                    <w:ind w:left="0" w:leftChars="0" w:right="0" w:rightChars="0" w:firstLine="0" w:firstLineChars="0"/>
                    <w:rPr>
                      <w:color w:val="auto"/>
                      <w:lang w:eastAsia="zh-CN"/>
                    </w:rPr>
                  </w:pPr>
                  <w:r>
                    <w:rPr>
                      <w:rFonts w:hint="eastAsia"/>
                      <w:color w:val="auto"/>
                      <w:lang w:eastAsia="zh-CN"/>
                    </w:rPr>
                    <w:t>危险废物</w:t>
                  </w:r>
                </w:p>
              </w:tc>
              <w:tc>
                <w:tcPr>
                  <w:tcW w:w="3129" w:type="pct"/>
                  <w:tcBorders>
                    <w:tl2br w:val="nil"/>
                    <w:tr2bl w:val="nil"/>
                  </w:tcBorders>
                  <w:vAlign w:val="center"/>
                </w:tcPr>
                <w:p w14:paraId="06637FCF">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废油墨桶、废</w:t>
                  </w:r>
                  <w:r>
                    <w:rPr>
                      <w:rFonts w:hint="eastAsia" w:cs="Times New Roman"/>
                      <w:snapToGrid w:val="0"/>
                      <w:color w:val="auto"/>
                      <w:lang w:val="en-US" w:eastAsia="zh-CN"/>
                    </w:rPr>
                    <w:t>稀释剂</w:t>
                  </w:r>
                  <w:r>
                    <w:rPr>
                      <w:rFonts w:hint="eastAsia" w:eastAsia="宋体" w:cs="Times New Roman"/>
                      <w:color w:val="auto"/>
                      <w:szCs w:val="21"/>
                      <w:lang w:eastAsia="zh-CN"/>
                    </w:rPr>
                    <w:t>桶、废活性炭、废含油劳保用品、废润滑油危废暂存间暂存后交有资质单位处置。</w:t>
                  </w:r>
                </w:p>
              </w:tc>
              <w:tc>
                <w:tcPr>
                  <w:tcW w:w="407" w:type="pct"/>
                  <w:vMerge w:val="continue"/>
                  <w:tcBorders>
                    <w:tl2br w:val="nil"/>
                    <w:tr2bl w:val="nil"/>
                  </w:tcBorders>
                  <w:vAlign w:val="center"/>
                </w:tcPr>
                <w:p w14:paraId="0FE17FE0">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p>
              </w:tc>
            </w:tr>
            <w:tr w14:paraId="556D69A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39CB5D9D">
                  <w:pPr>
                    <w:pStyle w:val="42"/>
                    <w:adjustRightInd w:val="0"/>
                    <w:snapToGrid w:val="0"/>
                    <w:spacing w:line="240" w:lineRule="auto"/>
                    <w:ind w:left="0" w:leftChars="0" w:right="0" w:rightChars="0" w:firstLine="0" w:firstLineChars="0"/>
                    <w:jc w:val="left"/>
                    <w:rPr>
                      <w:color w:val="auto"/>
                      <w:lang w:eastAsia="zh-CN"/>
                    </w:rPr>
                  </w:pPr>
                </w:p>
              </w:tc>
              <w:tc>
                <w:tcPr>
                  <w:tcW w:w="274" w:type="pct"/>
                  <w:vMerge w:val="continue"/>
                  <w:tcBorders>
                    <w:tl2br w:val="nil"/>
                    <w:tr2bl w:val="nil"/>
                  </w:tcBorders>
                  <w:vAlign w:val="center"/>
                </w:tcPr>
                <w:p w14:paraId="02F3D451">
                  <w:pPr>
                    <w:pStyle w:val="42"/>
                    <w:adjustRightInd w:val="0"/>
                    <w:snapToGrid w:val="0"/>
                    <w:spacing w:line="240" w:lineRule="auto"/>
                    <w:ind w:left="0" w:leftChars="0" w:right="0" w:rightChars="0" w:firstLine="0" w:firstLineChars="0"/>
                    <w:jc w:val="left"/>
                    <w:rPr>
                      <w:color w:val="auto"/>
                      <w:lang w:eastAsia="zh-CN"/>
                    </w:rPr>
                  </w:pPr>
                </w:p>
              </w:tc>
              <w:tc>
                <w:tcPr>
                  <w:tcW w:w="801" w:type="pct"/>
                  <w:tcBorders>
                    <w:tl2br w:val="nil"/>
                    <w:tr2bl w:val="nil"/>
                  </w:tcBorders>
                  <w:vAlign w:val="center"/>
                </w:tcPr>
                <w:p w14:paraId="356D7797">
                  <w:pPr>
                    <w:pStyle w:val="42"/>
                    <w:adjustRightInd w:val="0"/>
                    <w:snapToGrid w:val="0"/>
                    <w:spacing w:line="240" w:lineRule="auto"/>
                    <w:ind w:left="0" w:leftChars="0" w:right="0" w:rightChars="0" w:firstLine="0" w:firstLineChars="0"/>
                    <w:rPr>
                      <w:color w:val="auto"/>
                      <w:lang w:eastAsia="zh-CN"/>
                    </w:rPr>
                  </w:pPr>
                  <w:r>
                    <w:rPr>
                      <w:rFonts w:hint="eastAsia"/>
                      <w:color w:val="auto"/>
                      <w:lang w:eastAsia="zh-CN"/>
                    </w:rPr>
                    <w:t>食堂废油脂</w:t>
                  </w:r>
                </w:p>
              </w:tc>
              <w:tc>
                <w:tcPr>
                  <w:tcW w:w="3129" w:type="pct"/>
                  <w:tcBorders>
                    <w:tl2br w:val="nil"/>
                    <w:tr2bl w:val="nil"/>
                  </w:tcBorders>
                  <w:vAlign w:val="center"/>
                </w:tcPr>
                <w:p w14:paraId="19DBE944">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color w:val="auto"/>
                      <w:lang w:eastAsia="zh-CN"/>
                    </w:rPr>
                    <w:t>交</w:t>
                  </w:r>
                  <w:r>
                    <w:rPr>
                      <w:color w:val="auto"/>
                      <w:lang w:eastAsia="zh-CN"/>
                    </w:rPr>
                    <w:t>有资质的单位拉运处理</w:t>
                  </w:r>
                </w:p>
              </w:tc>
              <w:tc>
                <w:tcPr>
                  <w:tcW w:w="407" w:type="pct"/>
                  <w:vMerge w:val="continue"/>
                  <w:tcBorders>
                    <w:tl2br w:val="nil"/>
                    <w:tr2bl w:val="nil"/>
                  </w:tcBorders>
                  <w:vAlign w:val="center"/>
                </w:tcPr>
                <w:p w14:paraId="4ACCB928">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p>
              </w:tc>
            </w:tr>
            <w:tr w14:paraId="0261AD7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48B86945">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p>
              </w:tc>
              <w:tc>
                <w:tcPr>
                  <w:tcW w:w="274" w:type="pct"/>
                  <w:vMerge w:val="continue"/>
                  <w:tcBorders>
                    <w:tl2br w:val="nil"/>
                    <w:tr2bl w:val="nil"/>
                  </w:tcBorders>
                  <w:vAlign w:val="center"/>
                </w:tcPr>
                <w:p w14:paraId="5FFA3411">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p>
              </w:tc>
              <w:tc>
                <w:tcPr>
                  <w:tcW w:w="801" w:type="pct"/>
                  <w:tcBorders>
                    <w:tl2br w:val="nil"/>
                    <w:tr2bl w:val="nil"/>
                  </w:tcBorders>
                  <w:vAlign w:val="center"/>
                </w:tcPr>
                <w:p w14:paraId="17334501">
                  <w:pPr>
                    <w:pStyle w:val="42"/>
                    <w:adjustRightInd w:val="0"/>
                    <w:snapToGrid w:val="0"/>
                    <w:spacing w:line="240" w:lineRule="auto"/>
                    <w:ind w:left="0" w:leftChars="0" w:right="0" w:rightChars="0" w:firstLine="0" w:firstLineChars="0"/>
                    <w:rPr>
                      <w:rFonts w:eastAsia="宋体" w:cs="Times New Roman"/>
                      <w:color w:val="auto"/>
                      <w:szCs w:val="21"/>
                      <w:lang w:eastAsia="zh-CN"/>
                    </w:rPr>
                  </w:pPr>
                  <w:r>
                    <w:rPr>
                      <w:rFonts w:hint="eastAsia" w:eastAsia="宋体" w:cs="Times New Roman"/>
                      <w:color w:val="auto"/>
                      <w:szCs w:val="21"/>
                      <w:lang w:eastAsia="zh-CN"/>
                    </w:rPr>
                    <w:t>生活垃圾</w:t>
                  </w:r>
                </w:p>
              </w:tc>
              <w:tc>
                <w:tcPr>
                  <w:tcW w:w="3129" w:type="pct"/>
                  <w:tcBorders>
                    <w:tl2br w:val="nil"/>
                    <w:tr2bl w:val="nil"/>
                  </w:tcBorders>
                  <w:vAlign w:val="center"/>
                </w:tcPr>
                <w:p w14:paraId="52B5CE86">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r>
                    <w:rPr>
                      <w:rFonts w:hint="eastAsia" w:eastAsia="宋体" w:cs="Times New Roman"/>
                      <w:color w:val="auto"/>
                      <w:szCs w:val="21"/>
                      <w:lang w:eastAsia="zh-CN"/>
                    </w:rPr>
                    <w:t>交环卫部门清运。</w:t>
                  </w:r>
                </w:p>
              </w:tc>
              <w:tc>
                <w:tcPr>
                  <w:tcW w:w="407" w:type="pct"/>
                  <w:vMerge w:val="continue"/>
                  <w:tcBorders>
                    <w:tl2br w:val="nil"/>
                    <w:tr2bl w:val="nil"/>
                  </w:tcBorders>
                  <w:vAlign w:val="center"/>
                </w:tcPr>
                <w:p w14:paraId="28F4CDE7">
                  <w:pPr>
                    <w:pStyle w:val="42"/>
                    <w:adjustRightInd w:val="0"/>
                    <w:snapToGrid w:val="0"/>
                    <w:spacing w:line="240" w:lineRule="auto"/>
                    <w:ind w:left="0" w:leftChars="0" w:right="0" w:rightChars="0" w:firstLine="0" w:firstLineChars="0"/>
                    <w:jc w:val="left"/>
                    <w:rPr>
                      <w:rFonts w:eastAsia="宋体" w:cs="Times New Roman"/>
                      <w:color w:val="auto"/>
                      <w:szCs w:val="21"/>
                      <w:lang w:eastAsia="zh-CN"/>
                    </w:rPr>
                  </w:pPr>
                </w:p>
              </w:tc>
            </w:tr>
          </w:tbl>
          <w:p w14:paraId="68589CE2">
            <w:pPr>
              <w:adjustRightInd w:val="0"/>
              <w:snapToGrid w:val="0"/>
              <w:spacing w:line="440" w:lineRule="exact"/>
              <w:ind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4</w:t>
            </w:r>
            <w:r>
              <w:rPr>
                <w:rFonts w:eastAsia="宋体" w:cs="Times New Roman"/>
                <w:b/>
                <w:color w:val="auto"/>
                <w:sz w:val="24"/>
                <w:szCs w:val="24"/>
                <w:lang w:eastAsia="zh-CN"/>
              </w:rPr>
              <w:t>、产品方案</w:t>
            </w:r>
          </w:p>
          <w:p w14:paraId="6F00E66D">
            <w:pPr>
              <w:adjustRightInd w:val="0"/>
              <w:snapToGrid w:val="0"/>
              <w:spacing w:line="440" w:lineRule="exact"/>
              <w:ind w:firstLine="480"/>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本项目建成实施后全</w:t>
            </w:r>
            <w:r>
              <w:rPr>
                <w:rFonts w:hint="eastAsia" w:ascii="宋体" w:hAnsi="宋体" w:eastAsia="宋体" w:cs="宋体"/>
                <w:color w:val="auto"/>
                <w:spacing w:val="-1"/>
                <w:sz w:val="24"/>
                <w:szCs w:val="24"/>
                <w:lang w:eastAsia="zh-CN"/>
              </w:rPr>
              <w:t>厂产品及产能具体见下表：</w:t>
            </w:r>
          </w:p>
          <w:p w14:paraId="5BF1A402">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 xml:space="preserve">表2-2    </w:t>
            </w:r>
            <w:r>
              <w:rPr>
                <w:rFonts w:hint="eastAsia" w:eastAsia="宋体" w:cs="Times New Roman"/>
                <w:b/>
                <w:bCs/>
                <w:color w:val="auto"/>
                <w:szCs w:val="21"/>
                <w:lang w:eastAsia="zh-CN"/>
              </w:rPr>
              <w:t>本扩建项目实施前、后主要产品及产能</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6"/>
              <w:gridCol w:w="2138"/>
              <w:gridCol w:w="1926"/>
              <w:gridCol w:w="2353"/>
            </w:tblGrid>
            <w:tr w14:paraId="24C693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pct"/>
                  <w:tcBorders>
                    <w:tl2br w:val="nil"/>
                    <w:tr2bl w:val="nil"/>
                  </w:tcBorders>
                  <w:vAlign w:val="center"/>
                </w:tcPr>
                <w:p w14:paraId="304DC532">
                  <w:pPr>
                    <w:adjustRightInd w:val="0"/>
                    <w:snapToGrid w:val="0"/>
                    <w:spacing w:line="240" w:lineRule="auto"/>
                    <w:ind w:firstLine="0" w:firstLineChars="0"/>
                    <w:jc w:val="center"/>
                    <w:rPr>
                      <w:rFonts w:eastAsia="宋体" w:cs="Times New Roman"/>
                      <w:b/>
                      <w:bCs/>
                      <w:color w:val="auto"/>
                      <w:szCs w:val="21"/>
                      <w:lang w:eastAsia="zh-CN"/>
                    </w:rPr>
                  </w:pPr>
                  <w:r>
                    <w:rPr>
                      <w:rFonts w:eastAsia="宋体" w:cs="Times New Roman"/>
                      <w:b/>
                      <w:bCs/>
                      <w:color w:val="auto"/>
                      <w:szCs w:val="21"/>
                      <w:lang w:eastAsia="zh-CN"/>
                    </w:rPr>
                    <w:t>产品名称</w:t>
                  </w:r>
                </w:p>
              </w:tc>
              <w:tc>
                <w:tcPr>
                  <w:tcW w:w="1238" w:type="pct"/>
                  <w:tcBorders>
                    <w:tl2br w:val="nil"/>
                    <w:tr2bl w:val="nil"/>
                  </w:tcBorders>
                  <w:vAlign w:val="center"/>
                </w:tcPr>
                <w:p w14:paraId="2F341C8A">
                  <w:pPr>
                    <w:adjustRightInd w:val="0"/>
                    <w:snapToGrid w:val="0"/>
                    <w:spacing w:line="240" w:lineRule="auto"/>
                    <w:ind w:firstLine="0" w:firstLineChars="0"/>
                    <w:jc w:val="center"/>
                    <w:rPr>
                      <w:rFonts w:eastAsia="宋体" w:cs="Times New Roman"/>
                      <w:b/>
                      <w:bCs/>
                      <w:color w:val="auto"/>
                      <w:szCs w:val="21"/>
                      <w:lang w:eastAsia="zh-CN"/>
                    </w:rPr>
                  </w:pPr>
                  <w:r>
                    <w:rPr>
                      <w:rFonts w:eastAsia="宋体" w:cs="Times New Roman"/>
                      <w:b/>
                      <w:bCs/>
                      <w:color w:val="auto"/>
                      <w:szCs w:val="21"/>
                      <w:lang w:eastAsia="zh-CN"/>
                    </w:rPr>
                    <w:t>现有项目</w:t>
                  </w:r>
                </w:p>
              </w:tc>
              <w:tc>
                <w:tcPr>
                  <w:tcW w:w="1115" w:type="pct"/>
                  <w:tcBorders>
                    <w:tl2br w:val="nil"/>
                    <w:tr2bl w:val="nil"/>
                  </w:tcBorders>
                  <w:vAlign w:val="center"/>
                </w:tcPr>
                <w:p w14:paraId="20DE2C59">
                  <w:pPr>
                    <w:adjustRightInd w:val="0"/>
                    <w:snapToGrid w:val="0"/>
                    <w:spacing w:line="240" w:lineRule="auto"/>
                    <w:ind w:firstLine="0" w:firstLineChars="0"/>
                    <w:jc w:val="center"/>
                    <w:rPr>
                      <w:rFonts w:eastAsia="宋体" w:cs="Times New Roman"/>
                      <w:b/>
                      <w:bCs/>
                      <w:color w:val="auto"/>
                      <w:szCs w:val="21"/>
                      <w:lang w:eastAsia="zh-CN"/>
                    </w:rPr>
                  </w:pPr>
                  <w:r>
                    <w:rPr>
                      <w:rFonts w:eastAsia="宋体" w:cs="Times New Roman"/>
                      <w:b/>
                      <w:bCs/>
                      <w:color w:val="auto"/>
                      <w:szCs w:val="21"/>
                      <w:lang w:eastAsia="zh-CN"/>
                    </w:rPr>
                    <w:t>扩建项目</w:t>
                  </w:r>
                </w:p>
              </w:tc>
              <w:tc>
                <w:tcPr>
                  <w:tcW w:w="1362" w:type="pct"/>
                  <w:tcBorders>
                    <w:tl2br w:val="nil"/>
                    <w:tr2bl w:val="nil"/>
                  </w:tcBorders>
                  <w:vAlign w:val="center"/>
                </w:tcPr>
                <w:p w14:paraId="22F1FC6C">
                  <w:pPr>
                    <w:adjustRightInd w:val="0"/>
                    <w:snapToGrid w:val="0"/>
                    <w:spacing w:line="240" w:lineRule="auto"/>
                    <w:ind w:firstLine="0" w:firstLineChars="0"/>
                    <w:jc w:val="center"/>
                    <w:rPr>
                      <w:rFonts w:eastAsia="宋体" w:cs="Times New Roman"/>
                      <w:b/>
                      <w:bCs/>
                      <w:color w:val="auto"/>
                      <w:szCs w:val="21"/>
                      <w:lang w:eastAsia="zh-CN"/>
                    </w:rPr>
                  </w:pPr>
                  <w:r>
                    <w:rPr>
                      <w:rFonts w:eastAsia="宋体" w:cs="Times New Roman"/>
                      <w:b/>
                      <w:bCs/>
                      <w:color w:val="auto"/>
                      <w:szCs w:val="21"/>
                      <w:lang w:eastAsia="zh-CN"/>
                    </w:rPr>
                    <w:t>扩建后全厂</w:t>
                  </w:r>
                </w:p>
              </w:tc>
            </w:tr>
            <w:tr w14:paraId="683E0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pct"/>
                  <w:tcBorders>
                    <w:tl2br w:val="nil"/>
                    <w:tr2bl w:val="nil"/>
                  </w:tcBorders>
                  <w:vAlign w:val="center"/>
                </w:tcPr>
                <w:p w14:paraId="50EB1699">
                  <w:pPr>
                    <w:adjustRightInd w:val="0"/>
                    <w:snapToGrid w:val="0"/>
                    <w:spacing w:line="240" w:lineRule="auto"/>
                    <w:ind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消火栓箱</w:t>
                  </w:r>
                </w:p>
              </w:tc>
              <w:tc>
                <w:tcPr>
                  <w:tcW w:w="1238" w:type="pct"/>
                  <w:tcBorders>
                    <w:tl2br w:val="nil"/>
                    <w:tr2bl w:val="nil"/>
                  </w:tcBorders>
                  <w:vAlign w:val="center"/>
                </w:tcPr>
                <w:p w14:paraId="6BD20016">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1万套/a</w:t>
                  </w:r>
                </w:p>
              </w:tc>
              <w:tc>
                <w:tcPr>
                  <w:tcW w:w="1115" w:type="pct"/>
                  <w:tcBorders>
                    <w:tl2br w:val="nil"/>
                    <w:tr2bl w:val="nil"/>
                  </w:tcBorders>
                  <w:vAlign w:val="center"/>
                </w:tcPr>
                <w:p w14:paraId="5C56DFE2">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6万套/a</w:t>
                  </w:r>
                </w:p>
              </w:tc>
              <w:tc>
                <w:tcPr>
                  <w:tcW w:w="1362" w:type="pct"/>
                  <w:tcBorders>
                    <w:tl2br w:val="nil"/>
                    <w:tr2bl w:val="nil"/>
                  </w:tcBorders>
                  <w:vAlign w:val="center"/>
                </w:tcPr>
                <w:p w14:paraId="4C2F4576">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7万套/a</w:t>
                  </w:r>
                </w:p>
              </w:tc>
            </w:tr>
            <w:tr w14:paraId="1A85A7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pct"/>
                  <w:tcBorders>
                    <w:tl2br w:val="nil"/>
                    <w:tr2bl w:val="nil"/>
                  </w:tcBorders>
                  <w:vAlign w:val="center"/>
                </w:tcPr>
                <w:p w14:paraId="68744B31">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办公家具柜</w:t>
                  </w:r>
                </w:p>
              </w:tc>
              <w:tc>
                <w:tcPr>
                  <w:tcW w:w="1238" w:type="pct"/>
                  <w:tcBorders>
                    <w:tl2br w:val="nil"/>
                    <w:tr2bl w:val="nil"/>
                  </w:tcBorders>
                  <w:vAlign w:val="center"/>
                </w:tcPr>
                <w:p w14:paraId="6ED9B458">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5万件/a</w:t>
                  </w:r>
                </w:p>
              </w:tc>
              <w:tc>
                <w:tcPr>
                  <w:tcW w:w="1115" w:type="pct"/>
                  <w:tcBorders>
                    <w:tl2br w:val="nil"/>
                    <w:tr2bl w:val="nil"/>
                  </w:tcBorders>
                  <w:vAlign w:val="center"/>
                </w:tcPr>
                <w:p w14:paraId="17DDA0DD">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1万件/a</w:t>
                  </w:r>
                </w:p>
              </w:tc>
              <w:tc>
                <w:tcPr>
                  <w:tcW w:w="1362" w:type="pct"/>
                  <w:tcBorders>
                    <w:tl2br w:val="nil"/>
                    <w:tr2bl w:val="nil"/>
                  </w:tcBorders>
                  <w:vAlign w:val="center"/>
                </w:tcPr>
                <w:p w14:paraId="05620D34">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6万件/a</w:t>
                  </w:r>
                </w:p>
              </w:tc>
            </w:tr>
          </w:tbl>
          <w:p w14:paraId="48206B3C">
            <w:pPr>
              <w:adjustRightInd w:val="0"/>
              <w:snapToGrid w:val="0"/>
              <w:ind w:left="0" w:leftChars="0" w:right="0" w:rightChars="0"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5</w:t>
            </w:r>
            <w:r>
              <w:rPr>
                <w:rFonts w:eastAsia="宋体" w:cs="Times New Roman"/>
                <w:b/>
                <w:color w:val="auto"/>
                <w:sz w:val="24"/>
                <w:szCs w:val="24"/>
                <w:lang w:eastAsia="zh-CN"/>
              </w:rPr>
              <w:t>、项目原辅材料消耗及能源消耗</w:t>
            </w:r>
          </w:p>
          <w:p w14:paraId="2B3BF59D">
            <w:pPr>
              <w:adjustRightInd w:val="0"/>
              <w:snapToGrid w:val="0"/>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rPr>
              <w:t>本</w:t>
            </w:r>
            <w:r>
              <w:rPr>
                <w:rFonts w:eastAsia="宋体" w:cs="Times New Roman"/>
                <w:color w:val="auto"/>
                <w:sz w:val="24"/>
                <w:szCs w:val="24"/>
                <w:lang w:eastAsia="zh-CN"/>
              </w:rPr>
              <w:t>项目</w:t>
            </w:r>
            <w:r>
              <w:rPr>
                <w:rFonts w:hint="eastAsia" w:eastAsia="宋体" w:cs="Times New Roman"/>
                <w:color w:val="auto"/>
                <w:sz w:val="24"/>
                <w:szCs w:val="24"/>
                <w:lang w:eastAsia="zh-CN"/>
              </w:rPr>
              <w:t>建成实施后全厂</w:t>
            </w:r>
            <w:r>
              <w:rPr>
                <w:rFonts w:eastAsia="宋体" w:cs="Times New Roman"/>
                <w:color w:val="auto"/>
                <w:sz w:val="24"/>
                <w:szCs w:val="24"/>
                <w:lang w:eastAsia="zh-CN"/>
              </w:rPr>
              <w:t>原辅材料及能源消耗情况见</w:t>
            </w:r>
            <w:r>
              <w:rPr>
                <w:rFonts w:hint="eastAsia" w:eastAsia="宋体" w:cs="Times New Roman"/>
                <w:color w:val="auto"/>
                <w:sz w:val="24"/>
                <w:szCs w:val="24"/>
                <w:lang w:eastAsia="zh-CN"/>
              </w:rPr>
              <w:t>下</w:t>
            </w:r>
            <w:r>
              <w:rPr>
                <w:rFonts w:eastAsia="宋体" w:cs="Times New Roman"/>
                <w:color w:val="auto"/>
                <w:sz w:val="24"/>
                <w:szCs w:val="24"/>
                <w:lang w:eastAsia="zh-CN"/>
              </w:rPr>
              <w:t>表。</w:t>
            </w:r>
          </w:p>
          <w:p w14:paraId="17AC9C2E">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 xml:space="preserve">表2-3    </w:t>
            </w:r>
            <w:r>
              <w:rPr>
                <w:rFonts w:hint="eastAsia" w:eastAsia="宋体" w:cs="Times New Roman"/>
                <w:b/>
                <w:bCs/>
                <w:color w:val="auto"/>
                <w:szCs w:val="21"/>
                <w:lang w:eastAsia="zh-CN"/>
              </w:rPr>
              <w:t>本扩建</w:t>
            </w:r>
            <w:r>
              <w:rPr>
                <w:rFonts w:eastAsia="宋体" w:cs="Times New Roman"/>
                <w:b/>
                <w:bCs/>
                <w:color w:val="auto"/>
                <w:szCs w:val="21"/>
                <w:lang w:eastAsia="zh-CN"/>
              </w:rPr>
              <w:t>项目原辅材料及能源消耗情况一览表</w:t>
            </w:r>
          </w:p>
          <w:tbl>
            <w:tblPr>
              <w:tblStyle w:val="26"/>
              <w:tblW w:w="4998" w:type="pct"/>
              <w:jc w:val="center"/>
              <w:tblBorders>
                <w:top w:val="single" w:color="auto" w:sz="8" w:space="0"/>
                <w:left w:val="none" w:color="auto" w:sz="0" w:space="0"/>
                <w:bottom w:val="single" w:color="auto" w:sz="4"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508"/>
              <w:gridCol w:w="1515"/>
              <w:gridCol w:w="765"/>
              <w:gridCol w:w="1035"/>
              <w:gridCol w:w="1455"/>
              <w:gridCol w:w="1470"/>
              <w:gridCol w:w="1111"/>
              <w:gridCol w:w="774"/>
            </w:tblGrid>
            <w:tr w14:paraId="2D3BD6A8">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0E6B1D73">
                  <w:pPr>
                    <w:pStyle w:val="43"/>
                    <w:tabs>
                      <w:tab w:val="left" w:pos="851"/>
                      <w:tab w:val="left" w:pos="5961"/>
                      <w:tab w:val="left" w:pos="8975"/>
                    </w:tabs>
                    <w:snapToGrid w:val="0"/>
                    <w:spacing w:before="0"/>
                    <w:rPr>
                      <w:rFonts w:ascii="Times New Roman" w:hAnsi="Times New Roman" w:eastAsia="宋体" w:cs="Times New Roman"/>
                      <w:b/>
                      <w:bCs/>
                      <w:color w:val="auto"/>
                      <w:w w:val="100"/>
                      <w:kern w:val="21"/>
                      <w:sz w:val="21"/>
                      <w:szCs w:val="21"/>
                      <w:lang w:eastAsia="zh-CN"/>
                    </w:rPr>
                  </w:pPr>
                  <w:r>
                    <w:rPr>
                      <w:rFonts w:ascii="Times New Roman" w:hAnsi="Times New Roman" w:eastAsia="宋体" w:cs="Times New Roman"/>
                      <w:b/>
                      <w:bCs/>
                      <w:color w:val="auto"/>
                      <w:w w:val="100"/>
                      <w:kern w:val="21"/>
                      <w:sz w:val="21"/>
                      <w:szCs w:val="21"/>
                      <w:lang w:eastAsia="zh-CN"/>
                    </w:rPr>
                    <w:t>序号</w:t>
                  </w:r>
                </w:p>
              </w:tc>
              <w:tc>
                <w:tcPr>
                  <w:tcW w:w="877" w:type="pct"/>
                  <w:tcBorders>
                    <w:tl2br w:val="nil"/>
                    <w:tr2bl w:val="nil"/>
                  </w:tcBorders>
                  <w:vAlign w:val="center"/>
                </w:tcPr>
                <w:p w14:paraId="17322348">
                  <w:pPr>
                    <w:pStyle w:val="43"/>
                    <w:tabs>
                      <w:tab w:val="left" w:pos="851"/>
                      <w:tab w:val="left" w:pos="5961"/>
                      <w:tab w:val="left" w:pos="8975"/>
                    </w:tabs>
                    <w:snapToGrid w:val="0"/>
                    <w:spacing w:before="0"/>
                    <w:rPr>
                      <w:rFonts w:ascii="Times New Roman" w:hAnsi="Times New Roman" w:eastAsia="宋体" w:cs="Times New Roman"/>
                      <w:b/>
                      <w:bCs/>
                      <w:color w:val="auto"/>
                      <w:w w:val="100"/>
                      <w:kern w:val="21"/>
                      <w:sz w:val="21"/>
                      <w:szCs w:val="21"/>
                      <w:lang w:eastAsia="zh-CN"/>
                    </w:rPr>
                  </w:pPr>
                  <w:r>
                    <w:rPr>
                      <w:rFonts w:ascii="Times New Roman" w:hAnsi="Times New Roman" w:eastAsia="宋体" w:cs="Times New Roman"/>
                      <w:b/>
                      <w:bCs/>
                      <w:color w:val="auto"/>
                      <w:w w:val="100"/>
                      <w:kern w:val="21"/>
                      <w:sz w:val="21"/>
                      <w:szCs w:val="21"/>
                      <w:lang w:eastAsia="zh-CN"/>
                    </w:rPr>
                    <w:t>材料名称</w:t>
                  </w:r>
                </w:p>
              </w:tc>
              <w:tc>
                <w:tcPr>
                  <w:tcW w:w="443" w:type="pct"/>
                  <w:tcBorders>
                    <w:tl2br w:val="nil"/>
                    <w:tr2bl w:val="nil"/>
                  </w:tcBorders>
                  <w:vAlign w:val="center"/>
                </w:tcPr>
                <w:p w14:paraId="284C6362">
                  <w:pPr>
                    <w:pStyle w:val="43"/>
                    <w:tabs>
                      <w:tab w:val="left" w:pos="851"/>
                      <w:tab w:val="left" w:pos="5961"/>
                      <w:tab w:val="left" w:pos="8975"/>
                    </w:tabs>
                    <w:snapToGrid w:val="0"/>
                    <w:spacing w:before="0"/>
                    <w:rPr>
                      <w:rFonts w:ascii="Times New Roman" w:hAnsi="Times New Roman" w:eastAsia="宋体" w:cs="Times New Roman"/>
                      <w:b/>
                      <w:bCs/>
                      <w:color w:val="auto"/>
                      <w:w w:val="100"/>
                      <w:kern w:val="21"/>
                      <w:sz w:val="21"/>
                      <w:szCs w:val="21"/>
                      <w:lang w:eastAsia="zh-CN"/>
                    </w:rPr>
                  </w:pPr>
                  <w:r>
                    <w:rPr>
                      <w:rFonts w:hint="eastAsia" w:ascii="Times New Roman" w:hAnsi="Times New Roman" w:eastAsia="宋体" w:cs="Times New Roman"/>
                      <w:b/>
                      <w:bCs/>
                      <w:color w:val="auto"/>
                      <w:w w:val="100"/>
                      <w:kern w:val="21"/>
                      <w:sz w:val="21"/>
                      <w:szCs w:val="21"/>
                      <w:lang w:eastAsia="zh-CN"/>
                    </w:rPr>
                    <w:t>单位</w:t>
                  </w:r>
                </w:p>
              </w:tc>
              <w:tc>
                <w:tcPr>
                  <w:tcW w:w="599" w:type="pct"/>
                  <w:tcBorders>
                    <w:tl2br w:val="nil"/>
                    <w:tr2bl w:val="nil"/>
                  </w:tcBorders>
                  <w:vAlign w:val="center"/>
                </w:tcPr>
                <w:p w14:paraId="57F654DB">
                  <w:pPr>
                    <w:pStyle w:val="43"/>
                    <w:tabs>
                      <w:tab w:val="left" w:pos="851"/>
                      <w:tab w:val="left" w:pos="5961"/>
                      <w:tab w:val="left" w:pos="8975"/>
                    </w:tabs>
                    <w:snapToGrid w:val="0"/>
                    <w:spacing w:before="0"/>
                    <w:rPr>
                      <w:rFonts w:ascii="Times New Roman" w:hAnsi="Times New Roman" w:eastAsia="宋体" w:cs="Times New Roman"/>
                      <w:b/>
                      <w:bCs/>
                      <w:color w:val="auto"/>
                      <w:w w:val="100"/>
                      <w:kern w:val="21"/>
                      <w:sz w:val="21"/>
                      <w:szCs w:val="21"/>
                      <w:lang w:eastAsia="zh-CN"/>
                    </w:rPr>
                  </w:pPr>
                  <w:r>
                    <w:rPr>
                      <w:rFonts w:hint="eastAsia" w:ascii="Times New Roman" w:hAnsi="Times New Roman" w:eastAsia="宋体" w:cs="Times New Roman"/>
                      <w:b/>
                      <w:bCs/>
                      <w:color w:val="auto"/>
                      <w:w w:val="100"/>
                      <w:kern w:val="21"/>
                      <w:sz w:val="21"/>
                      <w:szCs w:val="21"/>
                      <w:lang w:eastAsia="zh-CN"/>
                    </w:rPr>
                    <w:t>现有项目</w:t>
                  </w:r>
                </w:p>
              </w:tc>
              <w:tc>
                <w:tcPr>
                  <w:tcW w:w="842" w:type="pct"/>
                  <w:tcBorders>
                    <w:tl2br w:val="nil"/>
                    <w:tr2bl w:val="nil"/>
                  </w:tcBorders>
                  <w:vAlign w:val="center"/>
                </w:tcPr>
                <w:p w14:paraId="1AC54FD1">
                  <w:pPr>
                    <w:pStyle w:val="43"/>
                    <w:tabs>
                      <w:tab w:val="left" w:pos="851"/>
                      <w:tab w:val="left" w:pos="5961"/>
                      <w:tab w:val="left" w:pos="8975"/>
                    </w:tabs>
                    <w:snapToGrid w:val="0"/>
                    <w:spacing w:before="0"/>
                    <w:rPr>
                      <w:rFonts w:ascii="Times New Roman" w:hAnsi="Times New Roman" w:eastAsia="宋体" w:cs="Times New Roman"/>
                      <w:b/>
                      <w:bCs/>
                      <w:color w:val="auto"/>
                      <w:kern w:val="21"/>
                      <w:sz w:val="21"/>
                      <w:szCs w:val="21"/>
                      <w:lang w:eastAsia="zh-CN"/>
                    </w:rPr>
                  </w:pPr>
                  <w:r>
                    <w:rPr>
                      <w:rFonts w:hint="eastAsia" w:ascii="Times New Roman" w:hAnsi="Times New Roman" w:eastAsia="宋体" w:cs="Times New Roman"/>
                      <w:b/>
                      <w:bCs/>
                      <w:color w:val="auto"/>
                      <w:w w:val="100"/>
                      <w:kern w:val="21"/>
                      <w:sz w:val="21"/>
                      <w:szCs w:val="21"/>
                      <w:lang w:eastAsia="zh-CN"/>
                    </w:rPr>
                    <w:t>本次扩建项目</w:t>
                  </w:r>
                </w:p>
              </w:tc>
              <w:tc>
                <w:tcPr>
                  <w:tcW w:w="851" w:type="pct"/>
                  <w:tcBorders>
                    <w:tl2br w:val="nil"/>
                    <w:tr2bl w:val="nil"/>
                  </w:tcBorders>
                  <w:vAlign w:val="center"/>
                </w:tcPr>
                <w:p w14:paraId="6654AB05">
                  <w:pPr>
                    <w:pStyle w:val="43"/>
                    <w:tabs>
                      <w:tab w:val="left" w:pos="851"/>
                      <w:tab w:val="left" w:pos="5961"/>
                      <w:tab w:val="left" w:pos="8975"/>
                    </w:tabs>
                    <w:snapToGrid w:val="0"/>
                    <w:spacing w:before="0"/>
                    <w:rPr>
                      <w:rFonts w:ascii="Times New Roman" w:hAnsi="Times New Roman" w:eastAsia="宋体" w:cs="Times New Roman"/>
                      <w:b/>
                      <w:bCs/>
                      <w:color w:val="auto"/>
                      <w:w w:val="100"/>
                      <w:kern w:val="21"/>
                      <w:sz w:val="21"/>
                      <w:szCs w:val="21"/>
                      <w:lang w:eastAsia="zh-CN"/>
                    </w:rPr>
                  </w:pPr>
                  <w:r>
                    <w:rPr>
                      <w:rFonts w:hint="eastAsia" w:ascii="Times New Roman" w:hAnsi="Times New Roman" w:eastAsia="宋体" w:cs="Times New Roman"/>
                      <w:b/>
                      <w:bCs/>
                      <w:color w:val="auto"/>
                      <w:w w:val="100"/>
                      <w:kern w:val="21"/>
                      <w:sz w:val="21"/>
                      <w:szCs w:val="21"/>
                      <w:lang w:eastAsia="zh-CN"/>
                    </w:rPr>
                    <w:t>扩建后全厂</w:t>
                  </w:r>
                </w:p>
              </w:tc>
              <w:tc>
                <w:tcPr>
                  <w:tcW w:w="643" w:type="pct"/>
                  <w:tcBorders>
                    <w:tl2br w:val="nil"/>
                    <w:tr2bl w:val="nil"/>
                  </w:tcBorders>
                  <w:vAlign w:val="center"/>
                </w:tcPr>
                <w:p w14:paraId="22F51213">
                  <w:pPr>
                    <w:pStyle w:val="8"/>
                    <w:adjustRightInd w:val="0"/>
                    <w:snapToGrid w:val="0"/>
                    <w:spacing w:line="240" w:lineRule="auto"/>
                    <w:ind w:firstLine="0" w:firstLineChars="0"/>
                    <w:jc w:val="center"/>
                    <w:rPr>
                      <w:rFonts w:ascii="Times New Roman" w:hAnsi="Times New Roman" w:eastAsia="宋体" w:cs="Times New Roman"/>
                      <w:b/>
                      <w:bCs/>
                      <w:color w:val="auto"/>
                      <w:kern w:val="21"/>
                      <w:sz w:val="21"/>
                      <w:szCs w:val="21"/>
                      <w:lang w:eastAsia="zh-CN"/>
                    </w:rPr>
                  </w:pPr>
                  <w:r>
                    <w:rPr>
                      <w:rFonts w:hint="eastAsia" w:ascii="Times New Roman" w:hAnsi="Times New Roman" w:eastAsia="宋体" w:cs="Times New Roman"/>
                      <w:b/>
                      <w:bCs/>
                      <w:color w:val="auto"/>
                      <w:kern w:val="21"/>
                      <w:sz w:val="21"/>
                      <w:szCs w:val="21"/>
                      <w:lang w:eastAsia="zh-CN"/>
                    </w:rPr>
                    <w:t>扩建前后</w:t>
                  </w:r>
                </w:p>
                <w:p w14:paraId="621329C2">
                  <w:pPr>
                    <w:pStyle w:val="8"/>
                    <w:adjustRightInd w:val="0"/>
                    <w:snapToGrid w:val="0"/>
                    <w:spacing w:line="240" w:lineRule="auto"/>
                    <w:ind w:firstLine="0" w:firstLineChars="0"/>
                    <w:jc w:val="center"/>
                    <w:rPr>
                      <w:rFonts w:ascii="Times New Roman" w:hAnsi="Times New Roman" w:eastAsia="宋体" w:cs="Times New Roman"/>
                      <w:b/>
                      <w:bCs/>
                      <w:color w:val="auto"/>
                      <w:kern w:val="21"/>
                      <w:sz w:val="21"/>
                      <w:szCs w:val="21"/>
                      <w:lang w:eastAsia="zh-CN"/>
                    </w:rPr>
                  </w:pPr>
                  <w:r>
                    <w:rPr>
                      <w:rFonts w:hint="eastAsia" w:ascii="Times New Roman" w:hAnsi="Times New Roman" w:eastAsia="宋体" w:cs="Times New Roman"/>
                      <w:b/>
                      <w:bCs/>
                      <w:color w:val="auto"/>
                      <w:kern w:val="21"/>
                      <w:sz w:val="21"/>
                      <w:szCs w:val="21"/>
                      <w:lang w:eastAsia="zh-CN"/>
                    </w:rPr>
                    <w:t>变化情况</w:t>
                  </w:r>
                </w:p>
              </w:tc>
              <w:tc>
                <w:tcPr>
                  <w:tcW w:w="448" w:type="pct"/>
                  <w:tcBorders>
                    <w:tl2br w:val="nil"/>
                    <w:tr2bl w:val="nil"/>
                  </w:tcBorders>
                  <w:vAlign w:val="center"/>
                </w:tcPr>
                <w:p w14:paraId="128C6887">
                  <w:pPr>
                    <w:pStyle w:val="8"/>
                    <w:adjustRightInd w:val="0"/>
                    <w:snapToGrid w:val="0"/>
                    <w:spacing w:line="240" w:lineRule="auto"/>
                    <w:ind w:firstLine="0" w:firstLineChars="0"/>
                    <w:jc w:val="center"/>
                    <w:rPr>
                      <w:rFonts w:ascii="Times New Roman" w:hAnsi="Times New Roman" w:eastAsia="宋体" w:cs="Times New Roman"/>
                      <w:b/>
                      <w:bCs/>
                      <w:color w:val="auto"/>
                      <w:kern w:val="21"/>
                      <w:sz w:val="21"/>
                      <w:szCs w:val="21"/>
                      <w:lang w:eastAsia="zh-CN"/>
                    </w:rPr>
                  </w:pPr>
                  <w:r>
                    <w:rPr>
                      <w:rFonts w:ascii="Times New Roman" w:hAnsi="Times New Roman" w:eastAsia="宋体" w:cs="Times New Roman"/>
                      <w:b/>
                      <w:bCs/>
                      <w:color w:val="auto"/>
                      <w:kern w:val="21"/>
                      <w:sz w:val="21"/>
                      <w:szCs w:val="21"/>
                      <w:lang w:eastAsia="zh-CN"/>
                    </w:rPr>
                    <w:t>来源</w:t>
                  </w:r>
                </w:p>
              </w:tc>
            </w:tr>
            <w:tr w14:paraId="1924D838">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56420F82">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1</w:t>
                  </w:r>
                </w:p>
              </w:tc>
              <w:tc>
                <w:tcPr>
                  <w:tcW w:w="877" w:type="pct"/>
                  <w:tcBorders>
                    <w:tl2br w:val="nil"/>
                    <w:tr2bl w:val="nil"/>
                  </w:tcBorders>
                  <w:vAlign w:val="center"/>
                </w:tcPr>
                <w:p w14:paraId="279C786C">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eastAsia="zh-CN"/>
                    </w:rPr>
                    <w:t>冷轧板</w:t>
                  </w:r>
                </w:p>
              </w:tc>
              <w:tc>
                <w:tcPr>
                  <w:tcW w:w="443" w:type="pct"/>
                  <w:tcBorders>
                    <w:tl2br w:val="nil"/>
                    <w:tr2bl w:val="nil"/>
                  </w:tcBorders>
                  <w:vAlign w:val="center"/>
                </w:tcPr>
                <w:p w14:paraId="66038B6C">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t/a</w:t>
                  </w:r>
                </w:p>
              </w:tc>
              <w:tc>
                <w:tcPr>
                  <w:tcW w:w="599" w:type="pct"/>
                  <w:tcBorders>
                    <w:tl2br w:val="nil"/>
                    <w:tr2bl w:val="nil"/>
                  </w:tcBorders>
                  <w:vAlign w:val="center"/>
                </w:tcPr>
                <w:p w14:paraId="4FB8FE60">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1400</w:t>
                  </w:r>
                </w:p>
              </w:tc>
              <w:tc>
                <w:tcPr>
                  <w:tcW w:w="842" w:type="pct"/>
                  <w:tcBorders>
                    <w:tl2br w:val="nil"/>
                    <w:tr2bl w:val="nil"/>
                  </w:tcBorders>
                  <w:vAlign w:val="center"/>
                </w:tcPr>
                <w:p w14:paraId="3EAC7C5C">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500</w:t>
                  </w:r>
                </w:p>
              </w:tc>
              <w:tc>
                <w:tcPr>
                  <w:tcW w:w="851" w:type="pct"/>
                  <w:tcBorders>
                    <w:tl2br w:val="nil"/>
                    <w:tr2bl w:val="nil"/>
                  </w:tcBorders>
                  <w:vAlign w:val="center"/>
                </w:tcPr>
                <w:p w14:paraId="4D61FC80">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1900</w:t>
                  </w:r>
                </w:p>
              </w:tc>
              <w:tc>
                <w:tcPr>
                  <w:tcW w:w="643" w:type="pct"/>
                  <w:tcBorders>
                    <w:tl2br w:val="nil"/>
                    <w:tr2bl w:val="nil"/>
                  </w:tcBorders>
                  <w:vAlign w:val="center"/>
                </w:tcPr>
                <w:p w14:paraId="1B552340">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+500</w:t>
                  </w:r>
                </w:p>
              </w:tc>
              <w:tc>
                <w:tcPr>
                  <w:tcW w:w="448" w:type="pct"/>
                  <w:tcBorders>
                    <w:tl2br w:val="nil"/>
                    <w:tr2bl w:val="nil"/>
                  </w:tcBorders>
                  <w:vAlign w:val="center"/>
                </w:tcPr>
                <w:p w14:paraId="70BC07C2">
                  <w:pPr>
                    <w:pStyle w:val="8"/>
                    <w:adjustRightInd w:val="0"/>
                    <w:snapToGrid w:val="0"/>
                    <w:spacing w:before="0" w:line="240" w:lineRule="auto"/>
                    <w:ind w:left="0" w:leftChars="0" w:right="0" w:rightChars="0" w:firstLine="0" w:firstLineChars="0"/>
                    <w:jc w:val="center"/>
                    <w:rPr>
                      <w:rFonts w:ascii="Times New Roman" w:hAnsi="Times New Roman" w:eastAsia="宋体" w:cs="Times New Roman"/>
                      <w:color w:val="auto"/>
                      <w:kern w:val="21"/>
                      <w:sz w:val="21"/>
                      <w:szCs w:val="21"/>
                      <w:lang w:eastAsia="zh-CN"/>
                    </w:rPr>
                  </w:pPr>
                  <w:r>
                    <w:rPr>
                      <w:rFonts w:hint="eastAsia" w:ascii="Times New Roman" w:hAnsi="Times New Roman" w:eastAsia="宋体" w:cs="Times New Roman"/>
                      <w:color w:val="auto"/>
                      <w:kern w:val="21"/>
                      <w:sz w:val="21"/>
                      <w:szCs w:val="21"/>
                      <w:lang w:eastAsia="zh-CN"/>
                    </w:rPr>
                    <w:t>外购</w:t>
                  </w:r>
                </w:p>
              </w:tc>
            </w:tr>
            <w:tr w14:paraId="34774011">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5C4BA62B">
                  <w:pPr>
                    <w:pStyle w:val="43"/>
                    <w:tabs>
                      <w:tab w:val="left" w:pos="851"/>
                      <w:tab w:val="left" w:pos="5961"/>
                      <w:tab w:val="left" w:pos="8975"/>
                    </w:tabs>
                    <w:snapToGrid w:val="0"/>
                    <w:spacing w:before="0"/>
                    <w:rPr>
                      <w:rFonts w:ascii="Times New Roman" w:hAnsi="Times New Roman" w:eastAsia="宋体" w:cs="Times New Roman"/>
                      <w:color w:val="2F35EE"/>
                      <w:w w:val="100"/>
                      <w:kern w:val="21"/>
                      <w:sz w:val="21"/>
                      <w:szCs w:val="21"/>
                      <w:lang w:eastAsia="zh-CN"/>
                    </w:rPr>
                  </w:pPr>
                  <w:r>
                    <w:rPr>
                      <w:rFonts w:hint="eastAsia" w:ascii="Times New Roman" w:hAnsi="Times New Roman" w:eastAsia="宋体" w:cs="Times New Roman"/>
                      <w:color w:val="2F35EE"/>
                      <w:w w:val="100"/>
                      <w:kern w:val="21"/>
                      <w:sz w:val="21"/>
                      <w:szCs w:val="21"/>
                      <w:lang w:eastAsia="zh-CN"/>
                    </w:rPr>
                    <w:t>2</w:t>
                  </w:r>
                </w:p>
              </w:tc>
              <w:tc>
                <w:tcPr>
                  <w:tcW w:w="877" w:type="pct"/>
                  <w:tcBorders>
                    <w:tl2br w:val="nil"/>
                    <w:tr2bl w:val="nil"/>
                  </w:tcBorders>
                  <w:vAlign w:val="center"/>
                </w:tcPr>
                <w:p w14:paraId="073700D1">
                  <w:pPr>
                    <w:spacing w:line="240" w:lineRule="auto"/>
                    <w:ind w:left="0" w:leftChars="0" w:firstLine="0" w:firstLineChars="0"/>
                    <w:jc w:val="center"/>
                    <w:rPr>
                      <w:rFonts w:cs="Times New Roman"/>
                      <w:color w:val="2F35EE"/>
                      <w:szCs w:val="21"/>
                      <w:lang w:eastAsia="zh-CN"/>
                    </w:rPr>
                  </w:pPr>
                  <w:r>
                    <w:rPr>
                      <w:rFonts w:hint="eastAsia" w:cs="Times New Roman"/>
                      <w:color w:val="2F35EE"/>
                      <w:szCs w:val="21"/>
                      <w:lang w:val="en-US" w:eastAsia="zh-CN"/>
                    </w:rPr>
                    <w:t>喷涂</w:t>
                  </w:r>
                  <w:r>
                    <w:rPr>
                      <w:rFonts w:hint="eastAsia" w:cs="Times New Roman"/>
                      <w:color w:val="2F35EE"/>
                      <w:szCs w:val="21"/>
                      <w:lang w:eastAsia="zh-CN"/>
                    </w:rPr>
                    <w:t>塑粉</w:t>
                  </w:r>
                </w:p>
              </w:tc>
              <w:tc>
                <w:tcPr>
                  <w:tcW w:w="443" w:type="pct"/>
                  <w:tcBorders>
                    <w:tl2br w:val="nil"/>
                    <w:tr2bl w:val="nil"/>
                  </w:tcBorders>
                  <w:vAlign w:val="center"/>
                </w:tcPr>
                <w:p w14:paraId="7067B51A">
                  <w:pPr>
                    <w:adjustRightInd w:val="0"/>
                    <w:snapToGrid w:val="0"/>
                    <w:spacing w:line="240" w:lineRule="auto"/>
                    <w:ind w:left="0" w:leftChars="0" w:right="0" w:rightChars="0" w:firstLine="0" w:firstLineChars="0"/>
                    <w:jc w:val="center"/>
                    <w:rPr>
                      <w:rFonts w:eastAsia="宋体" w:cs="Times New Roman"/>
                      <w:color w:val="2F35EE"/>
                      <w:kern w:val="21"/>
                      <w:szCs w:val="21"/>
                      <w:lang w:eastAsia="zh-CN"/>
                    </w:rPr>
                  </w:pPr>
                  <w:r>
                    <w:rPr>
                      <w:rFonts w:hint="eastAsia" w:eastAsia="宋体" w:cs="Times New Roman"/>
                      <w:color w:val="2F35EE"/>
                      <w:kern w:val="21"/>
                      <w:szCs w:val="21"/>
                      <w:lang w:eastAsia="zh-CN"/>
                    </w:rPr>
                    <w:t>t/a</w:t>
                  </w:r>
                </w:p>
              </w:tc>
              <w:tc>
                <w:tcPr>
                  <w:tcW w:w="599" w:type="pct"/>
                  <w:tcBorders>
                    <w:tl2br w:val="nil"/>
                    <w:tr2bl w:val="nil"/>
                  </w:tcBorders>
                  <w:vAlign w:val="center"/>
                </w:tcPr>
                <w:p w14:paraId="4F0D7541">
                  <w:pPr>
                    <w:adjustRightInd w:val="0"/>
                    <w:snapToGrid w:val="0"/>
                    <w:spacing w:line="240" w:lineRule="auto"/>
                    <w:ind w:left="0" w:leftChars="0" w:right="0" w:rightChars="0" w:firstLine="0" w:firstLineChars="0"/>
                    <w:jc w:val="center"/>
                    <w:rPr>
                      <w:rFonts w:hint="default" w:eastAsia="宋体" w:cs="Times New Roman"/>
                      <w:color w:val="2F35EE"/>
                      <w:kern w:val="21"/>
                      <w:szCs w:val="21"/>
                      <w:lang w:val="en-US" w:eastAsia="zh-CN"/>
                    </w:rPr>
                  </w:pPr>
                  <w:r>
                    <w:rPr>
                      <w:rFonts w:hint="eastAsia" w:eastAsia="宋体" w:cs="Times New Roman"/>
                      <w:color w:val="2F35EE"/>
                      <w:kern w:val="21"/>
                      <w:szCs w:val="21"/>
                      <w:lang w:val="en-US" w:eastAsia="zh-CN"/>
                    </w:rPr>
                    <w:t>10</w:t>
                  </w:r>
                </w:p>
              </w:tc>
              <w:tc>
                <w:tcPr>
                  <w:tcW w:w="842" w:type="pct"/>
                  <w:tcBorders>
                    <w:tl2br w:val="nil"/>
                    <w:tr2bl w:val="nil"/>
                  </w:tcBorders>
                  <w:vAlign w:val="center"/>
                </w:tcPr>
                <w:p w14:paraId="70E0EAC1">
                  <w:pPr>
                    <w:adjustRightInd w:val="0"/>
                    <w:snapToGrid w:val="0"/>
                    <w:spacing w:line="240" w:lineRule="auto"/>
                    <w:ind w:left="0" w:leftChars="0" w:right="0" w:rightChars="0" w:firstLine="0" w:firstLineChars="0"/>
                    <w:jc w:val="center"/>
                    <w:rPr>
                      <w:rFonts w:eastAsia="宋体" w:cs="Times New Roman"/>
                      <w:color w:val="2F35EE"/>
                      <w:kern w:val="21"/>
                      <w:szCs w:val="21"/>
                      <w:lang w:eastAsia="zh-CN"/>
                    </w:rPr>
                  </w:pPr>
                  <w:r>
                    <w:rPr>
                      <w:rFonts w:hint="eastAsia" w:eastAsia="宋体" w:cs="Times New Roman"/>
                      <w:color w:val="2F35EE"/>
                      <w:kern w:val="21"/>
                      <w:szCs w:val="21"/>
                      <w:lang w:eastAsia="zh-CN"/>
                    </w:rPr>
                    <w:t>60</w:t>
                  </w:r>
                </w:p>
              </w:tc>
              <w:tc>
                <w:tcPr>
                  <w:tcW w:w="851" w:type="pct"/>
                  <w:tcBorders>
                    <w:tl2br w:val="nil"/>
                    <w:tr2bl w:val="nil"/>
                  </w:tcBorders>
                  <w:vAlign w:val="center"/>
                </w:tcPr>
                <w:p w14:paraId="128AE235">
                  <w:pPr>
                    <w:adjustRightInd w:val="0"/>
                    <w:snapToGrid w:val="0"/>
                    <w:spacing w:line="240" w:lineRule="auto"/>
                    <w:ind w:left="0" w:leftChars="0" w:right="0" w:rightChars="0" w:firstLine="0" w:firstLineChars="0"/>
                    <w:jc w:val="center"/>
                    <w:rPr>
                      <w:rFonts w:hint="default" w:eastAsia="宋体" w:cs="Times New Roman"/>
                      <w:snapToGrid w:val="0"/>
                      <w:color w:val="2F35EE"/>
                      <w:kern w:val="21"/>
                      <w:szCs w:val="21"/>
                      <w:lang w:val="en-US" w:eastAsia="zh-CN"/>
                    </w:rPr>
                  </w:pPr>
                  <w:r>
                    <w:rPr>
                      <w:rFonts w:hint="eastAsia" w:eastAsia="宋体" w:cs="Times New Roman"/>
                      <w:snapToGrid w:val="0"/>
                      <w:color w:val="2F35EE"/>
                      <w:kern w:val="21"/>
                      <w:szCs w:val="21"/>
                      <w:lang w:val="en-US" w:eastAsia="zh-CN"/>
                    </w:rPr>
                    <w:t>70</w:t>
                  </w:r>
                </w:p>
              </w:tc>
              <w:tc>
                <w:tcPr>
                  <w:tcW w:w="643" w:type="pct"/>
                  <w:tcBorders>
                    <w:tl2br w:val="nil"/>
                    <w:tr2bl w:val="nil"/>
                  </w:tcBorders>
                  <w:vAlign w:val="center"/>
                </w:tcPr>
                <w:p w14:paraId="5EB4B157">
                  <w:pPr>
                    <w:adjustRightInd w:val="0"/>
                    <w:snapToGrid w:val="0"/>
                    <w:spacing w:line="240" w:lineRule="auto"/>
                    <w:ind w:left="0" w:leftChars="0" w:right="0" w:rightChars="0" w:firstLine="0" w:firstLineChars="0"/>
                    <w:jc w:val="center"/>
                    <w:rPr>
                      <w:rFonts w:eastAsia="宋体" w:cs="Times New Roman"/>
                      <w:b/>
                      <w:bCs/>
                      <w:color w:val="2F35EE"/>
                      <w:kern w:val="21"/>
                      <w:szCs w:val="21"/>
                      <w:lang w:eastAsia="zh-CN"/>
                    </w:rPr>
                  </w:pPr>
                  <w:r>
                    <w:rPr>
                      <w:rFonts w:hint="eastAsia" w:eastAsia="宋体" w:cs="Times New Roman"/>
                      <w:b/>
                      <w:bCs/>
                      <w:color w:val="2F35EE"/>
                      <w:kern w:val="21"/>
                      <w:szCs w:val="21"/>
                      <w:lang w:eastAsia="zh-CN"/>
                    </w:rPr>
                    <w:t>+60</w:t>
                  </w:r>
                </w:p>
              </w:tc>
              <w:tc>
                <w:tcPr>
                  <w:tcW w:w="448" w:type="pct"/>
                  <w:tcBorders>
                    <w:tl2br w:val="nil"/>
                    <w:tr2bl w:val="nil"/>
                  </w:tcBorders>
                  <w:vAlign w:val="center"/>
                </w:tcPr>
                <w:p w14:paraId="5032D663">
                  <w:pPr>
                    <w:adjustRightInd w:val="0"/>
                    <w:snapToGrid w:val="0"/>
                    <w:spacing w:line="240" w:lineRule="auto"/>
                    <w:ind w:left="0" w:leftChars="0" w:right="0" w:rightChars="0" w:firstLine="0" w:firstLineChars="0"/>
                    <w:jc w:val="center"/>
                    <w:rPr>
                      <w:rFonts w:eastAsia="宋体" w:cs="Times New Roman"/>
                      <w:color w:val="2F35EE"/>
                      <w:kern w:val="21"/>
                      <w:szCs w:val="21"/>
                      <w:lang w:eastAsia="zh-CN"/>
                    </w:rPr>
                  </w:pPr>
                  <w:r>
                    <w:rPr>
                      <w:rFonts w:hint="eastAsia" w:eastAsia="宋体" w:cs="Times New Roman"/>
                      <w:color w:val="2F35EE"/>
                      <w:kern w:val="21"/>
                      <w:szCs w:val="21"/>
                      <w:lang w:eastAsia="zh-CN"/>
                    </w:rPr>
                    <w:t>外购</w:t>
                  </w:r>
                </w:p>
              </w:tc>
            </w:tr>
            <w:tr w14:paraId="4F7A2024">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79D6644A">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3</w:t>
                  </w:r>
                </w:p>
              </w:tc>
              <w:tc>
                <w:tcPr>
                  <w:tcW w:w="877" w:type="pct"/>
                  <w:tcBorders>
                    <w:tl2br w:val="nil"/>
                    <w:tr2bl w:val="nil"/>
                  </w:tcBorders>
                  <w:vAlign w:val="center"/>
                </w:tcPr>
                <w:p w14:paraId="1125B6CA">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eastAsia="zh-CN"/>
                    </w:rPr>
                    <w:t>铝合金管</w:t>
                  </w:r>
                </w:p>
              </w:tc>
              <w:tc>
                <w:tcPr>
                  <w:tcW w:w="443" w:type="pct"/>
                  <w:tcBorders>
                    <w:tl2br w:val="nil"/>
                    <w:tr2bl w:val="nil"/>
                  </w:tcBorders>
                  <w:vAlign w:val="center"/>
                </w:tcPr>
                <w:p w14:paraId="7B3632A4">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根/a</w:t>
                  </w:r>
                </w:p>
              </w:tc>
              <w:tc>
                <w:tcPr>
                  <w:tcW w:w="599" w:type="pct"/>
                  <w:tcBorders>
                    <w:tl2br w:val="nil"/>
                    <w:tr2bl w:val="nil"/>
                  </w:tcBorders>
                  <w:vAlign w:val="center"/>
                </w:tcPr>
                <w:p w14:paraId="71467207">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80000</w:t>
                  </w:r>
                </w:p>
              </w:tc>
              <w:tc>
                <w:tcPr>
                  <w:tcW w:w="842" w:type="pct"/>
                  <w:tcBorders>
                    <w:tl2br w:val="nil"/>
                    <w:tr2bl w:val="nil"/>
                  </w:tcBorders>
                  <w:vAlign w:val="center"/>
                </w:tcPr>
                <w:p w14:paraId="22D6B4EF">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20000</w:t>
                  </w:r>
                </w:p>
              </w:tc>
              <w:tc>
                <w:tcPr>
                  <w:tcW w:w="851" w:type="pct"/>
                  <w:tcBorders>
                    <w:tl2br w:val="nil"/>
                    <w:tr2bl w:val="nil"/>
                  </w:tcBorders>
                  <w:vAlign w:val="center"/>
                </w:tcPr>
                <w:p w14:paraId="2005CDCC">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100000</w:t>
                  </w:r>
                </w:p>
              </w:tc>
              <w:tc>
                <w:tcPr>
                  <w:tcW w:w="643" w:type="pct"/>
                  <w:tcBorders>
                    <w:tl2br w:val="nil"/>
                    <w:tr2bl w:val="nil"/>
                  </w:tcBorders>
                  <w:vAlign w:val="center"/>
                </w:tcPr>
                <w:p w14:paraId="672ABB89">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+20000</w:t>
                  </w:r>
                </w:p>
              </w:tc>
              <w:tc>
                <w:tcPr>
                  <w:tcW w:w="448" w:type="pct"/>
                  <w:tcBorders>
                    <w:tl2br w:val="nil"/>
                    <w:tr2bl w:val="nil"/>
                  </w:tcBorders>
                  <w:vAlign w:val="center"/>
                </w:tcPr>
                <w:p w14:paraId="392C66B6">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2AF49150">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6BE1B875">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4</w:t>
                  </w:r>
                </w:p>
              </w:tc>
              <w:tc>
                <w:tcPr>
                  <w:tcW w:w="877" w:type="pct"/>
                  <w:tcBorders>
                    <w:tl2br w:val="nil"/>
                    <w:tr2bl w:val="nil"/>
                  </w:tcBorders>
                  <w:vAlign w:val="center"/>
                </w:tcPr>
                <w:p w14:paraId="70445547">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eastAsia="zh-CN"/>
                    </w:rPr>
                    <w:t>玻璃</w:t>
                  </w:r>
                </w:p>
              </w:tc>
              <w:tc>
                <w:tcPr>
                  <w:tcW w:w="443" w:type="pct"/>
                  <w:tcBorders>
                    <w:tl2br w:val="nil"/>
                    <w:tr2bl w:val="nil"/>
                  </w:tcBorders>
                  <w:vAlign w:val="center"/>
                </w:tcPr>
                <w:p w14:paraId="3C6B0DA2">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t/a</w:t>
                  </w:r>
                </w:p>
              </w:tc>
              <w:tc>
                <w:tcPr>
                  <w:tcW w:w="599" w:type="pct"/>
                  <w:tcBorders>
                    <w:tl2br w:val="nil"/>
                    <w:tr2bl w:val="nil"/>
                  </w:tcBorders>
                  <w:vAlign w:val="center"/>
                </w:tcPr>
                <w:p w14:paraId="712DABDA">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40000</w:t>
                  </w:r>
                </w:p>
              </w:tc>
              <w:tc>
                <w:tcPr>
                  <w:tcW w:w="842" w:type="pct"/>
                  <w:tcBorders>
                    <w:tl2br w:val="nil"/>
                    <w:tr2bl w:val="nil"/>
                  </w:tcBorders>
                  <w:vAlign w:val="center"/>
                </w:tcPr>
                <w:p w14:paraId="721636B8">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10000</w:t>
                  </w:r>
                </w:p>
              </w:tc>
              <w:tc>
                <w:tcPr>
                  <w:tcW w:w="851" w:type="pct"/>
                  <w:tcBorders>
                    <w:tl2br w:val="nil"/>
                    <w:tr2bl w:val="nil"/>
                  </w:tcBorders>
                  <w:vAlign w:val="center"/>
                </w:tcPr>
                <w:p w14:paraId="29D2CF08">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50000</w:t>
                  </w:r>
                </w:p>
              </w:tc>
              <w:tc>
                <w:tcPr>
                  <w:tcW w:w="643" w:type="pct"/>
                  <w:tcBorders>
                    <w:tl2br w:val="nil"/>
                    <w:tr2bl w:val="nil"/>
                  </w:tcBorders>
                  <w:vAlign w:val="center"/>
                </w:tcPr>
                <w:p w14:paraId="009CEFC0">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+10000</w:t>
                  </w:r>
                </w:p>
              </w:tc>
              <w:tc>
                <w:tcPr>
                  <w:tcW w:w="448" w:type="pct"/>
                  <w:tcBorders>
                    <w:tl2br w:val="nil"/>
                    <w:tr2bl w:val="nil"/>
                  </w:tcBorders>
                  <w:vAlign w:val="center"/>
                </w:tcPr>
                <w:p w14:paraId="4B51D009">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3570D6A8">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vMerge w:val="restart"/>
                  <w:tcBorders>
                    <w:tl2br w:val="nil"/>
                    <w:tr2bl w:val="nil"/>
                  </w:tcBorders>
                  <w:vAlign w:val="center"/>
                </w:tcPr>
                <w:p w14:paraId="423511BC">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5</w:t>
                  </w:r>
                </w:p>
              </w:tc>
              <w:tc>
                <w:tcPr>
                  <w:tcW w:w="877" w:type="pct"/>
                  <w:tcBorders>
                    <w:tl2br w:val="nil"/>
                    <w:tr2bl w:val="nil"/>
                  </w:tcBorders>
                  <w:vAlign w:val="center"/>
                </w:tcPr>
                <w:p w14:paraId="5B4851D2">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eastAsia="zh-CN"/>
                    </w:rPr>
                    <w:t>丝印油墨</w:t>
                  </w:r>
                </w:p>
                <w:p w14:paraId="556A7E99">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eastAsia="zh-CN"/>
                    </w:rPr>
                    <w:t>（非溶剂型）</w:t>
                  </w:r>
                </w:p>
              </w:tc>
              <w:tc>
                <w:tcPr>
                  <w:tcW w:w="443" w:type="pct"/>
                  <w:tcBorders>
                    <w:tl2br w:val="nil"/>
                    <w:tr2bl w:val="nil"/>
                  </w:tcBorders>
                  <w:vAlign w:val="center"/>
                </w:tcPr>
                <w:p w14:paraId="2F7FA10A">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kg</w:t>
                  </w:r>
                </w:p>
              </w:tc>
              <w:tc>
                <w:tcPr>
                  <w:tcW w:w="599" w:type="pct"/>
                  <w:tcBorders>
                    <w:tl2br w:val="nil"/>
                    <w:tr2bl w:val="nil"/>
                  </w:tcBorders>
                  <w:vAlign w:val="center"/>
                </w:tcPr>
                <w:p w14:paraId="0EBFE47E">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35</w:t>
                  </w:r>
                </w:p>
              </w:tc>
              <w:tc>
                <w:tcPr>
                  <w:tcW w:w="842" w:type="pct"/>
                  <w:tcBorders>
                    <w:tl2br w:val="nil"/>
                    <w:tr2bl w:val="nil"/>
                  </w:tcBorders>
                  <w:vAlign w:val="center"/>
                </w:tcPr>
                <w:p w14:paraId="35949BDA">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0</w:t>
                  </w:r>
                </w:p>
              </w:tc>
              <w:tc>
                <w:tcPr>
                  <w:tcW w:w="851" w:type="pct"/>
                  <w:tcBorders>
                    <w:tl2br w:val="nil"/>
                    <w:tr2bl w:val="nil"/>
                  </w:tcBorders>
                  <w:vAlign w:val="center"/>
                </w:tcPr>
                <w:p w14:paraId="74E27565">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35</w:t>
                  </w:r>
                </w:p>
              </w:tc>
              <w:tc>
                <w:tcPr>
                  <w:tcW w:w="643" w:type="pct"/>
                  <w:tcBorders>
                    <w:tl2br w:val="nil"/>
                    <w:tr2bl w:val="nil"/>
                  </w:tcBorders>
                  <w:vAlign w:val="center"/>
                </w:tcPr>
                <w:p w14:paraId="03EAEBA8">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+0</w:t>
                  </w:r>
                </w:p>
              </w:tc>
              <w:tc>
                <w:tcPr>
                  <w:tcW w:w="448" w:type="pct"/>
                  <w:tcBorders>
                    <w:tl2br w:val="nil"/>
                    <w:tr2bl w:val="nil"/>
                  </w:tcBorders>
                  <w:vAlign w:val="center"/>
                </w:tcPr>
                <w:p w14:paraId="7C3660AD">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70781FAB">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vMerge w:val="continue"/>
                  <w:tcBorders>
                    <w:tl2br w:val="nil"/>
                    <w:tr2bl w:val="nil"/>
                  </w:tcBorders>
                  <w:vAlign w:val="center"/>
                </w:tcPr>
                <w:p w14:paraId="60A9F572">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bookmarkStart w:id="3" w:name="_Toc29017"/>
                  <w:bookmarkStart w:id="4" w:name="_Toc25066"/>
                </w:p>
              </w:tc>
              <w:tc>
                <w:tcPr>
                  <w:tcW w:w="877" w:type="pct"/>
                  <w:tcBorders>
                    <w:tl2br w:val="nil"/>
                    <w:tr2bl w:val="nil"/>
                  </w:tcBorders>
                  <w:vAlign w:val="center"/>
                </w:tcPr>
                <w:p w14:paraId="561256E8">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eastAsia="zh-CN"/>
                    </w:rPr>
                    <w:t>丝印油墨</w:t>
                  </w:r>
                </w:p>
                <w:p w14:paraId="325FD931">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eastAsia="zh-CN"/>
                    </w:rPr>
                    <w:t>（溶剂型）</w:t>
                  </w:r>
                </w:p>
              </w:tc>
              <w:tc>
                <w:tcPr>
                  <w:tcW w:w="443" w:type="pct"/>
                  <w:tcBorders>
                    <w:tl2br w:val="nil"/>
                    <w:tr2bl w:val="nil"/>
                  </w:tcBorders>
                  <w:vAlign w:val="center"/>
                </w:tcPr>
                <w:p w14:paraId="03FDD899">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kg</w:t>
                  </w:r>
                </w:p>
              </w:tc>
              <w:tc>
                <w:tcPr>
                  <w:tcW w:w="599" w:type="pct"/>
                  <w:tcBorders>
                    <w:tl2br w:val="nil"/>
                    <w:tr2bl w:val="nil"/>
                  </w:tcBorders>
                  <w:vAlign w:val="center"/>
                </w:tcPr>
                <w:p w14:paraId="33C26F32">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0</w:t>
                  </w:r>
                </w:p>
              </w:tc>
              <w:tc>
                <w:tcPr>
                  <w:tcW w:w="842" w:type="pct"/>
                  <w:tcBorders>
                    <w:tl2br w:val="nil"/>
                    <w:tr2bl w:val="nil"/>
                  </w:tcBorders>
                  <w:vAlign w:val="center"/>
                </w:tcPr>
                <w:p w14:paraId="55AB2A14">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100</w:t>
                  </w:r>
                </w:p>
              </w:tc>
              <w:tc>
                <w:tcPr>
                  <w:tcW w:w="851" w:type="pct"/>
                  <w:tcBorders>
                    <w:tl2br w:val="nil"/>
                    <w:tr2bl w:val="nil"/>
                  </w:tcBorders>
                  <w:vAlign w:val="center"/>
                </w:tcPr>
                <w:p w14:paraId="10C81243">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100</w:t>
                  </w:r>
                </w:p>
              </w:tc>
              <w:tc>
                <w:tcPr>
                  <w:tcW w:w="643" w:type="pct"/>
                  <w:tcBorders>
                    <w:tl2br w:val="nil"/>
                    <w:tr2bl w:val="nil"/>
                  </w:tcBorders>
                  <w:vAlign w:val="center"/>
                </w:tcPr>
                <w:p w14:paraId="75378133">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+100</w:t>
                  </w:r>
                </w:p>
              </w:tc>
              <w:tc>
                <w:tcPr>
                  <w:tcW w:w="448" w:type="pct"/>
                  <w:tcBorders>
                    <w:tl2br w:val="nil"/>
                    <w:tr2bl w:val="nil"/>
                  </w:tcBorders>
                  <w:vAlign w:val="center"/>
                </w:tcPr>
                <w:p w14:paraId="359CFFA2">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74E2FA3E">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2FBF02A4">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6</w:t>
                  </w:r>
                </w:p>
              </w:tc>
              <w:tc>
                <w:tcPr>
                  <w:tcW w:w="877" w:type="pct"/>
                  <w:tcBorders>
                    <w:tl2br w:val="nil"/>
                    <w:tr2bl w:val="nil"/>
                  </w:tcBorders>
                  <w:vAlign w:val="center"/>
                </w:tcPr>
                <w:p w14:paraId="77E62D37">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val="en-US" w:eastAsia="zh-CN"/>
                    </w:rPr>
                    <w:t>稀释剂</w:t>
                  </w:r>
                </w:p>
              </w:tc>
              <w:tc>
                <w:tcPr>
                  <w:tcW w:w="443" w:type="pct"/>
                  <w:tcBorders>
                    <w:tl2br w:val="nil"/>
                    <w:tr2bl w:val="nil"/>
                  </w:tcBorders>
                  <w:vAlign w:val="center"/>
                </w:tcPr>
                <w:p w14:paraId="52D2EF35">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kg</w:t>
                  </w:r>
                </w:p>
              </w:tc>
              <w:tc>
                <w:tcPr>
                  <w:tcW w:w="599" w:type="pct"/>
                  <w:tcBorders>
                    <w:tl2br w:val="nil"/>
                    <w:tr2bl w:val="nil"/>
                  </w:tcBorders>
                  <w:vAlign w:val="center"/>
                </w:tcPr>
                <w:p w14:paraId="59C319F1">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0</w:t>
                  </w:r>
                </w:p>
              </w:tc>
              <w:tc>
                <w:tcPr>
                  <w:tcW w:w="842" w:type="pct"/>
                  <w:tcBorders>
                    <w:tl2br w:val="nil"/>
                    <w:tr2bl w:val="nil"/>
                  </w:tcBorders>
                  <w:vAlign w:val="center"/>
                </w:tcPr>
                <w:p w14:paraId="1A37E648">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w:t>
                  </w:r>
                </w:p>
              </w:tc>
              <w:tc>
                <w:tcPr>
                  <w:tcW w:w="851" w:type="pct"/>
                  <w:tcBorders>
                    <w:tl2br w:val="nil"/>
                    <w:tr2bl w:val="nil"/>
                  </w:tcBorders>
                  <w:vAlign w:val="center"/>
                </w:tcPr>
                <w:p w14:paraId="4998631F">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w:t>
                  </w:r>
                </w:p>
              </w:tc>
              <w:tc>
                <w:tcPr>
                  <w:tcW w:w="643" w:type="pct"/>
                  <w:tcBorders>
                    <w:tl2br w:val="nil"/>
                    <w:tr2bl w:val="nil"/>
                  </w:tcBorders>
                  <w:vAlign w:val="center"/>
                </w:tcPr>
                <w:p w14:paraId="7F82DDB2">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+10</w:t>
                  </w:r>
                </w:p>
              </w:tc>
              <w:tc>
                <w:tcPr>
                  <w:tcW w:w="448" w:type="pct"/>
                  <w:tcBorders>
                    <w:tl2br w:val="nil"/>
                    <w:tr2bl w:val="nil"/>
                  </w:tcBorders>
                  <w:vAlign w:val="center"/>
                </w:tcPr>
                <w:p w14:paraId="2BCBD706">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09716B4D">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06DACCD3">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7</w:t>
                  </w:r>
                </w:p>
              </w:tc>
              <w:tc>
                <w:tcPr>
                  <w:tcW w:w="877" w:type="pct"/>
                  <w:tcBorders>
                    <w:tl2br w:val="nil"/>
                    <w:tr2bl w:val="nil"/>
                  </w:tcBorders>
                  <w:vAlign w:val="center"/>
                </w:tcPr>
                <w:p w14:paraId="0AC8CC3E">
                  <w:pPr>
                    <w:spacing w:line="240" w:lineRule="auto"/>
                    <w:ind w:left="0" w:leftChars="0" w:firstLine="0" w:firstLineChars="0"/>
                    <w:jc w:val="center"/>
                    <w:rPr>
                      <w:rFonts w:cs="Times New Roman"/>
                      <w:color w:val="auto"/>
                      <w:szCs w:val="21"/>
                      <w:lang w:eastAsia="zh-CN"/>
                    </w:rPr>
                  </w:pPr>
                  <w:r>
                    <w:rPr>
                      <w:rFonts w:hint="eastAsia" w:cs="Times New Roman"/>
                      <w:color w:val="auto"/>
                      <w:szCs w:val="21"/>
                      <w:lang w:eastAsia="zh-CN"/>
                    </w:rPr>
                    <w:t>玻璃胶</w:t>
                  </w:r>
                </w:p>
              </w:tc>
              <w:tc>
                <w:tcPr>
                  <w:tcW w:w="443" w:type="pct"/>
                  <w:tcBorders>
                    <w:tl2br w:val="nil"/>
                    <w:tr2bl w:val="nil"/>
                  </w:tcBorders>
                  <w:vAlign w:val="center"/>
                </w:tcPr>
                <w:p w14:paraId="7A649B49">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箱</w:t>
                  </w:r>
                </w:p>
              </w:tc>
              <w:tc>
                <w:tcPr>
                  <w:tcW w:w="599" w:type="pct"/>
                  <w:tcBorders>
                    <w:tl2br w:val="nil"/>
                    <w:tr2bl w:val="nil"/>
                  </w:tcBorders>
                  <w:vAlign w:val="center"/>
                </w:tcPr>
                <w:p w14:paraId="6A7457E0">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80</w:t>
                  </w:r>
                </w:p>
              </w:tc>
              <w:tc>
                <w:tcPr>
                  <w:tcW w:w="842" w:type="pct"/>
                  <w:tcBorders>
                    <w:tl2br w:val="nil"/>
                    <w:tr2bl w:val="nil"/>
                  </w:tcBorders>
                  <w:vAlign w:val="center"/>
                </w:tcPr>
                <w:p w14:paraId="0B04619B">
                  <w:pPr>
                    <w:adjustRightInd w:val="0"/>
                    <w:snapToGrid w:val="0"/>
                    <w:spacing w:line="240" w:lineRule="auto"/>
                    <w:ind w:left="0" w:leftChars="0" w:right="0" w:rightChars="0" w:firstLine="0" w:firstLineChars="0"/>
                    <w:jc w:val="center"/>
                    <w:rPr>
                      <w:rFonts w:hint="default" w:eastAsia="宋体" w:cs="Times New Roman"/>
                      <w:color w:val="auto"/>
                      <w:kern w:val="21"/>
                      <w:szCs w:val="21"/>
                      <w:lang w:val="en-US" w:eastAsia="zh-CN"/>
                    </w:rPr>
                  </w:pPr>
                  <w:r>
                    <w:rPr>
                      <w:rFonts w:hint="eastAsia" w:eastAsia="宋体" w:cs="Times New Roman"/>
                      <w:color w:val="auto"/>
                      <w:kern w:val="21"/>
                      <w:szCs w:val="21"/>
                      <w:lang w:val="en-US" w:eastAsia="zh-CN"/>
                    </w:rPr>
                    <w:t>0</w:t>
                  </w:r>
                </w:p>
              </w:tc>
              <w:tc>
                <w:tcPr>
                  <w:tcW w:w="851" w:type="pct"/>
                  <w:tcBorders>
                    <w:tl2br w:val="nil"/>
                    <w:tr2bl w:val="nil"/>
                  </w:tcBorders>
                  <w:vAlign w:val="center"/>
                </w:tcPr>
                <w:p w14:paraId="438B672F">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80</w:t>
                  </w:r>
                </w:p>
              </w:tc>
              <w:tc>
                <w:tcPr>
                  <w:tcW w:w="643" w:type="pct"/>
                  <w:tcBorders>
                    <w:tl2br w:val="nil"/>
                    <w:tr2bl w:val="nil"/>
                  </w:tcBorders>
                  <w:vAlign w:val="center"/>
                </w:tcPr>
                <w:p w14:paraId="69DD1646">
                  <w:pPr>
                    <w:adjustRightInd w:val="0"/>
                    <w:snapToGrid w:val="0"/>
                    <w:spacing w:line="240" w:lineRule="auto"/>
                    <w:ind w:left="0" w:leftChars="0" w:right="0" w:rightChars="0" w:firstLine="0" w:firstLineChars="0"/>
                    <w:jc w:val="center"/>
                    <w:rPr>
                      <w:rFonts w:hint="default" w:eastAsia="宋体" w:cs="Times New Roman"/>
                      <w:b/>
                      <w:bCs/>
                      <w:color w:val="auto"/>
                      <w:kern w:val="21"/>
                      <w:szCs w:val="21"/>
                      <w:lang w:val="en-US" w:eastAsia="zh-CN"/>
                    </w:rPr>
                  </w:pPr>
                  <w:r>
                    <w:rPr>
                      <w:rFonts w:hint="eastAsia" w:eastAsia="宋体" w:cs="Times New Roman"/>
                      <w:b/>
                      <w:bCs/>
                      <w:color w:val="auto"/>
                      <w:kern w:val="21"/>
                      <w:szCs w:val="21"/>
                      <w:lang w:eastAsia="zh-CN"/>
                    </w:rPr>
                    <w:t>+</w:t>
                  </w:r>
                  <w:r>
                    <w:rPr>
                      <w:rFonts w:hint="eastAsia" w:eastAsia="宋体" w:cs="Times New Roman"/>
                      <w:b/>
                      <w:bCs/>
                      <w:color w:val="auto"/>
                      <w:kern w:val="21"/>
                      <w:szCs w:val="21"/>
                      <w:lang w:val="en-US" w:eastAsia="zh-CN"/>
                    </w:rPr>
                    <w:t>0</w:t>
                  </w:r>
                </w:p>
              </w:tc>
              <w:tc>
                <w:tcPr>
                  <w:tcW w:w="448" w:type="pct"/>
                  <w:tcBorders>
                    <w:tl2br w:val="nil"/>
                    <w:tr2bl w:val="nil"/>
                  </w:tcBorders>
                  <w:vAlign w:val="center"/>
                </w:tcPr>
                <w:p w14:paraId="58ADF293">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19150C42">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21A800DD">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8</w:t>
                  </w:r>
                </w:p>
              </w:tc>
              <w:tc>
                <w:tcPr>
                  <w:tcW w:w="877" w:type="pct"/>
                  <w:tcBorders>
                    <w:tl2br w:val="nil"/>
                    <w:tr2bl w:val="nil"/>
                  </w:tcBorders>
                  <w:vAlign w:val="center"/>
                </w:tcPr>
                <w:p w14:paraId="66045836">
                  <w:pPr>
                    <w:spacing w:line="240" w:lineRule="auto"/>
                    <w:ind w:left="0" w:leftChars="0" w:firstLine="0" w:firstLineChars="0"/>
                    <w:jc w:val="center"/>
                    <w:rPr>
                      <w:rFonts w:cs="Times New Roman"/>
                      <w:bCs/>
                      <w:color w:val="auto"/>
                      <w:szCs w:val="21"/>
                      <w:lang w:eastAsia="zh-CN"/>
                    </w:rPr>
                  </w:pPr>
                  <w:r>
                    <w:rPr>
                      <w:rFonts w:hint="eastAsia" w:cs="Times New Roman"/>
                      <w:bCs/>
                      <w:color w:val="auto"/>
                      <w:szCs w:val="21"/>
                      <w:lang w:eastAsia="zh-CN"/>
                    </w:rPr>
                    <w:t>商标贴纸</w:t>
                  </w:r>
                </w:p>
              </w:tc>
              <w:tc>
                <w:tcPr>
                  <w:tcW w:w="443" w:type="pct"/>
                  <w:tcBorders>
                    <w:tl2br w:val="nil"/>
                    <w:tr2bl w:val="nil"/>
                  </w:tcBorders>
                  <w:vAlign w:val="center"/>
                </w:tcPr>
                <w:p w14:paraId="5A671129">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套/a</w:t>
                  </w:r>
                </w:p>
              </w:tc>
              <w:tc>
                <w:tcPr>
                  <w:tcW w:w="599" w:type="pct"/>
                  <w:tcBorders>
                    <w:tl2br w:val="nil"/>
                    <w:tr2bl w:val="nil"/>
                  </w:tcBorders>
                  <w:vAlign w:val="center"/>
                </w:tcPr>
                <w:p w14:paraId="03F43A55">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50000</w:t>
                  </w:r>
                </w:p>
              </w:tc>
              <w:tc>
                <w:tcPr>
                  <w:tcW w:w="842" w:type="pct"/>
                  <w:tcBorders>
                    <w:tl2br w:val="nil"/>
                    <w:tr2bl w:val="nil"/>
                  </w:tcBorders>
                  <w:vAlign w:val="center"/>
                </w:tcPr>
                <w:p w14:paraId="115C524D">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10000</w:t>
                  </w:r>
                </w:p>
              </w:tc>
              <w:tc>
                <w:tcPr>
                  <w:tcW w:w="851" w:type="pct"/>
                  <w:tcBorders>
                    <w:tl2br w:val="nil"/>
                    <w:tr2bl w:val="nil"/>
                  </w:tcBorders>
                  <w:vAlign w:val="center"/>
                </w:tcPr>
                <w:p w14:paraId="5C5B8653">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60000</w:t>
                  </w:r>
                </w:p>
              </w:tc>
              <w:tc>
                <w:tcPr>
                  <w:tcW w:w="643" w:type="pct"/>
                  <w:tcBorders>
                    <w:tl2br w:val="nil"/>
                    <w:tr2bl w:val="nil"/>
                  </w:tcBorders>
                  <w:vAlign w:val="center"/>
                </w:tcPr>
                <w:p w14:paraId="601B8EC0">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+10000</w:t>
                  </w:r>
                </w:p>
              </w:tc>
              <w:tc>
                <w:tcPr>
                  <w:tcW w:w="448" w:type="pct"/>
                  <w:tcBorders>
                    <w:tl2br w:val="nil"/>
                    <w:tr2bl w:val="nil"/>
                  </w:tcBorders>
                  <w:vAlign w:val="center"/>
                </w:tcPr>
                <w:p w14:paraId="68E6A92B">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794B1873">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47E15F95">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9</w:t>
                  </w:r>
                </w:p>
              </w:tc>
              <w:tc>
                <w:tcPr>
                  <w:tcW w:w="877" w:type="pct"/>
                  <w:tcBorders>
                    <w:tl2br w:val="nil"/>
                    <w:tr2bl w:val="nil"/>
                  </w:tcBorders>
                  <w:vAlign w:val="center"/>
                </w:tcPr>
                <w:p w14:paraId="7A19A3A1">
                  <w:pPr>
                    <w:spacing w:line="240" w:lineRule="auto"/>
                    <w:ind w:left="0" w:leftChars="0" w:firstLine="0" w:firstLineChars="0"/>
                    <w:jc w:val="center"/>
                    <w:rPr>
                      <w:rFonts w:cs="Times New Roman"/>
                      <w:bCs/>
                      <w:color w:val="auto"/>
                      <w:szCs w:val="21"/>
                      <w:lang w:eastAsia="zh-CN"/>
                    </w:rPr>
                  </w:pPr>
                  <w:r>
                    <w:rPr>
                      <w:rFonts w:hint="eastAsia" w:cs="Times New Roman"/>
                      <w:bCs/>
                      <w:color w:val="auto"/>
                      <w:szCs w:val="21"/>
                      <w:lang w:eastAsia="zh-CN"/>
                    </w:rPr>
                    <w:t>合页</w:t>
                  </w:r>
                </w:p>
              </w:tc>
              <w:tc>
                <w:tcPr>
                  <w:tcW w:w="443" w:type="pct"/>
                  <w:tcBorders>
                    <w:tl2br w:val="nil"/>
                    <w:tr2bl w:val="nil"/>
                  </w:tcBorders>
                  <w:vAlign w:val="center"/>
                </w:tcPr>
                <w:p w14:paraId="02E6DBFF">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件/a</w:t>
                  </w:r>
                </w:p>
              </w:tc>
              <w:tc>
                <w:tcPr>
                  <w:tcW w:w="599" w:type="pct"/>
                  <w:tcBorders>
                    <w:tl2br w:val="nil"/>
                    <w:tr2bl w:val="nil"/>
                  </w:tcBorders>
                  <w:vAlign w:val="center"/>
                </w:tcPr>
                <w:p w14:paraId="735E3120">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100</w:t>
                  </w:r>
                </w:p>
              </w:tc>
              <w:tc>
                <w:tcPr>
                  <w:tcW w:w="842" w:type="pct"/>
                  <w:tcBorders>
                    <w:tl2br w:val="nil"/>
                    <w:tr2bl w:val="nil"/>
                  </w:tcBorders>
                  <w:vAlign w:val="center"/>
                </w:tcPr>
                <w:p w14:paraId="0585AF9B">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30</w:t>
                  </w:r>
                </w:p>
              </w:tc>
              <w:tc>
                <w:tcPr>
                  <w:tcW w:w="851" w:type="pct"/>
                  <w:tcBorders>
                    <w:tl2br w:val="nil"/>
                    <w:tr2bl w:val="nil"/>
                  </w:tcBorders>
                  <w:vAlign w:val="center"/>
                </w:tcPr>
                <w:p w14:paraId="120938DB">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130</w:t>
                  </w:r>
                </w:p>
              </w:tc>
              <w:tc>
                <w:tcPr>
                  <w:tcW w:w="643" w:type="pct"/>
                  <w:tcBorders>
                    <w:tl2br w:val="nil"/>
                    <w:tr2bl w:val="nil"/>
                  </w:tcBorders>
                  <w:vAlign w:val="center"/>
                </w:tcPr>
                <w:p w14:paraId="0AE8D53B">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+30</w:t>
                  </w:r>
                </w:p>
              </w:tc>
              <w:tc>
                <w:tcPr>
                  <w:tcW w:w="448" w:type="pct"/>
                  <w:tcBorders>
                    <w:tl2br w:val="nil"/>
                    <w:tr2bl w:val="nil"/>
                  </w:tcBorders>
                  <w:vAlign w:val="center"/>
                </w:tcPr>
                <w:p w14:paraId="26CA1352">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5D140B1D">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06B58589">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10</w:t>
                  </w:r>
                </w:p>
              </w:tc>
              <w:tc>
                <w:tcPr>
                  <w:tcW w:w="877" w:type="pct"/>
                  <w:tcBorders>
                    <w:tl2br w:val="nil"/>
                    <w:tr2bl w:val="nil"/>
                  </w:tcBorders>
                  <w:vAlign w:val="center"/>
                </w:tcPr>
                <w:p w14:paraId="237C05F5">
                  <w:pPr>
                    <w:spacing w:line="240" w:lineRule="auto"/>
                    <w:ind w:left="0" w:leftChars="0" w:firstLine="0" w:firstLineChars="0"/>
                    <w:jc w:val="center"/>
                    <w:rPr>
                      <w:rFonts w:cs="Times New Roman"/>
                      <w:bCs/>
                      <w:color w:val="auto"/>
                      <w:szCs w:val="21"/>
                      <w:lang w:eastAsia="zh-CN"/>
                    </w:rPr>
                  </w:pPr>
                  <w:r>
                    <w:rPr>
                      <w:rFonts w:hint="eastAsia" w:cs="Times New Roman"/>
                      <w:bCs/>
                      <w:color w:val="auto"/>
                      <w:szCs w:val="21"/>
                      <w:lang w:eastAsia="zh-CN"/>
                    </w:rPr>
                    <w:t>润滑油</w:t>
                  </w:r>
                </w:p>
              </w:tc>
              <w:tc>
                <w:tcPr>
                  <w:tcW w:w="443" w:type="pct"/>
                  <w:tcBorders>
                    <w:tl2br w:val="nil"/>
                    <w:tr2bl w:val="nil"/>
                  </w:tcBorders>
                  <w:vAlign w:val="center"/>
                </w:tcPr>
                <w:p w14:paraId="5B5C11A7">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kg</w:t>
                  </w:r>
                </w:p>
              </w:tc>
              <w:tc>
                <w:tcPr>
                  <w:tcW w:w="599" w:type="pct"/>
                  <w:tcBorders>
                    <w:tl2br w:val="nil"/>
                    <w:tr2bl w:val="nil"/>
                  </w:tcBorders>
                  <w:vAlign w:val="center"/>
                </w:tcPr>
                <w:p w14:paraId="3966EA7F">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50</w:t>
                  </w:r>
                </w:p>
              </w:tc>
              <w:tc>
                <w:tcPr>
                  <w:tcW w:w="842" w:type="pct"/>
                  <w:tcBorders>
                    <w:tl2br w:val="nil"/>
                    <w:tr2bl w:val="nil"/>
                  </w:tcBorders>
                  <w:vAlign w:val="center"/>
                </w:tcPr>
                <w:p w14:paraId="585D732D">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50</w:t>
                  </w:r>
                </w:p>
              </w:tc>
              <w:tc>
                <w:tcPr>
                  <w:tcW w:w="851" w:type="pct"/>
                  <w:tcBorders>
                    <w:tl2br w:val="nil"/>
                    <w:tr2bl w:val="nil"/>
                  </w:tcBorders>
                  <w:vAlign w:val="center"/>
                </w:tcPr>
                <w:p w14:paraId="4A4B89F0">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100</w:t>
                  </w:r>
                </w:p>
              </w:tc>
              <w:tc>
                <w:tcPr>
                  <w:tcW w:w="643" w:type="pct"/>
                  <w:tcBorders>
                    <w:tl2br w:val="nil"/>
                    <w:tr2bl w:val="nil"/>
                  </w:tcBorders>
                  <w:vAlign w:val="center"/>
                </w:tcPr>
                <w:p w14:paraId="607E77B6">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+50</w:t>
                  </w:r>
                </w:p>
              </w:tc>
              <w:tc>
                <w:tcPr>
                  <w:tcW w:w="448" w:type="pct"/>
                  <w:tcBorders>
                    <w:tl2br w:val="nil"/>
                    <w:tr2bl w:val="nil"/>
                  </w:tcBorders>
                  <w:vAlign w:val="center"/>
                </w:tcPr>
                <w:p w14:paraId="45F5545C">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6DC7231E">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1C8F610C">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11</w:t>
                  </w:r>
                </w:p>
              </w:tc>
              <w:tc>
                <w:tcPr>
                  <w:tcW w:w="877" w:type="pct"/>
                  <w:tcBorders>
                    <w:tl2br w:val="nil"/>
                    <w:tr2bl w:val="nil"/>
                  </w:tcBorders>
                  <w:vAlign w:val="center"/>
                </w:tcPr>
                <w:p w14:paraId="0064CC6A">
                  <w:pPr>
                    <w:spacing w:line="240" w:lineRule="auto"/>
                    <w:ind w:left="0" w:leftChars="0" w:firstLine="0" w:firstLineChars="0"/>
                    <w:jc w:val="center"/>
                    <w:rPr>
                      <w:rFonts w:cs="Times New Roman"/>
                      <w:bCs/>
                      <w:color w:val="auto"/>
                      <w:szCs w:val="21"/>
                      <w:lang w:eastAsia="zh-CN"/>
                    </w:rPr>
                  </w:pPr>
                  <w:r>
                    <w:rPr>
                      <w:rFonts w:hint="eastAsia" w:cs="Times New Roman"/>
                      <w:bCs/>
                      <w:color w:val="auto"/>
                      <w:szCs w:val="21"/>
                      <w:lang w:eastAsia="zh-CN"/>
                    </w:rPr>
                    <w:t>焊丝</w:t>
                  </w:r>
                </w:p>
              </w:tc>
              <w:tc>
                <w:tcPr>
                  <w:tcW w:w="443" w:type="pct"/>
                  <w:tcBorders>
                    <w:tl2br w:val="nil"/>
                    <w:tr2bl w:val="nil"/>
                  </w:tcBorders>
                  <w:vAlign w:val="center"/>
                </w:tcPr>
                <w:p w14:paraId="53AE9EE1">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t/a</w:t>
                  </w:r>
                </w:p>
              </w:tc>
              <w:tc>
                <w:tcPr>
                  <w:tcW w:w="599" w:type="pct"/>
                  <w:tcBorders>
                    <w:tl2br w:val="nil"/>
                    <w:tr2bl w:val="nil"/>
                  </w:tcBorders>
                  <w:vAlign w:val="center"/>
                </w:tcPr>
                <w:p w14:paraId="0A14F10F">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1.2</w:t>
                  </w:r>
                </w:p>
              </w:tc>
              <w:tc>
                <w:tcPr>
                  <w:tcW w:w="842" w:type="pct"/>
                  <w:tcBorders>
                    <w:tl2br w:val="nil"/>
                    <w:tr2bl w:val="nil"/>
                  </w:tcBorders>
                  <w:vAlign w:val="center"/>
                </w:tcPr>
                <w:p w14:paraId="53AC4B1E">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3</w:t>
                  </w:r>
                </w:p>
              </w:tc>
              <w:tc>
                <w:tcPr>
                  <w:tcW w:w="851" w:type="pct"/>
                  <w:tcBorders>
                    <w:tl2br w:val="nil"/>
                    <w:tr2bl w:val="nil"/>
                  </w:tcBorders>
                  <w:vAlign w:val="center"/>
                </w:tcPr>
                <w:p w14:paraId="79A52240">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4.2</w:t>
                  </w:r>
                </w:p>
              </w:tc>
              <w:tc>
                <w:tcPr>
                  <w:tcW w:w="643" w:type="pct"/>
                  <w:tcBorders>
                    <w:tl2br w:val="nil"/>
                    <w:tr2bl w:val="nil"/>
                  </w:tcBorders>
                  <w:vAlign w:val="center"/>
                </w:tcPr>
                <w:p w14:paraId="3DF97E19">
                  <w:pPr>
                    <w:adjustRightInd w:val="0"/>
                    <w:snapToGrid w:val="0"/>
                    <w:spacing w:line="240" w:lineRule="auto"/>
                    <w:ind w:left="0" w:leftChars="0" w:right="0" w:rightChars="0" w:firstLine="0" w:firstLineChars="0"/>
                    <w:jc w:val="center"/>
                    <w:rPr>
                      <w:rFonts w:eastAsia="宋体" w:cs="Times New Roman"/>
                      <w:b/>
                      <w:bCs/>
                      <w:color w:val="auto"/>
                      <w:kern w:val="21"/>
                      <w:szCs w:val="21"/>
                      <w:lang w:eastAsia="zh-CN"/>
                    </w:rPr>
                  </w:pPr>
                  <w:r>
                    <w:rPr>
                      <w:rFonts w:hint="eastAsia" w:eastAsia="宋体" w:cs="Times New Roman"/>
                      <w:b/>
                      <w:bCs/>
                      <w:color w:val="auto"/>
                      <w:kern w:val="21"/>
                      <w:szCs w:val="21"/>
                      <w:lang w:eastAsia="zh-CN"/>
                    </w:rPr>
                    <w:t>+3</w:t>
                  </w:r>
                </w:p>
              </w:tc>
              <w:tc>
                <w:tcPr>
                  <w:tcW w:w="448" w:type="pct"/>
                  <w:tcBorders>
                    <w:tl2br w:val="nil"/>
                    <w:tr2bl w:val="nil"/>
                  </w:tcBorders>
                  <w:vAlign w:val="center"/>
                </w:tcPr>
                <w:p w14:paraId="70A62D78">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1B3CFA2C">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789A40B1">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12</w:t>
                  </w:r>
                </w:p>
              </w:tc>
              <w:tc>
                <w:tcPr>
                  <w:tcW w:w="877" w:type="pct"/>
                  <w:tcBorders>
                    <w:tl2br w:val="nil"/>
                    <w:tr2bl w:val="nil"/>
                  </w:tcBorders>
                  <w:vAlign w:val="center"/>
                </w:tcPr>
                <w:p w14:paraId="192059B8">
                  <w:pPr>
                    <w:spacing w:line="240" w:lineRule="auto"/>
                    <w:ind w:left="0" w:leftChars="0" w:firstLine="0" w:firstLineChars="0"/>
                    <w:jc w:val="center"/>
                    <w:rPr>
                      <w:rFonts w:cs="Times New Roman"/>
                      <w:bCs/>
                      <w:color w:val="0000FF"/>
                      <w:szCs w:val="21"/>
                      <w:lang w:eastAsia="zh-CN"/>
                    </w:rPr>
                  </w:pPr>
                  <w:r>
                    <w:rPr>
                      <w:rFonts w:hint="eastAsia" w:cs="Times New Roman"/>
                      <w:bCs/>
                      <w:color w:val="0000FF"/>
                      <w:szCs w:val="21"/>
                      <w:lang w:eastAsia="zh-CN"/>
                    </w:rPr>
                    <w:t>天然气</w:t>
                  </w:r>
                </w:p>
              </w:tc>
              <w:tc>
                <w:tcPr>
                  <w:tcW w:w="443" w:type="pct"/>
                  <w:tcBorders>
                    <w:tl2br w:val="nil"/>
                    <w:tr2bl w:val="nil"/>
                  </w:tcBorders>
                  <w:vAlign w:val="center"/>
                </w:tcPr>
                <w:p w14:paraId="71A339A6">
                  <w:pPr>
                    <w:adjustRightInd w:val="0"/>
                    <w:snapToGrid w:val="0"/>
                    <w:spacing w:line="240" w:lineRule="auto"/>
                    <w:ind w:left="0" w:leftChars="0" w:right="0" w:rightChars="0" w:firstLine="0" w:firstLineChars="0"/>
                    <w:jc w:val="center"/>
                    <w:rPr>
                      <w:rFonts w:eastAsia="宋体" w:cs="Times New Roman"/>
                      <w:color w:val="0000FF"/>
                      <w:kern w:val="21"/>
                      <w:szCs w:val="21"/>
                      <w:lang w:eastAsia="zh-CN"/>
                    </w:rPr>
                  </w:pPr>
                  <w:r>
                    <w:rPr>
                      <w:rFonts w:hint="eastAsia" w:eastAsia="宋体" w:cs="Times New Roman"/>
                      <w:color w:val="0000FF"/>
                      <w:kern w:val="21"/>
                      <w:szCs w:val="21"/>
                      <w:lang w:eastAsia="zh-CN"/>
                    </w:rPr>
                    <w:t>万</w:t>
                  </w:r>
                  <w:r>
                    <w:rPr>
                      <w:rFonts w:eastAsia="宋体" w:cs="Times New Roman"/>
                      <w:color w:val="0000FF"/>
                      <w:kern w:val="21"/>
                      <w:szCs w:val="21"/>
                      <w:lang w:eastAsia="zh-CN"/>
                    </w:rPr>
                    <w:t>m³</w:t>
                  </w:r>
                </w:p>
              </w:tc>
              <w:tc>
                <w:tcPr>
                  <w:tcW w:w="599" w:type="pct"/>
                  <w:tcBorders>
                    <w:tl2br w:val="nil"/>
                    <w:tr2bl w:val="nil"/>
                  </w:tcBorders>
                  <w:vAlign w:val="center"/>
                </w:tcPr>
                <w:p w14:paraId="7DD3C372">
                  <w:pPr>
                    <w:adjustRightInd w:val="0"/>
                    <w:snapToGrid w:val="0"/>
                    <w:spacing w:line="240" w:lineRule="auto"/>
                    <w:ind w:left="0" w:leftChars="0" w:right="0" w:rightChars="0" w:firstLine="0" w:firstLineChars="0"/>
                    <w:jc w:val="center"/>
                    <w:rPr>
                      <w:rFonts w:eastAsia="宋体" w:cs="Times New Roman"/>
                      <w:color w:val="0000FF"/>
                      <w:kern w:val="21"/>
                      <w:szCs w:val="21"/>
                      <w:lang w:eastAsia="zh-CN"/>
                    </w:rPr>
                  </w:pPr>
                  <w:r>
                    <w:rPr>
                      <w:rFonts w:hint="eastAsia" w:eastAsia="宋体" w:cs="Times New Roman"/>
                      <w:color w:val="0000FF"/>
                      <w:kern w:val="21"/>
                      <w:szCs w:val="21"/>
                      <w:lang w:val="en-US" w:eastAsia="zh-CN"/>
                    </w:rPr>
                    <w:t>2</w:t>
                  </w:r>
                </w:p>
              </w:tc>
              <w:tc>
                <w:tcPr>
                  <w:tcW w:w="842" w:type="pct"/>
                  <w:tcBorders>
                    <w:tl2br w:val="nil"/>
                    <w:tr2bl w:val="nil"/>
                  </w:tcBorders>
                  <w:vAlign w:val="center"/>
                </w:tcPr>
                <w:p w14:paraId="1A9DB709">
                  <w:pPr>
                    <w:adjustRightInd w:val="0"/>
                    <w:snapToGrid w:val="0"/>
                    <w:spacing w:line="240" w:lineRule="auto"/>
                    <w:ind w:left="0" w:leftChars="0" w:right="0" w:rightChars="0" w:firstLine="0" w:firstLineChars="0"/>
                    <w:jc w:val="center"/>
                    <w:rPr>
                      <w:rFonts w:eastAsia="宋体" w:cs="Times New Roman"/>
                      <w:color w:val="0000FF"/>
                      <w:kern w:val="21"/>
                      <w:szCs w:val="21"/>
                      <w:lang w:eastAsia="zh-CN"/>
                    </w:rPr>
                  </w:pPr>
                  <w:r>
                    <w:rPr>
                      <w:rFonts w:hint="eastAsia" w:eastAsia="宋体" w:cs="Times New Roman"/>
                      <w:color w:val="0000FF"/>
                      <w:kern w:val="21"/>
                      <w:szCs w:val="21"/>
                      <w:lang w:val="en-US" w:eastAsia="zh-CN"/>
                    </w:rPr>
                    <w:t>3</w:t>
                  </w:r>
                </w:p>
              </w:tc>
              <w:tc>
                <w:tcPr>
                  <w:tcW w:w="851" w:type="pct"/>
                  <w:tcBorders>
                    <w:tl2br w:val="nil"/>
                    <w:tr2bl w:val="nil"/>
                  </w:tcBorders>
                  <w:vAlign w:val="center"/>
                </w:tcPr>
                <w:p w14:paraId="6B194D31">
                  <w:pPr>
                    <w:adjustRightInd w:val="0"/>
                    <w:snapToGrid w:val="0"/>
                    <w:spacing w:line="240" w:lineRule="auto"/>
                    <w:ind w:left="0" w:leftChars="0" w:right="0" w:rightChars="0" w:firstLine="0" w:firstLineChars="0"/>
                    <w:jc w:val="center"/>
                    <w:rPr>
                      <w:rFonts w:eastAsia="宋体" w:cs="Times New Roman"/>
                      <w:color w:val="0000FF"/>
                      <w:kern w:val="21"/>
                      <w:szCs w:val="21"/>
                      <w:lang w:eastAsia="zh-CN"/>
                    </w:rPr>
                  </w:pPr>
                  <w:r>
                    <w:rPr>
                      <w:rFonts w:hint="eastAsia" w:eastAsia="宋体" w:cs="Times New Roman"/>
                      <w:color w:val="0000FF"/>
                      <w:kern w:val="21"/>
                      <w:szCs w:val="21"/>
                      <w:lang w:eastAsia="zh-CN"/>
                    </w:rPr>
                    <w:t>5</w:t>
                  </w:r>
                </w:p>
              </w:tc>
              <w:tc>
                <w:tcPr>
                  <w:tcW w:w="643" w:type="pct"/>
                  <w:tcBorders>
                    <w:tl2br w:val="nil"/>
                    <w:tr2bl w:val="nil"/>
                  </w:tcBorders>
                  <w:vAlign w:val="center"/>
                </w:tcPr>
                <w:p w14:paraId="2B549C71">
                  <w:pPr>
                    <w:adjustRightInd w:val="0"/>
                    <w:snapToGrid w:val="0"/>
                    <w:spacing w:line="240" w:lineRule="auto"/>
                    <w:ind w:left="0" w:leftChars="0" w:right="0" w:rightChars="0" w:firstLine="0" w:firstLineChars="0"/>
                    <w:jc w:val="center"/>
                    <w:rPr>
                      <w:rFonts w:eastAsia="宋体" w:cs="Times New Roman"/>
                      <w:b/>
                      <w:bCs/>
                      <w:color w:val="0000FF"/>
                      <w:kern w:val="21"/>
                      <w:szCs w:val="21"/>
                      <w:lang w:eastAsia="zh-CN"/>
                    </w:rPr>
                  </w:pPr>
                  <w:r>
                    <w:rPr>
                      <w:rFonts w:hint="eastAsia" w:eastAsia="宋体" w:cs="Times New Roman"/>
                      <w:b/>
                      <w:bCs/>
                      <w:color w:val="0000FF"/>
                      <w:kern w:val="21"/>
                      <w:szCs w:val="21"/>
                      <w:lang w:eastAsia="zh-CN"/>
                    </w:rPr>
                    <w:t>+</w:t>
                  </w:r>
                  <w:r>
                    <w:rPr>
                      <w:rFonts w:hint="eastAsia" w:eastAsia="宋体" w:cs="Times New Roman"/>
                      <w:b/>
                      <w:bCs/>
                      <w:color w:val="0000FF"/>
                      <w:kern w:val="21"/>
                      <w:szCs w:val="21"/>
                      <w:lang w:val="en-US" w:eastAsia="zh-CN"/>
                    </w:rPr>
                    <w:t>3</w:t>
                  </w:r>
                </w:p>
              </w:tc>
              <w:tc>
                <w:tcPr>
                  <w:tcW w:w="448" w:type="pct"/>
                  <w:tcBorders>
                    <w:tl2br w:val="nil"/>
                    <w:tr2bl w:val="nil"/>
                  </w:tcBorders>
                  <w:vAlign w:val="center"/>
                </w:tcPr>
                <w:p w14:paraId="2C54ED69">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r w14:paraId="303EFA99">
              <w:tblPrEx>
                <w:tblBorders>
                  <w:top w:val="single" w:color="auto" w:sz="8"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560D96A1">
                  <w:pPr>
                    <w:pStyle w:val="43"/>
                    <w:tabs>
                      <w:tab w:val="left" w:pos="851"/>
                      <w:tab w:val="left" w:pos="5961"/>
                      <w:tab w:val="left" w:pos="8975"/>
                    </w:tabs>
                    <w:snapToGrid w:val="0"/>
                    <w:spacing w:before="0"/>
                    <w:rPr>
                      <w:rFonts w:ascii="Times New Roman" w:hAnsi="Times New Roman" w:eastAsia="宋体" w:cs="Times New Roman"/>
                      <w:color w:val="auto"/>
                      <w:w w:val="100"/>
                      <w:kern w:val="21"/>
                      <w:sz w:val="21"/>
                      <w:szCs w:val="21"/>
                      <w:lang w:eastAsia="zh-CN"/>
                    </w:rPr>
                  </w:pPr>
                  <w:r>
                    <w:rPr>
                      <w:rFonts w:hint="eastAsia" w:ascii="Times New Roman" w:hAnsi="Times New Roman" w:eastAsia="宋体" w:cs="Times New Roman"/>
                      <w:color w:val="auto"/>
                      <w:w w:val="100"/>
                      <w:kern w:val="21"/>
                      <w:sz w:val="21"/>
                      <w:szCs w:val="21"/>
                      <w:lang w:eastAsia="zh-CN"/>
                    </w:rPr>
                    <w:t>13</w:t>
                  </w:r>
                </w:p>
              </w:tc>
              <w:tc>
                <w:tcPr>
                  <w:tcW w:w="877" w:type="pct"/>
                  <w:tcBorders>
                    <w:tl2br w:val="nil"/>
                    <w:tr2bl w:val="nil"/>
                  </w:tcBorders>
                  <w:vAlign w:val="center"/>
                </w:tcPr>
                <w:p w14:paraId="0CF920EE">
                  <w:pPr>
                    <w:spacing w:line="240" w:lineRule="auto"/>
                    <w:ind w:left="0" w:leftChars="0" w:firstLine="0" w:firstLineChars="0"/>
                    <w:jc w:val="center"/>
                    <w:rPr>
                      <w:rFonts w:cs="Times New Roman"/>
                      <w:bCs/>
                      <w:color w:val="auto"/>
                      <w:szCs w:val="21"/>
                      <w:lang w:eastAsia="zh-CN"/>
                    </w:rPr>
                  </w:pPr>
                  <w:r>
                    <w:rPr>
                      <w:rFonts w:hint="eastAsia" w:cs="Times New Roman"/>
                      <w:bCs/>
                      <w:color w:val="auto"/>
                      <w:szCs w:val="21"/>
                      <w:lang w:eastAsia="zh-CN"/>
                    </w:rPr>
                    <w:t>二氧化碳气体</w:t>
                  </w:r>
                </w:p>
              </w:tc>
              <w:tc>
                <w:tcPr>
                  <w:tcW w:w="443" w:type="pct"/>
                  <w:tcBorders>
                    <w:tl2br w:val="nil"/>
                    <w:tr2bl w:val="nil"/>
                  </w:tcBorders>
                  <w:vAlign w:val="center"/>
                </w:tcPr>
                <w:p w14:paraId="12B36907">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t/a</w:t>
                  </w:r>
                </w:p>
              </w:tc>
              <w:tc>
                <w:tcPr>
                  <w:tcW w:w="599" w:type="pct"/>
                  <w:tcBorders>
                    <w:tl2br w:val="nil"/>
                    <w:tr2bl w:val="nil"/>
                  </w:tcBorders>
                  <w:vAlign w:val="center"/>
                </w:tcPr>
                <w:p w14:paraId="1D32C263">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0</w:t>
                  </w:r>
                </w:p>
              </w:tc>
              <w:tc>
                <w:tcPr>
                  <w:tcW w:w="842" w:type="pct"/>
                  <w:tcBorders>
                    <w:tl2br w:val="nil"/>
                    <w:tr2bl w:val="nil"/>
                  </w:tcBorders>
                  <w:vAlign w:val="center"/>
                </w:tcPr>
                <w:p w14:paraId="1AD6963C">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15</w:t>
                  </w:r>
                </w:p>
              </w:tc>
              <w:tc>
                <w:tcPr>
                  <w:tcW w:w="851" w:type="pct"/>
                  <w:tcBorders>
                    <w:tl2br w:val="nil"/>
                    <w:tr2bl w:val="nil"/>
                  </w:tcBorders>
                  <w:vAlign w:val="center"/>
                </w:tcPr>
                <w:p w14:paraId="659DEA58">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15</w:t>
                  </w:r>
                </w:p>
              </w:tc>
              <w:tc>
                <w:tcPr>
                  <w:tcW w:w="643" w:type="pct"/>
                  <w:tcBorders>
                    <w:tl2br w:val="nil"/>
                    <w:tr2bl w:val="nil"/>
                  </w:tcBorders>
                  <w:vAlign w:val="center"/>
                </w:tcPr>
                <w:p w14:paraId="72FFD2A9">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b/>
                      <w:bCs/>
                      <w:color w:val="auto"/>
                      <w:kern w:val="21"/>
                      <w:szCs w:val="21"/>
                      <w:lang w:eastAsia="zh-CN"/>
                    </w:rPr>
                    <w:t>+15</w:t>
                  </w:r>
                </w:p>
              </w:tc>
              <w:tc>
                <w:tcPr>
                  <w:tcW w:w="448" w:type="pct"/>
                  <w:tcBorders>
                    <w:tl2br w:val="nil"/>
                    <w:tr2bl w:val="nil"/>
                  </w:tcBorders>
                  <w:vAlign w:val="center"/>
                </w:tcPr>
                <w:p w14:paraId="4D0F0353">
                  <w:pPr>
                    <w:adjustRightInd w:val="0"/>
                    <w:snapToGrid w:val="0"/>
                    <w:spacing w:line="240" w:lineRule="auto"/>
                    <w:ind w:left="0" w:leftChars="0" w:right="0" w:rightChars="0" w:firstLine="0" w:firstLineChars="0"/>
                    <w:jc w:val="center"/>
                    <w:rPr>
                      <w:rFonts w:eastAsia="宋体" w:cs="Times New Roman"/>
                      <w:color w:val="auto"/>
                      <w:kern w:val="21"/>
                      <w:szCs w:val="21"/>
                      <w:lang w:eastAsia="zh-CN"/>
                    </w:rPr>
                  </w:pPr>
                  <w:r>
                    <w:rPr>
                      <w:rFonts w:hint="eastAsia" w:eastAsia="宋体" w:cs="Times New Roman"/>
                      <w:color w:val="auto"/>
                      <w:kern w:val="21"/>
                      <w:szCs w:val="21"/>
                      <w:lang w:eastAsia="zh-CN"/>
                    </w:rPr>
                    <w:t>外购</w:t>
                  </w:r>
                </w:p>
              </w:tc>
            </w:tr>
          </w:tbl>
          <w:p w14:paraId="5C2F0B5B">
            <w:pPr>
              <w:widowControl/>
              <w:spacing w:before="120" w:beforeLines="50"/>
              <w:ind w:firstLine="482"/>
              <w:contextualSpacing/>
              <w:jc w:val="both"/>
              <w:rPr>
                <w:rFonts w:cs="Times New Roman"/>
                <w:b/>
                <w:bCs/>
                <w:color w:val="auto"/>
                <w:sz w:val="24"/>
                <w:szCs w:val="24"/>
                <w:lang w:eastAsia="zh-CN"/>
              </w:rPr>
            </w:pPr>
            <w:r>
              <w:rPr>
                <w:rFonts w:cs="Times New Roman"/>
                <w:b/>
                <w:bCs/>
                <w:color w:val="auto"/>
                <w:sz w:val="24"/>
                <w:szCs w:val="24"/>
                <w:lang w:eastAsia="zh-CN"/>
              </w:rPr>
              <w:t>原料理化性质：</w:t>
            </w:r>
          </w:p>
          <w:bookmarkEnd w:id="3"/>
          <w:bookmarkEnd w:id="4"/>
          <w:p w14:paraId="0593C732">
            <w:pPr>
              <w:numPr>
                <w:ilvl w:val="0"/>
                <w:numId w:val="0"/>
              </w:numPr>
              <w:adjustRightInd w:val="0"/>
              <w:snapToGrid w:val="0"/>
              <w:ind w:left="0" w:leftChars="0" w:right="0" w:rightChars="0" w:firstLine="480" w:firstLineChars="200"/>
              <w:jc w:val="both"/>
              <w:rPr>
                <w:color w:val="auto"/>
                <w:sz w:val="24"/>
                <w:lang w:eastAsia="zh-CN"/>
              </w:rPr>
            </w:pPr>
            <w:r>
              <w:rPr>
                <w:rFonts w:ascii="Times New Roman" w:hAnsi="Times New Roman" w:eastAsiaTheme="minorEastAsia" w:cstheme="minorBidi"/>
                <w:color w:val="0000FF"/>
                <w:sz w:val="24"/>
                <w:szCs w:val="22"/>
                <w:lang w:val="en-US" w:eastAsia="zh-CN" w:bidi="ar-SA"/>
              </w:rPr>
              <w:t>（1）</w:t>
            </w:r>
            <w:r>
              <w:rPr>
                <w:rFonts w:hint="eastAsia" w:cstheme="minorBidi"/>
                <w:color w:val="0000FF"/>
                <w:sz w:val="24"/>
                <w:szCs w:val="22"/>
                <w:lang w:val="en-US" w:eastAsia="zh-CN" w:bidi="ar-SA"/>
              </w:rPr>
              <w:t>喷涂塑粉</w:t>
            </w:r>
            <w:r>
              <w:rPr>
                <w:color w:val="0000FF"/>
                <w:sz w:val="24"/>
                <w:lang w:eastAsia="zh-CN"/>
              </w:rPr>
              <w:t>：环氧聚酯粉末</w:t>
            </w:r>
            <w:r>
              <w:rPr>
                <w:rFonts w:hint="eastAsia"/>
                <w:color w:val="0000FF"/>
                <w:sz w:val="24"/>
                <w:lang w:eastAsia="zh-CN"/>
              </w:rPr>
              <w:t>，</w:t>
            </w:r>
            <w:r>
              <w:rPr>
                <w:color w:val="auto"/>
                <w:sz w:val="24"/>
                <w:lang w:eastAsia="zh-CN"/>
              </w:rPr>
              <w:t>为热固性聚酯树脂粉末涂料，一种新型不含溶剂的固体粉末状涂料，存在形态为微细粉末状态，具有无溶剂、无污染、可回收、环保、节省能源和资源等特点。固化后具有良好的理化性能，对金属和非金属的表面具有优异的粘接强度，介电性良好。</w:t>
            </w:r>
          </w:p>
          <w:p w14:paraId="285103C6">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表2-</w:t>
            </w:r>
            <w:r>
              <w:rPr>
                <w:rFonts w:hint="eastAsia" w:eastAsia="宋体" w:cs="Times New Roman"/>
                <w:b/>
                <w:bCs/>
                <w:color w:val="auto"/>
                <w:szCs w:val="21"/>
                <w:lang w:eastAsia="zh-CN"/>
              </w:rPr>
              <w:t>4</w:t>
            </w:r>
            <w:r>
              <w:rPr>
                <w:rFonts w:eastAsia="宋体" w:cs="Times New Roman"/>
                <w:b/>
                <w:bCs/>
                <w:color w:val="auto"/>
                <w:szCs w:val="21"/>
                <w:lang w:eastAsia="zh-CN"/>
              </w:rPr>
              <w:t xml:space="preserve">    环氧聚酯粉末主要成分表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2877"/>
              <w:gridCol w:w="2879"/>
            </w:tblGrid>
            <w:tr w14:paraId="2D252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666" w:type="pct"/>
                  <w:vAlign w:val="center"/>
                </w:tcPr>
                <w:p w14:paraId="68528178">
                  <w:pPr>
                    <w:spacing w:line="240" w:lineRule="auto"/>
                    <w:ind w:left="0" w:leftChars="0" w:right="0" w:rightChars="0" w:firstLine="0" w:firstLineChars="0"/>
                    <w:jc w:val="center"/>
                    <w:rPr>
                      <w:b/>
                      <w:bCs/>
                      <w:color w:val="auto"/>
                      <w:szCs w:val="21"/>
                    </w:rPr>
                  </w:pPr>
                  <w:r>
                    <w:rPr>
                      <w:rFonts w:hint="eastAsia"/>
                      <w:b/>
                      <w:bCs/>
                      <w:color w:val="auto"/>
                      <w:szCs w:val="21"/>
                      <w:lang w:eastAsia="zh-CN"/>
                    </w:rPr>
                    <w:t>环氧聚酯粉末</w:t>
                  </w:r>
                  <w:r>
                    <w:rPr>
                      <w:b/>
                      <w:bCs/>
                      <w:color w:val="auto"/>
                      <w:szCs w:val="21"/>
                    </w:rPr>
                    <w:t>成分</w:t>
                  </w:r>
                </w:p>
              </w:tc>
              <w:tc>
                <w:tcPr>
                  <w:tcW w:w="3333" w:type="pct"/>
                  <w:gridSpan w:val="2"/>
                  <w:vAlign w:val="center"/>
                </w:tcPr>
                <w:p w14:paraId="0E33D933">
                  <w:pPr>
                    <w:spacing w:line="240" w:lineRule="auto"/>
                    <w:ind w:left="0" w:leftChars="0" w:right="0" w:rightChars="0" w:firstLine="0" w:firstLineChars="0"/>
                    <w:jc w:val="center"/>
                    <w:rPr>
                      <w:b/>
                      <w:bCs/>
                      <w:color w:val="auto"/>
                      <w:szCs w:val="21"/>
                    </w:rPr>
                  </w:pPr>
                  <w:r>
                    <w:rPr>
                      <w:b/>
                      <w:bCs/>
                      <w:color w:val="auto"/>
                      <w:szCs w:val="21"/>
                    </w:rPr>
                    <w:t>含量</w:t>
                  </w:r>
                </w:p>
              </w:tc>
            </w:tr>
            <w:tr w14:paraId="61E16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3641B1F9">
                  <w:pPr>
                    <w:spacing w:line="240" w:lineRule="auto"/>
                    <w:ind w:left="0" w:leftChars="0" w:right="0" w:rightChars="0" w:firstLine="0" w:firstLineChars="0"/>
                    <w:jc w:val="center"/>
                    <w:rPr>
                      <w:color w:val="auto"/>
                      <w:szCs w:val="21"/>
                    </w:rPr>
                  </w:pPr>
                  <w:r>
                    <w:rPr>
                      <w:color w:val="auto"/>
                      <w:szCs w:val="21"/>
                    </w:rPr>
                    <w:t>树脂</w:t>
                  </w:r>
                </w:p>
              </w:tc>
              <w:tc>
                <w:tcPr>
                  <w:tcW w:w="1666" w:type="pct"/>
                  <w:vAlign w:val="center"/>
                </w:tcPr>
                <w:p w14:paraId="7081C9B8">
                  <w:pPr>
                    <w:spacing w:line="240" w:lineRule="auto"/>
                    <w:ind w:left="0" w:leftChars="0" w:right="0" w:rightChars="0" w:firstLine="0" w:firstLineChars="0"/>
                    <w:jc w:val="center"/>
                    <w:rPr>
                      <w:rFonts w:eastAsia="Times New Roman"/>
                      <w:color w:val="auto"/>
                    </w:rPr>
                  </w:pPr>
                  <w:r>
                    <w:rPr>
                      <w:color w:val="auto"/>
                    </w:rPr>
                    <w:t>纯聚酯树脂</w:t>
                  </w:r>
                </w:p>
              </w:tc>
              <w:tc>
                <w:tcPr>
                  <w:tcW w:w="1667" w:type="pct"/>
                  <w:vAlign w:val="center"/>
                </w:tcPr>
                <w:p w14:paraId="23BC1DB0">
                  <w:pPr>
                    <w:spacing w:line="240" w:lineRule="auto"/>
                    <w:ind w:left="0" w:leftChars="0" w:right="0" w:rightChars="0" w:firstLine="0" w:firstLineChars="0"/>
                    <w:jc w:val="center"/>
                    <w:rPr>
                      <w:color w:val="auto"/>
                    </w:rPr>
                  </w:pPr>
                  <w:r>
                    <w:rPr>
                      <w:color w:val="auto"/>
                    </w:rPr>
                    <w:t>60%</w:t>
                  </w:r>
                </w:p>
              </w:tc>
            </w:tr>
            <w:tr w14:paraId="004FF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79F93091">
                  <w:pPr>
                    <w:spacing w:line="240" w:lineRule="auto"/>
                    <w:ind w:left="0" w:leftChars="0" w:right="0" w:rightChars="0" w:firstLine="0" w:firstLineChars="0"/>
                    <w:jc w:val="center"/>
                    <w:rPr>
                      <w:color w:val="auto"/>
                    </w:rPr>
                  </w:pPr>
                  <w:r>
                    <w:rPr>
                      <w:color w:val="auto"/>
                    </w:rPr>
                    <w:t>固化剂</w:t>
                  </w:r>
                </w:p>
              </w:tc>
              <w:tc>
                <w:tcPr>
                  <w:tcW w:w="1666" w:type="pct"/>
                  <w:vAlign w:val="center"/>
                </w:tcPr>
                <w:p w14:paraId="03B43FA8">
                  <w:pPr>
                    <w:spacing w:line="240" w:lineRule="auto"/>
                    <w:ind w:left="0" w:leftChars="0" w:right="0" w:rightChars="0" w:firstLine="0" w:firstLineChars="0"/>
                    <w:jc w:val="center"/>
                    <w:rPr>
                      <w:color w:val="auto"/>
                    </w:rPr>
                  </w:pPr>
                  <w:r>
                    <w:rPr>
                      <w:color w:val="auto"/>
                    </w:rPr>
                    <w:t>纯聚酯专用固化剂</w:t>
                  </w:r>
                </w:p>
              </w:tc>
              <w:tc>
                <w:tcPr>
                  <w:tcW w:w="1667" w:type="pct"/>
                  <w:vAlign w:val="center"/>
                </w:tcPr>
                <w:p w14:paraId="5BE609E0">
                  <w:pPr>
                    <w:spacing w:line="240" w:lineRule="auto"/>
                    <w:ind w:left="0" w:leftChars="0" w:right="0" w:rightChars="0" w:firstLine="0" w:firstLineChars="0"/>
                    <w:jc w:val="center"/>
                    <w:rPr>
                      <w:color w:val="auto"/>
                    </w:rPr>
                  </w:pPr>
                  <w:r>
                    <w:rPr>
                      <w:color w:val="auto"/>
                    </w:rPr>
                    <w:t>4.5%</w:t>
                  </w:r>
                </w:p>
              </w:tc>
            </w:tr>
            <w:tr w14:paraId="4BD75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Merge w:val="restart"/>
                  <w:vAlign w:val="center"/>
                </w:tcPr>
                <w:p w14:paraId="6316E734">
                  <w:pPr>
                    <w:spacing w:line="240" w:lineRule="auto"/>
                    <w:ind w:left="0" w:leftChars="0" w:right="0" w:rightChars="0" w:firstLine="0" w:firstLineChars="0"/>
                    <w:jc w:val="center"/>
                    <w:rPr>
                      <w:color w:val="auto"/>
                    </w:rPr>
                  </w:pPr>
                  <w:r>
                    <w:rPr>
                      <w:color w:val="auto"/>
                    </w:rPr>
                    <w:t>助剂</w:t>
                  </w:r>
                </w:p>
              </w:tc>
              <w:tc>
                <w:tcPr>
                  <w:tcW w:w="1666" w:type="pct"/>
                  <w:vAlign w:val="center"/>
                </w:tcPr>
                <w:p w14:paraId="0343FCF7">
                  <w:pPr>
                    <w:spacing w:line="240" w:lineRule="auto"/>
                    <w:ind w:left="0" w:leftChars="0" w:right="0" w:rightChars="0" w:firstLine="0" w:firstLineChars="0"/>
                    <w:jc w:val="center"/>
                    <w:rPr>
                      <w:color w:val="auto"/>
                    </w:rPr>
                  </w:pPr>
                  <w:r>
                    <w:rPr>
                      <w:color w:val="auto"/>
                    </w:rPr>
                    <w:t>增光剂</w:t>
                  </w:r>
                </w:p>
              </w:tc>
              <w:tc>
                <w:tcPr>
                  <w:tcW w:w="1667" w:type="pct"/>
                  <w:vAlign w:val="center"/>
                </w:tcPr>
                <w:p w14:paraId="1C86BD28">
                  <w:pPr>
                    <w:spacing w:line="240" w:lineRule="auto"/>
                    <w:ind w:left="0" w:leftChars="0" w:right="0" w:rightChars="0" w:firstLine="0" w:firstLineChars="0"/>
                    <w:jc w:val="center"/>
                    <w:rPr>
                      <w:color w:val="auto"/>
                    </w:rPr>
                  </w:pPr>
                  <w:r>
                    <w:rPr>
                      <w:color w:val="auto"/>
                    </w:rPr>
                    <w:t>1%</w:t>
                  </w:r>
                </w:p>
              </w:tc>
            </w:tr>
            <w:tr w14:paraId="48975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Merge w:val="continue"/>
                  <w:vAlign w:val="center"/>
                </w:tcPr>
                <w:p w14:paraId="7FE00B53">
                  <w:pPr>
                    <w:spacing w:line="240" w:lineRule="auto"/>
                    <w:ind w:left="0" w:leftChars="0" w:right="0" w:rightChars="0" w:firstLine="0" w:firstLineChars="0"/>
                    <w:jc w:val="center"/>
                    <w:rPr>
                      <w:color w:val="auto"/>
                    </w:rPr>
                  </w:pPr>
                </w:p>
              </w:tc>
              <w:tc>
                <w:tcPr>
                  <w:tcW w:w="1666" w:type="pct"/>
                  <w:vAlign w:val="center"/>
                </w:tcPr>
                <w:p w14:paraId="4BE0CB93">
                  <w:pPr>
                    <w:spacing w:line="240" w:lineRule="auto"/>
                    <w:ind w:left="0" w:leftChars="0" w:right="0" w:rightChars="0" w:firstLine="0" w:firstLineChars="0"/>
                    <w:jc w:val="center"/>
                    <w:rPr>
                      <w:color w:val="auto"/>
                    </w:rPr>
                  </w:pPr>
                  <w:r>
                    <w:rPr>
                      <w:color w:val="auto"/>
                    </w:rPr>
                    <w:t>流平剂</w:t>
                  </w:r>
                </w:p>
              </w:tc>
              <w:tc>
                <w:tcPr>
                  <w:tcW w:w="1667" w:type="pct"/>
                  <w:vAlign w:val="center"/>
                </w:tcPr>
                <w:p w14:paraId="5A82D1D4">
                  <w:pPr>
                    <w:spacing w:line="240" w:lineRule="auto"/>
                    <w:ind w:left="0" w:leftChars="0" w:right="0" w:rightChars="0" w:firstLine="0" w:firstLineChars="0"/>
                    <w:jc w:val="center"/>
                    <w:rPr>
                      <w:color w:val="auto"/>
                    </w:rPr>
                  </w:pPr>
                  <w:r>
                    <w:rPr>
                      <w:color w:val="auto"/>
                    </w:rPr>
                    <w:t>1%</w:t>
                  </w:r>
                </w:p>
              </w:tc>
            </w:tr>
            <w:tr w14:paraId="3931C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Merge w:val="continue"/>
                  <w:vAlign w:val="center"/>
                </w:tcPr>
                <w:p w14:paraId="5F7A9ACE">
                  <w:pPr>
                    <w:spacing w:line="240" w:lineRule="auto"/>
                    <w:ind w:left="0" w:leftChars="0" w:right="0" w:rightChars="0" w:firstLine="0" w:firstLineChars="0"/>
                    <w:jc w:val="center"/>
                    <w:rPr>
                      <w:color w:val="auto"/>
                    </w:rPr>
                  </w:pPr>
                </w:p>
              </w:tc>
              <w:tc>
                <w:tcPr>
                  <w:tcW w:w="1666" w:type="pct"/>
                  <w:vAlign w:val="center"/>
                </w:tcPr>
                <w:p w14:paraId="744465B0">
                  <w:pPr>
                    <w:spacing w:line="240" w:lineRule="auto"/>
                    <w:ind w:left="0" w:leftChars="0" w:right="0" w:rightChars="0" w:firstLine="0" w:firstLineChars="0"/>
                    <w:jc w:val="center"/>
                    <w:rPr>
                      <w:color w:val="auto"/>
                    </w:rPr>
                  </w:pPr>
                  <w:r>
                    <w:rPr>
                      <w:color w:val="auto"/>
                    </w:rPr>
                    <w:t>除气剂</w:t>
                  </w:r>
                </w:p>
              </w:tc>
              <w:tc>
                <w:tcPr>
                  <w:tcW w:w="1667" w:type="pct"/>
                  <w:vAlign w:val="center"/>
                </w:tcPr>
                <w:p w14:paraId="420BDCF5">
                  <w:pPr>
                    <w:spacing w:line="240" w:lineRule="auto"/>
                    <w:ind w:left="0" w:leftChars="0" w:right="0" w:rightChars="0" w:firstLine="0" w:firstLineChars="0"/>
                    <w:jc w:val="center"/>
                    <w:rPr>
                      <w:color w:val="auto"/>
                    </w:rPr>
                  </w:pPr>
                  <w:r>
                    <w:rPr>
                      <w:color w:val="auto"/>
                    </w:rPr>
                    <w:t>0.5%</w:t>
                  </w:r>
                </w:p>
              </w:tc>
            </w:tr>
            <w:tr w14:paraId="0A626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Merge w:val="continue"/>
                  <w:vAlign w:val="center"/>
                </w:tcPr>
                <w:p w14:paraId="5CBC379A">
                  <w:pPr>
                    <w:spacing w:line="240" w:lineRule="auto"/>
                    <w:ind w:left="0" w:leftChars="0" w:right="0" w:rightChars="0" w:firstLine="0" w:firstLineChars="0"/>
                    <w:jc w:val="center"/>
                    <w:rPr>
                      <w:color w:val="auto"/>
                    </w:rPr>
                  </w:pPr>
                </w:p>
              </w:tc>
              <w:tc>
                <w:tcPr>
                  <w:tcW w:w="1666" w:type="pct"/>
                  <w:vAlign w:val="center"/>
                </w:tcPr>
                <w:p w14:paraId="74D01A3D">
                  <w:pPr>
                    <w:spacing w:line="240" w:lineRule="auto"/>
                    <w:ind w:left="0" w:leftChars="0" w:right="0" w:rightChars="0" w:firstLine="0" w:firstLineChars="0"/>
                    <w:jc w:val="center"/>
                    <w:rPr>
                      <w:color w:val="auto"/>
                    </w:rPr>
                  </w:pPr>
                  <w:r>
                    <w:rPr>
                      <w:color w:val="auto"/>
                    </w:rPr>
                    <w:t>蜡粉</w:t>
                  </w:r>
                </w:p>
              </w:tc>
              <w:tc>
                <w:tcPr>
                  <w:tcW w:w="1667" w:type="pct"/>
                  <w:vAlign w:val="center"/>
                </w:tcPr>
                <w:p w14:paraId="4C30A144">
                  <w:pPr>
                    <w:spacing w:line="240" w:lineRule="auto"/>
                    <w:ind w:left="0" w:leftChars="0" w:right="0" w:rightChars="0" w:firstLine="0" w:firstLineChars="0"/>
                    <w:jc w:val="center"/>
                    <w:rPr>
                      <w:color w:val="auto"/>
                    </w:rPr>
                  </w:pPr>
                  <w:r>
                    <w:rPr>
                      <w:color w:val="auto"/>
                    </w:rPr>
                    <w:t>0.5%</w:t>
                  </w:r>
                </w:p>
              </w:tc>
            </w:tr>
            <w:tr w14:paraId="5C237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700CF15F">
                  <w:pPr>
                    <w:spacing w:line="240" w:lineRule="auto"/>
                    <w:ind w:left="0" w:leftChars="0" w:right="0" w:rightChars="0" w:firstLine="0" w:firstLineChars="0"/>
                    <w:jc w:val="center"/>
                    <w:rPr>
                      <w:color w:val="auto"/>
                    </w:rPr>
                  </w:pPr>
                  <w:r>
                    <w:rPr>
                      <w:color w:val="auto"/>
                    </w:rPr>
                    <w:t>填料</w:t>
                  </w:r>
                </w:p>
              </w:tc>
              <w:tc>
                <w:tcPr>
                  <w:tcW w:w="1666" w:type="pct"/>
                  <w:vAlign w:val="center"/>
                </w:tcPr>
                <w:p w14:paraId="72215AEA">
                  <w:pPr>
                    <w:spacing w:line="240" w:lineRule="auto"/>
                    <w:ind w:left="0" w:leftChars="0" w:right="0" w:rightChars="0" w:firstLine="0" w:firstLineChars="0"/>
                    <w:jc w:val="center"/>
                    <w:rPr>
                      <w:color w:val="auto"/>
                    </w:rPr>
                  </w:pPr>
                  <w:r>
                    <w:rPr>
                      <w:color w:val="auto"/>
                    </w:rPr>
                    <w:t>硫酸钡</w:t>
                  </w:r>
                </w:p>
              </w:tc>
              <w:tc>
                <w:tcPr>
                  <w:tcW w:w="1667" w:type="pct"/>
                  <w:vAlign w:val="center"/>
                </w:tcPr>
                <w:p w14:paraId="1111C3CD">
                  <w:pPr>
                    <w:spacing w:line="240" w:lineRule="auto"/>
                    <w:ind w:left="0" w:leftChars="0" w:right="0" w:rightChars="0" w:firstLine="0" w:firstLineChars="0"/>
                    <w:jc w:val="center"/>
                    <w:rPr>
                      <w:color w:val="auto"/>
                    </w:rPr>
                  </w:pPr>
                  <w:r>
                    <w:rPr>
                      <w:color w:val="auto"/>
                    </w:rPr>
                    <w:t>7.5%</w:t>
                  </w:r>
                </w:p>
              </w:tc>
            </w:tr>
            <w:tr w14:paraId="1F387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Merge w:val="restart"/>
                  <w:vAlign w:val="center"/>
                </w:tcPr>
                <w:p w14:paraId="6F05733A">
                  <w:pPr>
                    <w:spacing w:line="240" w:lineRule="auto"/>
                    <w:ind w:left="0" w:leftChars="0" w:right="0" w:rightChars="0" w:firstLine="0" w:firstLineChars="0"/>
                    <w:jc w:val="center"/>
                    <w:rPr>
                      <w:color w:val="auto"/>
                    </w:rPr>
                  </w:pPr>
                  <w:r>
                    <w:rPr>
                      <w:color w:val="auto"/>
                    </w:rPr>
                    <w:t>颜料</w:t>
                  </w:r>
                </w:p>
              </w:tc>
              <w:tc>
                <w:tcPr>
                  <w:tcW w:w="1666" w:type="pct"/>
                  <w:vAlign w:val="center"/>
                </w:tcPr>
                <w:p w14:paraId="39C1DDF4">
                  <w:pPr>
                    <w:spacing w:line="240" w:lineRule="auto"/>
                    <w:ind w:left="0" w:leftChars="0" w:right="0" w:rightChars="0" w:firstLine="0" w:firstLineChars="0"/>
                    <w:jc w:val="center"/>
                    <w:rPr>
                      <w:color w:val="auto"/>
                    </w:rPr>
                  </w:pPr>
                  <w:r>
                    <w:rPr>
                      <w:color w:val="auto"/>
                    </w:rPr>
                    <w:t>钛白粉</w:t>
                  </w:r>
                </w:p>
              </w:tc>
              <w:tc>
                <w:tcPr>
                  <w:tcW w:w="1667" w:type="pct"/>
                  <w:vMerge w:val="restart"/>
                  <w:vAlign w:val="center"/>
                </w:tcPr>
                <w:p w14:paraId="6DB26328">
                  <w:pPr>
                    <w:spacing w:line="240" w:lineRule="auto"/>
                    <w:ind w:left="0" w:leftChars="0" w:right="0" w:rightChars="0" w:firstLine="0" w:firstLineChars="0"/>
                    <w:jc w:val="center"/>
                    <w:rPr>
                      <w:color w:val="auto"/>
                    </w:rPr>
                  </w:pPr>
                  <w:r>
                    <w:rPr>
                      <w:color w:val="auto"/>
                    </w:rPr>
                    <w:t>25%</w:t>
                  </w:r>
                </w:p>
              </w:tc>
            </w:tr>
            <w:tr w14:paraId="599D9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Merge w:val="continue"/>
                  <w:vAlign w:val="center"/>
                </w:tcPr>
                <w:p w14:paraId="03A9A430">
                  <w:pPr>
                    <w:spacing w:line="240" w:lineRule="auto"/>
                    <w:ind w:left="0" w:leftChars="0" w:right="0" w:rightChars="0" w:firstLine="0" w:firstLineChars="0"/>
                    <w:jc w:val="center"/>
                    <w:rPr>
                      <w:color w:val="auto"/>
                    </w:rPr>
                  </w:pPr>
                </w:p>
              </w:tc>
              <w:tc>
                <w:tcPr>
                  <w:tcW w:w="1666" w:type="pct"/>
                  <w:vAlign w:val="center"/>
                </w:tcPr>
                <w:p w14:paraId="4F9A54C2">
                  <w:pPr>
                    <w:spacing w:line="240" w:lineRule="auto"/>
                    <w:ind w:left="0" w:leftChars="0" w:right="0" w:rightChars="0" w:firstLine="0" w:firstLineChars="0"/>
                    <w:jc w:val="center"/>
                    <w:rPr>
                      <w:color w:val="auto"/>
                    </w:rPr>
                  </w:pPr>
                  <w:r>
                    <w:rPr>
                      <w:color w:val="auto"/>
                    </w:rPr>
                    <w:t>色料</w:t>
                  </w:r>
                </w:p>
              </w:tc>
              <w:tc>
                <w:tcPr>
                  <w:tcW w:w="1667" w:type="pct"/>
                  <w:vMerge w:val="continue"/>
                  <w:vAlign w:val="center"/>
                </w:tcPr>
                <w:p w14:paraId="0B35D73D">
                  <w:pPr>
                    <w:spacing w:line="240" w:lineRule="auto"/>
                    <w:ind w:left="0" w:leftChars="0" w:right="0" w:rightChars="0" w:firstLine="0" w:firstLineChars="0"/>
                    <w:jc w:val="center"/>
                    <w:rPr>
                      <w:color w:val="auto"/>
                    </w:rPr>
                  </w:pPr>
                </w:p>
              </w:tc>
            </w:tr>
          </w:tbl>
          <w:p w14:paraId="7F13BD4B">
            <w:pPr>
              <w:numPr>
                <w:ilvl w:val="0"/>
                <w:numId w:val="0"/>
              </w:numPr>
              <w:adjustRightInd w:val="0"/>
              <w:snapToGrid w:val="0"/>
              <w:ind w:left="0" w:leftChars="0" w:right="0" w:rightChars="0" w:firstLine="480" w:firstLineChars="200"/>
              <w:jc w:val="both"/>
              <w:rPr>
                <w:rFonts w:eastAsia="宋体" w:cs="Times New Roman"/>
                <w:color w:val="0000FF"/>
                <w:sz w:val="24"/>
                <w:lang w:eastAsia="zh-CN"/>
              </w:rPr>
            </w:pPr>
            <w:r>
              <w:rPr>
                <w:rFonts w:ascii="Times New Roman" w:hAnsi="Times New Roman" w:eastAsia="宋体" w:cs="Times New Roman"/>
                <w:color w:val="0000FF"/>
                <w:sz w:val="24"/>
                <w:szCs w:val="22"/>
                <w:lang w:val="en-US" w:eastAsia="zh-CN" w:bidi="ar-SA"/>
              </w:rPr>
              <w:t>（2）</w:t>
            </w:r>
            <w:r>
              <w:rPr>
                <w:rFonts w:eastAsia="宋体" w:cs="Times New Roman"/>
                <w:color w:val="0000FF"/>
                <w:sz w:val="24"/>
                <w:lang w:eastAsia="zh-CN"/>
              </w:rPr>
              <w:t>油墨：本项目题字工序使用</w:t>
            </w:r>
            <w:r>
              <w:rPr>
                <w:rFonts w:hint="eastAsia" w:eastAsia="宋体" w:cs="Times New Roman"/>
                <w:color w:val="0000FF"/>
                <w:sz w:val="24"/>
                <w:lang w:val="en-US" w:eastAsia="zh-CN"/>
              </w:rPr>
              <w:t>网印</w:t>
            </w:r>
            <w:r>
              <w:rPr>
                <w:rFonts w:eastAsia="宋体" w:cs="Times New Roman"/>
                <w:color w:val="0000FF"/>
                <w:sz w:val="24"/>
                <w:lang w:eastAsia="zh-CN"/>
              </w:rPr>
              <w:t>油墨，</w:t>
            </w:r>
            <w:r>
              <w:rPr>
                <w:rFonts w:hint="eastAsia" w:eastAsia="宋体" w:cs="Times New Roman"/>
                <w:color w:val="0000FF"/>
                <w:sz w:val="24"/>
                <w:lang w:eastAsia="zh-CN"/>
              </w:rPr>
              <w:t>油墨</w:t>
            </w:r>
            <w:r>
              <w:rPr>
                <w:rFonts w:eastAsia="宋体" w:cs="Times New Roman"/>
                <w:color w:val="0000FF"/>
                <w:sz w:val="24"/>
                <w:lang w:eastAsia="zh-CN"/>
              </w:rPr>
              <w:t>的成分主要是高分子物质，印刷后溶剂挥发，其高分子物质就形成墨膜。</w:t>
            </w:r>
          </w:p>
          <w:p w14:paraId="152C7BE0">
            <w:pPr>
              <w:adjustRightInd w:val="0"/>
              <w:snapToGrid w:val="0"/>
              <w:ind w:left="0" w:leftChars="0" w:right="0" w:rightChars="0" w:firstLine="480"/>
              <w:jc w:val="both"/>
              <w:rPr>
                <w:rFonts w:eastAsia="宋体" w:cs="Times New Roman"/>
                <w:color w:val="0000FF"/>
                <w:sz w:val="24"/>
                <w:lang w:eastAsia="zh-CN"/>
              </w:rPr>
            </w:pPr>
            <w:r>
              <w:rPr>
                <w:rFonts w:eastAsia="宋体" w:cs="Times New Roman"/>
                <w:color w:val="0000FF"/>
                <w:sz w:val="24"/>
                <w:lang w:eastAsia="zh-CN"/>
              </w:rPr>
              <w:t>根据建设单位提供</w:t>
            </w:r>
            <w:r>
              <w:rPr>
                <w:rFonts w:hint="eastAsia" w:eastAsia="宋体" w:cs="Times New Roman"/>
                <w:color w:val="0000FF"/>
                <w:sz w:val="24"/>
                <w:lang w:val="en-US" w:eastAsia="zh-CN"/>
              </w:rPr>
              <w:t>油墨检测报告</w:t>
            </w:r>
            <w:r>
              <w:rPr>
                <w:rFonts w:eastAsia="宋体" w:cs="Times New Roman"/>
                <w:color w:val="0000FF"/>
                <w:sz w:val="24"/>
                <w:lang w:eastAsia="zh-CN"/>
              </w:rPr>
              <w:t>（见附件</w:t>
            </w:r>
            <w:r>
              <w:rPr>
                <w:rFonts w:hint="eastAsia" w:eastAsia="宋体" w:cs="Times New Roman"/>
                <w:color w:val="0000FF"/>
                <w:sz w:val="24"/>
                <w:lang w:eastAsia="zh-CN"/>
              </w:rPr>
              <w:t>3</w:t>
            </w:r>
            <w:r>
              <w:rPr>
                <w:rFonts w:eastAsia="宋体" w:cs="Times New Roman"/>
                <w:color w:val="0000FF"/>
                <w:sz w:val="24"/>
                <w:lang w:eastAsia="zh-CN"/>
              </w:rPr>
              <w:t>）</w:t>
            </w:r>
            <w:r>
              <w:rPr>
                <w:rFonts w:hint="eastAsia" w:eastAsia="宋体" w:cs="Times New Roman"/>
                <w:color w:val="0000FF"/>
                <w:sz w:val="24"/>
                <w:lang w:eastAsia="zh-CN"/>
              </w:rPr>
              <w:t>，本次扩建项目使用的溶剂型油墨</w:t>
            </w:r>
            <w:r>
              <w:rPr>
                <w:rFonts w:eastAsia="宋体" w:cs="Times New Roman"/>
                <w:color w:val="0000FF"/>
                <w:sz w:val="24"/>
                <w:lang w:eastAsia="zh-CN"/>
              </w:rPr>
              <w:t>VOCs含量为33.4%，</w:t>
            </w:r>
            <w:r>
              <w:rPr>
                <w:rFonts w:hint="eastAsia" w:eastAsia="宋体" w:cs="Times New Roman"/>
                <w:color w:val="0000FF"/>
                <w:sz w:val="24"/>
                <w:lang w:val="en-US" w:eastAsia="zh-CN"/>
              </w:rPr>
              <w:t>满足《油墨中可挥发性有机化合物（VOCs）含量的限值》（GB 38507-2020）表1溶剂油墨中网印油墨挥发性有机化合物（VOCs）限值≤75%限值要求，本次扩建油墨</w:t>
            </w:r>
            <w:r>
              <w:rPr>
                <w:rFonts w:hint="eastAsia" w:eastAsia="宋体" w:cs="Times New Roman"/>
                <w:color w:val="0000FF"/>
                <w:sz w:val="24"/>
                <w:lang w:eastAsia="zh-CN"/>
              </w:rPr>
              <w:t>使用量100kg/a，</w:t>
            </w:r>
            <w:r>
              <w:rPr>
                <w:rFonts w:hint="eastAsia" w:eastAsia="宋体" w:cs="Times New Roman"/>
                <w:color w:val="0000FF"/>
                <w:sz w:val="24"/>
                <w:lang w:val="en-US" w:eastAsia="zh-CN"/>
              </w:rPr>
              <w:t>则油墨中挥发性有机物产生量为0.0334t/a；稀释剂为环己酮</w:t>
            </w:r>
            <w:r>
              <w:rPr>
                <w:rFonts w:hint="eastAsia" w:eastAsia="宋体" w:cs="Times New Roman"/>
                <w:color w:val="0000FF"/>
                <w:sz w:val="24"/>
                <w:lang w:eastAsia="zh-CN"/>
              </w:rPr>
              <w:t>，使用量10kg/a，</w:t>
            </w:r>
            <w:r>
              <w:rPr>
                <w:rFonts w:hint="eastAsia" w:eastAsia="宋体" w:cs="Times New Roman"/>
                <w:color w:val="0000FF"/>
                <w:sz w:val="24"/>
                <w:lang w:val="en-US" w:eastAsia="zh-CN"/>
              </w:rPr>
              <w:t>使用过程中全部挥发，产生量为0.01t/a</w:t>
            </w:r>
            <w:r>
              <w:rPr>
                <w:rFonts w:hint="eastAsia" w:eastAsia="宋体" w:cs="Times New Roman"/>
                <w:color w:val="0000FF"/>
                <w:sz w:val="24"/>
                <w:lang w:eastAsia="zh-CN"/>
              </w:rPr>
              <w:t>。</w:t>
            </w:r>
          </w:p>
          <w:p w14:paraId="4B8EFC20">
            <w:pPr>
              <w:pStyle w:val="41"/>
              <w:spacing w:line="360" w:lineRule="auto"/>
              <w:ind w:left="0" w:leftChars="0" w:right="0" w:rightChars="0" w:firstLine="482"/>
              <w:jc w:val="both"/>
              <w:rPr>
                <w:rFonts w:eastAsia="宋体" w:cs="Times New Roman"/>
                <w:b/>
                <w:color w:val="auto"/>
                <w:szCs w:val="24"/>
                <w:lang w:eastAsia="zh-CN"/>
              </w:rPr>
            </w:pPr>
            <w:r>
              <w:rPr>
                <w:rFonts w:hint="eastAsia" w:eastAsia="宋体" w:cs="Times New Roman"/>
                <w:b/>
                <w:color w:val="auto"/>
                <w:szCs w:val="24"/>
                <w:lang w:eastAsia="zh-CN"/>
              </w:rPr>
              <w:t>6</w:t>
            </w:r>
            <w:r>
              <w:rPr>
                <w:rFonts w:eastAsia="宋体" w:cs="Times New Roman"/>
                <w:b/>
                <w:color w:val="auto"/>
                <w:szCs w:val="24"/>
                <w:lang w:eastAsia="zh-CN"/>
              </w:rPr>
              <w:t>、项目主要设备</w:t>
            </w:r>
          </w:p>
          <w:p w14:paraId="26A0D461">
            <w:pPr>
              <w:pStyle w:val="41"/>
              <w:spacing w:line="360" w:lineRule="auto"/>
              <w:ind w:firstLine="480"/>
              <w:jc w:val="both"/>
              <w:rPr>
                <w:rFonts w:eastAsia="宋体" w:cs="Times New Roman"/>
                <w:color w:val="auto"/>
                <w:szCs w:val="24"/>
                <w:lang w:eastAsia="zh-CN"/>
              </w:rPr>
            </w:pPr>
            <w:r>
              <w:rPr>
                <w:rFonts w:hint="eastAsia" w:eastAsia="宋体" w:cs="Times New Roman"/>
                <w:color w:val="auto"/>
                <w:szCs w:val="24"/>
                <w:lang w:eastAsia="zh-CN"/>
              </w:rPr>
              <w:t>本扩建</w:t>
            </w:r>
            <w:r>
              <w:rPr>
                <w:rFonts w:eastAsia="宋体" w:cs="Times New Roman"/>
                <w:color w:val="auto"/>
                <w:szCs w:val="24"/>
                <w:lang w:eastAsia="zh-CN"/>
              </w:rPr>
              <w:t>项目主要设备见</w:t>
            </w:r>
            <w:r>
              <w:rPr>
                <w:rFonts w:hint="eastAsia" w:eastAsia="宋体" w:cs="Times New Roman"/>
                <w:color w:val="auto"/>
                <w:szCs w:val="24"/>
                <w:lang w:eastAsia="zh-CN"/>
              </w:rPr>
              <w:t>下</w:t>
            </w:r>
            <w:r>
              <w:rPr>
                <w:rFonts w:eastAsia="宋体" w:cs="Times New Roman"/>
                <w:color w:val="auto"/>
                <w:szCs w:val="24"/>
                <w:lang w:eastAsia="zh-CN"/>
              </w:rPr>
              <w:t>表。</w:t>
            </w:r>
          </w:p>
          <w:p w14:paraId="6E2B10D2">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bookmarkStart w:id="5" w:name="_Toc28195"/>
            <w:bookmarkStart w:id="6" w:name="_Toc19320"/>
            <w:r>
              <w:rPr>
                <w:rFonts w:eastAsia="宋体" w:cs="Times New Roman"/>
                <w:b/>
                <w:bCs/>
                <w:color w:val="auto"/>
                <w:szCs w:val="21"/>
                <w:lang w:eastAsia="zh-CN"/>
              </w:rPr>
              <w:t>表2-</w:t>
            </w:r>
            <w:r>
              <w:rPr>
                <w:rFonts w:hint="eastAsia" w:eastAsia="宋体" w:cs="Times New Roman"/>
                <w:b/>
                <w:bCs/>
                <w:color w:val="auto"/>
                <w:szCs w:val="21"/>
                <w:lang w:eastAsia="zh-CN"/>
              </w:rPr>
              <w:t>5</w:t>
            </w:r>
            <w:r>
              <w:rPr>
                <w:rFonts w:eastAsia="宋体" w:cs="Times New Roman"/>
                <w:b/>
                <w:bCs/>
                <w:color w:val="auto"/>
                <w:szCs w:val="21"/>
                <w:lang w:eastAsia="zh-CN"/>
              </w:rPr>
              <w:t xml:space="preserve">    </w:t>
            </w:r>
            <w:r>
              <w:rPr>
                <w:rFonts w:hint="eastAsia" w:eastAsia="宋体" w:cs="Times New Roman"/>
                <w:b/>
                <w:bCs/>
                <w:color w:val="auto"/>
                <w:szCs w:val="21"/>
                <w:lang w:eastAsia="zh-CN"/>
              </w:rPr>
              <w:t>本扩建</w:t>
            </w:r>
            <w:r>
              <w:rPr>
                <w:rFonts w:eastAsia="宋体" w:cs="Times New Roman"/>
                <w:b/>
                <w:bCs/>
                <w:color w:val="auto"/>
                <w:szCs w:val="21"/>
                <w:lang w:eastAsia="zh-CN"/>
              </w:rPr>
              <w:t>项目</w:t>
            </w:r>
            <w:r>
              <w:rPr>
                <w:rFonts w:hint="eastAsia" w:eastAsia="宋体" w:cs="Times New Roman"/>
                <w:b/>
                <w:bCs/>
                <w:color w:val="auto"/>
                <w:szCs w:val="21"/>
                <w:lang w:eastAsia="zh-CN"/>
              </w:rPr>
              <w:t>新增</w:t>
            </w:r>
            <w:r>
              <w:rPr>
                <w:rFonts w:eastAsia="宋体" w:cs="Times New Roman"/>
                <w:b/>
                <w:bCs/>
                <w:color w:val="auto"/>
                <w:szCs w:val="21"/>
                <w:lang w:eastAsia="zh-CN"/>
              </w:rPr>
              <w:t>设备一览表</w:t>
            </w:r>
            <w:bookmarkEnd w:id="5"/>
            <w:bookmarkEnd w:id="6"/>
          </w:p>
          <w:tbl>
            <w:tblPr>
              <w:tblStyle w:val="26"/>
              <w:tblW w:w="4998"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638"/>
              <w:gridCol w:w="2243"/>
              <w:gridCol w:w="2250"/>
              <w:gridCol w:w="2250"/>
              <w:gridCol w:w="1252"/>
            </w:tblGrid>
            <w:tr w14:paraId="0D18AC7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385B6E1B">
                  <w:pPr>
                    <w:widowControl/>
                    <w:spacing w:line="240" w:lineRule="auto"/>
                    <w:ind w:left="0" w:leftChars="0" w:right="0" w:rightChars="0" w:firstLine="0" w:firstLineChars="0"/>
                    <w:jc w:val="center"/>
                    <w:textAlignment w:val="center"/>
                    <w:rPr>
                      <w:rFonts w:eastAsia="宋体" w:cs="Times New Roman"/>
                      <w:b/>
                      <w:bCs/>
                      <w:color w:val="auto"/>
                      <w:szCs w:val="21"/>
                      <w:lang w:eastAsia="zh-CN"/>
                    </w:rPr>
                  </w:pPr>
                  <w:r>
                    <w:rPr>
                      <w:rFonts w:eastAsia="宋体" w:cs="Times New Roman"/>
                      <w:b/>
                      <w:bCs/>
                      <w:color w:val="auto"/>
                      <w:szCs w:val="21"/>
                      <w:lang w:eastAsia="zh-CN" w:bidi="ar"/>
                    </w:rPr>
                    <w:t>序号</w:t>
                  </w:r>
                </w:p>
              </w:tc>
              <w:tc>
                <w:tcPr>
                  <w:tcW w:w="1299" w:type="pct"/>
                  <w:tcBorders>
                    <w:tl2br w:val="nil"/>
                    <w:tr2bl w:val="nil"/>
                  </w:tcBorders>
                  <w:shd w:val="clear" w:color="auto" w:fill="auto"/>
                  <w:noWrap/>
                  <w:vAlign w:val="center"/>
                </w:tcPr>
                <w:p w14:paraId="1DB68152">
                  <w:pPr>
                    <w:widowControl/>
                    <w:spacing w:line="240" w:lineRule="auto"/>
                    <w:ind w:left="0" w:leftChars="0" w:right="0" w:rightChars="0" w:firstLine="0" w:firstLineChars="0"/>
                    <w:jc w:val="center"/>
                    <w:textAlignment w:val="center"/>
                    <w:rPr>
                      <w:rFonts w:eastAsia="宋体" w:cs="Times New Roman"/>
                      <w:b/>
                      <w:bCs/>
                      <w:color w:val="auto"/>
                      <w:szCs w:val="21"/>
                      <w:lang w:eastAsia="zh-CN"/>
                    </w:rPr>
                  </w:pPr>
                  <w:r>
                    <w:rPr>
                      <w:rFonts w:eastAsia="宋体" w:cs="Times New Roman"/>
                      <w:b/>
                      <w:bCs/>
                      <w:color w:val="auto"/>
                      <w:szCs w:val="21"/>
                      <w:lang w:eastAsia="zh-CN" w:bidi="ar"/>
                    </w:rPr>
                    <w:t>设备名称</w:t>
                  </w:r>
                </w:p>
              </w:tc>
              <w:tc>
                <w:tcPr>
                  <w:tcW w:w="1303" w:type="pct"/>
                  <w:tcBorders>
                    <w:tl2br w:val="nil"/>
                    <w:tr2bl w:val="nil"/>
                  </w:tcBorders>
                  <w:shd w:val="clear" w:color="auto" w:fill="auto"/>
                  <w:noWrap/>
                  <w:vAlign w:val="center"/>
                </w:tcPr>
                <w:p w14:paraId="57A5D145">
                  <w:pPr>
                    <w:widowControl/>
                    <w:spacing w:line="240" w:lineRule="auto"/>
                    <w:ind w:left="0" w:leftChars="0" w:right="0" w:rightChars="0" w:firstLine="0" w:firstLineChars="0"/>
                    <w:jc w:val="center"/>
                    <w:textAlignment w:val="center"/>
                    <w:rPr>
                      <w:rFonts w:eastAsia="宋体" w:cs="Times New Roman"/>
                      <w:b/>
                      <w:bCs/>
                      <w:color w:val="auto"/>
                      <w:szCs w:val="21"/>
                      <w:lang w:eastAsia="zh-CN"/>
                    </w:rPr>
                  </w:pPr>
                  <w:r>
                    <w:rPr>
                      <w:rFonts w:eastAsia="宋体" w:cs="Times New Roman"/>
                      <w:b/>
                      <w:bCs/>
                      <w:color w:val="auto"/>
                      <w:szCs w:val="21"/>
                      <w:lang w:eastAsia="zh-CN" w:bidi="ar"/>
                    </w:rPr>
                    <w:t>数量</w:t>
                  </w:r>
                </w:p>
              </w:tc>
              <w:tc>
                <w:tcPr>
                  <w:tcW w:w="1303" w:type="pct"/>
                  <w:tcBorders>
                    <w:tl2br w:val="nil"/>
                    <w:tr2bl w:val="nil"/>
                  </w:tcBorders>
                  <w:shd w:val="clear" w:color="auto" w:fill="auto"/>
                  <w:noWrap/>
                  <w:vAlign w:val="center"/>
                </w:tcPr>
                <w:p w14:paraId="0DD83057">
                  <w:pPr>
                    <w:widowControl/>
                    <w:spacing w:line="240" w:lineRule="auto"/>
                    <w:ind w:left="0" w:leftChars="0" w:right="0" w:rightChars="0" w:firstLine="0" w:firstLineChars="0"/>
                    <w:jc w:val="center"/>
                    <w:textAlignment w:val="center"/>
                    <w:rPr>
                      <w:rFonts w:eastAsia="宋体" w:cs="Times New Roman"/>
                      <w:b/>
                      <w:bCs/>
                      <w:color w:val="auto"/>
                      <w:szCs w:val="21"/>
                      <w:lang w:eastAsia="zh-CN"/>
                    </w:rPr>
                  </w:pPr>
                  <w:r>
                    <w:rPr>
                      <w:rFonts w:eastAsia="宋体" w:cs="Times New Roman"/>
                      <w:b/>
                      <w:bCs/>
                      <w:color w:val="auto"/>
                      <w:szCs w:val="21"/>
                      <w:lang w:eastAsia="zh-CN" w:bidi="ar"/>
                    </w:rPr>
                    <w:t>单位</w:t>
                  </w:r>
                </w:p>
              </w:tc>
              <w:tc>
                <w:tcPr>
                  <w:tcW w:w="725" w:type="pct"/>
                  <w:tcBorders>
                    <w:tl2br w:val="nil"/>
                    <w:tr2bl w:val="nil"/>
                  </w:tcBorders>
                  <w:shd w:val="clear" w:color="auto" w:fill="auto"/>
                  <w:noWrap/>
                  <w:vAlign w:val="center"/>
                </w:tcPr>
                <w:p w14:paraId="3A0F836C">
                  <w:pPr>
                    <w:widowControl/>
                    <w:spacing w:line="240" w:lineRule="auto"/>
                    <w:ind w:left="0" w:leftChars="0" w:right="0" w:rightChars="0" w:firstLine="0" w:firstLineChars="0"/>
                    <w:jc w:val="center"/>
                    <w:textAlignment w:val="center"/>
                    <w:rPr>
                      <w:rFonts w:eastAsia="宋体" w:cs="Times New Roman"/>
                      <w:b/>
                      <w:bCs/>
                      <w:color w:val="auto"/>
                      <w:szCs w:val="21"/>
                      <w:lang w:eastAsia="zh-CN" w:bidi="ar"/>
                    </w:rPr>
                  </w:pPr>
                  <w:r>
                    <w:rPr>
                      <w:rFonts w:hint="eastAsia" w:eastAsia="宋体" w:cs="Times New Roman"/>
                      <w:b/>
                      <w:bCs/>
                      <w:color w:val="auto"/>
                      <w:szCs w:val="21"/>
                      <w:lang w:eastAsia="zh-CN" w:bidi="ar"/>
                    </w:rPr>
                    <w:t>位置</w:t>
                  </w:r>
                </w:p>
              </w:tc>
            </w:tr>
            <w:tr w14:paraId="2649158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60096292">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1</w:t>
                  </w:r>
                </w:p>
              </w:tc>
              <w:tc>
                <w:tcPr>
                  <w:tcW w:w="1299" w:type="pct"/>
                  <w:tcBorders>
                    <w:tl2br w:val="nil"/>
                    <w:tr2bl w:val="nil"/>
                  </w:tcBorders>
                  <w:shd w:val="clear" w:color="auto" w:fill="auto"/>
                  <w:noWrap/>
                  <w:vAlign w:val="center"/>
                </w:tcPr>
                <w:p w14:paraId="18EC6CBD">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折弯机</w:t>
                  </w:r>
                </w:p>
              </w:tc>
              <w:tc>
                <w:tcPr>
                  <w:tcW w:w="1303" w:type="pct"/>
                  <w:tcBorders>
                    <w:tl2br w:val="nil"/>
                    <w:tr2bl w:val="nil"/>
                  </w:tcBorders>
                  <w:shd w:val="clear" w:color="auto" w:fill="auto"/>
                  <w:noWrap/>
                  <w:vAlign w:val="center"/>
                </w:tcPr>
                <w:p w14:paraId="4B72A7FA">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3</w:t>
                  </w:r>
                </w:p>
              </w:tc>
              <w:tc>
                <w:tcPr>
                  <w:tcW w:w="1303" w:type="pct"/>
                  <w:tcBorders>
                    <w:tl2br w:val="nil"/>
                    <w:tr2bl w:val="nil"/>
                  </w:tcBorders>
                  <w:shd w:val="clear" w:color="auto" w:fill="auto"/>
                  <w:noWrap/>
                  <w:vAlign w:val="center"/>
                </w:tcPr>
                <w:p w14:paraId="3B9720A1">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rPr>
                    <w:t>台</w:t>
                  </w:r>
                </w:p>
              </w:tc>
              <w:tc>
                <w:tcPr>
                  <w:tcW w:w="725" w:type="pct"/>
                  <w:vMerge w:val="restart"/>
                  <w:tcBorders>
                    <w:tl2br w:val="nil"/>
                    <w:tr2bl w:val="nil"/>
                  </w:tcBorders>
                  <w:shd w:val="clear" w:color="auto" w:fill="auto"/>
                  <w:noWrap/>
                  <w:vAlign w:val="center"/>
                </w:tcPr>
                <w:p w14:paraId="711984A4">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hint="eastAsia" w:eastAsia="宋体" w:cs="Times New Roman"/>
                      <w:color w:val="auto"/>
                      <w:szCs w:val="21"/>
                      <w:lang w:eastAsia="zh-CN"/>
                    </w:rPr>
                    <w:t>加工车间</w:t>
                  </w:r>
                </w:p>
              </w:tc>
            </w:tr>
            <w:tr w14:paraId="35AC3A0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576008EF">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2</w:t>
                  </w:r>
                </w:p>
              </w:tc>
              <w:tc>
                <w:tcPr>
                  <w:tcW w:w="1299" w:type="pct"/>
                  <w:tcBorders>
                    <w:tl2br w:val="nil"/>
                    <w:tr2bl w:val="nil"/>
                  </w:tcBorders>
                  <w:shd w:val="clear" w:color="auto" w:fill="auto"/>
                  <w:noWrap/>
                  <w:vAlign w:val="center"/>
                </w:tcPr>
                <w:p w14:paraId="11601BC0">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剪板机</w:t>
                  </w:r>
                </w:p>
              </w:tc>
              <w:tc>
                <w:tcPr>
                  <w:tcW w:w="1303" w:type="pct"/>
                  <w:tcBorders>
                    <w:tl2br w:val="nil"/>
                    <w:tr2bl w:val="nil"/>
                  </w:tcBorders>
                  <w:shd w:val="clear" w:color="auto" w:fill="auto"/>
                  <w:noWrap/>
                  <w:vAlign w:val="center"/>
                </w:tcPr>
                <w:p w14:paraId="182617D3">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w:t>
                  </w:r>
                </w:p>
              </w:tc>
              <w:tc>
                <w:tcPr>
                  <w:tcW w:w="1303" w:type="pct"/>
                  <w:tcBorders>
                    <w:tl2br w:val="nil"/>
                    <w:tr2bl w:val="nil"/>
                  </w:tcBorders>
                  <w:shd w:val="clear" w:color="auto" w:fill="auto"/>
                  <w:noWrap/>
                  <w:vAlign w:val="center"/>
                </w:tcPr>
                <w:p w14:paraId="1B5F8D28">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52474ADF">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16B9504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0C6CEF41">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3</w:t>
                  </w:r>
                </w:p>
              </w:tc>
              <w:tc>
                <w:tcPr>
                  <w:tcW w:w="1299" w:type="pct"/>
                  <w:tcBorders>
                    <w:tl2br w:val="nil"/>
                    <w:tr2bl w:val="nil"/>
                  </w:tcBorders>
                  <w:shd w:val="clear" w:color="auto" w:fill="auto"/>
                  <w:noWrap/>
                  <w:vAlign w:val="center"/>
                </w:tcPr>
                <w:p w14:paraId="4B324DFB">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光纤激光切割机</w:t>
                  </w:r>
                </w:p>
              </w:tc>
              <w:tc>
                <w:tcPr>
                  <w:tcW w:w="1303" w:type="pct"/>
                  <w:tcBorders>
                    <w:tl2br w:val="nil"/>
                    <w:tr2bl w:val="nil"/>
                  </w:tcBorders>
                  <w:shd w:val="clear" w:color="auto" w:fill="auto"/>
                  <w:noWrap/>
                  <w:vAlign w:val="center"/>
                </w:tcPr>
                <w:p w14:paraId="6F5E0D0F">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val="en-US" w:eastAsia="zh-CN"/>
                    </w:rPr>
                    <w:t>3</w:t>
                  </w:r>
                </w:p>
              </w:tc>
              <w:tc>
                <w:tcPr>
                  <w:tcW w:w="1303" w:type="pct"/>
                  <w:tcBorders>
                    <w:tl2br w:val="nil"/>
                    <w:tr2bl w:val="nil"/>
                  </w:tcBorders>
                  <w:shd w:val="clear" w:color="auto" w:fill="auto"/>
                  <w:noWrap/>
                  <w:vAlign w:val="center"/>
                </w:tcPr>
                <w:p w14:paraId="2741DDFA">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0F088A02">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1981774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1A4B815E">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4</w:t>
                  </w:r>
                </w:p>
              </w:tc>
              <w:tc>
                <w:tcPr>
                  <w:tcW w:w="1299" w:type="pct"/>
                  <w:tcBorders>
                    <w:tl2br w:val="nil"/>
                    <w:tr2bl w:val="nil"/>
                  </w:tcBorders>
                  <w:shd w:val="clear" w:color="auto" w:fill="auto"/>
                  <w:noWrap/>
                  <w:vAlign w:val="center"/>
                </w:tcPr>
                <w:p w14:paraId="5D7D4BC0">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二保焊机</w:t>
                  </w:r>
                </w:p>
              </w:tc>
              <w:tc>
                <w:tcPr>
                  <w:tcW w:w="1303" w:type="pct"/>
                  <w:tcBorders>
                    <w:tl2br w:val="nil"/>
                    <w:tr2bl w:val="nil"/>
                  </w:tcBorders>
                  <w:shd w:val="clear" w:color="auto" w:fill="auto"/>
                  <w:noWrap/>
                  <w:vAlign w:val="center"/>
                </w:tcPr>
                <w:p w14:paraId="11B3131A">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8</w:t>
                  </w:r>
                </w:p>
              </w:tc>
              <w:tc>
                <w:tcPr>
                  <w:tcW w:w="1303" w:type="pct"/>
                  <w:tcBorders>
                    <w:tl2br w:val="nil"/>
                    <w:tr2bl w:val="nil"/>
                  </w:tcBorders>
                  <w:shd w:val="clear" w:color="auto" w:fill="auto"/>
                  <w:noWrap/>
                  <w:vAlign w:val="center"/>
                </w:tcPr>
                <w:p w14:paraId="6A55E0CF">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53812DFF">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57A080E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2897E618">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5</w:t>
                  </w:r>
                </w:p>
              </w:tc>
              <w:tc>
                <w:tcPr>
                  <w:tcW w:w="1299" w:type="pct"/>
                  <w:tcBorders>
                    <w:tl2br w:val="nil"/>
                    <w:tr2bl w:val="nil"/>
                  </w:tcBorders>
                  <w:shd w:val="clear" w:color="auto" w:fill="auto"/>
                  <w:noWrap/>
                  <w:vAlign w:val="center"/>
                </w:tcPr>
                <w:p w14:paraId="2997C9EF">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氩弧焊机</w:t>
                  </w:r>
                </w:p>
              </w:tc>
              <w:tc>
                <w:tcPr>
                  <w:tcW w:w="1303" w:type="pct"/>
                  <w:tcBorders>
                    <w:tl2br w:val="nil"/>
                    <w:tr2bl w:val="nil"/>
                  </w:tcBorders>
                  <w:shd w:val="clear" w:color="auto" w:fill="auto"/>
                  <w:noWrap/>
                  <w:vAlign w:val="center"/>
                </w:tcPr>
                <w:p w14:paraId="28EAADE3">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5</w:t>
                  </w:r>
                </w:p>
              </w:tc>
              <w:tc>
                <w:tcPr>
                  <w:tcW w:w="1303" w:type="pct"/>
                  <w:tcBorders>
                    <w:tl2br w:val="nil"/>
                    <w:tr2bl w:val="nil"/>
                  </w:tcBorders>
                  <w:shd w:val="clear" w:color="auto" w:fill="auto"/>
                  <w:noWrap/>
                  <w:vAlign w:val="center"/>
                </w:tcPr>
                <w:p w14:paraId="220BA13A">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19AF08FB">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12D7E97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04DEA61C">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6</w:t>
                  </w:r>
                </w:p>
              </w:tc>
              <w:tc>
                <w:tcPr>
                  <w:tcW w:w="1299" w:type="pct"/>
                  <w:tcBorders>
                    <w:tl2br w:val="nil"/>
                    <w:tr2bl w:val="nil"/>
                  </w:tcBorders>
                  <w:shd w:val="clear" w:color="auto" w:fill="auto"/>
                  <w:noWrap/>
                  <w:vAlign w:val="center"/>
                </w:tcPr>
                <w:p w14:paraId="60148AAF">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激光焊机</w:t>
                  </w:r>
                </w:p>
              </w:tc>
              <w:tc>
                <w:tcPr>
                  <w:tcW w:w="1303" w:type="pct"/>
                  <w:tcBorders>
                    <w:tl2br w:val="nil"/>
                    <w:tr2bl w:val="nil"/>
                  </w:tcBorders>
                  <w:shd w:val="clear" w:color="auto" w:fill="auto"/>
                  <w:noWrap/>
                  <w:vAlign w:val="center"/>
                </w:tcPr>
                <w:p w14:paraId="4A637B86">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rPr>
                    <w:t>2</w:t>
                  </w:r>
                </w:p>
              </w:tc>
              <w:tc>
                <w:tcPr>
                  <w:tcW w:w="1303" w:type="pct"/>
                  <w:tcBorders>
                    <w:tl2br w:val="nil"/>
                    <w:tr2bl w:val="nil"/>
                  </w:tcBorders>
                  <w:shd w:val="clear" w:color="auto" w:fill="auto"/>
                  <w:noWrap/>
                  <w:vAlign w:val="center"/>
                </w:tcPr>
                <w:p w14:paraId="450F031D">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7A1FF490">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7C154F3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46527469">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7</w:t>
                  </w:r>
                </w:p>
              </w:tc>
              <w:tc>
                <w:tcPr>
                  <w:tcW w:w="1299" w:type="pct"/>
                  <w:tcBorders>
                    <w:tl2br w:val="nil"/>
                    <w:tr2bl w:val="nil"/>
                  </w:tcBorders>
                  <w:shd w:val="clear" w:color="auto" w:fill="auto"/>
                  <w:noWrap/>
                  <w:vAlign w:val="center"/>
                </w:tcPr>
                <w:p w14:paraId="695B1475">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点焊机</w:t>
                  </w:r>
                </w:p>
              </w:tc>
              <w:tc>
                <w:tcPr>
                  <w:tcW w:w="1303" w:type="pct"/>
                  <w:tcBorders>
                    <w:tl2br w:val="nil"/>
                    <w:tr2bl w:val="nil"/>
                  </w:tcBorders>
                  <w:shd w:val="clear" w:color="auto" w:fill="auto"/>
                  <w:noWrap/>
                  <w:vAlign w:val="center"/>
                </w:tcPr>
                <w:p w14:paraId="740E383C">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rPr>
                    <w:t>2</w:t>
                  </w:r>
                </w:p>
              </w:tc>
              <w:tc>
                <w:tcPr>
                  <w:tcW w:w="1303" w:type="pct"/>
                  <w:tcBorders>
                    <w:tl2br w:val="nil"/>
                    <w:tr2bl w:val="nil"/>
                  </w:tcBorders>
                  <w:shd w:val="clear" w:color="auto" w:fill="auto"/>
                  <w:noWrap/>
                  <w:vAlign w:val="center"/>
                </w:tcPr>
                <w:p w14:paraId="28BBD88B">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627006BB">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7871AFB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02285209">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8</w:t>
                  </w:r>
                </w:p>
              </w:tc>
              <w:tc>
                <w:tcPr>
                  <w:tcW w:w="1299" w:type="pct"/>
                  <w:tcBorders>
                    <w:tl2br w:val="nil"/>
                    <w:tr2bl w:val="nil"/>
                  </w:tcBorders>
                  <w:shd w:val="clear" w:color="auto" w:fill="auto"/>
                  <w:noWrap/>
                  <w:vAlign w:val="center"/>
                </w:tcPr>
                <w:p w14:paraId="5F8761C1">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螺杆空压机</w:t>
                  </w:r>
                </w:p>
              </w:tc>
              <w:tc>
                <w:tcPr>
                  <w:tcW w:w="1303" w:type="pct"/>
                  <w:tcBorders>
                    <w:tl2br w:val="nil"/>
                    <w:tr2bl w:val="nil"/>
                  </w:tcBorders>
                  <w:shd w:val="clear" w:color="auto" w:fill="auto"/>
                  <w:noWrap/>
                  <w:vAlign w:val="center"/>
                </w:tcPr>
                <w:p w14:paraId="4F2503BA">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rPr>
                    <w:t>2</w:t>
                  </w:r>
                </w:p>
              </w:tc>
              <w:tc>
                <w:tcPr>
                  <w:tcW w:w="1303" w:type="pct"/>
                  <w:tcBorders>
                    <w:tl2br w:val="nil"/>
                    <w:tr2bl w:val="nil"/>
                  </w:tcBorders>
                  <w:shd w:val="clear" w:color="auto" w:fill="auto"/>
                  <w:noWrap/>
                  <w:vAlign w:val="center"/>
                </w:tcPr>
                <w:p w14:paraId="08687914">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120F9B64">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32A0FF9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17955B4C">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9</w:t>
                  </w:r>
                </w:p>
              </w:tc>
              <w:tc>
                <w:tcPr>
                  <w:tcW w:w="1299" w:type="pct"/>
                  <w:tcBorders>
                    <w:tl2br w:val="nil"/>
                    <w:tr2bl w:val="nil"/>
                  </w:tcBorders>
                  <w:shd w:val="clear" w:color="auto" w:fill="auto"/>
                  <w:noWrap/>
                  <w:vAlign w:val="center"/>
                </w:tcPr>
                <w:p w14:paraId="4C72E894">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刨槽机</w:t>
                  </w:r>
                </w:p>
              </w:tc>
              <w:tc>
                <w:tcPr>
                  <w:tcW w:w="1303" w:type="pct"/>
                  <w:tcBorders>
                    <w:tl2br w:val="nil"/>
                    <w:tr2bl w:val="nil"/>
                  </w:tcBorders>
                  <w:shd w:val="clear" w:color="auto" w:fill="auto"/>
                  <w:noWrap/>
                  <w:vAlign w:val="center"/>
                </w:tcPr>
                <w:p w14:paraId="7875E65E">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rPr>
                    <w:t>2</w:t>
                  </w:r>
                </w:p>
              </w:tc>
              <w:tc>
                <w:tcPr>
                  <w:tcW w:w="1303" w:type="pct"/>
                  <w:tcBorders>
                    <w:tl2br w:val="nil"/>
                    <w:tr2bl w:val="nil"/>
                  </w:tcBorders>
                  <w:shd w:val="clear" w:color="auto" w:fill="auto"/>
                  <w:noWrap/>
                  <w:vAlign w:val="center"/>
                </w:tcPr>
                <w:p w14:paraId="21664338">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14864E61">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70BFEE6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757C4AAD">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10</w:t>
                  </w:r>
                </w:p>
              </w:tc>
              <w:tc>
                <w:tcPr>
                  <w:tcW w:w="1299" w:type="pct"/>
                  <w:tcBorders>
                    <w:tl2br w:val="nil"/>
                    <w:tr2bl w:val="nil"/>
                  </w:tcBorders>
                  <w:shd w:val="clear" w:color="auto" w:fill="auto"/>
                  <w:noWrap/>
                  <w:vAlign w:val="center"/>
                </w:tcPr>
                <w:p w14:paraId="054285BD">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下料</w:t>
                  </w:r>
                  <w:r>
                    <w:rPr>
                      <w:rFonts w:hint="eastAsia" w:ascii="Times New Roman" w:hAnsi="Times New Roman" w:cs="Times New Roman"/>
                      <w:color w:val="auto"/>
                      <w:sz w:val="21"/>
                      <w:szCs w:val="21"/>
                      <w:lang w:eastAsia="zh-CN"/>
                    </w:rPr>
                    <w:t>线</w:t>
                  </w:r>
                </w:p>
              </w:tc>
              <w:tc>
                <w:tcPr>
                  <w:tcW w:w="1303" w:type="pct"/>
                  <w:tcBorders>
                    <w:tl2br w:val="nil"/>
                    <w:tr2bl w:val="nil"/>
                  </w:tcBorders>
                  <w:shd w:val="clear" w:color="auto" w:fill="auto"/>
                  <w:noWrap/>
                  <w:vAlign w:val="center"/>
                </w:tcPr>
                <w:p w14:paraId="01CA6461">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rPr>
                    <w:t>3</w:t>
                  </w:r>
                </w:p>
              </w:tc>
              <w:tc>
                <w:tcPr>
                  <w:tcW w:w="1303" w:type="pct"/>
                  <w:tcBorders>
                    <w:tl2br w:val="nil"/>
                    <w:tr2bl w:val="nil"/>
                  </w:tcBorders>
                  <w:shd w:val="clear" w:color="auto" w:fill="auto"/>
                  <w:noWrap/>
                  <w:vAlign w:val="center"/>
                </w:tcPr>
                <w:p w14:paraId="008E4C45">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rPr>
                    <w:t>台</w:t>
                  </w:r>
                </w:p>
              </w:tc>
              <w:tc>
                <w:tcPr>
                  <w:tcW w:w="725" w:type="pct"/>
                  <w:vMerge w:val="continue"/>
                  <w:tcBorders>
                    <w:tl2br w:val="nil"/>
                    <w:tr2bl w:val="nil"/>
                  </w:tcBorders>
                  <w:shd w:val="clear" w:color="auto" w:fill="auto"/>
                  <w:noWrap/>
                  <w:vAlign w:val="center"/>
                </w:tcPr>
                <w:p w14:paraId="5D2D351A">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r w14:paraId="092506E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69" w:type="pct"/>
                  <w:tcBorders>
                    <w:tl2br w:val="nil"/>
                    <w:tr2bl w:val="nil"/>
                  </w:tcBorders>
                  <w:shd w:val="clear" w:color="auto" w:fill="auto"/>
                  <w:noWrap/>
                  <w:vAlign w:val="center"/>
                </w:tcPr>
                <w:p w14:paraId="42D347D7">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11</w:t>
                  </w:r>
                </w:p>
              </w:tc>
              <w:tc>
                <w:tcPr>
                  <w:tcW w:w="1299" w:type="pct"/>
                  <w:tcBorders>
                    <w:tl2br w:val="nil"/>
                    <w:tr2bl w:val="nil"/>
                  </w:tcBorders>
                  <w:shd w:val="clear" w:color="auto" w:fill="auto"/>
                  <w:noWrap/>
                  <w:vAlign w:val="center"/>
                </w:tcPr>
                <w:p w14:paraId="6A0669DF">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题字间</w:t>
                  </w:r>
                </w:p>
              </w:tc>
              <w:tc>
                <w:tcPr>
                  <w:tcW w:w="1303" w:type="pct"/>
                  <w:tcBorders>
                    <w:tl2br w:val="nil"/>
                    <w:tr2bl w:val="nil"/>
                  </w:tcBorders>
                  <w:shd w:val="clear" w:color="auto" w:fill="auto"/>
                  <w:noWrap/>
                  <w:vAlign w:val="center"/>
                </w:tcPr>
                <w:p w14:paraId="7632DE85">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1</w:t>
                  </w:r>
                </w:p>
              </w:tc>
              <w:tc>
                <w:tcPr>
                  <w:tcW w:w="1303" w:type="pct"/>
                  <w:tcBorders>
                    <w:tl2br w:val="nil"/>
                    <w:tr2bl w:val="nil"/>
                  </w:tcBorders>
                  <w:shd w:val="clear" w:color="auto" w:fill="auto"/>
                  <w:noWrap/>
                  <w:vAlign w:val="center"/>
                </w:tcPr>
                <w:p w14:paraId="030AE3DD">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hint="eastAsia" w:eastAsia="宋体" w:cs="Times New Roman"/>
                      <w:color w:val="auto"/>
                      <w:szCs w:val="21"/>
                      <w:lang w:eastAsia="zh-CN"/>
                    </w:rPr>
                    <w:t>间</w:t>
                  </w:r>
                </w:p>
              </w:tc>
              <w:tc>
                <w:tcPr>
                  <w:tcW w:w="725" w:type="pct"/>
                  <w:vMerge w:val="continue"/>
                  <w:tcBorders>
                    <w:tl2br w:val="nil"/>
                    <w:tr2bl w:val="nil"/>
                  </w:tcBorders>
                  <w:shd w:val="clear" w:color="auto" w:fill="auto"/>
                  <w:noWrap/>
                  <w:vAlign w:val="center"/>
                </w:tcPr>
                <w:p w14:paraId="782A5FAB">
                  <w:pPr>
                    <w:widowControl/>
                    <w:spacing w:line="240" w:lineRule="auto"/>
                    <w:ind w:left="0" w:leftChars="0" w:right="0" w:rightChars="0" w:firstLine="0" w:firstLineChars="0"/>
                    <w:jc w:val="center"/>
                    <w:textAlignment w:val="center"/>
                    <w:rPr>
                      <w:rFonts w:eastAsia="宋体" w:cs="Times New Roman"/>
                      <w:color w:val="auto"/>
                      <w:szCs w:val="21"/>
                      <w:lang w:eastAsia="zh-CN"/>
                    </w:rPr>
                  </w:pPr>
                </w:p>
              </w:tc>
            </w:tr>
          </w:tbl>
          <w:p w14:paraId="7864A63D">
            <w:pPr>
              <w:adjustRightInd w:val="0"/>
              <w:snapToGrid w:val="0"/>
              <w:ind w:firstLine="482"/>
              <w:jc w:val="both"/>
              <w:rPr>
                <w:rFonts w:eastAsia="宋体" w:cs="Times New Roman"/>
                <w:b/>
                <w:bCs/>
                <w:color w:val="auto"/>
                <w:sz w:val="24"/>
                <w:szCs w:val="24"/>
                <w:lang w:eastAsia="zh-CN"/>
              </w:rPr>
            </w:pPr>
            <w:r>
              <w:rPr>
                <w:rFonts w:hint="eastAsia" w:eastAsia="宋体" w:cs="Times New Roman"/>
                <w:b/>
                <w:bCs/>
                <w:color w:val="auto"/>
                <w:sz w:val="24"/>
                <w:szCs w:val="24"/>
                <w:lang w:eastAsia="zh-CN"/>
              </w:rPr>
              <w:t>7</w:t>
            </w:r>
            <w:r>
              <w:rPr>
                <w:rFonts w:eastAsia="宋体" w:cs="Times New Roman"/>
                <w:b/>
                <w:bCs/>
                <w:color w:val="auto"/>
                <w:sz w:val="24"/>
                <w:szCs w:val="24"/>
                <w:lang w:eastAsia="zh-CN"/>
              </w:rPr>
              <w:t>、公用工程</w:t>
            </w:r>
          </w:p>
          <w:p w14:paraId="466D71CF">
            <w:pPr>
              <w:adjustRightInd w:val="0"/>
              <w:snapToGrid w:val="0"/>
              <w:ind w:firstLine="480"/>
              <w:jc w:val="both"/>
              <w:rPr>
                <w:rFonts w:eastAsia="宋体" w:cs="Times New Roman"/>
                <w:bCs/>
                <w:color w:val="auto"/>
                <w:sz w:val="24"/>
                <w:szCs w:val="24"/>
                <w:lang w:eastAsia="zh-CN"/>
              </w:rPr>
            </w:pPr>
            <w:r>
              <w:rPr>
                <w:rFonts w:eastAsia="宋体" w:cs="Times New Roman"/>
                <w:bCs/>
                <w:color w:val="auto"/>
                <w:sz w:val="24"/>
                <w:szCs w:val="24"/>
                <w:lang w:eastAsia="zh-CN"/>
              </w:rPr>
              <w:t>（1）</w:t>
            </w:r>
            <w:r>
              <w:rPr>
                <w:rFonts w:hint="eastAsia" w:eastAsia="宋体" w:cs="Times New Roman"/>
                <w:bCs/>
                <w:color w:val="auto"/>
                <w:sz w:val="24"/>
                <w:szCs w:val="24"/>
                <w:lang w:eastAsia="zh-CN"/>
              </w:rPr>
              <w:t>给</w:t>
            </w:r>
            <w:r>
              <w:rPr>
                <w:rFonts w:eastAsia="宋体" w:cs="Times New Roman"/>
                <w:bCs/>
                <w:color w:val="auto"/>
                <w:sz w:val="24"/>
                <w:szCs w:val="24"/>
                <w:lang w:eastAsia="zh-CN"/>
              </w:rPr>
              <w:t>水</w:t>
            </w:r>
          </w:p>
          <w:p w14:paraId="5BB8DDB6">
            <w:pPr>
              <w:adjustRightInd w:val="0"/>
              <w:snapToGrid w:val="0"/>
              <w:ind w:firstLine="480"/>
              <w:jc w:val="both"/>
              <w:rPr>
                <w:rFonts w:eastAsia="宋体" w:cs="Times New Roman"/>
                <w:bCs/>
                <w:color w:val="auto"/>
                <w:sz w:val="24"/>
                <w:szCs w:val="24"/>
                <w:lang w:eastAsia="zh-CN"/>
              </w:rPr>
            </w:pPr>
            <w:r>
              <w:rPr>
                <w:bCs/>
                <w:color w:val="auto"/>
                <w:sz w:val="24"/>
                <w:lang w:eastAsia="zh-CN"/>
              </w:rPr>
              <w:t>项目用水由</w:t>
            </w:r>
            <w:r>
              <w:rPr>
                <w:rFonts w:hint="eastAsia"/>
                <w:bCs/>
                <w:color w:val="auto"/>
                <w:sz w:val="24"/>
                <w:lang w:eastAsia="zh-CN"/>
              </w:rPr>
              <w:t>园区</w:t>
            </w:r>
            <w:r>
              <w:rPr>
                <w:bCs/>
                <w:color w:val="auto"/>
                <w:sz w:val="24"/>
                <w:lang w:eastAsia="zh-CN"/>
              </w:rPr>
              <w:t>供水管网提供，</w:t>
            </w:r>
            <w:r>
              <w:rPr>
                <w:rFonts w:hint="eastAsia"/>
                <w:bCs/>
                <w:color w:val="auto"/>
                <w:sz w:val="24"/>
                <w:lang w:eastAsia="zh-CN"/>
              </w:rPr>
              <w:t>取水设施依托厂区现有</w:t>
            </w:r>
            <w:r>
              <w:rPr>
                <w:bCs/>
                <w:color w:val="auto"/>
                <w:sz w:val="24"/>
                <w:lang w:eastAsia="zh-CN"/>
              </w:rPr>
              <w:t>。</w:t>
            </w:r>
          </w:p>
          <w:p w14:paraId="10747C0A">
            <w:pPr>
              <w:adjustRightInd w:val="0"/>
              <w:snapToGrid w:val="0"/>
              <w:ind w:firstLine="480"/>
              <w:jc w:val="both"/>
              <w:rPr>
                <w:bCs/>
                <w:color w:val="auto"/>
                <w:sz w:val="24"/>
                <w:lang w:eastAsia="zh-CN"/>
              </w:rPr>
            </w:pPr>
            <w:r>
              <w:rPr>
                <w:rFonts w:hint="eastAsia"/>
                <w:bCs/>
                <w:color w:val="auto"/>
                <w:sz w:val="24"/>
                <w:lang w:eastAsia="zh-CN"/>
              </w:rPr>
              <w:t>本次扩建新增</w:t>
            </w:r>
            <w:r>
              <w:rPr>
                <w:bCs/>
                <w:color w:val="auto"/>
                <w:sz w:val="24"/>
                <w:lang w:eastAsia="zh-CN"/>
              </w:rPr>
              <w:t>劳动定员</w:t>
            </w:r>
            <w:r>
              <w:rPr>
                <w:rFonts w:hint="eastAsia"/>
                <w:bCs/>
                <w:color w:val="auto"/>
                <w:sz w:val="24"/>
                <w:lang w:eastAsia="zh-CN"/>
              </w:rPr>
              <w:t>10</w:t>
            </w:r>
            <w:r>
              <w:rPr>
                <w:bCs/>
                <w:color w:val="auto"/>
                <w:sz w:val="24"/>
                <w:lang w:eastAsia="zh-CN"/>
              </w:rPr>
              <w:t>人，厂区</w:t>
            </w:r>
            <w:r>
              <w:rPr>
                <w:rFonts w:hint="eastAsia"/>
                <w:bCs/>
                <w:color w:val="auto"/>
                <w:sz w:val="24"/>
                <w:lang w:eastAsia="zh-CN"/>
              </w:rPr>
              <w:t>提供</w:t>
            </w:r>
            <w:r>
              <w:rPr>
                <w:bCs/>
                <w:color w:val="auto"/>
                <w:sz w:val="24"/>
                <w:lang w:eastAsia="zh-CN"/>
              </w:rPr>
              <w:t>食宿。根据《行业用水定额》（DB61/T943-2020），在厂区食宿员工生活用水量参照</w:t>
            </w:r>
            <w:r>
              <w:rPr>
                <w:rFonts w:hint="eastAsia"/>
                <w:bCs/>
                <w:color w:val="auto"/>
                <w:sz w:val="24"/>
                <w:lang w:eastAsia="zh-CN"/>
              </w:rPr>
              <w:t>“</w:t>
            </w:r>
            <w:r>
              <w:rPr>
                <w:bCs/>
                <w:color w:val="auto"/>
                <w:sz w:val="24"/>
                <w:lang w:eastAsia="zh-CN"/>
              </w:rPr>
              <w:t>表B.1 居民生活-城镇居民生活-特大城市</w:t>
            </w:r>
            <w:r>
              <w:rPr>
                <w:rFonts w:hint="eastAsia"/>
                <w:bCs/>
                <w:color w:val="auto"/>
                <w:sz w:val="24"/>
                <w:lang w:eastAsia="zh-CN"/>
              </w:rPr>
              <w:t>”</w:t>
            </w:r>
            <w:r>
              <w:rPr>
                <w:bCs/>
                <w:color w:val="auto"/>
                <w:sz w:val="24"/>
                <w:lang w:eastAsia="zh-CN"/>
              </w:rPr>
              <w:t>用水量取140L/（人·d），则项目生活用水量为</w:t>
            </w:r>
            <w:r>
              <w:rPr>
                <w:rFonts w:hint="eastAsia"/>
                <w:bCs/>
                <w:color w:val="auto"/>
                <w:sz w:val="24"/>
                <w:lang w:eastAsia="zh-CN"/>
              </w:rPr>
              <w:t>420</w:t>
            </w:r>
            <w:r>
              <w:rPr>
                <w:bCs/>
                <w:color w:val="auto"/>
                <w:sz w:val="24"/>
                <w:lang w:eastAsia="zh-CN"/>
              </w:rPr>
              <w:t>m</w:t>
            </w:r>
            <w:r>
              <w:rPr>
                <w:bCs/>
                <w:color w:val="auto"/>
                <w:sz w:val="24"/>
                <w:vertAlign w:val="superscript"/>
                <w:lang w:eastAsia="zh-CN"/>
              </w:rPr>
              <w:t>3</w:t>
            </w:r>
            <w:r>
              <w:rPr>
                <w:bCs/>
                <w:color w:val="auto"/>
                <w:sz w:val="24"/>
                <w:lang w:eastAsia="zh-CN"/>
              </w:rPr>
              <w:t>/a</w:t>
            </w:r>
            <w:r>
              <w:rPr>
                <w:rFonts w:hint="eastAsia"/>
                <w:bCs/>
                <w:color w:val="auto"/>
                <w:sz w:val="24"/>
                <w:lang w:eastAsia="zh-CN"/>
              </w:rPr>
              <w:t>，</w:t>
            </w:r>
            <w:r>
              <w:rPr>
                <w:bCs/>
                <w:color w:val="auto"/>
                <w:sz w:val="24"/>
                <w:lang w:eastAsia="zh-CN"/>
              </w:rPr>
              <w:t>（</w:t>
            </w:r>
            <w:r>
              <w:rPr>
                <w:rFonts w:hint="eastAsia"/>
                <w:bCs/>
                <w:color w:val="auto"/>
                <w:sz w:val="24"/>
                <w:lang w:eastAsia="zh-CN"/>
              </w:rPr>
              <w:t>1.4</w:t>
            </w:r>
            <w:r>
              <w:rPr>
                <w:bCs/>
                <w:color w:val="auto"/>
                <w:sz w:val="24"/>
                <w:lang w:eastAsia="zh-CN"/>
              </w:rPr>
              <w:t>m</w:t>
            </w:r>
            <w:r>
              <w:rPr>
                <w:bCs/>
                <w:color w:val="auto"/>
                <w:sz w:val="24"/>
                <w:vertAlign w:val="superscript"/>
                <w:lang w:eastAsia="zh-CN"/>
              </w:rPr>
              <w:t>3</w:t>
            </w:r>
            <w:r>
              <w:rPr>
                <w:bCs/>
                <w:color w:val="auto"/>
                <w:sz w:val="24"/>
                <w:lang w:eastAsia="zh-CN"/>
              </w:rPr>
              <w:t>/d）。</w:t>
            </w:r>
          </w:p>
          <w:p w14:paraId="6CBF1A25">
            <w:pPr>
              <w:adjustRightInd w:val="0"/>
              <w:snapToGrid w:val="0"/>
              <w:ind w:firstLine="480"/>
              <w:jc w:val="both"/>
              <w:rPr>
                <w:rFonts w:eastAsia="宋体" w:cs="Times New Roman"/>
                <w:color w:val="auto"/>
                <w:sz w:val="24"/>
                <w:szCs w:val="24"/>
                <w:lang w:eastAsia="zh-CN"/>
              </w:rPr>
            </w:pPr>
            <w:r>
              <w:rPr>
                <w:rFonts w:eastAsia="宋体" w:cs="Times New Roman"/>
                <w:color w:val="auto"/>
                <w:sz w:val="24"/>
                <w:szCs w:val="24"/>
                <w:lang w:eastAsia="zh-CN"/>
              </w:rPr>
              <w:t>（2）排水</w:t>
            </w:r>
          </w:p>
          <w:p w14:paraId="4A041022">
            <w:pPr>
              <w:adjustRightInd w:val="0"/>
              <w:snapToGrid w:val="0"/>
              <w:ind w:firstLine="480"/>
              <w:jc w:val="both"/>
              <w:rPr>
                <w:bCs/>
                <w:color w:val="auto"/>
                <w:sz w:val="24"/>
                <w:lang w:eastAsia="zh-CN"/>
              </w:rPr>
            </w:pPr>
            <w:r>
              <w:rPr>
                <w:rFonts w:cs="Times New Roman"/>
                <w:color w:val="auto"/>
                <w:sz w:val="24"/>
                <w:lang w:eastAsia="zh-CN"/>
              </w:rPr>
              <w:t>项目采用雨污分流制，雨水经雨水管网直接外排；</w:t>
            </w:r>
            <w:r>
              <w:rPr>
                <w:rFonts w:eastAsia="宋体" w:cs="Times New Roman"/>
                <w:color w:val="auto"/>
                <w:sz w:val="24"/>
                <w:szCs w:val="24"/>
                <w:lang w:val="zh-CN" w:eastAsia="zh-CN"/>
              </w:rPr>
              <w:t>生活污水</w:t>
            </w:r>
            <w:r>
              <w:rPr>
                <w:rFonts w:hint="eastAsia" w:eastAsia="宋体" w:cs="Times New Roman"/>
                <w:color w:val="auto"/>
                <w:sz w:val="24"/>
                <w:szCs w:val="24"/>
                <w:lang w:eastAsia="zh-CN"/>
              </w:rPr>
              <w:t>产生</w:t>
            </w:r>
            <w:r>
              <w:rPr>
                <w:bCs/>
                <w:color w:val="auto"/>
                <w:sz w:val="24"/>
                <w:lang w:eastAsia="zh-CN"/>
              </w:rPr>
              <w:t>量</w:t>
            </w:r>
            <w:r>
              <w:rPr>
                <w:rFonts w:hint="eastAsia"/>
                <w:bCs/>
                <w:color w:val="auto"/>
                <w:sz w:val="24"/>
                <w:lang w:eastAsia="zh-CN"/>
              </w:rPr>
              <w:t>以</w:t>
            </w:r>
            <w:r>
              <w:rPr>
                <w:bCs/>
                <w:color w:val="auto"/>
                <w:sz w:val="24"/>
                <w:lang w:eastAsia="zh-CN"/>
              </w:rPr>
              <w:t>用水量</w:t>
            </w:r>
            <w:r>
              <w:rPr>
                <w:rFonts w:hint="eastAsia"/>
                <w:bCs/>
                <w:color w:val="auto"/>
                <w:sz w:val="24"/>
                <w:lang w:eastAsia="zh-CN"/>
              </w:rPr>
              <w:t>的</w:t>
            </w:r>
            <w:r>
              <w:rPr>
                <w:bCs/>
                <w:color w:val="auto"/>
                <w:sz w:val="24"/>
                <w:lang w:eastAsia="zh-CN"/>
              </w:rPr>
              <w:t>80%计，则生活污水产生量为</w:t>
            </w:r>
            <w:r>
              <w:rPr>
                <w:rFonts w:hint="eastAsia"/>
                <w:bCs/>
                <w:color w:val="auto"/>
                <w:sz w:val="24"/>
                <w:lang w:eastAsia="zh-CN"/>
              </w:rPr>
              <w:t>1.12</w:t>
            </w:r>
            <w:r>
              <w:rPr>
                <w:bCs/>
                <w:color w:val="auto"/>
                <w:sz w:val="24"/>
                <w:lang w:eastAsia="zh-CN"/>
              </w:rPr>
              <w:t>m</w:t>
            </w:r>
            <w:r>
              <w:rPr>
                <w:bCs/>
                <w:color w:val="auto"/>
                <w:sz w:val="24"/>
                <w:vertAlign w:val="superscript"/>
                <w:lang w:eastAsia="zh-CN"/>
              </w:rPr>
              <w:t>3</w:t>
            </w:r>
            <w:r>
              <w:rPr>
                <w:bCs/>
                <w:color w:val="auto"/>
                <w:sz w:val="24"/>
                <w:lang w:eastAsia="zh-CN"/>
              </w:rPr>
              <w:t>/d（</w:t>
            </w:r>
            <w:r>
              <w:rPr>
                <w:rFonts w:hint="eastAsia"/>
                <w:bCs/>
                <w:color w:val="auto"/>
                <w:sz w:val="24"/>
                <w:lang w:eastAsia="zh-CN"/>
              </w:rPr>
              <w:t>336</w:t>
            </w:r>
            <w:r>
              <w:rPr>
                <w:bCs/>
                <w:color w:val="auto"/>
                <w:sz w:val="24"/>
                <w:lang w:eastAsia="zh-CN"/>
              </w:rPr>
              <w:t>m</w:t>
            </w:r>
            <w:r>
              <w:rPr>
                <w:bCs/>
                <w:color w:val="auto"/>
                <w:sz w:val="24"/>
                <w:vertAlign w:val="superscript"/>
                <w:lang w:eastAsia="zh-CN"/>
              </w:rPr>
              <w:t>3</w:t>
            </w:r>
            <w:r>
              <w:rPr>
                <w:bCs/>
                <w:color w:val="auto"/>
                <w:sz w:val="24"/>
                <w:lang w:eastAsia="zh-CN"/>
              </w:rPr>
              <w:t>/a），其中食堂废水占比约20%，即</w:t>
            </w:r>
            <w:r>
              <w:rPr>
                <w:rFonts w:hint="eastAsia"/>
                <w:bCs/>
                <w:color w:val="auto"/>
                <w:sz w:val="24"/>
                <w:lang w:eastAsia="zh-CN"/>
              </w:rPr>
              <w:t>0.224</w:t>
            </w:r>
            <w:r>
              <w:rPr>
                <w:bCs/>
                <w:color w:val="auto"/>
                <w:sz w:val="24"/>
                <w:lang w:eastAsia="zh-CN"/>
              </w:rPr>
              <w:t>m</w:t>
            </w:r>
            <w:r>
              <w:rPr>
                <w:bCs/>
                <w:color w:val="auto"/>
                <w:sz w:val="24"/>
                <w:vertAlign w:val="superscript"/>
                <w:lang w:eastAsia="zh-CN"/>
              </w:rPr>
              <w:t>3</w:t>
            </w:r>
            <w:r>
              <w:rPr>
                <w:bCs/>
                <w:color w:val="auto"/>
                <w:sz w:val="24"/>
                <w:lang w:eastAsia="zh-CN"/>
              </w:rPr>
              <w:t>/d。职工盥洗废水与经油水分离器处理后的食堂废水</w:t>
            </w:r>
            <w:r>
              <w:rPr>
                <w:rFonts w:hint="eastAsia"/>
                <w:bCs/>
                <w:color w:val="auto"/>
                <w:sz w:val="24"/>
                <w:lang w:eastAsia="zh-CN"/>
              </w:rPr>
              <w:t>一并进入厂区化粪池，污水</w:t>
            </w:r>
            <w:r>
              <w:rPr>
                <w:bCs/>
                <w:color w:val="auto"/>
                <w:sz w:val="24"/>
                <w:lang w:eastAsia="zh-CN"/>
              </w:rPr>
              <w:t>经化粪池</w:t>
            </w:r>
            <w:r>
              <w:rPr>
                <w:rFonts w:hint="eastAsia"/>
                <w:bCs/>
                <w:color w:val="auto"/>
                <w:sz w:val="24"/>
                <w:lang w:eastAsia="zh-CN"/>
              </w:rPr>
              <w:t>沉淀</w:t>
            </w:r>
            <w:r>
              <w:rPr>
                <w:bCs/>
                <w:color w:val="auto"/>
                <w:sz w:val="24"/>
                <w:lang w:eastAsia="zh-CN"/>
              </w:rPr>
              <w:t>后</w:t>
            </w:r>
            <w:r>
              <w:rPr>
                <w:rFonts w:eastAsia="宋体" w:cs="Times New Roman"/>
                <w:color w:val="auto"/>
                <w:sz w:val="24"/>
                <w:szCs w:val="24"/>
                <w:lang w:val="zh-CN" w:eastAsia="zh-CN"/>
              </w:rPr>
              <w:t>通过污水管网进入</w:t>
            </w:r>
            <w:r>
              <w:rPr>
                <w:rFonts w:hint="eastAsia" w:eastAsia="宋体" w:cs="Times New Roman"/>
                <w:color w:val="auto"/>
                <w:sz w:val="24"/>
                <w:szCs w:val="24"/>
                <w:lang w:val="zh-CN" w:eastAsia="zh-CN"/>
              </w:rPr>
              <w:t>园区污水处理厂</w:t>
            </w:r>
            <w:r>
              <w:rPr>
                <w:rFonts w:hint="eastAsia" w:eastAsia="宋体" w:cs="Times New Roman"/>
                <w:color w:val="auto"/>
                <w:sz w:val="24"/>
                <w:szCs w:val="24"/>
                <w:lang w:eastAsia="zh-CN"/>
              </w:rPr>
              <w:t>集中处理</w:t>
            </w:r>
            <w:r>
              <w:rPr>
                <w:rFonts w:eastAsia="宋体" w:cs="Times New Roman"/>
                <w:color w:val="auto"/>
                <w:sz w:val="24"/>
                <w:szCs w:val="24"/>
                <w:lang w:val="zh-CN" w:eastAsia="zh-CN"/>
              </w:rPr>
              <w:t>。</w:t>
            </w:r>
          </w:p>
          <w:p w14:paraId="41C475E8">
            <w:pPr>
              <w:pStyle w:val="44"/>
              <w:adjustRightInd w:val="0"/>
              <w:snapToGrid w:val="0"/>
              <w:ind w:firstLine="480"/>
              <w:jc w:val="both"/>
              <w:rPr>
                <w:rFonts w:eastAsia="宋体" w:cs="Times New Roman"/>
                <w:color w:val="auto"/>
                <w:kern w:val="2"/>
                <w:sz w:val="24"/>
                <w:szCs w:val="24"/>
                <w:lang w:eastAsia="zh-CN"/>
              </w:rPr>
            </w:pPr>
            <w:r>
              <w:rPr>
                <w:rFonts w:eastAsia="宋体" w:cs="Times New Roman"/>
                <w:bCs/>
                <w:color w:val="auto"/>
                <w:sz w:val="24"/>
                <w:szCs w:val="24"/>
                <w:lang w:eastAsia="zh-CN"/>
              </w:rPr>
              <w:t>（3）</w:t>
            </w:r>
            <w:r>
              <w:rPr>
                <w:rFonts w:eastAsia="宋体" w:cs="Times New Roman"/>
                <w:color w:val="auto"/>
                <w:kern w:val="2"/>
                <w:sz w:val="24"/>
                <w:szCs w:val="24"/>
                <w:lang w:eastAsia="zh-CN"/>
              </w:rPr>
              <w:t>供电</w:t>
            </w:r>
          </w:p>
          <w:p w14:paraId="79E225B1">
            <w:pPr>
              <w:pStyle w:val="44"/>
              <w:adjustRightInd w:val="0"/>
              <w:snapToGrid w:val="0"/>
              <w:ind w:firstLine="480"/>
              <w:jc w:val="both"/>
              <w:rPr>
                <w:bCs/>
                <w:color w:val="auto"/>
                <w:sz w:val="24"/>
                <w:lang w:eastAsia="zh-CN"/>
              </w:rPr>
            </w:pPr>
            <w:r>
              <w:rPr>
                <w:bCs/>
                <w:color w:val="auto"/>
                <w:sz w:val="24"/>
                <w:lang w:eastAsia="zh-CN"/>
              </w:rPr>
              <w:t>项目供电依托现有供电设施及电网提供。</w:t>
            </w:r>
          </w:p>
          <w:p w14:paraId="54ADD964">
            <w:pPr>
              <w:pStyle w:val="44"/>
              <w:adjustRightInd w:val="0"/>
              <w:snapToGrid w:val="0"/>
              <w:ind w:firstLine="480"/>
              <w:jc w:val="both"/>
              <w:rPr>
                <w:rFonts w:eastAsia="宋体" w:cs="Times New Roman"/>
                <w:color w:val="auto"/>
                <w:kern w:val="2"/>
                <w:sz w:val="24"/>
                <w:szCs w:val="24"/>
                <w:lang w:eastAsia="zh-CN"/>
              </w:rPr>
            </w:pPr>
            <w:r>
              <w:rPr>
                <w:rFonts w:eastAsia="宋体" w:cs="Times New Roman"/>
                <w:color w:val="auto"/>
                <w:kern w:val="2"/>
                <w:sz w:val="24"/>
                <w:szCs w:val="24"/>
                <w:lang w:eastAsia="zh-CN"/>
              </w:rPr>
              <w:t>（4）采暖</w:t>
            </w:r>
            <w:r>
              <w:rPr>
                <w:rFonts w:hint="eastAsia" w:eastAsia="宋体" w:cs="Times New Roman"/>
                <w:color w:val="auto"/>
                <w:kern w:val="2"/>
                <w:sz w:val="24"/>
                <w:szCs w:val="24"/>
                <w:lang w:eastAsia="zh-CN"/>
              </w:rPr>
              <w:t>、制冷</w:t>
            </w:r>
          </w:p>
          <w:p w14:paraId="2DB70048">
            <w:pPr>
              <w:pStyle w:val="44"/>
              <w:adjustRightInd w:val="0"/>
              <w:snapToGrid w:val="0"/>
              <w:ind w:firstLine="480"/>
              <w:jc w:val="both"/>
              <w:rPr>
                <w:rFonts w:eastAsia="宋体" w:cs="Times New Roman"/>
                <w:color w:val="auto"/>
                <w:kern w:val="2"/>
                <w:sz w:val="24"/>
                <w:szCs w:val="24"/>
                <w:lang w:eastAsia="zh-CN"/>
              </w:rPr>
            </w:pPr>
            <w:r>
              <w:rPr>
                <w:rFonts w:cs="Times New Roman"/>
                <w:bCs/>
                <w:snapToGrid w:val="0"/>
                <w:color w:val="auto"/>
                <w:sz w:val="24"/>
                <w:lang w:eastAsia="zh-CN"/>
              </w:rPr>
              <w:t>项目办公区采用分体空调供暖、制冷，生产区不供暖，通风采用风扇</w:t>
            </w:r>
            <w:r>
              <w:rPr>
                <w:rFonts w:eastAsia="宋体" w:cs="Times New Roman"/>
                <w:color w:val="auto"/>
                <w:kern w:val="2"/>
                <w:sz w:val="24"/>
                <w:szCs w:val="24"/>
                <w:lang w:eastAsia="zh-CN"/>
              </w:rPr>
              <w:t>。</w:t>
            </w:r>
          </w:p>
          <w:p w14:paraId="6D5B4161">
            <w:pPr>
              <w:pStyle w:val="44"/>
              <w:adjustRightInd w:val="0"/>
              <w:snapToGrid w:val="0"/>
              <w:ind w:firstLine="482"/>
              <w:jc w:val="both"/>
              <w:rPr>
                <w:rFonts w:eastAsia="宋体" w:cs="Times New Roman"/>
                <w:b/>
                <w:color w:val="auto"/>
                <w:kern w:val="2"/>
                <w:sz w:val="24"/>
                <w:szCs w:val="24"/>
                <w:lang w:eastAsia="zh-CN"/>
              </w:rPr>
            </w:pPr>
            <w:r>
              <w:rPr>
                <w:rFonts w:hint="eastAsia" w:eastAsia="宋体" w:cs="Times New Roman"/>
                <w:b/>
                <w:color w:val="auto"/>
                <w:kern w:val="2"/>
                <w:sz w:val="24"/>
                <w:szCs w:val="24"/>
                <w:lang w:eastAsia="zh-CN"/>
              </w:rPr>
              <w:t>8</w:t>
            </w:r>
            <w:r>
              <w:rPr>
                <w:rFonts w:eastAsia="宋体" w:cs="Times New Roman"/>
                <w:b/>
                <w:color w:val="auto"/>
                <w:kern w:val="2"/>
                <w:sz w:val="24"/>
                <w:szCs w:val="24"/>
                <w:lang w:eastAsia="zh-CN"/>
              </w:rPr>
              <w:t>、工作制度及劳动定员</w:t>
            </w:r>
          </w:p>
          <w:p w14:paraId="69FDD970">
            <w:pPr>
              <w:pStyle w:val="76"/>
              <w:ind w:left="0" w:leftChars="0" w:right="0" w:rightChars="0" w:firstLine="476"/>
              <w:jc w:val="both"/>
              <w:rPr>
                <w:color w:val="auto"/>
                <w:lang w:eastAsia="zh-CN"/>
              </w:rPr>
            </w:pPr>
            <w:r>
              <w:rPr>
                <w:rFonts w:ascii="Times New Roman" w:hAnsi="Times New Roman" w:cs="Times New Roman"/>
                <w:color w:val="auto"/>
                <w:spacing w:val="-1"/>
                <w:lang w:eastAsia="zh-CN"/>
              </w:rPr>
              <w:t>本扩建项目新增员工10人，每天工作8h，年工作300天，一班制，</w:t>
            </w:r>
            <w:r>
              <w:rPr>
                <w:rFonts w:hint="eastAsia" w:ascii="Times New Roman" w:hAnsi="Times New Roman" w:cs="Times New Roman"/>
                <w:color w:val="auto"/>
                <w:spacing w:val="-1"/>
                <w:lang w:eastAsia="zh-CN"/>
              </w:rPr>
              <w:t>新增员工食宿均依托厂内现有。</w:t>
            </w:r>
          </w:p>
          <w:p w14:paraId="78401FAC">
            <w:pPr>
              <w:pStyle w:val="41"/>
              <w:spacing w:line="360" w:lineRule="auto"/>
              <w:ind w:firstLine="482"/>
              <w:jc w:val="both"/>
              <w:rPr>
                <w:rFonts w:eastAsia="宋体" w:cs="Times New Roman"/>
                <w:b/>
                <w:color w:val="auto"/>
                <w:szCs w:val="24"/>
                <w:lang w:eastAsia="zh-CN"/>
              </w:rPr>
            </w:pPr>
            <w:r>
              <w:rPr>
                <w:rFonts w:hint="eastAsia" w:eastAsia="宋体" w:cs="Times New Roman"/>
                <w:b/>
                <w:color w:val="auto"/>
                <w:szCs w:val="24"/>
                <w:lang w:eastAsia="zh-CN"/>
              </w:rPr>
              <w:t>9</w:t>
            </w:r>
            <w:r>
              <w:rPr>
                <w:rFonts w:eastAsia="宋体" w:cs="Times New Roman"/>
                <w:b/>
                <w:color w:val="auto"/>
                <w:szCs w:val="24"/>
                <w:lang w:eastAsia="zh-CN"/>
              </w:rPr>
              <w:t>、厂区总体布置</w:t>
            </w:r>
          </w:p>
          <w:p w14:paraId="40FC3309">
            <w:pPr>
              <w:pStyle w:val="41"/>
              <w:spacing w:line="360" w:lineRule="auto"/>
              <w:ind w:firstLine="480"/>
              <w:jc w:val="both"/>
              <w:rPr>
                <w:rFonts w:eastAsia="宋体" w:cs="Times New Roman"/>
                <w:color w:val="auto"/>
                <w:sz w:val="21"/>
                <w:szCs w:val="21"/>
                <w:lang w:eastAsia="zh-CN"/>
              </w:rPr>
            </w:pPr>
            <w:r>
              <w:rPr>
                <w:rFonts w:eastAsia="宋体" w:cs="Times New Roman"/>
                <w:color w:val="auto"/>
                <w:szCs w:val="24"/>
                <w:lang w:eastAsia="zh-CN"/>
              </w:rPr>
              <w:t>项目根据厂区</w:t>
            </w:r>
            <w:r>
              <w:rPr>
                <w:rFonts w:hint="eastAsia" w:eastAsia="宋体" w:cs="Times New Roman"/>
                <w:color w:val="auto"/>
                <w:szCs w:val="24"/>
                <w:lang w:eastAsia="zh-CN"/>
              </w:rPr>
              <w:t>“</w:t>
            </w:r>
            <w:r>
              <w:rPr>
                <w:rFonts w:eastAsia="宋体" w:cs="Times New Roman"/>
                <w:color w:val="auto"/>
                <w:szCs w:val="24"/>
                <w:lang w:eastAsia="zh-CN"/>
              </w:rPr>
              <w:t>分区合理、工艺流畅、物流短捷、突出环保与安全</w:t>
            </w:r>
            <w:r>
              <w:rPr>
                <w:rFonts w:hint="eastAsia" w:eastAsia="宋体" w:cs="Times New Roman"/>
                <w:color w:val="auto"/>
                <w:szCs w:val="24"/>
                <w:lang w:eastAsia="zh-CN"/>
              </w:rPr>
              <w:t>”</w:t>
            </w:r>
            <w:r>
              <w:rPr>
                <w:rFonts w:eastAsia="宋体" w:cs="Times New Roman"/>
                <w:color w:val="auto"/>
                <w:szCs w:val="24"/>
                <w:lang w:eastAsia="zh-CN"/>
              </w:rPr>
              <w:t>的原则，</w:t>
            </w:r>
            <w:r>
              <w:rPr>
                <w:rFonts w:eastAsia="宋体" w:cs="Times New Roman"/>
                <w:bCs/>
                <w:color w:val="auto"/>
                <w:szCs w:val="24"/>
                <w:lang w:eastAsia="zh-CN"/>
              </w:rPr>
              <w:t>项目</w:t>
            </w:r>
            <w:r>
              <w:rPr>
                <w:rFonts w:hint="eastAsia" w:eastAsia="宋体" w:cs="Times New Roman"/>
                <w:bCs/>
                <w:color w:val="auto"/>
                <w:szCs w:val="24"/>
                <w:lang w:eastAsia="zh-CN"/>
              </w:rPr>
              <w:t>厂区主入口位于东南侧，从西往东依次是加工车间、生活楼。厂区总体布置合理，功能分区明确，工艺流程顺畅、生产管理方便。项目总平</w:t>
            </w:r>
            <w:r>
              <w:rPr>
                <w:rFonts w:eastAsia="宋体" w:cs="Times New Roman"/>
                <w:bCs/>
                <w:color w:val="auto"/>
                <w:szCs w:val="24"/>
                <w:lang w:eastAsia="zh-CN"/>
              </w:rPr>
              <w:t>图见附图</w:t>
            </w:r>
            <w:r>
              <w:rPr>
                <w:rFonts w:hint="eastAsia" w:eastAsia="宋体" w:cs="Times New Roman"/>
                <w:bCs/>
                <w:color w:val="auto"/>
                <w:szCs w:val="24"/>
                <w:lang w:eastAsia="zh-CN"/>
              </w:rPr>
              <w:t>3</w:t>
            </w:r>
            <w:r>
              <w:rPr>
                <w:rFonts w:eastAsia="宋体" w:cs="Times New Roman"/>
                <w:bCs/>
                <w:color w:val="auto"/>
                <w:szCs w:val="24"/>
                <w:lang w:eastAsia="zh-CN"/>
              </w:rPr>
              <w:t>。</w:t>
            </w:r>
          </w:p>
        </w:tc>
      </w:tr>
      <w:tr w14:paraId="1701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 w:type="pct"/>
            <w:vAlign w:val="center"/>
          </w:tcPr>
          <w:p w14:paraId="5DA11C96">
            <w:pPr>
              <w:pStyle w:val="38"/>
              <w:spacing w:line="240" w:lineRule="auto"/>
              <w:ind w:left="0" w:leftChars="0" w:right="0" w:rightChars="0" w:firstLine="0" w:firstLineChars="0"/>
              <w:jc w:val="center"/>
              <w:rPr>
                <w:rFonts w:eastAsia="宋体" w:cs="Times New Roman"/>
                <w:color w:val="auto"/>
                <w:sz w:val="24"/>
                <w:szCs w:val="24"/>
                <w:lang w:eastAsia="zh-CN"/>
              </w:rPr>
            </w:pPr>
            <w:r>
              <w:rPr>
                <w:rFonts w:eastAsia="宋体" w:cs="Times New Roman"/>
                <w:b/>
                <w:bCs/>
                <w:color w:val="auto"/>
                <w:sz w:val="24"/>
                <w:szCs w:val="24"/>
                <w:lang w:eastAsia="zh-CN"/>
              </w:rPr>
              <w:t>工艺流程和产排污环节</w:t>
            </w:r>
          </w:p>
        </w:tc>
        <w:tc>
          <w:tcPr>
            <w:tcW w:w="4754" w:type="pct"/>
            <w:vAlign w:val="center"/>
          </w:tcPr>
          <w:p w14:paraId="06CCCFF2">
            <w:pPr>
              <w:adjustRightInd w:val="0"/>
              <w:snapToGrid w:val="0"/>
              <w:spacing w:before="120" w:beforeLines="50"/>
              <w:ind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1、</w:t>
            </w:r>
            <w:r>
              <w:rPr>
                <w:rFonts w:eastAsia="宋体" w:cs="Times New Roman"/>
                <w:b/>
                <w:color w:val="auto"/>
                <w:sz w:val="24"/>
                <w:szCs w:val="24"/>
                <w:lang w:eastAsia="zh-CN"/>
              </w:rPr>
              <w:t>施工期工艺流程简述</w:t>
            </w:r>
          </w:p>
          <w:p w14:paraId="5BE655CF">
            <w:pPr>
              <w:ind w:firstLine="480"/>
              <w:jc w:val="both"/>
              <w:rPr>
                <w:color w:val="auto"/>
                <w:sz w:val="24"/>
                <w:lang w:val="zh-CN" w:eastAsia="zh-CN"/>
              </w:rPr>
            </w:pPr>
            <w:r>
              <w:rPr>
                <w:rFonts w:hint="eastAsia" w:ascii="宋体" w:hAnsi="宋体" w:eastAsia="宋体" w:cs="宋体"/>
                <w:color w:val="auto"/>
                <w:sz w:val="24"/>
                <w:szCs w:val="24"/>
                <w:lang w:eastAsia="zh-CN"/>
              </w:rPr>
              <w:t>本扩建项目</w:t>
            </w:r>
            <w:r>
              <w:rPr>
                <w:color w:val="auto"/>
                <w:sz w:val="24"/>
                <w:szCs w:val="24"/>
                <w:lang w:val="zh-CN" w:eastAsia="zh-CN"/>
              </w:rPr>
              <w:t>只需进行设备安装和简单装修，不涉及土建工程。施工期主要环境影响为设备噪声以及少量</w:t>
            </w:r>
            <w:r>
              <w:rPr>
                <w:rFonts w:hint="eastAsia"/>
                <w:color w:val="auto"/>
                <w:sz w:val="24"/>
                <w:szCs w:val="24"/>
                <w:lang w:eastAsia="zh-CN"/>
              </w:rPr>
              <w:t>废装修耗材</w:t>
            </w:r>
            <w:r>
              <w:rPr>
                <w:color w:val="auto"/>
                <w:sz w:val="24"/>
                <w:szCs w:val="24"/>
                <w:lang w:val="zh-CN" w:eastAsia="zh-CN"/>
              </w:rPr>
              <w:t>等。</w:t>
            </w:r>
          </w:p>
          <w:p w14:paraId="4F3E435A">
            <w:pPr>
              <w:adjustRightInd w:val="0"/>
              <w:snapToGrid w:val="0"/>
              <w:ind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2</w:t>
            </w:r>
            <w:r>
              <w:rPr>
                <w:rFonts w:eastAsia="宋体" w:cs="Times New Roman"/>
                <w:b/>
                <w:color w:val="auto"/>
                <w:sz w:val="24"/>
                <w:szCs w:val="24"/>
                <w:lang w:eastAsia="zh-CN"/>
              </w:rPr>
              <w:t>、运营期工艺流程简述</w:t>
            </w:r>
          </w:p>
          <w:p w14:paraId="371FCF7D">
            <w:pPr>
              <w:autoSpaceDE w:val="0"/>
              <w:autoSpaceDN w:val="0"/>
              <w:adjustRightInd w:val="0"/>
              <w:snapToGrid w:val="0"/>
              <w:ind w:firstLine="480"/>
              <w:jc w:val="both"/>
              <w:rPr>
                <w:rFonts w:eastAsia="宋体" w:cs="Times New Roman"/>
                <w:color w:val="auto"/>
                <w:sz w:val="24"/>
                <w:szCs w:val="24"/>
                <w:lang w:eastAsia="zh-CN"/>
              </w:rPr>
            </w:pPr>
            <w:r>
              <w:rPr>
                <w:rFonts w:eastAsia="宋体" w:cs="Times New Roman"/>
                <w:color w:val="auto"/>
                <w:sz w:val="24"/>
                <w:szCs w:val="24"/>
                <w:lang w:eastAsia="zh-CN"/>
              </w:rPr>
              <w:t>项目主要生产</w:t>
            </w:r>
            <w:r>
              <w:rPr>
                <w:rFonts w:hint="eastAsia" w:eastAsia="宋体" w:cs="Times New Roman"/>
                <w:color w:val="auto"/>
                <w:sz w:val="24"/>
                <w:szCs w:val="24"/>
                <w:lang w:eastAsia="zh-CN"/>
              </w:rPr>
              <w:t>办公家具柜、金属消防栓箱</w:t>
            </w:r>
            <w:r>
              <w:rPr>
                <w:rFonts w:eastAsia="宋体" w:cs="Times New Roman"/>
                <w:color w:val="auto"/>
                <w:sz w:val="24"/>
                <w:szCs w:val="24"/>
                <w:lang w:eastAsia="zh-CN"/>
              </w:rPr>
              <w:t>，生产工艺流程及产污环节见图2-1所示。</w:t>
            </w:r>
          </w:p>
          <w:p w14:paraId="399287D9">
            <w:pPr>
              <w:pStyle w:val="25"/>
              <w:ind w:left="0" w:leftChars="0" w:firstLine="0" w:firstLineChars="0"/>
              <w:jc w:val="both"/>
              <w:rPr>
                <w:rFonts w:ascii="Times New Roman" w:eastAsia="宋体" w:cs="Times New Roman"/>
                <w:b/>
                <w:bCs/>
                <w:color w:val="auto"/>
                <w:sz w:val="24"/>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1913255</wp:posOffset>
                      </wp:positionH>
                      <wp:positionV relativeFrom="paragraph">
                        <wp:posOffset>1047750</wp:posOffset>
                      </wp:positionV>
                      <wp:extent cx="735965" cy="339725"/>
                      <wp:effectExtent l="0" t="0" r="0" b="0"/>
                      <wp:wrapNone/>
                      <wp:docPr id="13" name="文本框 13"/>
                      <wp:cNvGraphicFramePr/>
                      <a:graphic xmlns:a="http://schemas.openxmlformats.org/drawingml/2006/main">
                        <a:graphicData uri="http://schemas.microsoft.com/office/word/2010/wordprocessingShape">
                          <wps:wsp>
                            <wps:cNvSpPr txBox="1"/>
                            <wps:spPr>
                              <a:xfrm>
                                <a:off x="3165475" y="5089525"/>
                                <a:ext cx="735965"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A0F3D">
                                  <w:pPr>
                                    <w:ind w:left="0" w:leftChars="0" w:firstLine="0" w:firstLineChars="0"/>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65pt;margin-top:82.5pt;height:26.75pt;width:57.95pt;z-index:251668480;mso-width-relative:page;mso-height-relative:page;" filled="f" stroked="f" coordsize="21600,21600" o:gfxdata="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Kvu69wAAAALAQAADwAAAAAA&#10;AAABACAAAAAiAAAAZHJzL2Rvd25yZXYueG1sUEsBAhQAFAAAAAgAh07iQFxdvEFIAgAAcwQAAA4A&#10;AAAAAAAAAQAgAAAAKwEAAGRycy9lMm9Eb2MueG1sUEsFBgAAAAAGAAYAWQEAAOUFAAAAAA==&#10;">
                      <v:fill on="f" focussize="0,0"/>
                      <v:stroke on="f" weight="0.5pt"/>
                      <v:imagedata o:title=""/>
                      <o:lock v:ext="edit" aspectratio="f"/>
                      <v:textbox>
                        <w:txbxContent>
                          <w:p w14:paraId="193A0F3D">
                            <w:pPr>
                              <w:ind w:left="0" w:leftChars="0" w:firstLine="0" w:firstLineChars="0"/>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有机废气</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2437765</wp:posOffset>
                      </wp:positionH>
                      <wp:positionV relativeFrom="paragraph">
                        <wp:posOffset>1277620</wp:posOffset>
                      </wp:positionV>
                      <wp:extent cx="207010" cy="112395"/>
                      <wp:effectExtent l="0" t="3175" r="21590" b="17780"/>
                      <wp:wrapNone/>
                      <wp:docPr id="12" name="直接箭头连接符 12"/>
                      <wp:cNvGraphicFramePr/>
                      <a:graphic xmlns:a="http://schemas.openxmlformats.org/drawingml/2006/main">
                        <a:graphicData uri="http://schemas.microsoft.com/office/word/2010/wordprocessingShape">
                          <wps:wsp>
                            <wps:cNvCnPr/>
                            <wps:spPr>
                              <a:xfrm flipH="1" flipV="1">
                                <a:off x="3571875" y="5166995"/>
                                <a:ext cx="207010" cy="112395"/>
                              </a:xfrm>
                              <a:prstGeom prst="straightConnector1">
                                <a:avLst/>
                              </a:prstGeom>
                              <a:ln w="12700" cmpd="sng">
                                <a:solidFill>
                                  <a:schemeClr val="tx1"/>
                                </a:solidFill>
                                <a:prstDash val="sysDash"/>
                                <a:tailEnd type="arrow" w="med" len="med"/>
                              </a:ln>
                            </wps:spPr>
                            <wps:style>
                              <a:lnRef idx="3">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91.95pt;margin-top:100.6pt;height:8.85pt;width:16.3pt;z-index:251667456;mso-width-relative:page;mso-height-relative:page;" filled="f" stroked="t" coordsize="21600,21600" o:gfxdata="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BoYi&#10;2AAAAAsBAAAPAAAAAAAAAAEAIAAAACIAAABkcnMvZG93bnJldi54bWxQSwECFAAUAAAACACHTuJA&#10;6jgRjCECAAACBAAADgAAAAAAAAABACAAAAAnAQAAZHJzL2Uyb0RvYy54bWxQSwUGAAAAAAYABgBZ&#10;AQAAugUAAAAA&#10;">
                      <v:fill on="f" focussize="0,0"/>
                      <v:stroke weight="1pt" color="#000000 [3213]" joinstyle="round" dashstyle="3 1" endarrow="open"/>
                      <v:imagedata o:title=""/>
                      <o:lock v:ext="edit" aspectratio="f"/>
                    </v:shape>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1995170</wp:posOffset>
                      </wp:positionH>
                      <wp:positionV relativeFrom="paragraph">
                        <wp:posOffset>3709035</wp:posOffset>
                      </wp:positionV>
                      <wp:extent cx="904875" cy="314325"/>
                      <wp:effectExtent l="4445" t="4445" r="5080" b="16510"/>
                      <wp:wrapNone/>
                      <wp:docPr id="9" name="文本框 9"/>
                      <wp:cNvGraphicFramePr/>
                      <a:graphic xmlns:a="http://schemas.openxmlformats.org/drawingml/2006/main">
                        <a:graphicData uri="http://schemas.microsoft.com/office/word/2010/wordprocessingShape">
                          <wps:wsp>
                            <wps:cNvSpPr txBox="1"/>
                            <wps:spPr>
                              <a:xfrm>
                                <a:off x="0" y="0"/>
                                <a:ext cx="9048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D95855">
                                  <w:pPr>
                                    <w:ind w:left="0" w:leftChars="0" w:right="0" w:rightChars="0" w:firstLine="0" w:firstLineChars="0"/>
                                    <w:jc w:val="center"/>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1pt;margin-top:292.05pt;height:24.75pt;width:71.25pt;z-index:251666432;mso-width-relative:page;mso-height-relative:page;" fillcolor="#FFFFFF [3201]" filled="t" stroked="t" coordsize="21600,21600" o:gfxdata="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y2GY9kA&#10;AAALAQAADwAAAAAAAAABACAAAAAiAAAAZHJzL2Rvd25yZXYueG1sUEsBAhQAFAAAAAgAh07iQJoJ&#10;0ptXAgAAtgQAAA4AAAAAAAAAAQAgAAAAKAEAAGRycy9lMm9Eb2MueG1sUEsFBgAAAAAGAAYAWQEA&#10;APEFAAAAAA==&#10;">
                      <v:fill on="t" focussize="0,0"/>
                      <v:stroke weight="0.5pt" color="#000000 [3204]" joinstyle="round"/>
                      <v:imagedata o:title=""/>
                      <o:lock v:ext="edit" aspectratio="f"/>
                      <v:textbox>
                        <w:txbxContent>
                          <w:p w14:paraId="16D95855">
                            <w:pPr>
                              <w:ind w:left="0" w:leftChars="0" w:right="0" w:rightChars="0" w:firstLine="0" w:firstLineChars="0"/>
                              <w:jc w:val="center"/>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固化</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3319145</wp:posOffset>
                      </wp:positionH>
                      <wp:positionV relativeFrom="paragraph">
                        <wp:posOffset>1403985</wp:posOffset>
                      </wp:positionV>
                      <wp:extent cx="904875" cy="314325"/>
                      <wp:effectExtent l="4445" t="4445" r="5080" b="16510"/>
                      <wp:wrapNone/>
                      <wp:docPr id="8" name="文本框 8"/>
                      <wp:cNvGraphicFramePr/>
                      <a:graphic xmlns:a="http://schemas.openxmlformats.org/drawingml/2006/main">
                        <a:graphicData uri="http://schemas.microsoft.com/office/word/2010/wordprocessingShape">
                          <wps:wsp>
                            <wps:cNvSpPr txBox="1"/>
                            <wps:spPr>
                              <a:xfrm>
                                <a:off x="4497070" y="5390515"/>
                                <a:ext cx="9048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ACD48B">
                                  <w:pPr>
                                    <w:ind w:left="0" w:leftChars="0" w:right="0" w:rightChars="0" w:firstLine="0" w:firstLineChars="0"/>
                                    <w:jc w:val="center"/>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35pt;margin-top:110.55pt;height:24.75pt;width:71.25pt;z-index:251665408;mso-width-relative:page;mso-height-relative:page;" fillcolor="#FFFFFF [3201]" filled="t" stroked="t" coordsize="21600,21600" o:gfxdata="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fHpvXXAAAACwEAAA8AAAAAAAAAAQAgAAAAIgAAAGRycy9kb3ducmV2LnhtbFBLAQIU&#10;ABQAAAAIAIdO4kBqBfcYZgIAAMIEAAAOAAAAAAAAAAEAIAAAACYBAABkcnMvZTJvRG9jLnhtbFBL&#10;BQYAAAAABgAGAFkBAAD+BQAAAAA=&#10;">
                      <v:fill on="t" focussize="0,0"/>
                      <v:stroke weight="0.5pt" color="#000000 [3204]" joinstyle="round"/>
                      <v:imagedata o:title=""/>
                      <o:lock v:ext="edit" aspectratio="f"/>
                      <v:textbox>
                        <w:txbxContent>
                          <w:p w14:paraId="20ACD48B">
                            <w:pPr>
                              <w:ind w:left="0" w:leftChars="0" w:right="0" w:rightChars="0" w:firstLine="0" w:firstLineChars="0"/>
                              <w:jc w:val="center"/>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固化</w:t>
                            </w:r>
                          </w:p>
                        </w:txbxContent>
                      </v:textbox>
                    </v:shape>
                  </w:pict>
                </mc:Fallback>
              </mc:AlternateContent>
            </w:r>
            <w:r>
              <w:rPr>
                <w:color w:val="auto"/>
                <w:lang w:eastAsia="zh-CN"/>
              </w:rPr>
              <w:drawing>
                <wp:inline distT="0" distB="0" distL="114300" distR="114300">
                  <wp:extent cx="5499735" cy="4782820"/>
                  <wp:effectExtent l="0" t="0" r="5715" b="1778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7"/>
                          <a:srcRect l="2677" t="3447" r="1332" b="2705"/>
                          <a:stretch>
                            <a:fillRect/>
                          </a:stretch>
                        </pic:blipFill>
                        <pic:spPr>
                          <a:xfrm>
                            <a:off x="0" y="0"/>
                            <a:ext cx="5499735" cy="4782820"/>
                          </a:xfrm>
                          <a:prstGeom prst="rect">
                            <a:avLst/>
                          </a:prstGeom>
                          <a:noFill/>
                          <a:ln>
                            <a:noFill/>
                          </a:ln>
                        </pic:spPr>
                      </pic:pic>
                    </a:graphicData>
                  </a:graphic>
                </wp:inline>
              </w:drawing>
            </w:r>
          </w:p>
          <w:p w14:paraId="1110A254">
            <w:pPr>
              <w:adjustRightInd w:val="0"/>
              <w:snapToGrid w:val="0"/>
              <w:spacing w:line="240" w:lineRule="auto"/>
              <w:ind w:left="0" w:leftChars="0" w:right="0" w:rightChars="0" w:firstLine="0" w:firstLineChars="0"/>
              <w:jc w:val="center"/>
              <w:rPr>
                <w:rFonts w:eastAsia="宋体" w:cs="Times New Roman"/>
                <w:b/>
                <w:bCs/>
                <w:color w:val="0000FF"/>
                <w:szCs w:val="21"/>
                <w:lang w:eastAsia="zh-CN"/>
              </w:rPr>
            </w:pPr>
            <w:r>
              <w:rPr>
                <w:rFonts w:eastAsia="宋体" w:cs="Times New Roman"/>
                <w:b/>
                <w:bCs/>
                <w:color w:val="0000FF"/>
                <w:szCs w:val="21"/>
                <w:lang w:eastAsia="zh-CN"/>
              </w:rPr>
              <w:t>图2-1    本项目生产工艺流程及产污环节图</w:t>
            </w:r>
          </w:p>
          <w:p w14:paraId="53E3FFA0">
            <w:pPr>
              <w:adjustRightInd w:val="0"/>
              <w:snapToGrid w:val="0"/>
              <w:ind w:left="0" w:leftChars="0" w:rightChars="0" w:firstLine="482"/>
              <w:jc w:val="both"/>
              <w:rPr>
                <w:rFonts w:eastAsia="宋体" w:cs="Times New Roman"/>
                <w:b/>
                <w:bCs/>
                <w:color w:val="auto"/>
                <w:sz w:val="24"/>
                <w:szCs w:val="24"/>
                <w:lang w:eastAsia="zh-CN"/>
              </w:rPr>
            </w:pPr>
            <w:r>
              <w:rPr>
                <w:rFonts w:hint="eastAsia" w:eastAsia="宋体" w:cs="Times New Roman"/>
                <w:b/>
                <w:bCs/>
                <w:color w:val="auto"/>
                <w:sz w:val="24"/>
                <w:szCs w:val="24"/>
                <w:lang w:eastAsia="zh-CN"/>
              </w:rPr>
              <w:t>3、</w:t>
            </w:r>
            <w:r>
              <w:rPr>
                <w:rFonts w:eastAsia="宋体" w:cs="Times New Roman"/>
                <w:b/>
                <w:bCs/>
                <w:color w:val="auto"/>
                <w:sz w:val="24"/>
                <w:szCs w:val="24"/>
                <w:lang w:eastAsia="zh-CN"/>
              </w:rPr>
              <w:t>工艺流程简述：</w:t>
            </w:r>
          </w:p>
          <w:p w14:paraId="76A779DB">
            <w:pPr>
              <w:snapToGrid w:val="0"/>
              <w:ind w:left="0" w:leftChars="0" w:right="0" w:rightChars="0" w:firstLine="482"/>
              <w:jc w:val="both"/>
              <w:outlineLvl w:val="0"/>
              <w:rPr>
                <w:rFonts w:cs="Times New Roman"/>
                <w:b/>
                <w:bCs/>
                <w:color w:val="auto"/>
                <w:sz w:val="24"/>
                <w:szCs w:val="24"/>
                <w:lang w:eastAsia="zh-CN"/>
              </w:rPr>
            </w:pPr>
            <w:r>
              <w:rPr>
                <w:rFonts w:hint="eastAsia" w:cs="Times New Roman"/>
                <w:b/>
                <w:bCs/>
                <w:color w:val="auto"/>
                <w:sz w:val="24"/>
                <w:szCs w:val="24"/>
                <w:lang w:eastAsia="zh-CN"/>
              </w:rPr>
              <w:t>3.1消火栓箱生产工艺流程</w:t>
            </w:r>
          </w:p>
          <w:p w14:paraId="649E073D">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1</w:t>
            </w:r>
            <w:r>
              <w:rPr>
                <w:rFonts w:ascii="瀹嬩綋" w:hAnsi="瀹嬩綋" w:eastAsia="瀹嬩綋" w:cs="瀹嬩綋"/>
                <w:color w:val="auto"/>
                <w:sz w:val="24"/>
                <w:szCs w:val="24"/>
                <w:lang w:eastAsia="zh-CN" w:bidi="ar"/>
              </w:rPr>
              <w:t>）裁板、下料：将外购板材利用剪板机进行剪切加工，得到设计要求的规格尺寸金属工件。此工序产生金属</w:t>
            </w:r>
            <w:r>
              <w:rPr>
                <w:rFonts w:hint="eastAsia" w:ascii="瀹嬩綋" w:hAnsi="瀹嬩綋" w:eastAsia="瀹嬩綋" w:cs="瀹嬩綋"/>
                <w:color w:val="auto"/>
                <w:sz w:val="24"/>
                <w:szCs w:val="24"/>
                <w:lang w:eastAsia="zh-CN" w:bidi="ar"/>
              </w:rPr>
              <w:t>边角料</w:t>
            </w:r>
            <w:r>
              <w:rPr>
                <w:rFonts w:ascii="瀹嬩綋" w:hAnsi="瀹嬩綋" w:eastAsia="瀹嬩綋" w:cs="瀹嬩綋"/>
                <w:color w:val="auto"/>
                <w:sz w:val="24"/>
                <w:szCs w:val="24"/>
                <w:lang w:eastAsia="zh-CN" w:bidi="ar"/>
              </w:rPr>
              <w:t>和噪声、</w:t>
            </w:r>
            <w:r>
              <w:rPr>
                <w:rFonts w:hint="eastAsia" w:ascii="瀹嬩綋" w:hAnsi="瀹嬩綋" w:eastAsia="瀹嬩綋" w:cs="瀹嬩綋"/>
                <w:color w:val="auto"/>
                <w:sz w:val="24"/>
                <w:szCs w:val="24"/>
                <w:lang w:eastAsia="zh-CN" w:bidi="ar"/>
              </w:rPr>
              <w:t>切割粉尘</w:t>
            </w:r>
            <w:r>
              <w:rPr>
                <w:rFonts w:ascii="瀹嬩綋" w:hAnsi="瀹嬩綋" w:eastAsia="瀹嬩綋" w:cs="瀹嬩綋"/>
                <w:color w:val="auto"/>
                <w:sz w:val="24"/>
                <w:szCs w:val="24"/>
                <w:lang w:eastAsia="zh-CN" w:bidi="ar"/>
              </w:rPr>
              <w:t xml:space="preserve">。 </w:t>
            </w:r>
          </w:p>
          <w:p w14:paraId="6AB9A555">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2</w:t>
            </w:r>
            <w:r>
              <w:rPr>
                <w:rFonts w:ascii="瀹嬩綋" w:hAnsi="瀹嬩綋" w:eastAsia="瀹嬩綋" w:cs="瀹嬩綋"/>
                <w:color w:val="auto"/>
                <w:sz w:val="24"/>
                <w:szCs w:val="24"/>
                <w:lang w:eastAsia="zh-CN" w:bidi="ar"/>
              </w:rPr>
              <w:t>）冲压、折弯：将金属工件根据加工要求利用冲床冲压出孔状等。此工序产生金属</w:t>
            </w:r>
            <w:r>
              <w:rPr>
                <w:rFonts w:hint="eastAsia" w:ascii="瀹嬩綋" w:hAnsi="瀹嬩綋" w:eastAsia="瀹嬩綋" w:cs="瀹嬩綋"/>
                <w:color w:val="auto"/>
                <w:sz w:val="24"/>
                <w:szCs w:val="24"/>
                <w:lang w:eastAsia="zh-CN" w:bidi="ar"/>
              </w:rPr>
              <w:t>边角料</w:t>
            </w:r>
            <w:r>
              <w:rPr>
                <w:rFonts w:ascii="瀹嬩綋" w:hAnsi="瀹嬩綋" w:eastAsia="瀹嬩綋" w:cs="瀹嬩綋"/>
                <w:color w:val="auto"/>
                <w:sz w:val="24"/>
                <w:szCs w:val="24"/>
                <w:lang w:eastAsia="zh-CN" w:bidi="ar"/>
              </w:rPr>
              <w:t xml:space="preserve">和噪声；将金属工件根据加工要求利用折弯机进行折弯。此工序产生噪声。 </w:t>
            </w:r>
          </w:p>
          <w:p w14:paraId="4F6CB0ED">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3</w:t>
            </w:r>
            <w:r>
              <w:rPr>
                <w:rFonts w:ascii="瀹嬩綋" w:hAnsi="瀹嬩綋" w:eastAsia="瀹嬩綋" w:cs="瀹嬩綋"/>
                <w:color w:val="auto"/>
                <w:sz w:val="24"/>
                <w:szCs w:val="24"/>
                <w:lang w:eastAsia="zh-CN" w:bidi="ar"/>
              </w:rPr>
              <w:t>）焊接、组装：将剪切好的备用料按要求进行焊接。</w:t>
            </w:r>
            <w:r>
              <w:rPr>
                <w:rFonts w:hint="eastAsia" w:ascii="瀹嬩綋" w:hAnsi="瀹嬩綋" w:eastAsia="瀹嬩綋" w:cs="瀹嬩綋"/>
                <w:color w:val="auto"/>
                <w:sz w:val="24"/>
                <w:szCs w:val="24"/>
                <w:lang w:eastAsia="zh-CN" w:bidi="ar"/>
              </w:rPr>
              <w:t>此</w:t>
            </w:r>
            <w:r>
              <w:rPr>
                <w:rFonts w:ascii="瀹嬩綋" w:hAnsi="瀹嬩綋" w:eastAsia="瀹嬩綋" w:cs="瀹嬩綋"/>
                <w:color w:val="auto"/>
                <w:sz w:val="24"/>
                <w:szCs w:val="24"/>
                <w:lang w:eastAsia="zh-CN" w:bidi="ar"/>
              </w:rPr>
              <w:t xml:space="preserve">工序产生焊接烟尘、噪声。 </w:t>
            </w:r>
          </w:p>
          <w:p w14:paraId="21E84F1D">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4</w:t>
            </w:r>
            <w:r>
              <w:rPr>
                <w:rFonts w:ascii="瀹嬩綋" w:hAnsi="瀹嬩綋" w:eastAsia="瀹嬩綋" w:cs="瀹嬩綋"/>
                <w:color w:val="auto"/>
                <w:sz w:val="24"/>
                <w:szCs w:val="24"/>
                <w:lang w:eastAsia="zh-CN" w:bidi="ar"/>
              </w:rPr>
              <w:t>）喷涂：将工件分批次固定在挂钩上，</w:t>
            </w:r>
            <w:r>
              <w:rPr>
                <w:rFonts w:hint="eastAsia" w:ascii="瀹嬩綋" w:hAnsi="瀹嬩綋" w:eastAsia="瀹嬩綋" w:cs="瀹嬩綋"/>
                <w:color w:val="auto"/>
                <w:sz w:val="24"/>
                <w:szCs w:val="24"/>
                <w:lang w:eastAsia="zh-CN" w:bidi="ar"/>
              </w:rPr>
              <w:t>工件</w:t>
            </w:r>
            <w:r>
              <w:rPr>
                <w:rFonts w:ascii="瀹嬩綋" w:hAnsi="瀹嬩綋" w:eastAsia="瀹嬩綋" w:cs="瀹嬩綋"/>
                <w:color w:val="auto"/>
                <w:sz w:val="24"/>
                <w:szCs w:val="24"/>
                <w:lang w:eastAsia="zh-CN" w:bidi="ar"/>
              </w:rPr>
              <w:t>沿导轨送至喷</w:t>
            </w:r>
            <w:r>
              <w:rPr>
                <w:rFonts w:hint="eastAsia" w:ascii="瀹嬩綋" w:hAnsi="瀹嬩綋" w:eastAsia="瀹嬩綋" w:cs="瀹嬩綋"/>
                <w:color w:val="auto"/>
                <w:sz w:val="24"/>
                <w:szCs w:val="24"/>
                <w:lang w:eastAsia="zh-CN" w:bidi="ar"/>
              </w:rPr>
              <w:t>粉</w:t>
            </w:r>
            <w:r>
              <w:rPr>
                <w:rFonts w:ascii="瀹嬩綋" w:hAnsi="瀹嬩綋" w:eastAsia="瀹嬩綋" w:cs="瀹嬩綋"/>
                <w:color w:val="auto"/>
                <w:sz w:val="24"/>
                <w:szCs w:val="24"/>
                <w:lang w:eastAsia="zh-CN" w:bidi="ar"/>
              </w:rPr>
              <w:t>房内，在半封闭式条件下进行静电喷涂，</w:t>
            </w:r>
            <w:r>
              <w:rPr>
                <w:rFonts w:hint="eastAsia" w:ascii="瀹嬩綋" w:hAnsi="瀹嬩綋" w:eastAsia="瀹嬩綋" w:cs="瀹嬩綋"/>
                <w:color w:val="auto"/>
                <w:sz w:val="24"/>
                <w:szCs w:val="24"/>
                <w:lang w:eastAsia="zh-CN" w:bidi="ar"/>
              </w:rPr>
              <w:t>静电喷涂的原理为：</w:t>
            </w:r>
            <w:r>
              <w:rPr>
                <w:rFonts w:ascii="瀹嬩綋" w:hAnsi="瀹嬩綋" w:eastAsia="瀹嬩綋" w:cs="瀹嬩綋"/>
                <w:color w:val="auto"/>
                <w:sz w:val="24"/>
                <w:szCs w:val="24"/>
                <w:lang w:eastAsia="zh-CN" w:bidi="ar"/>
              </w:rPr>
              <w:t>利用高压静电</w:t>
            </w:r>
            <w:r>
              <w:rPr>
                <w:rFonts w:hint="eastAsia" w:ascii="瀹嬩綋" w:hAnsi="瀹嬩綋" w:eastAsia="瀹嬩綋" w:cs="瀹嬩綋"/>
                <w:color w:val="auto"/>
                <w:sz w:val="24"/>
                <w:szCs w:val="24"/>
                <w:lang w:eastAsia="zh-CN" w:bidi="ar"/>
              </w:rPr>
              <w:t>电场使带负电的涂料微粒沿着电场相反的方向定向运动，并将涂料微粒吸附在工件表面，</w:t>
            </w:r>
            <w:r>
              <w:rPr>
                <w:rFonts w:ascii="瀹嬩綋" w:hAnsi="瀹嬩綋" w:eastAsia="瀹嬩綋" w:cs="瀹嬩綋"/>
                <w:color w:val="auto"/>
                <w:sz w:val="24"/>
                <w:szCs w:val="24"/>
                <w:lang w:eastAsia="zh-CN" w:bidi="ar"/>
              </w:rPr>
              <w:t>形成粉末的涂层。此工序产生</w:t>
            </w:r>
            <w:r>
              <w:rPr>
                <w:rFonts w:hint="eastAsia" w:ascii="瀹嬩綋" w:hAnsi="瀹嬩綋" w:eastAsia="瀹嬩綋" w:cs="瀹嬩綋"/>
                <w:color w:val="auto"/>
                <w:sz w:val="24"/>
                <w:szCs w:val="24"/>
                <w:lang w:eastAsia="zh-CN" w:bidi="ar"/>
              </w:rPr>
              <w:t>喷涂</w:t>
            </w:r>
            <w:r>
              <w:rPr>
                <w:rFonts w:ascii="瀹嬩綋" w:hAnsi="瀹嬩綋" w:eastAsia="瀹嬩綋" w:cs="瀹嬩綋"/>
                <w:color w:val="auto"/>
                <w:sz w:val="24"/>
                <w:szCs w:val="24"/>
                <w:lang w:eastAsia="zh-CN" w:bidi="ar"/>
              </w:rPr>
              <w:t xml:space="preserve">粉尘、噪声。 </w:t>
            </w:r>
          </w:p>
          <w:p w14:paraId="3BF5D75C">
            <w:pPr>
              <w:widowControl/>
              <w:ind w:left="0" w:leftChars="0" w:right="0" w:rightChars="0" w:firstLine="480"/>
              <w:jc w:val="both"/>
              <w:rPr>
                <w:rFonts w:ascii="瀹嬩綋" w:hAnsi="瀹嬩綋" w:eastAsia="瀹嬩綋" w:cs="瀹嬩綋"/>
                <w:color w:val="auto"/>
                <w:sz w:val="24"/>
                <w:szCs w:val="24"/>
                <w:lang w:eastAsia="zh-CN" w:bidi="ar"/>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5</w:t>
            </w:r>
            <w:r>
              <w:rPr>
                <w:rFonts w:ascii="瀹嬩綋" w:hAnsi="瀹嬩綋" w:eastAsia="瀹嬩綋" w:cs="瀹嬩綋"/>
                <w:color w:val="auto"/>
                <w:sz w:val="24"/>
                <w:szCs w:val="24"/>
                <w:lang w:eastAsia="zh-CN" w:bidi="ar"/>
              </w:rPr>
              <w:t>）</w:t>
            </w:r>
            <w:r>
              <w:rPr>
                <w:rFonts w:hint="eastAsia" w:ascii="瀹嬩綋" w:hAnsi="瀹嬩綋" w:eastAsia="瀹嬩綋" w:cs="瀹嬩綋"/>
                <w:color w:val="auto"/>
                <w:sz w:val="24"/>
                <w:szCs w:val="24"/>
                <w:lang w:eastAsia="zh-CN" w:bidi="ar"/>
              </w:rPr>
              <w:t>固化</w:t>
            </w:r>
            <w:r>
              <w:rPr>
                <w:rFonts w:ascii="瀹嬩綋" w:hAnsi="瀹嬩綋" w:eastAsia="瀹嬩綋" w:cs="瀹嬩綋"/>
                <w:color w:val="auto"/>
                <w:sz w:val="24"/>
                <w:szCs w:val="24"/>
                <w:lang w:eastAsia="zh-CN" w:bidi="ar"/>
              </w:rPr>
              <w:t>：</w:t>
            </w:r>
            <w:r>
              <w:rPr>
                <w:rFonts w:hint="eastAsia" w:ascii="瀹嬩綋" w:hAnsi="瀹嬩綋" w:eastAsia="瀹嬩綋" w:cs="瀹嬩綋"/>
                <w:color w:val="auto"/>
                <w:sz w:val="24"/>
                <w:szCs w:val="24"/>
                <w:lang w:eastAsia="zh-CN" w:bidi="ar"/>
              </w:rPr>
              <w:t>喷涂</w:t>
            </w:r>
            <w:r>
              <w:rPr>
                <w:rFonts w:ascii="瀹嬩綋" w:hAnsi="瀹嬩綋" w:eastAsia="瀹嬩綋" w:cs="瀹嬩綋"/>
                <w:color w:val="auto"/>
                <w:sz w:val="24"/>
                <w:szCs w:val="24"/>
                <w:lang w:eastAsia="zh-CN" w:bidi="ar"/>
              </w:rPr>
              <w:t>后的工件</w:t>
            </w:r>
            <w:r>
              <w:rPr>
                <w:rFonts w:hint="eastAsia" w:ascii="瀹嬩綋" w:hAnsi="瀹嬩綋" w:eastAsia="瀹嬩綋" w:cs="瀹嬩綋"/>
                <w:color w:val="auto"/>
                <w:sz w:val="24"/>
                <w:szCs w:val="24"/>
                <w:lang w:eastAsia="zh-CN" w:bidi="ar"/>
              </w:rPr>
              <w:t>继续</w:t>
            </w:r>
            <w:r>
              <w:rPr>
                <w:rFonts w:ascii="瀹嬩綋" w:hAnsi="瀹嬩綋" w:eastAsia="瀹嬩綋" w:cs="瀹嬩綋"/>
                <w:color w:val="auto"/>
                <w:sz w:val="24"/>
                <w:szCs w:val="24"/>
                <w:lang w:eastAsia="zh-CN" w:bidi="ar"/>
              </w:rPr>
              <w:t>沿导轨</w:t>
            </w:r>
            <w:r>
              <w:rPr>
                <w:rFonts w:hint="eastAsia" w:ascii="瀹嬩綋" w:hAnsi="瀹嬩綋" w:eastAsia="瀹嬩綋" w:cs="瀹嬩綋"/>
                <w:color w:val="auto"/>
                <w:sz w:val="24"/>
                <w:szCs w:val="24"/>
                <w:lang w:eastAsia="zh-CN" w:bidi="ar"/>
              </w:rPr>
              <w:t>进</w:t>
            </w:r>
            <w:r>
              <w:rPr>
                <w:rFonts w:ascii="瀹嬩綋" w:hAnsi="瀹嬩綋" w:eastAsia="瀹嬩綋" w:cs="瀹嬩綋"/>
                <w:color w:val="auto"/>
                <w:sz w:val="24"/>
                <w:szCs w:val="24"/>
                <w:lang w:eastAsia="zh-CN" w:bidi="ar"/>
              </w:rPr>
              <w:t>入</w:t>
            </w:r>
            <w:r>
              <w:rPr>
                <w:rFonts w:hint="eastAsia" w:ascii="瀹嬩綋" w:hAnsi="瀹嬩綋" w:eastAsia="瀹嬩綋" w:cs="瀹嬩綋"/>
                <w:color w:val="auto"/>
                <w:sz w:val="24"/>
                <w:szCs w:val="24"/>
                <w:lang w:eastAsia="zh-CN" w:bidi="ar"/>
              </w:rPr>
              <w:t>固化炉固化</w:t>
            </w:r>
            <w:r>
              <w:rPr>
                <w:rFonts w:ascii="瀹嬩綋" w:hAnsi="瀹嬩綋" w:eastAsia="瀹嬩綋" w:cs="瀹嬩綋"/>
                <w:color w:val="auto"/>
                <w:sz w:val="24"/>
                <w:szCs w:val="24"/>
                <w:lang w:eastAsia="zh-CN" w:bidi="ar"/>
              </w:rPr>
              <w:t>，</w:t>
            </w:r>
            <w:r>
              <w:rPr>
                <w:rFonts w:hint="eastAsia" w:ascii="瀹嬩綋" w:hAnsi="瀹嬩綋" w:eastAsia="瀹嬩綋" w:cs="瀹嬩綋"/>
                <w:color w:val="auto"/>
                <w:sz w:val="24"/>
                <w:szCs w:val="24"/>
                <w:lang w:eastAsia="zh-CN" w:bidi="ar"/>
              </w:rPr>
              <w:t>工件表面的粉末涂料被加热到</w:t>
            </w:r>
            <w:r>
              <w:rPr>
                <w:rFonts w:eastAsia="瀹嬩綋" w:cs="Times New Roman"/>
                <w:color w:val="auto"/>
                <w:sz w:val="24"/>
                <w:szCs w:val="24"/>
                <w:lang w:eastAsia="zh-CN" w:bidi="ar"/>
              </w:rPr>
              <w:t>185℃</w:t>
            </w:r>
            <w:r>
              <w:rPr>
                <w:rFonts w:hint="eastAsia" w:ascii="瀹嬩綋" w:hAnsi="瀹嬩綋" w:eastAsia="瀹嬩綋" w:cs="瀹嬩綋"/>
                <w:color w:val="auto"/>
                <w:sz w:val="24"/>
                <w:szCs w:val="24"/>
                <w:lang w:eastAsia="zh-CN" w:bidi="ar"/>
              </w:rPr>
              <w:t>，并保温约</w:t>
            </w:r>
            <w:r>
              <w:rPr>
                <w:rFonts w:eastAsia="瀹嬩綋" w:cs="Times New Roman"/>
                <w:color w:val="auto"/>
                <w:sz w:val="24"/>
                <w:szCs w:val="24"/>
                <w:lang w:eastAsia="zh-CN" w:bidi="ar"/>
              </w:rPr>
              <w:t>15</w:t>
            </w:r>
            <w:r>
              <w:rPr>
                <w:rFonts w:hint="eastAsia" w:ascii="瀹嬩綋" w:hAnsi="瀹嬩綋" w:eastAsia="瀹嬩綋" w:cs="瀹嬩綋"/>
                <w:color w:val="auto"/>
                <w:sz w:val="24"/>
                <w:szCs w:val="24"/>
                <w:lang w:eastAsia="zh-CN" w:bidi="ar"/>
              </w:rPr>
              <w:t>分钟，使之熔化、流平、固化，本项目采用燃气加热方式。</w:t>
            </w:r>
            <w:r>
              <w:rPr>
                <w:rFonts w:ascii="瀹嬩綋" w:hAnsi="瀹嬩綋" w:eastAsia="瀹嬩綋" w:cs="瀹嬩綋"/>
                <w:color w:val="auto"/>
                <w:sz w:val="24"/>
                <w:szCs w:val="24"/>
                <w:lang w:eastAsia="zh-CN" w:bidi="ar"/>
              </w:rPr>
              <w:t>此工序产生</w:t>
            </w:r>
            <w:r>
              <w:rPr>
                <w:rFonts w:hint="eastAsia" w:ascii="瀹嬩綋" w:hAnsi="瀹嬩綋" w:eastAsia="瀹嬩綋" w:cs="瀹嬩綋"/>
                <w:color w:val="auto"/>
                <w:sz w:val="24"/>
                <w:szCs w:val="24"/>
                <w:lang w:eastAsia="zh-CN" w:bidi="ar"/>
              </w:rPr>
              <w:t>燃烧炉废气、固化</w:t>
            </w:r>
            <w:r>
              <w:rPr>
                <w:rFonts w:ascii="瀹嬩綋" w:hAnsi="瀹嬩綋" w:eastAsia="瀹嬩綋" w:cs="瀹嬩綋"/>
                <w:color w:val="auto"/>
                <w:sz w:val="24"/>
                <w:szCs w:val="24"/>
                <w:lang w:eastAsia="zh-CN" w:bidi="ar"/>
              </w:rPr>
              <w:t>有机废气和噪声。</w:t>
            </w:r>
          </w:p>
          <w:p w14:paraId="7280DC0D">
            <w:pPr>
              <w:widowControl/>
              <w:ind w:left="0" w:leftChars="0" w:right="0" w:rightChars="0" w:firstLine="480"/>
              <w:jc w:val="both"/>
              <w:rPr>
                <w:color w:val="auto"/>
                <w:lang w:eastAsia="zh-CN"/>
              </w:rPr>
            </w:pPr>
            <w:r>
              <w:rPr>
                <w:rFonts w:ascii="瀹嬩綋" w:hAnsi="瀹嬩綋" w:eastAsia="瀹嬩綋" w:cs="瀹嬩綋"/>
                <w:color w:val="0000FF"/>
                <w:sz w:val="24"/>
                <w:szCs w:val="24"/>
                <w:lang w:eastAsia="zh-CN" w:bidi="ar"/>
              </w:rPr>
              <w:t>（</w:t>
            </w:r>
            <w:r>
              <w:rPr>
                <w:rFonts w:eastAsia="宋体" w:cs="Times New Roman"/>
                <w:color w:val="0000FF"/>
                <w:sz w:val="24"/>
                <w:szCs w:val="24"/>
                <w:lang w:eastAsia="zh-CN" w:bidi="ar"/>
              </w:rPr>
              <w:t>6</w:t>
            </w:r>
            <w:r>
              <w:rPr>
                <w:rFonts w:ascii="瀹嬩綋" w:hAnsi="瀹嬩綋" w:eastAsia="瀹嬩綋" w:cs="瀹嬩綋"/>
                <w:color w:val="0000FF"/>
                <w:sz w:val="24"/>
                <w:szCs w:val="24"/>
                <w:lang w:eastAsia="zh-CN" w:bidi="ar"/>
              </w:rPr>
              <w:t>）题字：</w:t>
            </w:r>
            <w:r>
              <w:rPr>
                <w:rFonts w:hint="eastAsia" w:ascii="瀹嬩綋" w:hAnsi="瀹嬩綋" w:eastAsia="瀹嬩綋" w:cs="瀹嬩綋"/>
                <w:color w:val="0000FF"/>
                <w:sz w:val="24"/>
                <w:szCs w:val="24"/>
                <w:lang w:eastAsia="zh-CN" w:bidi="ar"/>
              </w:rPr>
              <w:t>固化</w:t>
            </w:r>
            <w:r>
              <w:rPr>
                <w:rFonts w:ascii="瀹嬩綋" w:hAnsi="瀹嬩綋" w:eastAsia="瀹嬩綋" w:cs="瀹嬩綋"/>
                <w:color w:val="0000FF"/>
                <w:sz w:val="24"/>
                <w:szCs w:val="24"/>
                <w:lang w:eastAsia="zh-CN" w:bidi="ar"/>
              </w:rPr>
              <w:t>完成后，</w:t>
            </w:r>
            <w:r>
              <w:rPr>
                <w:rFonts w:hint="eastAsia" w:ascii="瀹嬩綋" w:hAnsi="瀹嬩綋" w:eastAsia="瀹嬩綋" w:cs="瀹嬩綋"/>
                <w:color w:val="0000FF"/>
                <w:sz w:val="24"/>
                <w:szCs w:val="24"/>
                <w:lang w:eastAsia="zh-CN" w:bidi="ar"/>
              </w:rPr>
              <w:t>采用人工方式将</w:t>
            </w:r>
            <w:r>
              <w:rPr>
                <w:rFonts w:ascii="瀹嬩綋" w:hAnsi="瀹嬩綋" w:eastAsia="瀹嬩綋" w:cs="瀹嬩綋"/>
                <w:color w:val="0000FF"/>
                <w:sz w:val="24"/>
                <w:szCs w:val="24"/>
                <w:lang w:eastAsia="zh-CN" w:bidi="ar"/>
              </w:rPr>
              <w:t>油墨</w:t>
            </w:r>
            <w:r>
              <w:rPr>
                <w:rFonts w:hint="eastAsia" w:ascii="瀹嬩綋" w:hAnsi="瀹嬩綋" w:eastAsia="瀹嬩綋" w:cs="瀹嬩綋"/>
                <w:color w:val="0000FF"/>
                <w:sz w:val="24"/>
                <w:szCs w:val="24"/>
                <w:lang w:eastAsia="zh-CN" w:bidi="ar"/>
              </w:rPr>
              <w:t>印在消防栓箱</w:t>
            </w:r>
            <w:r>
              <w:rPr>
                <w:rFonts w:ascii="瀹嬩綋" w:hAnsi="瀹嬩綋" w:eastAsia="瀹嬩綋" w:cs="瀹嬩綋"/>
                <w:color w:val="0000FF"/>
                <w:sz w:val="24"/>
                <w:szCs w:val="24"/>
                <w:lang w:eastAsia="zh-CN" w:bidi="ar"/>
              </w:rPr>
              <w:t>上</w:t>
            </w:r>
            <w:r>
              <w:rPr>
                <w:rFonts w:hint="eastAsia" w:ascii="瀹嬩綋" w:hAnsi="瀹嬩綋" w:eastAsia="瀹嬩綋" w:cs="瀹嬩綋"/>
                <w:color w:val="0000FF"/>
                <w:sz w:val="24"/>
                <w:szCs w:val="24"/>
                <w:lang w:eastAsia="zh-CN" w:bidi="ar"/>
              </w:rPr>
              <w:t>。此工序产生有机废气</w:t>
            </w:r>
            <w:r>
              <w:rPr>
                <w:rFonts w:ascii="瀹嬩綋" w:hAnsi="瀹嬩綋" w:eastAsia="瀹嬩綋" w:cs="瀹嬩綋"/>
                <w:color w:val="0000FF"/>
                <w:sz w:val="24"/>
                <w:szCs w:val="24"/>
                <w:lang w:eastAsia="zh-CN" w:bidi="ar"/>
              </w:rPr>
              <w:t xml:space="preserve">。 </w:t>
            </w:r>
          </w:p>
          <w:p w14:paraId="236F7BED">
            <w:pPr>
              <w:snapToGrid w:val="0"/>
              <w:ind w:left="0" w:leftChars="0" w:right="0" w:rightChars="0" w:firstLine="480"/>
              <w:jc w:val="both"/>
              <w:outlineLvl w:val="0"/>
              <w:rPr>
                <w:rFonts w:ascii="瀹嬩綋" w:hAnsi="瀹嬩綋" w:eastAsia="瀹嬩綋" w:cs="瀹嬩綋"/>
                <w:color w:val="auto"/>
                <w:sz w:val="24"/>
                <w:szCs w:val="24"/>
                <w:lang w:eastAsia="zh-CN" w:bidi="ar"/>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7</w:t>
            </w:r>
            <w:r>
              <w:rPr>
                <w:rFonts w:ascii="瀹嬩綋" w:hAnsi="瀹嬩綋" w:eastAsia="瀹嬩綋" w:cs="瀹嬩綋"/>
                <w:color w:val="auto"/>
                <w:sz w:val="24"/>
                <w:szCs w:val="24"/>
                <w:lang w:eastAsia="zh-CN" w:bidi="ar"/>
              </w:rPr>
              <w:t>）组装、成品：</w:t>
            </w:r>
            <w:r>
              <w:rPr>
                <w:rFonts w:hint="eastAsia" w:ascii="瀹嬩綋" w:hAnsi="瀹嬩綋" w:eastAsia="瀹嬩綋" w:cs="瀹嬩綋"/>
                <w:color w:val="auto"/>
                <w:sz w:val="24"/>
                <w:szCs w:val="24"/>
                <w:lang w:eastAsia="zh-CN" w:bidi="ar"/>
              </w:rPr>
              <w:t>消火栓箱</w:t>
            </w:r>
            <w:r>
              <w:rPr>
                <w:rFonts w:ascii="瀹嬩綋" w:hAnsi="瀹嬩綋" w:eastAsia="瀹嬩綋" w:cs="瀹嬩綋"/>
                <w:color w:val="auto"/>
                <w:sz w:val="24"/>
                <w:szCs w:val="24"/>
                <w:lang w:eastAsia="zh-CN" w:bidi="ar"/>
              </w:rPr>
              <w:t>采用螺钉组装</w:t>
            </w:r>
            <w:r>
              <w:rPr>
                <w:rFonts w:hint="eastAsia" w:ascii="瀹嬩綋" w:hAnsi="瀹嬩綋" w:eastAsia="瀹嬩綋" w:cs="瀹嬩綋"/>
                <w:color w:val="auto"/>
                <w:sz w:val="24"/>
                <w:szCs w:val="24"/>
                <w:lang w:eastAsia="zh-CN" w:bidi="ar"/>
              </w:rPr>
              <w:t>，</w:t>
            </w:r>
            <w:r>
              <w:rPr>
                <w:rFonts w:ascii="瀹嬩綋" w:hAnsi="瀹嬩綋" w:eastAsia="瀹嬩綋" w:cs="瀹嬩綋"/>
                <w:color w:val="auto"/>
                <w:sz w:val="24"/>
                <w:szCs w:val="24"/>
                <w:lang w:eastAsia="zh-CN" w:bidi="ar"/>
              </w:rPr>
              <w:t>经检验合格后作为成品入库，</w:t>
            </w:r>
            <w:r>
              <w:rPr>
                <w:rFonts w:hint="eastAsia" w:ascii="瀹嬩綋" w:hAnsi="瀹嬩綋" w:eastAsia="瀹嬩綋" w:cs="瀹嬩綋"/>
                <w:color w:val="auto"/>
                <w:sz w:val="24"/>
                <w:szCs w:val="24"/>
                <w:lang w:eastAsia="zh-CN" w:bidi="ar"/>
              </w:rPr>
              <w:t>此工序主要产生噪声</w:t>
            </w:r>
            <w:r>
              <w:rPr>
                <w:rFonts w:ascii="瀹嬩綋" w:hAnsi="瀹嬩綋" w:eastAsia="瀹嬩綋" w:cs="瀹嬩綋"/>
                <w:color w:val="auto"/>
                <w:sz w:val="24"/>
                <w:szCs w:val="24"/>
                <w:lang w:eastAsia="zh-CN" w:bidi="ar"/>
              </w:rPr>
              <w:t>。</w:t>
            </w:r>
          </w:p>
          <w:p w14:paraId="784F0D91">
            <w:pPr>
              <w:widowControl/>
              <w:ind w:left="0" w:leftChars="0" w:right="0" w:rightChars="0" w:firstLine="482"/>
              <w:jc w:val="both"/>
              <w:rPr>
                <w:rFonts w:cs="Times New Roman"/>
                <w:b/>
                <w:bCs/>
                <w:color w:val="auto"/>
                <w:sz w:val="24"/>
                <w:szCs w:val="24"/>
                <w:lang w:eastAsia="zh-CN"/>
              </w:rPr>
            </w:pPr>
            <w:r>
              <w:rPr>
                <w:rFonts w:hint="eastAsia" w:cs="Times New Roman"/>
                <w:b/>
                <w:bCs/>
                <w:color w:val="auto"/>
                <w:sz w:val="24"/>
                <w:szCs w:val="24"/>
                <w:lang w:eastAsia="zh-CN"/>
              </w:rPr>
              <w:t>3.2</w:t>
            </w:r>
            <w:r>
              <w:rPr>
                <w:rFonts w:ascii="瀹嬩綋" w:hAnsi="瀹嬩綋" w:eastAsia="瀹嬩綋" w:cs="瀹嬩綋"/>
                <w:color w:val="auto"/>
                <w:sz w:val="24"/>
                <w:szCs w:val="24"/>
                <w:lang w:eastAsia="zh-CN" w:bidi="ar"/>
              </w:rPr>
              <w:t xml:space="preserve"> </w:t>
            </w:r>
            <w:r>
              <w:rPr>
                <w:rFonts w:hint="eastAsia" w:cs="Times New Roman"/>
                <w:b/>
                <w:bCs/>
                <w:color w:val="auto"/>
                <w:sz w:val="24"/>
                <w:szCs w:val="24"/>
                <w:lang w:eastAsia="zh-CN"/>
              </w:rPr>
              <w:t>办公家具柜生产工艺流程</w:t>
            </w:r>
          </w:p>
          <w:p w14:paraId="71EE8F2F">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1</w:t>
            </w:r>
            <w:r>
              <w:rPr>
                <w:rFonts w:ascii="瀹嬩綋" w:hAnsi="瀹嬩綋" w:eastAsia="瀹嬩綋" w:cs="瀹嬩綋"/>
                <w:color w:val="auto"/>
                <w:sz w:val="24"/>
                <w:szCs w:val="24"/>
                <w:lang w:eastAsia="zh-CN" w:bidi="ar"/>
              </w:rPr>
              <w:t>）切割：将外购板材利用剪板机进行切割加工，得到设计要求的规格尺寸金属工件。此工序产生金属</w:t>
            </w:r>
            <w:r>
              <w:rPr>
                <w:rFonts w:hint="eastAsia" w:ascii="瀹嬩綋" w:hAnsi="瀹嬩綋" w:eastAsia="瀹嬩綋" w:cs="瀹嬩綋"/>
                <w:color w:val="auto"/>
                <w:sz w:val="24"/>
                <w:szCs w:val="24"/>
                <w:lang w:eastAsia="zh-CN" w:bidi="ar"/>
              </w:rPr>
              <w:t>边角料</w:t>
            </w:r>
            <w:r>
              <w:rPr>
                <w:rFonts w:ascii="瀹嬩綋" w:hAnsi="瀹嬩綋" w:eastAsia="瀹嬩綋" w:cs="瀹嬩綋"/>
                <w:color w:val="auto"/>
                <w:sz w:val="24"/>
                <w:szCs w:val="24"/>
                <w:lang w:eastAsia="zh-CN" w:bidi="ar"/>
              </w:rPr>
              <w:t>和噪声、</w:t>
            </w:r>
            <w:r>
              <w:rPr>
                <w:rFonts w:hint="eastAsia" w:ascii="瀹嬩綋" w:hAnsi="瀹嬩綋" w:eastAsia="瀹嬩綋" w:cs="瀹嬩綋"/>
                <w:color w:val="auto"/>
                <w:sz w:val="24"/>
                <w:szCs w:val="24"/>
                <w:lang w:eastAsia="zh-CN" w:bidi="ar"/>
              </w:rPr>
              <w:t>切割粉尘</w:t>
            </w:r>
            <w:r>
              <w:rPr>
                <w:rFonts w:ascii="瀹嬩綋" w:hAnsi="瀹嬩綋" w:eastAsia="瀹嬩綋" w:cs="瀹嬩綋"/>
                <w:color w:val="auto"/>
                <w:sz w:val="24"/>
                <w:szCs w:val="24"/>
                <w:lang w:eastAsia="zh-CN" w:bidi="ar"/>
              </w:rPr>
              <w:t xml:space="preserve">。 </w:t>
            </w:r>
          </w:p>
          <w:p w14:paraId="0D6D5D22">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2</w:t>
            </w:r>
            <w:r>
              <w:rPr>
                <w:rFonts w:ascii="瀹嬩綋" w:hAnsi="瀹嬩綋" w:eastAsia="瀹嬩綋" w:cs="瀹嬩綋"/>
                <w:color w:val="auto"/>
                <w:sz w:val="24"/>
                <w:szCs w:val="24"/>
                <w:lang w:eastAsia="zh-CN" w:bidi="ar"/>
              </w:rPr>
              <w:t>）冲压：将金属工件根据加工要求利用冲床冲压出孔状等。此工序产生金属</w:t>
            </w:r>
            <w:r>
              <w:rPr>
                <w:rFonts w:hint="eastAsia" w:ascii="瀹嬩綋" w:hAnsi="瀹嬩綋" w:eastAsia="瀹嬩綋" w:cs="瀹嬩綋"/>
                <w:color w:val="auto"/>
                <w:sz w:val="24"/>
                <w:szCs w:val="24"/>
                <w:lang w:eastAsia="zh-CN" w:bidi="ar"/>
              </w:rPr>
              <w:t>边角料</w:t>
            </w:r>
            <w:r>
              <w:rPr>
                <w:rFonts w:ascii="瀹嬩綋" w:hAnsi="瀹嬩綋" w:eastAsia="瀹嬩綋" w:cs="瀹嬩綋"/>
                <w:color w:val="auto"/>
                <w:sz w:val="24"/>
                <w:szCs w:val="24"/>
                <w:lang w:eastAsia="zh-CN" w:bidi="ar"/>
              </w:rPr>
              <w:t xml:space="preserve">和噪声； </w:t>
            </w:r>
          </w:p>
          <w:p w14:paraId="20487529">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3</w:t>
            </w:r>
            <w:r>
              <w:rPr>
                <w:rFonts w:ascii="瀹嬩綋" w:hAnsi="瀹嬩綋" w:eastAsia="瀹嬩綋" w:cs="瀹嬩綋"/>
                <w:color w:val="auto"/>
                <w:sz w:val="24"/>
                <w:szCs w:val="24"/>
                <w:lang w:eastAsia="zh-CN" w:bidi="ar"/>
              </w:rPr>
              <w:t>）喷涂：将工件分批次固定在挂钩上，</w:t>
            </w:r>
            <w:r>
              <w:rPr>
                <w:rFonts w:hint="eastAsia" w:ascii="瀹嬩綋" w:hAnsi="瀹嬩綋" w:eastAsia="瀹嬩綋" w:cs="瀹嬩綋"/>
                <w:color w:val="auto"/>
                <w:sz w:val="24"/>
                <w:szCs w:val="24"/>
                <w:lang w:eastAsia="zh-CN" w:bidi="ar"/>
              </w:rPr>
              <w:t>工件</w:t>
            </w:r>
            <w:r>
              <w:rPr>
                <w:rFonts w:ascii="瀹嬩綋" w:hAnsi="瀹嬩綋" w:eastAsia="瀹嬩綋" w:cs="瀹嬩綋"/>
                <w:color w:val="auto"/>
                <w:sz w:val="24"/>
                <w:szCs w:val="24"/>
                <w:lang w:eastAsia="zh-CN" w:bidi="ar"/>
              </w:rPr>
              <w:t>沿导轨送至喷</w:t>
            </w:r>
            <w:r>
              <w:rPr>
                <w:rFonts w:hint="eastAsia" w:ascii="瀹嬩綋" w:hAnsi="瀹嬩綋" w:eastAsia="瀹嬩綋" w:cs="瀹嬩綋"/>
                <w:color w:val="auto"/>
                <w:sz w:val="24"/>
                <w:szCs w:val="24"/>
                <w:lang w:eastAsia="zh-CN" w:bidi="ar"/>
              </w:rPr>
              <w:t>粉</w:t>
            </w:r>
            <w:r>
              <w:rPr>
                <w:rFonts w:ascii="瀹嬩綋" w:hAnsi="瀹嬩綋" w:eastAsia="瀹嬩綋" w:cs="瀹嬩綋"/>
                <w:color w:val="auto"/>
                <w:sz w:val="24"/>
                <w:szCs w:val="24"/>
                <w:lang w:eastAsia="zh-CN" w:bidi="ar"/>
              </w:rPr>
              <w:t>房内，在半封闭式条件下进行静电喷涂，</w:t>
            </w:r>
            <w:r>
              <w:rPr>
                <w:rFonts w:hint="eastAsia" w:ascii="瀹嬩綋" w:hAnsi="瀹嬩綋" w:eastAsia="瀹嬩綋" w:cs="瀹嬩綋"/>
                <w:color w:val="auto"/>
                <w:sz w:val="24"/>
                <w:szCs w:val="24"/>
                <w:lang w:eastAsia="zh-CN" w:bidi="ar"/>
              </w:rPr>
              <w:t>静电喷涂的原理为：</w:t>
            </w:r>
            <w:r>
              <w:rPr>
                <w:rFonts w:ascii="瀹嬩綋" w:hAnsi="瀹嬩綋" w:eastAsia="瀹嬩綋" w:cs="瀹嬩綋"/>
                <w:color w:val="auto"/>
                <w:sz w:val="24"/>
                <w:szCs w:val="24"/>
                <w:lang w:eastAsia="zh-CN" w:bidi="ar"/>
              </w:rPr>
              <w:t>利用高压静电</w:t>
            </w:r>
            <w:r>
              <w:rPr>
                <w:rFonts w:hint="eastAsia" w:ascii="瀹嬩綋" w:hAnsi="瀹嬩綋" w:eastAsia="瀹嬩綋" w:cs="瀹嬩綋"/>
                <w:color w:val="auto"/>
                <w:sz w:val="24"/>
                <w:szCs w:val="24"/>
                <w:lang w:eastAsia="zh-CN" w:bidi="ar"/>
              </w:rPr>
              <w:t>电场使带负电的涂料微粒沿着电场相反的方向定向运动，并将涂料微粒吸附在工件表面，</w:t>
            </w:r>
            <w:r>
              <w:rPr>
                <w:rFonts w:ascii="瀹嬩綋" w:hAnsi="瀹嬩綋" w:eastAsia="瀹嬩綋" w:cs="瀹嬩綋"/>
                <w:color w:val="auto"/>
                <w:sz w:val="24"/>
                <w:szCs w:val="24"/>
                <w:lang w:eastAsia="zh-CN" w:bidi="ar"/>
              </w:rPr>
              <w:t>形成粉末的涂层。此工序产生</w:t>
            </w:r>
            <w:r>
              <w:rPr>
                <w:rFonts w:hint="eastAsia" w:ascii="瀹嬩綋" w:hAnsi="瀹嬩綋" w:eastAsia="瀹嬩綋" w:cs="瀹嬩綋"/>
                <w:color w:val="auto"/>
                <w:sz w:val="24"/>
                <w:szCs w:val="24"/>
                <w:lang w:eastAsia="zh-CN" w:bidi="ar"/>
              </w:rPr>
              <w:t>喷涂</w:t>
            </w:r>
            <w:r>
              <w:rPr>
                <w:rFonts w:ascii="瀹嬩綋" w:hAnsi="瀹嬩綋" w:eastAsia="瀹嬩綋" w:cs="瀹嬩綋"/>
                <w:color w:val="auto"/>
                <w:sz w:val="24"/>
                <w:szCs w:val="24"/>
                <w:lang w:eastAsia="zh-CN" w:bidi="ar"/>
              </w:rPr>
              <w:t xml:space="preserve">粉尘、噪声。 </w:t>
            </w:r>
          </w:p>
          <w:p w14:paraId="39BCABA8">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4</w:t>
            </w:r>
            <w:r>
              <w:rPr>
                <w:rFonts w:ascii="瀹嬩綋" w:hAnsi="瀹嬩綋" w:eastAsia="瀹嬩綋" w:cs="瀹嬩綋"/>
                <w:color w:val="auto"/>
                <w:sz w:val="24"/>
                <w:szCs w:val="24"/>
                <w:lang w:eastAsia="zh-CN" w:bidi="ar"/>
              </w:rPr>
              <w:t>）</w:t>
            </w:r>
            <w:r>
              <w:rPr>
                <w:rFonts w:hint="eastAsia" w:ascii="瀹嬩綋" w:hAnsi="瀹嬩綋" w:eastAsia="瀹嬩綋" w:cs="瀹嬩綋"/>
                <w:color w:val="auto"/>
                <w:sz w:val="24"/>
                <w:szCs w:val="24"/>
                <w:lang w:eastAsia="zh-CN" w:bidi="ar"/>
              </w:rPr>
              <w:t>固化</w:t>
            </w:r>
            <w:r>
              <w:rPr>
                <w:rFonts w:ascii="瀹嬩綋" w:hAnsi="瀹嬩綋" w:eastAsia="瀹嬩綋" w:cs="瀹嬩綋"/>
                <w:color w:val="auto"/>
                <w:sz w:val="24"/>
                <w:szCs w:val="24"/>
                <w:lang w:eastAsia="zh-CN" w:bidi="ar"/>
              </w:rPr>
              <w:t>：</w:t>
            </w:r>
            <w:r>
              <w:rPr>
                <w:rFonts w:hint="eastAsia" w:ascii="瀹嬩綋" w:hAnsi="瀹嬩綋" w:eastAsia="瀹嬩綋" w:cs="瀹嬩綋"/>
                <w:color w:val="auto"/>
                <w:sz w:val="24"/>
                <w:szCs w:val="24"/>
                <w:lang w:eastAsia="zh-CN" w:bidi="ar"/>
              </w:rPr>
              <w:t>喷涂</w:t>
            </w:r>
            <w:r>
              <w:rPr>
                <w:rFonts w:ascii="瀹嬩綋" w:hAnsi="瀹嬩綋" w:eastAsia="瀹嬩綋" w:cs="瀹嬩綋"/>
                <w:color w:val="auto"/>
                <w:sz w:val="24"/>
                <w:szCs w:val="24"/>
                <w:lang w:eastAsia="zh-CN" w:bidi="ar"/>
              </w:rPr>
              <w:t>后的工件</w:t>
            </w:r>
            <w:r>
              <w:rPr>
                <w:rFonts w:hint="eastAsia" w:ascii="瀹嬩綋" w:hAnsi="瀹嬩綋" w:eastAsia="瀹嬩綋" w:cs="瀹嬩綋"/>
                <w:color w:val="auto"/>
                <w:sz w:val="24"/>
                <w:szCs w:val="24"/>
                <w:lang w:eastAsia="zh-CN" w:bidi="ar"/>
              </w:rPr>
              <w:t>继续</w:t>
            </w:r>
            <w:r>
              <w:rPr>
                <w:rFonts w:ascii="瀹嬩綋" w:hAnsi="瀹嬩綋" w:eastAsia="瀹嬩綋" w:cs="瀹嬩綋"/>
                <w:color w:val="auto"/>
                <w:sz w:val="24"/>
                <w:szCs w:val="24"/>
                <w:lang w:eastAsia="zh-CN" w:bidi="ar"/>
              </w:rPr>
              <w:t>沿导轨</w:t>
            </w:r>
            <w:r>
              <w:rPr>
                <w:rFonts w:hint="eastAsia" w:ascii="瀹嬩綋" w:hAnsi="瀹嬩綋" w:eastAsia="瀹嬩綋" w:cs="瀹嬩綋"/>
                <w:color w:val="auto"/>
                <w:sz w:val="24"/>
                <w:szCs w:val="24"/>
                <w:lang w:eastAsia="zh-CN" w:bidi="ar"/>
              </w:rPr>
              <w:t>进</w:t>
            </w:r>
            <w:r>
              <w:rPr>
                <w:rFonts w:ascii="瀹嬩綋" w:hAnsi="瀹嬩綋" w:eastAsia="瀹嬩綋" w:cs="瀹嬩綋"/>
                <w:color w:val="auto"/>
                <w:sz w:val="24"/>
                <w:szCs w:val="24"/>
                <w:lang w:eastAsia="zh-CN" w:bidi="ar"/>
              </w:rPr>
              <w:t>入</w:t>
            </w:r>
            <w:r>
              <w:rPr>
                <w:rFonts w:hint="eastAsia" w:ascii="瀹嬩綋" w:hAnsi="瀹嬩綋" w:eastAsia="瀹嬩綋" w:cs="瀹嬩綋"/>
                <w:color w:val="auto"/>
                <w:sz w:val="24"/>
                <w:szCs w:val="24"/>
                <w:lang w:eastAsia="zh-CN" w:bidi="ar"/>
              </w:rPr>
              <w:t>固化炉固化</w:t>
            </w:r>
            <w:r>
              <w:rPr>
                <w:rFonts w:ascii="瀹嬩綋" w:hAnsi="瀹嬩綋" w:eastAsia="瀹嬩綋" w:cs="瀹嬩綋"/>
                <w:color w:val="auto"/>
                <w:sz w:val="24"/>
                <w:szCs w:val="24"/>
                <w:lang w:eastAsia="zh-CN" w:bidi="ar"/>
              </w:rPr>
              <w:t>，</w:t>
            </w:r>
            <w:r>
              <w:rPr>
                <w:rFonts w:hint="eastAsia" w:ascii="瀹嬩綋" w:hAnsi="瀹嬩綋" w:eastAsia="瀹嬩綋" w:cs="瀹嬩綋"/>
                <w:color w:val="auto"/>
                <w:sz w:val="24"/>
                <w:szCs w:val="24"/>
                <w:lang w:eastAsia="zh-CN" w:bidi="ar"/>
              </w:rPr>
              <w:t>工件表面的粉末涂料被加热到</w:t>
            </w:r>
            <w:r>
              <w:rPr>
                <w:rFonts w:eastAsia="瀹嬩綋" w:cs="Times New Roman"/>
                <w:color w:val="auto"/>
                <w:sz w:val="24"/>
                <w:szCs w:val="24"/>
                <w:lang w:eastAsia="zh-CN" w:bidi="ar"/>
              </w:rPr>
              <w:t>185℃</w:t>
            </w:r>
            <w:r>
              <w:rPr>
                <w:rFonts w:hint="eastAsia" w:ascii="瀹嬩綋" w:hAnsi="瀹嬩綋" w:eastAsia="瀹嬩綋" w:cs="瀹嬩綋"/>
                <w:color w:val="auto"/>
                <w:sz w:val="24"/>
                <w:szCs w:val="24"/>
                <w:lang w:eastAsia="zh-CN" w:bidi="ar"/>
              </w:rPr>
              <w:t>，并保温约</w:t>
            </w:r>
            <w:r>
              <w:rPr>
                <w:rFonts w:eastAsia="瀹嬩綋" w:cs="Times New Roman"/>
                <w:color w:val="auto"/>
                <w:sz w:val="24"/>
                <w:szCs w:val="24"/>
                <w:lang w:eastAsia="zh-CN" w:bidi="ar"/>
              </w:rPr>
              <w:t>15</w:t>
            </w:r>
            <w:r>
              <w:rPr>
                <w:rFonts w:hint="eastAsia" w:ascii="瀹嬩綋" w:hAnsi="瀹嬩綋" w:eastAsia="瀹嬩綋" w:cs="瀹嬩綋"/>
                <w:color w:val="auto"/>
                <w:sz w:val="24"/>
                <w:szCs w:val="24"/>
                <w:lang w:eastAsia="zh-CN" w:bidi="ar"/>
              </w:rPr>
              <w:t>分钟，使之熔化、流平、固化。本项目采用燃气加热方式，</w:t>
            </w:r>
            <w:r>
              <w:rPr>
                <w:rFonts w:ascii="瀹嬩綋" w:hAnsi="瀹嬩綋" w:eastAsia="瀹嬩綋" w:cs="瀹嬩綋"/>
                <w:color w:val="auto"/>
                <w:sz w:val="24"/>
                <w:szCs w:val="24"/>
                <w:lang w:eastAsia="zh-CN" w:bidi="ar"/>
              </w:rPr>
              <w:t>此工序产生</w:t>
            </w:r>
            <w:r>
              <w:rPr>
                <w:rFonts w:hint="eastAsia" w:ascii="瀹嬩綋" w:hAnsi="瀹嬩綋" w:eastAsia="瀹嬩綋" w:cs="瀹嬩綋"/>
                <w:color w:val="auto"/>
                <w:sz w:val="24"/>
                <w:szCs w:val="24"/>
                <w:lang w:eastAsia="zh-CN" w:bidi="ar"/>
              </w:rPr>
              <w:t>燃烧炉废气、固化</w:t>
            </w:r>
            <w:r>
              <w:rPr>
                <w:rFonts w:ascii="瀹嬩綋" w:hAnsi="瀹嬩綋" w:eastAsia="瀹嬩綋" w:cs="瀹嬩綋"/>
                <w:color w:val="auto"/>
                <w:sz w:val="24"/>
                <w:szCs w:val="24"/>
                <w:lang w:eastAsia="zh-CN" w:bidi="ar"/>
              </w:rPr>
              <w:t xml:space="preserve">有机废气和噪声。  </w:t>
            </w:r>
          </w:p>
          <w:p w14:paraId="58573AC4">
            <w:pPr>
              <w:widowControl/>
              <w:ind w:left="0" w:leftChars="0" w:right="0" w:rightChars="0" w:firstLine="480"/>
              <w:jc w:val="both"/>
              <w:rPr>
                <w:rFonts w:ascii="瀹嬩綋" w:hAnsi="瀹嬩綋" w:eastAsia="瀹嬩綋" w:cs="瀹嬩綋"/>
                <w:color w:val="auto"/>
                <w:sz w:val="24"/>
                <w:szCs w:val="24"/>
                <w:lang w:eastAsia="zh-CN" w:bidi="ar"/>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5</w:t>
            </w:r>
            <w:r>
              <w:rPr>
                <w:rFonts w:ascii="瀹嬩綋" w:hAnsi="瀹嬩綋" w:eastAsia="瀹嬩綋" w:cs="瀹嬩綋"/>
                <w:color w:val="auto"/>
                <w:sz w:val="24"/>
                <w:szCs w:val="24"/>
                <w:lang w:eastAsia="zh-CN" w:bidi="ar"/>
              </w:rPr>
              <w:t>）打玻璃胶粘合玻璃组装：使用玻璃胶将玻璃与</w:t>
            </w:r>
            <w:r>
              <w:rPr>
                <w:rFonts w:hint="eastAsia" w:ascii="瀹嬩綋" w:hAnsi="瀹嬩綋" w:eastAsia="瀹嬩綋" w:cs="瀹嬩綋"/>
                <w:color w:val="auto"/>
                <w:sz w:val="24"/>
                <w:szCs w:val="24"/>
                <w:lang w:eastAsia="zh-CN" w:bidi="ar"/>
              </w:rPr>
              <w:t>固化后</w:t>
            </w:r>
            <w:r>
              <w:rPr>
                <w:rFonts w:ascii="瀹嬩綋" w:hAnsi="瀹嬩綋" w:eastAsia="瀹嬩綋" w:cs="瀹嬩綋"/>
                <w:color w:val="auto"/>
                <w:sz w:val="24"/>
                <w:szCs w:val="24"/>
                <w:lang w:eastAsia="zh-CN" w:bidi="ar"/>
              </w:rPr>
              <w:t>的板材粘合在一起。</w:t>
            </w:r>
          </w:p>
          <w:p w14:paraId="32638B59">
            <w:pPr>
              <w:widowControl/>
              <w:ind w:left="0" w:leftChars="0" w:right="0" w:rightChars="0" w:firstLine="480"/>
              <w:jc w:val="both"/>
              <w:rPr>
                <w:color w:val="auto"/>
                <w:lang w:eastAsia="zh-CN"/>
              </w:rPr>
            </w:pPr>
            <w:r>
              <w:rPr>
                <w:rFonts w:ascii="瀹嬩綋" w:hAnsi="瀹嬩綋" w:eastAsia="瀹嬩綋" w:cs="瀹嬩綋"/>
                <w:color w:val="auto"/>
                <w:sz w:val="24"/>
                <w:szCs w:val="24"/>
                <w:lang w:eastAsia="zh-CN" w:bidi="ar"/>
              </w:rPr>
              <w:t>（</w:t>
            </w:r>
            <w:r>
              <w:rPr>
                <w:rFonts w:eastAsia="宋体" w:cs="Times New Roman"/>
                <w:color w:val="auto"/>
                <w:sz w:val="24"/>
                <w:szCs w:val="24"/>
                <w:lang w:eastAsia="zh-CN" w:bidi="ar"/>
              </w:rPr>
              <w:t>6</w:t>
            </w:r>
            <w:r>
              <w:rPr>
                <w:rFonts w:ascii="瀹嬩綋" w:hAnsi="瀹嬩綋" w:eastAsia="瀹嬩綋" w:cs="瀹嬩綋"/>
                <w:color w:val="auto"/>
                <w:sz w:val="24"/>
                <w:szCs w:val="24"/>
                <w:lang w:eastAsia="zh-CN" w:bidi="ar"/>
              </w:rPr>
              <w:t xml:space="preserve">）成品：将成品组装，入库。 </w:t>
            </w:r>
          </w:p>
          <w:p w14:paraId="51D3C8A4">
            <w:pPr>
              <w:snapToGrid w:val="0"/>
              <w:spacing w:after="48" w:afterLines="20"/>
              <w:ind w:firstLine="482"/>
              <w:jc w:val="both"/>
              <w:outlineLvl w:val="0"/>
              <w:rPr>
                <w:rFonts w:cs="Times New Roman"/>
                <w:b/>
                <w:bCs/>
                <w:color w:val="auto"/>
                <w:sz w:val="24"/>
                <w:szCs w:val="24"/>
                <w:lang w:eastAsia="zh-CN"/>
              </w:rPr>
            </w:pPr>
            <w:r>
              <w:rPr>
                <w:rFonts w:hint="eastAsia" w:cs="Times New Roman"/>
                <w:b/>
                <w:bCs/>
                <w:color w:val="auto"/>
                <w:sz w:val="24"/>
                <w:szCs w:val="24"/>
                <w:lang w:eastAsia="zh-CN"/>
              </w:rPr>
              <w:t>4</w:t>
            </w:r>
            <w:r>
              <w:rPr>
                <w:rFonts w:cs="Times New Roman"/>
                <w:b/>
                <w:bCs/>
                <w:color w:val="auto"/>
                <w:sz w:val="24"/>
                <w:szCs w:val="24"/>
                <w:lang w:eastAsia="zh-CN"/>
              </w:rPr>
              <w:t>、项目</w:t>
            </w:r>
            <w:r>
              <w:rPr>
                <w:rFonts w:hint="eastAsia" w:cs="Times New Roman"/>
                <w:b/>
                <w:bCs/>
                <w:color w:val="auto"/>
                <w:sz w:val="24"/>
                <w:szCs w:val="24"/>
                <w:lang w:eastAsia="zh-CN"/>
              </w:rPr>
              <w:t>加工车间</w:t>
            </w:r>
            <w:r>
              <w:rPr>
                <w:rFonts w:cs="Times New Roman"/>
                <w:b/>
                <w:bCs/>
                <w:color w:val="auto"/>
                <w:sz w:val="24"/>
                <w:szCs w:val="24"/>
                <w:lang w:eastAsia="zh-CN"/>
              </w:rPr>
              <w:t>产污环节</w:t>
            </w:r>
          </w:p>
          <w:p w14:paraId="25F1AC40">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表2-</w:t>
            </w:r>
            <w:r>
              <w:rPr>
                <w:rFonts w:hint="eastAsia" w:eastAsia="宋体" w:cs="Times New Roman"/>
                <w:b/>
                <w:bCs/>
                <w:color w:val="auto"/>
                <w:szCs w:val="21"/>
                <w:lang w:eastAsia="zh-CN"/>
              </w:rPr>
              <w:t>6</w:t>
            </w:r>
            <w:r>
              <w:rPr>
                <w:rFonts w:eastAsia="宋体" w:cs="Times New Roman"/>
                <w:b/>
                <w:bCs/>
                <w:color w:val="auto"/>
                <w:szCs w:val="21"/>
                <w:lang w:eastAsia="zh-CN"/>
              </w:rPr>
              <w:t xml:space="preserve">   项目</w:t>
            </w:r>
            <w:r>
              <w:rPr>
                <w:rFonts w:hint="eastAsia" w:eastAsia="宋体" w:cs="Times New Roman"/>
                <w:b/>
                <w:bCs/>
                <w:color w:val="auto"/>
                <w:szCs w:val="21"/>
                <w:lang w:eastAsia="zh-CN"/>
              </w:rPr>
              <w:t>加工车间</w:t>
            </w:r>
            <w:r>
              <w:rPr>
                <w:rFonts w:eastAsia="宋体" w:cs="Times New Roman"/>
                <w:b/>
                <w:bCs/>
                <w:color w:val="auto"/>
                <w:szCs w:val="21"/>
                <w:lang w:eastAsia="zh-CN"/>
              </w:rPr>
              <w:t>主要污染工序及污染物（因子）一览表</w:t>
            </w:r>
          </w:p>
          <w:tbl>
            <w:tblPr>
              <w:tblStyle w:val="26"/>
              <w:tblW w:w="4998" w:type="pct"/>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02"/>
              <w:gridCol w:w="2045"/>
              <w:gridCol w:w="1364"/>
              <w:gridCol w:w="3922"/>
            </w:tblGrid>
            <w:tr w14:paraId="5B6B091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tcBorders>
                    <w:tl2br w:val="nil"/>
                    <w:tr2bl w:val="nil"/>
                  </w:tcBorders>
                  <w:vAlign w:val="center"/>
                </w:tcPr>
                <w:p w14:paraId="6FD9625B">
                  <w:pPr>
                    <w:adjustRightInd w:val="0"/>
                    <w:snapToGrid w:val="0"/>
                    <w:spacing w:line="240" w:lineRule="auto"/>
                    <w:ind w:firstLine="0" w:firstLineChars="0"/>
                    <w:jc w:val="center"/>
                    <w:rPr>
                      <w:rFonts w:cs="Times New Roman"/>
                      <w:b/>
                      <w:bCs/>
                      <w:color w:val="auto"/>
                      <w:szCs w:val="21"/>
                    </w:rPr>
                  </w:pPr>
                  <w:r>
                    <w:rPr>
                      <w:rFonts w:cs="Times New Roman"/>
                      <w:b/>
                      <w:bCs/>
                      <w:color w:val="auto"/>
                      <w:szCs w:val="21"/>
                    </w:rPr>
                    <w:t>污染类型</w:t>
                  </w:r>
                </w:p>
              </w:tc>
              <w:tc>
                <w:tcPr>
                  <w:tcW w:w="1184" w:type="pct"/>
                  <w:tcBorders>
                    <w:tl2br w:val="nil"/>
                    <w:tr2bl w:val="nil"/>
                  </w:tcBorders>
                  <w:vAlign w:val="center"/>
                </w:tcPr>
                <w:p w14:paraId="6C8CECD9">
                  <w:pPr>
                    <w:adjustRightInd w:val="0"/>
                    <w:snapToGrid w:val="0"/>
                    <w:spacing w:line="240" w:lineRule="auto"/>
                    <w:ind w:firstLine="0" w:firstLineChars="0"/>
                    <w:jc w:val="center"/>
                    <w:rPr>
                      <w:rFonts w:cs="Times New Roman"/>
                      <w:b/>
                      <w:bCs/>
                      <w:color w:val="auto"/>
                      <w:szCs w:val="21"/>
                      <w:lang w:eastAsia="zh-CN"/>
                    </w:rPr>
                  </w:pPr>
                  <w:r>
                    <w:rPr>
                      <w:rFonts w:hint="eastAsia" w:cs="Times New Roman"/>
                      <w:b/>
                      <w:bCs/>
                      <w:color w:val="auto"/>
                      <w:szCs w:val="21"/>
                      <w:lang w:eastAsia="zh-CN"/>
                    </w:rPr>
                    <w:t>主要污染源</w:t>
                  </w:r>
                </w:p>
              </w:tc>
              <w:tc>
                <w:tcPr>
                  <w:tcW w:w="790" w:type="pct"/>
                  <w:tcBorders>
                    <w:tl2br w:val="nil"/>
                    <w:tr2bl w:val="nil"/>
                  </w:tcBorders>
                  <w:vAlign w:val="center"/>
                </w:tcPr>
                <w:p w14:paraId="070E08F3">
                  <w:pPr>
                    <w:adjustRightInd w:val="0"/>
                    <w:snapToGrid w:val="0"/>
                    <w:spacing w:line="240" w:lineRule="auto"/>
                    <w:ind w:firstLine="0" w:firstLineChars="0"/>
                    <w:jc w:val="center"/>
                    <w:rPr>
                      <w:rFonts w:cs="Times New Roman"/>
                      <w:b/>
                      <w:bCs/>
                      <w:color w:val="auto"/>
                      <w:szCs w:val="21"/>
                    </w:rPr>
                  </w:pPr>
                  <w:r>
                    <w:rPr>
                      <w:rFonts w:cs="Times New Roman"/>
                      <w:b/>
                      <w:bCs/>
                      <w:color w:val="auto"/>
                      <w:szCs w:val="21"/>
                    </w:rPr>
                    <w:t>产污环节</w:t>
                  </w:r>
                </w:p>
              </w:tc>
              <w:tc>
                <w:tcPr>
                  <w:tcW w:w="2271" w:type="pct"/>
                  <w:tcBorders>
                    <w:tl2br w:val="nil"/>
                    <w:tr2bl w:val="nil"/>
                  </w:tcBorders>
                  <w:vAlign w:val="center"/>
                </w:tcPr>
                <w:p w14:paraId="01D6BDA6">
                  <w:pPr>
                    <w:adjustRightInd w:val="0"/>
                    <w:snapToGrid w:val="0"/>
                    <w:spacing w:line="240" w:lineRule="auto"/>
                    <w:ind w:firstLine="0" w:firstLineChars="0"/>
                    <w:jc w:val="center"/>
                    <w:rPr>
                      <w:rFonts w:cs="Times New Roman"/>
                      <w:b/>
                      <w:bCs/>
                      <w:color w:val="auto"/>
                      <w:szCs w:val="21"/>
                      <w:lang w:eastAsia="zh-CN"/>
                    </w:rPr>
                  </w:pPr>
                  <w:r>
                    <w:rPr>
                      <w:rFonts w:hint="eastAsia" w:cs="Times New Roman"/>
                      <w:b/>
                      <w:bCs/>
                      <w:color w:val="auto"/>
                      <w:szCs w:val="21"/>
                      <w:lang w:eastAsia="zh-CN"/>
                    </w:rPr>
                    <w:t>污染因子</w:t>
                  </w:r>
                </w:p>
              </w:tc>
            </w:tr>
            <w:tr w14:paraId="3981131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restart"/>
                  <w:tcBorders>
                    <w:tl2br w:val="nil"/>
                    <w:tr2bl w:val="nil"/>
                  </w:tcBorders>
                  <w:vAlign w:val="center"/>
                </w:tcPr>
                <w:p w14:paraId="79F8E68A">
                  <w:pPr>
                    <w:adjustRightInd w:val="0"/>
                    <w:snapToGrid w:val="0"/>
                    <w:spacing w:line="240" w:lineRule="auto"/>
                    <w:ind w:firstLine="0" w:firstLineChars="0"/>
                    <w:jc w:val="center"/>
                    <w:rPr>
                      <w:rFonts w:cs="Times New Roman"/>
                      <w:color w:val="auto"/>
                      <w:szCs w:val="21"/>
                    </w:rPr>
                  </w:pPr>
                  <w:r>
                    <w:rPr>
                      <w:rFonts w:cs="Times New Roman"/>
                      <w:color w:val="auto"/>
                      <w:szCs w:val="21"/>
                    </w:rPr>
                    <w:t>废气</w:t>
                  </w:r>
                </w:p>
              </w:tc>
              <w:tc>
                <w:tcPr>
                  <w:tcW w:w="1184" w:type="pct"/>
                  <w:vMerge w:val="restart"/>
                  <w:tcBorders>
                    <w:tl2br w:val="nil"/>
                    <w:tr2bl w:val="nil"/>
                  </w:tcBorders>
                  <w:vAlign w:val="center"/>
                </w:tcPr>
                <w:p w14:paraId="113FEA25">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加工车间</w:t>
                  </w:r>
                </w:p>
              </w:tc>
              <w:tc>
                <w:tcPr>
                  <w:tcW w:w="790" w:type="pct"/>
                  <w:tcBorders>
                    <w:tl2br w:val="nil"/>
                    <w:tr2bl w:val="nil"/>
                  </w:tcBorders>
                  <w:vAlign w:val="center"/>
                </w:tcPr>
                <w:p w14:paraId="5721543E">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切割</w:t>
                  </w:r>
                </w:p>
              </w:tc>
              <w:tc>
                <w:tcPr>
                  <w:tcW w:w="2271" w:type="pct"/>
                  <w:tcBorders>
                    <w:tl2br w:val="nil"/>
                    <w:tr2bl w:val="nil"/>
                  </w:tcBorders>
                  <w:vAlign w:val="center"/>
                </w:tcPr>
                <w:p w14:paraId="00070BB9">
                  <w:pPr>
                    <w:adjustRightInd w:val="0"/>
                    <w:snapToGrid w:val="0"/>
                    <w:spacing w:line="240" w:lineRule="auto"/>
                    <w:ind w:firstLine="0" w:firstLineChars="0"/>
                    <w:jc w:val="center"/>
                    <w:rPr>
                      <w:rFonts w:eastAsia="宋体" w:cs="Times New Roman"/>
                      <w:color w:val="auto"/>
                      <w:szCs w:val="21"/>
                      <w:lang w:eastAsia="zh-CN"/>
                    </w:rPr>
                  </w:pPr>
                  <w:r>
                    <w:rPr>
                      <w:rFonts w:hint="eastAsia" w:eastAsia="宋体" w:cs="Times New Roman"/>
                      <w:color w:val="auto"/>
                      <w:szCs w:val="21"/>
                      <w:lang w:eastAsia="zh-CN"/>
                    </w:rPr>
                    <w:t>颗粒物</w:t>
                  </w:r>
                </w:p>
              </w:tc>
            </w:tr>
            <w:tr w14:paraId="162DD61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2AC5C7D5">
                  <w:pPr>
                    <w:adjustRightInd w:val="0"/>
                    <w:snapToGrid w:val="0"/>
                    <w:spacing w:line="240" w:lineRule="auto"/>
                    <w:ind w:firstLine="0" w:firstLineChars="0"/>
                    <w:jc w:val="center"/>
                    <w:rPr>
                      <w:rFonts w:cs="Times New Roman"/>
                      <w:b/>
                      <w:bCs/>
                      <w:color w:val="auto"/>
                      <w:szCs w:val="21"/>
                    </w:rPr>
                  </w:pPr>
                </w:p>
              </w:tc>
              <w:tc>
                <w:tcPr>
                  <w:tcW w:w="1184" w:type="pct"/>
                  <w:vMerge w:val="continue"/>
                  <w:tcBorders>
                    <w:tl2br w:val="nil"/>
                    <w:tr2bl w:val="nil"/>
                  </w:tcBorders>
                  <w:vAlign w:val="center"/>
                </w:tcPr>
                <w:p w14:paraId="0F7DDBB4">
                  <w:pPr>
                    <w:adjustRightInd w:val="0"/>
                    <w:snapToGrid w:val="0"/>
                    <w:spacing w:line="240" w:lineRule="auto"/>
                    <w:ind w:firstLine="0" w:firstLineChars="0"/>
                    <w:jc w:val="center"/>
                    <w:rPr>
                      <w:rFonts w:cs="Times New Roman"/>
                      <w:color w:val="auto"/>
                      <w:szCs w:val="21"/>
                      <w:lang w:eastAsia="zh-CN"/>
                    </w:rPr>
                  </w:pPr>
                </w:p>
              </w:tc>
              <w:tc>
                <w:tcPr>
                  <w:tcW w:w="790" w:type="pct"/>
                  <w:tcBorders>
                    <w:tl2br w:val="nil"/>
                    <w:tr2bl w:val="nil"/>
                  </w:tcBorders>
                  <w:vAlign w:val="center"/>
                </w:tcPr>
                <w:p w14:paraId="3A6C44DA">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焊接</w:t>
                  </w:r>
                </w:p>
              </w:tc>
              <w:tc>
                <w:tcPr>
                  <w:tcW w:w="2271" w:type="pct"/>
                  <w:tcBorders>
                    <w:tl2br w:val="nil"/>
                    <w:tr2bl w:val="nil"/>
                  </w:tcBorders>
                  <w:vAlign w:val="center"/>
                </w:tcPr>
                <w:p w14:paraId="3040D0ED">
                  <w:pPr>
                    <w:adjustRightInd w:val="0"/>
                    <w:snapToGrid w:val="0"/>
                    <w:spacing w:line="240" w:lineRule="auto"/>
                    <w:ind w:firstLine="0" w:firstLineChars="0"/>
                    <w:jc w:val="center"/>
                    <w:rPr>
                      <w:rFonts w:eastAsia="宋体" w:cs="Times New Roman"/>
                      <w:color w:val="auto"/>
                      <w:szCs w:val="21"/>
                      <w:lang w:eastAsia="zh-CN"/>
                    </w:rPr>
                  </w:pPr>
                  <w:r>
                    <w:rPr>
                      <w:rFonts w:hint="eastAsia" w:eastAsia="宋体" w:cs="Times New Roman"/>
                      <w:color w:val="auto"/>
                      <w:szCs w:val="21"/>
                      <w:lang w:eastAsia="zh-CN"/>
                    </w:rPr>
                    <w:t>颗粒物</w:t>
                  </w:r>
                </w:p>
              </w:tc>
            </w:tr>
            <w:tr w14:paraId="5E519B2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29904EC7">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105272DE">
                  <w:pPr>
                    <w:adjustRightInd w:val="0"/>
                    <w:snapToGrid w:val="0"/>
                    <w:spacing w:line="240" w:lineRule="auto"/>
                    <w:ind w:firstLine="0" w:firstLineChars="0"/>
                    <w:jc w:val="center"/>
                    <w:rPr>
                      <w:rFonts w:cs="Times New Roman"/>
                      <w:color w:val="auto"/>
                      <w:kern w:val="2"/>
                      <w:szCs w:val="21"/>
                      <w:lang w:eastAsia="zh-CN"/>
                    </w:rPr>
                  </w:pPr>
                </w:p>
              </w:tc>
              <w:tc>
                <w:tcPr>
                  <w:tcW w:w="790" w:type="pct"/>
                  <w:tcBorders>
                    <w:tl2br w:val="nil"/>
                    <w:tr2bl w:val="nil"/>
                  </w:tcBorders>
                  <w:vAlign w:val="center"/>
                </w:tcPr>
                <w:p w14:paraId="7747C0A0">
                  <w:pPr>
                    <w:adjustRightInd w:val="0"/>
                    <w:snapToGrid w:val="0"/>
                    <w:spacing w:line="240" w:lineRule="auto"/>
                    <w:ind w:firstLine="0" w:firstLineChars="0"/>
                    <w:jc w:val="center"/>
                    <w:rPr>
                      <w:rFonts w:cs="Times New Roman"/>
                      <w:color w:val="auto"/>
                      <w:kern w:val="2"/>
                      <w:szCs w:val="21"/>
                      <w:lang w:eastAsia="zh-CN"/>
                    </w:rPr>
                  </w:pPr>
                  <w:r>
                    <w:rPr>
                      <w:rFonts w:hint="eastAsia" w:cs="Times New Roman"/>
                      <w:color w:val="auto"/>
                      <w:kern w:val="2"/>
                      <w:szCs w:val="21"/>
                      <w:lang w:eastAsia="zh-CN"/>
                    </w:rPr>
                    <w:t>喷涂</w:t>
                  </w:r>
                </w:p>
              </w:tc>
              <w:tc>
                <w:tcPr>
                  <w:tcW w:w="2271" w:type="pct"/>
                  <w:tcBorders>
                    <w:tl2br w:val="nil"/>
                    <w:tr2bl w:val="nil"/>
                  </w:tcBorders>
                  <w:vAlign w:val="center"/>
                </w:tcPr>
                <w:p w14:paraId="16DA665B">
                  <w:pPr>
                    <w:adjustRightInd w:val="0"/>
                    <w:snapToGrid w:val="0"/>
                    <w:spacing w:line="240" w:lineRule="auto"/>
                    <w:ind w:firstLine="0" w:firstLineChars="0"/>
                    <w:jc w:val="center"/>
                    <w:rPr>
                      <w:rFonts w:eastAsia="宋体" w:cs="Times New Roman"/>
                      <w:color w:val="auto"/>
                      <w:szCs w:val="21"/>
                      <w:lang w:eastAsia="zh-CN"/>
                    </w:rPr>
                  </w:pPr>
                  <w:r>
                    <w:rPr>
                      <w:rFonts w:hint="eastAsia" w:eastAsia="宋体" w:cs="Times New Roman"/>
                      <w:color w:val="auto"/>
                      <w:szCs w:val="21"/>
                      <w:lang w:eastAsia="zh-CN"/>
                    </w:rPr>
                    <w:t>颗粒物</w:t>
                  </w:r>
                </w:p>
              </w:tc>
            </w:tr>
            <w:tr w14:paraId="755F366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7" w:hRule="atLeast"/>
              </w:trPr>
              <w:tc>
                <w:tcPr>
                  <w:tcW w:w="754" w:type="pct"/>
                  <w:vMerge w:val="continue"/>
                  <w:tcBorders>
                    <w:tl2br w:val="nil"/>
                    <w:tr2bl w:val="nil"/>
                  </w:tcBorders>
                  <w:vAlign w:val="center"/>
                </w:tcPr>
                <w:p w14:paraId="6E0C2CF3">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7EB49250">
                  <w:pPr>
                    <w:adjustRightInd w:val="0"/>
                    <w:snapToGrid w:val="0"/>
                    <w:spacing w:line="240" w:lineRule="auto"/>
                    <w:ind w:firstLine="0" w:firstLineChars="0"/>
                    <w:jc w:val="center"/>
                    <w:rPr>
                      <w:rFonts w:cs="Times New Roman"/>
                      <w:color w:val="auto"/>
                      <w:szCs w:val="21"/>
                      <w:lang w:eastAsia="zh-CN"/>
                    </w:rPr>
                  </w:pPr>
                </w:p>
              </w:tc>
              <w:tc>
                <w:tcPr>
                  <w:tcW w:w="790" w:type="pct"/>
                  <w:tcBorders>
                    <w:tl2br w:val="nil"/>
                    <w:tr2bl w:val="nil"/>
                  </w:tcBorders>
                  <w:vAlign w:val="center"/>
                </w:tcPr>
                <w:p w14:paraId="43FD6AEB">
                  <w:pPr>
                    <w:adjustRightInd w:val="0"/>
                    <w:snapToGrid w:val="0"/>
                    <w:spacing w:line="240" w:lineRule="auto"/>
                    <w:ind w:firstLine="0" w:firstLineChars="0"/>
                    <w:jc w:val="center"/>
                    <w:rPr>
                      <w:rFonts w:cs="Times New Roman"/>
                      <w:color w:val="auto"/>
                      <w:kern w:val="2"/>
                      <w:szCs w:val="21"/>
                      <w:lang w:eastAsia="zh-CN"/>
                    </w:rPr>
                  </w:pPr>
                  <w:r>
                    <w:rPr>
                      <w:rFonts w:hint="eastAsia" w:cs="Times New Roman"/>
                      <w:color w:val="auto"/>
                      <w:kern w:val="2"/>
                      <w:szCs w:val="21"/>
                      <w:lang w:eastAsia="zh-CN"/>
                    </w:rPr>
                    <w:t>固化</w:t>
                  </w:r>
                </w:p>
              </w:tc>
              <w:tc>
                <w:tcPr>
                  <w:tcW w:w="2271" w:type="pct"/>
                  <w:tcBorders>
                    <w:tl2br w:val="nil"/>
                    <w:tr2bl w:val="nil"/>
                  </w:tcBorders>
                  <w:vAlign w:val="center"/>
                </w:tcPr>
                <w:p w14:paraId="06280418">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非甲烷总烃</w:t>
                  </w:r>
                </w:p>
              </w:tc>
            </w:tr>
            <w:tr w14:paraId="55E51CC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7D86370E">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506173CD">
                  <w:pPr>
                    <w:adjustRightInd w:val="0"/>
                    <w:snapToGrid w:val="0"/>
                    <w:spacing w:line="240" w:lineRule="auto"/>
                    <w:ind w:firstLine="0" w:firstLineChars="0"/>
                    <w:jc w:val="center"/>
                    <w:rPr>
                      <w:rFonts w:cs="Times New Roman"/>
                      <w:color w:val="auto"/>
                      <w:szCs w:val="21"/>
                      <w:lang w:eastAsia="zh-CN"/>
                    </w:rPr>
                  </w:pPr>
                </w:p>
              </w:tc>
              <w:tc>
                <w:tcPr>
                  <w:tcW w:w="790" w:type="pct"/>
                  <w:tcBorders>
                    <w:tl2br w:val="nil"/>
                    <w:tr2bl w:val="nil"/>
                  </w:tcBorders>
                  <w:vAlign w:val="center"/>
                </w:tcPr>
                <w:p w14:paraId="69DF625A">
                  <w:pPr>
                    <w:adjustRightInd w:val="0"/>
                    <w:snapToGrid w:val="0"/>
                    <w:spacing w:line="240" w:lineRule="auto"/>
                    <w:ind w:firstLine="0" w:firstLineChars="0"/>
                    <w:jc w:val="center"/>
                    <w:rPr>
                      <w:rFonts w:cs="Times New Roman"/>
                      <w:color w:val="auto"/>
                      <w:kern w:val="2"/>
                      <w:szCs w:val="21"/>
                      <w:lang w:eastAsia="zh-CN"/>
                    </w:rPr>
                  </w:pPr>
                  <w:r>
                    <w:rPr>
                      <w:rFonts w:hint="eastAsia" w:cs="Times New Roman"/>
                      <w:color w:val="auto"/>
                      <w:szCs w:val="21"/>
                      <w:lang w:eastAsia="zh-CN"/>
                    </w:rPr>
                    <w:t>燃烧机</w:t>
                  </w:r>
                </w:p>
              </w:tc>
              <w:tc>
                <w:tcPr>
                  <w:tcW w:w="2271" w:type="pct"/>
                  <w:tcBorders>
                    <w:tl2br w:val="nil"/>
                    <w:tr2bl w:val="nil"/>
                  </w:tcBorders>
                  <w:vAlign w:val="center"/>
                </w:tcPr>
                <w:p w14:paraId="37B6B160">
                  <w:pPr>
                    <w:adjustRightInd w:val="0"/>
                    <w:snapToGrid w:val="0"/>
                    <w:spacing w:line="240" w:lineRule="auto"/>
                    <w:ind w:firstLine="0" w:firstLineChars="0"/>
                    <w:jc w:val="center"/>
                    <w:rPr>
                      <w:rFonts w:eastAsia="宋体" w:cs="Times New Roman"/>
                      <w:color w:val="auto"/>
                      <w:szCs w:val="21"/>
                      <w:lang w:eastAsia="zh-CN"/>
                    </w:rPr>
                  </w:pPr>
                  <w:r>
                    <w:rPr>
                      <w:rFonts w:eastAsia="宋体" w:cs="Times New Roman"/>
                      <w:color w:val="auto"/>
                      <w:szCs w:val="21"/>
                      <w:lang w:eastAsia="zh-CN"/>
                    </w:rPr>
                    <w:t>颗粒物</w:t>
                  </w:r>
                  <w:r>
                    <w:rPr>
                      <w:rFonts w:hint="eastAsia" w:eastAsia="宋体" w:cs="Times New Roman"/>
                      <w:color w:val="auto"/>
                      <w:szCs w:val="21"/>
                      <w:lang w:eastAsia="zh-CN"/>
                    </w:rPr>
                    <w:t>、</w:t>
                  </w:r>
                  <w:r>
                    <w:rPr>
                      <w:rFonts w:eastAsia="宋体" w:cs="Times New Roman"/>
                      <w:color w:val="auto"/>
                      <w:sz w:val="24"/>
                      <w:szCs w:val="24"/>
                      <w:lang w:eastAsia="zh-CN" w:bidi="ar"/>
                    </w:rPr>
                    <w:t>SO</w:t>
                  </w:r>
                  <w:r>
                    <w:rPr>
                      <w:rFonts w:eastAsia="宋体" w:cs="Times New Roman"/>
                      <w:color w:val="auto"/>
                      <w:sz w:val="15"/>
                      <w:szCs w:val="15"/>
                      <w:lang w:eastAsia="zh-CN" w:bidi="ar"/>
                    </w:rPr>
                    <w:t>2</w:t>
                  </w:r>
                  <w:r>
                    <w:rPr>
                      <w:rFonts w:hint="eastAsia" w:eastAsia="宋体" w:cs="Times New Roman"/>
                      <w:color w:val="auto"/>
                      <w:szCs w:val="21"/>
                      <w:lang w:eastAsia="zh-CN"/>
                    </w:rPr>
                    <w:t>、</w:t>
                  </w:r>
                  <w:r>
                    <w:rPr>
                      <w:rFonts w:eastAsia="宋体" w:cs="Times New Roman"/>
                      <w:color w:val="auto"/>
                      <w:sz w:val="24"/>
                      <w:szCs w:val="24"/>
                      <w:lang w:eastAsia="zh-CN" w:bidi="ar"/>
                    </w:rPr>
                    <w:t>NO</w:t>
                  </w:r>
                  <w:r>
                    <w:rPr>
                      <w:rFonts w:eastAsia="宋体" w:cs="Times New Roman"/>
                      <w:color w:val="auto"/>
                      <w:sz w:val="15"/>
                      <w:szCs w:val="15"/>
                      <w:lang w:eastAsia="zh-CN" w:bidi="ar"/>
                    </w:rPr>
                    <w:t>X</w:t>
                  </w:r>
                </w:p>
              </w:tc>
            </w:tr>
            <w:tr w14:paraId="51CC78C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23E03428">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66DF353C">
                  <w:pPr>
                    <w:adjustRightInd w:val="0"/>
                    <w:snapToGrid w:val="0"/>
                    <w:spacing w:line="240" w:lineRule="auto"/>
                    <w:ind w:firstLine="0" w:firstLineChars="0"/>
                    <w:jc w:val="center"/>
                    <w:rPr>
                      <w:rFonts w:cs="Times New Roman"/>
                      <w:color w:val="auto"/>
                      <w:szCs w:val="21"/>
                      <w:lang w:eastAsia="zh-CN"/>
                    </w:rPr>
                  </w:pPr>
                </w:p>
              </w:tc>
              <w:tc>
                <w:tcPr>
                  <w:tcW w:w="790" w:type="pct"/>
                  <w:tcBorders>
                    <w:tl2br w:val="nil"/>
                    <w:tr2bl w:val="nil"/>
                  </w:tcBorders>
                  <w:vAlign w:val="center"/>
                </w:tcPr>
                <w:p w14:paraId="42AA27A6">
                  <w:pPr>
                    <w:adjustRightInd w:val="0"/>
                    <w:snapToGrid w:val="0"/>
                    <w:spacing w:line="240" w:lineRule="auto"/>
                    <w:ind w:firstLine="0" w:firstLineChars="0"/>
                    <w:jc w:val="center"/>
                    <w:rPr>
                      <w:rFonts w:cs="Times New Roman"/>
                      <w:color w:val="0000FF"/>
                      <w:szCs w:val="21"/>
                      <w:lang w:eastAsia="zh-CN"/>
                    </w:rPr>
                  </w:pPr>
                  <w:r>
                    <w:rPr>
                      <w:rFonts w:hint="eastAsia" w:cs="Times New Roman"/>
                      <w:color w:val="auto"/>
                      <w:szCs w:val="21"/>
                      <w:lang w:eastAsia="zh-CN"/>
                    </w:rPr>
                    <w:t>题字</w:t>
                  </w:r>
                </w:p>
              </w:tc>
              <w:tc>
                <w:tcPr>
                  <w:tcW w:w="2271" w:type="pct"/>
                  <w:tcBorders>
                    <w:tl2br w:val="nil"/>
                    <w:tr2bl w:val="nil"/>
                  </w:tcBorders>
                  <w:vAlign w:val="center"/>
                </w:tcPr>
                <w:p w14:paraId="54AA6EF9">
                  <w:pPr>
                    <w:adjustRightInd w:val="0"/>
                    <w:snapToGrid w:val="0"/>
                    <w:spacing w:line="240" w:lineRule="auto"/>
                    <w:ind w:firstLine="0" w:firstLineChars="0"/>
                    <w:jc w:val="center"/>
                    <w:rPr>
                      <w:rFonts w:hint="default" w:eastAsia="宋体" w:cs="Times New Roman"/>
                      <w:color w:val="0000FF"/>
                      <w:szCs w:val="21"/>
                      <w:lang w:val="en-US" w:eastAsia="zh-CN"/>
                    </w:rPr>
                  </w:pPr>
                  <w:r>
                    <w:rPr>
                      <w:rFonts w:eastAsia="宋体" w:cs="Times New Roman"/>
                      <w:color w:val="auto"/>
                      <w:szCs w:val="21"/>
                      <w:lang w:eastAsia="zh-CN"/>
                    </w:rPr>
                    <w:t>非甲烷总烃</w:t>
                  </w:r>
                </w:p>
              </w:tc>
            </w:tr>
            <w:tr w14:paraId="6A4F0CC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2AC8C5DC">
                  <w:pPr>
                    <w:adjustRightInd w:val="0"/>
                    <w:snapToGrid w:val="0"/>
                    <w:spacing w:line="240" w:lineRule="auto"/>
                    <w:ind w:firstLine="0" w:firstLineChars="0"/>
                    <w:jc w:val="center"/>
                    <w:rPr>
                      <w:rFonts w:cs="Times New Roman"/>
                      <w:color w:val="auto"/>
                      <w:szCs w:val="21"/>
                    </w:rPr>
                  </w:pPr>
                </w:p>
              </w:tc>
              <w:tc>
                <w:tcPr>
                  <w:tcW w:w="1184" w:type="pct"/>
                  <w:tcBorders>
                    <w:tl2br w:val="nil"/>
                    <w:tr2bl w:val="nil"/>
                  </w:tcBorders>
                  <w:vAlign w:val="center"/>
                </w:tcPr>
                <w:p w14:paraId="2677C8F7">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食堂</w:t>
                  </w:r>
                </w:p>
              </w:tc>
              <w:tc>
                <w:tcPr>
                  <w:tcW w:w="790" w:type="pct"/>
                  <w:tcBorders>
                    <w:tl2br w:val="nil"/>
                    <w:tr2bl w:val="nil"/>
                  </w:tcBorders>
                  <w:vAlign w:val="center"/>
                </w:tcPr>
                <w:p w14:paraId="23449F19">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员工生活</w:t>
                  </w:r>
                </w:p>
              </w:tc>
              <w:tc>
                <w:tcPr>
                  <w:tcW w:w="2271" w:type="pct"/>
                  <w:tcBorders>
                    <w:tl2br w:val="nil"/>
                    <w:tr2bl w:val="nil"/>
                  </w:tcBorders>
                  <w:vAlign w:val="center"/>
                </w:tcPr>
                <w:p w14:paraId="1A674C2B">
                  <w:pPr>
                    <w:adjustRightInd w:val="0"/>
                    <w:snapToGrid w:val="0"/>
                    <w:spacing w:line="240" w:lineRule="auto"/>
                    <w:ind w:firstLine="0" w:firstLineChars="0"/>
                    <w:jc w:val="center"/>
                    <w:rPr>
                      <w:rFonts w:eastAsia="宋体" w:cs="Times New Roman"/>
                      <w:color w:val="auto"/>
                      <w:szCs w:val="21"/>
                      <w:lang w:eastAsia="zh-CN"/>
                    </w:rPr>
                  </w:pPr>
                  <w:r>
                    <w:rPr>
                      <w:rFonts w:hint="eastAsia" w:eastAsia="宋体" w:cs="Times New Roman"/>
                      <w:color w:val="auto"/>
                      <w:szCs w:val="21"/>
                      <w:lang w:eastAsia="zh-CN"/>
                    </w:rPr>
                    <w:t>油烟</w:t>
                  </w:r>
                </w:p>
              </w:tc>
            </w:tr>
            <w:tr w14:paraId="0579AB7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tcBorders>
                    <w:tl2br w:val="nil"/>
                    <w:tr2bl w:val="nil"/>
                  </w:tcBorders>
                  <w:vAlign w:val="center"/>
                </w:tcPr>
                <w:p w14:paraId="63FCA744">
                  <w:pPr>
                    <w:adjustRightInd w:val="0"/>
                    <w:snapToGrid w:val="0"/>
                    <w:spacing w:line="240" w:lineRule="auto"/>
                    <w:ind w:firstLine="0" w:firstLineChars="0"/>
                    <w:jc w:val="center"/>
                    <w:rPr>
                      <w:rFonts w:cs="Times New Roman"/>
                      <w:color w:val="auto"/>
                      <w:szCs w:val="21"/>
                    </w:rPr>
                  </w:pPr>
                  <w:r>
                    <w:rPr>
                      <w:rFonts w:cs="Times New Roman"/>
                      <w:color w:val="auto"/>
                      <w:szCs w:val="21"/>
                    </w:rPr>
                    <w:t>废水</w:t>
                  </w:r>
                </w:p>
              </w:tc>
              <w:tc>
                <w:tcPr>
                  <w:tcW w:w="1184" w:type="pct"/>
                  <w:tcBorders>
                    <w:tl2br w:val="nil"/>
                    <w:tr2bl w:val="nil"/>
                  </w:tcBorders>
                  <w:vAlign w:val="center"/>
                </w:tcPr>
                <w:p w14:paraId="580CECF7">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生活区</w:t>
                  </w:r>
                </w:p>
              </w:tc>
              <w:tc>
                <w:tcPr>
                  <w:tcW w:w="790" w:type="pct"/>
                  <w:tcBorders>
                    <w:tl2br w:val="nil"/>
                    <w:tr2bl w:val="nil"/>
                  </w:tcBorders>
                  <w:vAlign w:val="center"/>
                </w:tcPr>
                <w:p w14:paraId="460C078C">
                  <w:pPr>
                    <w:adjustRightInd w:val="0"/>
                    <w:snapToGrid w:val="0"/>
                    <w:spacing w:line="240" w:lineRule="auto"/>
                    <w:ind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员工生活</w:t>
                  </w:r>
                </w:p>
              </w:tc>
              <w:tc>
                <w:tcPr>
                  <w:tcW w:w="2271" w:type="pct"/>
                  <w:tcBorders>
                    <w:tl2br w:val="nil"/>
                    <w:tr2bl w:val="nil"/>
                  </w:tcBorders>
                  <w:vAlign w:val="center"/>
                </w:tcPr>
                <w:p w14:paraId="1F06E772">
                  <w:pPr>
                    <w:adjustRightInd w:val="0"/>
                    <w:snapToGrid w:val="0"/>
                    <w:spacing w:line="240" w:lineRule="auto"/>
                    <w:ind w:firstLine="0" w:firstLineChars="0"/>
                    <w:jc w:val="center"/>
                    <w:rPr>
                      <w:rFonts w:eastAsia="宋体" w:cs="Times New Roman"/>
                      <w:color w:val="auto"/>
                      <w:kern w:val="2"/>
                      <w:szCs w:val="21"/>
                      <w:lang w:eastAsia="zh-CN"/>
                    </w:rPr>
                  </w:pPr>
                  <w:r>
                    <w:rPr>
                      <w:rFonts w:eastAsia="Times New Roman" w:cs="Times New Roman"/>
                      <w:color w:val="auto"/>
                      <w:szCs w:val="21"/>
                    </w:rPr>
                    <w:t>CO</w:t>
                  </w:r>
                  <w:r>
                    <w:rPr>
                      <w:rFonts w:eastAsia="Times New Roman" w:cs="Times New Roman"/>
                      <w:color w:val="auto"/>
                      <w:spacing w:val="-1"/>
                      <w:szCs w:val="21"/>
                    </w:rPr>
                    <w:t>D</w:t>
                  </w:r>
                  <w:r>
                    <w:rPr>
                      <w:rFonts w:cs="Times New Roman"/>
                      <w:color w:val="auto"/>
                      <w:szCs w:val="21"/>
                    </w:rPr>
                    <w:t>、</w:t>
                  </w:r>
                  <w:r>
                    <w:rPr>
                      <w:rFonts w:eastAsia="Times New Roman" w:cs="Times New Roman"/>
                      <w:color w:val="auto"/>
                      <w:szCs w:val="21"/>
                    </w:rPr>
                    <w:t>B</w:t>
                  </w:r>
                  <w:r>
                    <w:rPr>
                      <w:rFonts w:eastAsia="Times New Roman" w:cs="Times New Roman"/>
                      <w:color w:val="auto"/>
                      <w:spacing w:val="-1"/>
                      <w:szCs w:val="21"/>
                    </w:rPr>
                    <w:t>OD</w:t>
                  </w:r>
                  <w:r>
                    <w:rPr>
                      <w:rFonts w:eastAsia="Times New Roman" w:cs="Times New Roman"/>
                      <w:color w:val="auto"/>
                      <w:position w:val="-2"/>
                      <w:szCs w:val="21"/>
                      <w:vertAlign w:val="subscript"/>
                    </w:rPr>
                    <w:t>5</w:t>
                  </w:r>
                  <w:r>
                    <w:rPr>
                      <w:rFonts w:cs="Times New Roman"/>
                      <w:color w:val="auto"/>
                      <w:szCs w:val="21"/>
                    </w:rPr>
                    <w:t>、</w:t>
                  </w:r>
                  <w:r>
                    <w:rPr>
                      <w:rFonts w:eastAsia="Times New Roman" w:cs="Times New Roman"/>
                      <w:color w:val="auto"/>
                      <w:spacing w:val="-1"/>
                      <w:szCs w:val="21"/>
                    </w:rPr>
                    <w:t>SS</w:t>
                  </w:r>
                  <w:r>
                    <w:rPr>
                      <w:rFonts w:cs="Times New Roman"/>
                      <w:color w:val="auto"/>
                      <w:szCs w:val="21"/>
                    </w:rPr>
                    <w:t>、</w:t>
                  </w:r>
                  <w:r>
                    <w:rPr>
                      <w:rFonts w:hint="eastAsia" w:cs="Times New Roman"/>
                      <w:color w:val="auto"/>
                      <w:szCs w:val="21"/>
                      <w:lang w:eastAsia="zh-CN"/>
                    </w:rPr>
                    <w:t>N</w:t>
                  </w:r>
                  <w:r>
                    <w:rPr>
                      <w:rFonts w:eastAsia="Times New Roman" w:cs="Times New Roman"/>
                      <w:color w:val="auto"/>
                      <w:spacing w:val="-1"/>
                      <w:szCs w:val="21"/>
                    </w:rPr>
                    <w:t>H</w:t>
                  </w:r>
                  <w:r>
                    <w:rPr>
                      <w:rFonts w:eastAsia="Times New Roman" w:cs="Times New Roman"/>
                      <w:color w:val="auto"/>
                      <w:position w:val="-2"/>
                      <w:szCs w:val="21"/>
                      <w:vertAlign w:val="subscript"/>
                    </w:rPr>
                    <w:t>3</w:t>
                  </w:r>
                  <w:r>
                    <w:rPr>
                      <w:rFonts w:eastAsia="Times New Roman" w:cs="Times New Roman"/>
                      <w:color w:val="auto"/>
                      <w:spacing w:val="-1"/>
                      <w:szCs w:val="21"/>
                    </w:rPr>
                    <w:t>-</w:t>
                  </w:r>
                  <w:r>
                    <w:rPr>
                      <w:rFonts w:eastAsia="Times New Roman" w:cs="Times New Roman"/>
                      <w:color w:val="auto"/>
                      <w:szCs w:val="21"/>
                    </w:rPr>
                    <w:t>N</w:t>
                  </w:r>
                  <w:r>
                    <w:rPr>
                      <w:rFonts w:hint="eastAsia" w:eastAsia="宋体" w:cs="Times New Roman"/>
                      <w:color w:val="auto"/>
                      <w:szCs w:val="21"/>
                      <w:lang w:eastAsia="zh-CN"/>
                    </w:rPr>
                    <w:t>、TN、TP</w:t>
                  </w:r>
                </w:p>
              </w:tc>
            </w:tr>
            <w:tr w14:paraId="08F00FB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tcBorders>
                    <w:tl2br w:val="nil"/>
                    <w:tr2bl w:val="nil"/>
                  </w:tcBorders>
                  <w:vAlign w:val="center"/>
                </w:tcPr>
                <w:p w14:paraId="70F20A2B">
                  <w:pPr>
                    <w:adjustRightInd w:val="0"/>
                    <w:snapToGrid w:val="0"/>
                    <w:spacing w:line="240" w:lineRule="auto"/>
                    <w:ind w:firstLine="0" w:firstLineChars="0"/>
                    <w:jc w:val="center"/>
                    <w:rPr>
                      <w:rFonts w:cs="Times New Roman"/>
                      <w:color w:val="auto"/>
                      <w:szCs w:val="21"/>
                    </w:rPr>
                  </w:pPr>
                  <w:r>
                    <w:rPr>
                      <w:rFonts w:cs="Times New Roman"/>
                      <w:color w:val="auto"/>
                      <w:szCs w:val="21"/>
                    </w:rPr>
                    <w:t>噪声</w:t>
                  </w:r>
                </w:p>
              </w:tc>
              <w:tc>
                <w:tcPr>
                  <w:tcW w:w="1184" w:type="pct"/>
                  <w:tcBorders>
                    <w:tl2br w:val="nil"/>
                    <w:tr2bl w:val="nil"/>
                  </w:tcBorders>
                  <w:vAlign w:val="center"/>
                </w:tcPr>
                <w:p w14:paraId="0DF7A0E5">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折弯机、剪板机、光纤激光切割机等</w:t>
                  </w:r>
                </w:p>
              </w:tc>
              <w:tc>
                <w:tcPr>
                  <w:tcW w:w="790" w:type="pct"/>
                  <w:tcBorders>
                    <w:tl2br w:val="nil"/>
                    <w:tr2bl w:val="nil"/>
                  </w:tcBorders>
                  <w:vAlign w:val="center"/>
                </w:tcPr>
                <w:p w14:paraId="53C3A731">
                  <w:pPr>
                    <w:adjustRightInd w:val="0"/>
                    <w:snapToGrid w:val="0"/>
                    <w:spacing w:line="240" w:lineRule="auto"/>
                    <w:ind w:firstLine="0" w:firstLineChars="0"/>
                    <w:jc w:val="center"/>
                    <w:rPr>
                      <w:rFonts w:cs="Times New Roman"/>
                      <w:color w:val="auto"/>
                      <w:szCs w:val="21"/>
                    </w:rPr>
                  </w:pPr>
                  <w:r>
                    <w:rPr>
                      <w:rFonts w:cs="Times New Roman"/>
                      <w:color w:val="auto"/>
                      <w:szCs w:val="21"/>
                    </w:rPr>
                    <w:t>设备运行</w:t>
                  </w:r>
                </w:p>
              </w:tc>
              <w:tc>
                <w:tcPr>
                  <w:tcW w:w="2271" w:type="pct"/>
                  <w:tcBorders>
                    <w:tl2br w:val="nil"/>
                    <w:tr2bl w:val="nil"/>
                  </w:tcBorders>
                  <w:vAlign w:val="center"/>
                </w:tcPr>
                <w:p w14:paraId="57CFE87C">
                  <w:pPr>
                    <w:adjustRightInd w:val="0"/>
                    <w:snapToGrid w:val="0"/>
                    <w:spacing w:line="240" w:lineRule="auto"/>
                    <w:ind w:firstLine="0" w:firstLineChars="0"/>
                    <w:jc w:val="center"/>
                    <w:rPr>
                      <w:rFonts w:cs="Times New Roman"/>
                      <w:color w:val="auto"/>
                      <w:szCs w:val="21"/>
                    </w:rPr>
                  </w:pPr>
                  <w:r>
                    <w:rPr>
                      <w:rFonts w:cs="Times New Roman"/>
                      <w:color w:val="auto"/>
                      <w:szCs w:val="21"/>
                    </w:rPr>
                    <w:t>噪声</w:t>
                  </w:r>
                </w:p>
              </w:tc>
            </w:tr>
            <w:tr w14:paraId="63443E1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restart"/>
                  <w:tcBorders>
                    <w:tl2br w:val="nil"/>
                    <w:tr2bl w:val="nil"/>
                  </w:tcBorders>
                  <w:vAlign w:val="center"/>
                </w:tcPr>
                <w:p w14:paraId="0089C8ED">
                  <w:pPr>
                    <w:adjustRightInd w:val="0"/>
                    <w:snapToGrid w:val="0"/>
                    <w:spacing w:line="240" w:lineRule="auto"/>
                    <w:ind w:firstLine="0" w:firstLineChars="0"/>
                    <w:jc w:val="center"/>
                    <w:rPr>
                      <w:rFonts w:cs="Times New Roman"/>
                      <w:color w:val="auto"/>
                      <w:szCs w:val="21"/>
                      <w:lang w:eastAsia="zh-CN"/>
                    </w:rPr>
                  </w:pPr>
                  <w:r>
                    <w:rPr>
                      <w:rFonts w:cs="Times New Roman"/>
                      <w:color w:val="auto"/>
                      <w:szCs w:val="21"/>
                      <w:lang w:eastAsia="zh-CN"/>
                    </w:rPr>
                    <w:t>固废</w:t>
                  </w:r>
                </w:p>
              </w:tc>
              <w:tc>
                <w:tcPr>
                  <w:tcW w:w="1184" w:type="pct"/>
                  <w:vMerge w:val="restart"/>
                  <w:tcBorders>
                    <w:tl2br w:val="nil"/>
                    <w:tr2bl w:val="nil"/>
                  </w:tcBorders>
                  <w:vAlign w:val="center"/>
                </w:tcPr>
                <w:p w14:paraId="5D7DB9B1">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加工车间</w:t>
                  </w:r>
                </w:p>
              </w:tc>
              <w:tc>
                <w:tcPr>
                  <w:tcW w:w="790" w:type="pct"/>
                  <w:tcBorders>
                    <w:tl2br w:val="nil"/>
                    <w:tr2bl w:val="nil"/>
                  </w:tcBorders>
                  <w:vAlign w:val="center"/>
                </w:tcPr>
                <w:p w14:paraId="6893B860">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剪板</w:t>
                  </w:r>
                </w:p>
              </w:tc>
              <w:tc>
                <w:tcPr>
                  <w:tcW w:w="2271" w:type="pct"/>
                  <w:tcBorders>
                    <w:tl2br w:val="nil"/>
                    <w:tr2bl w:val="nil"/>
                  </w:tcBorders>
                  <w:vAlign w:val="center"/>
                </w:tcPr>
                <w:p w14:paraId="148506DD">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金属边角料</w:t>
                  </w:r>
                </w:p>
              </w:tc>
            </w:tr>
            <w:tr w14:paraId="21C936A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0CAA6EC1">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1A550B51">
                  <w:pPr>
                    <w:adjustRightInd w:val="0"/>
                    <w:snapToGrid w:val="0"/>
                    <w:spacing w:line="240" w:lineRule="auto"/>
                    <w:ind w:firstLine="0" w:firstLineChars="0"/>
                    <w:jc w:val="center"/>
                    <w:rPr>
                      <w:rFonts w:eastAsia="Times New Roman" w:cs="Times New Roman"/>
                      <w:color w:val="auto"/>
                      <w:szCs w:val="21"/>
                      <w:lang w:eastAsia="zh-CN"/>
                    </w:rPr>
                  </w:pPr>
                </w:p>
              </w:tc>
              <w:tc>
                <w:tcPr>
                  <w:tcW w:w="790" w:type="pct"/>
                  <w:tcBorders>
                    <w:tl2br w:val="nil"/>
                    <w:tr2bl w:val="nil"/>
                  </w:tcBorders>
                  <w:vAlign w:val="center"/>
                </w:tcPr>
                <w:p w14:paraId="0231E526">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切割</w:t>
                  </w:r>
                </w:p>
              </w:tc>
              <w:tc>
                <w:tcPr>
                  <w:tcW w:w="2271" w:type="pct"/>
                  <w:tcBorders>
                    <w:tl2br w:val="nil"/>
                    <w:tr2bl w:val="nil"/>
                  </w:tcBorders>
                  <w:vAlign w:val="center"/>
                </w:tcPr>
                <w:p w14:paraId="4E2479CC">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金属粉尘</w:t>
                  </w:r>
                </w:p>
              </w:tc>
            </w:tr>
            <w:tr w14:paraId="1C9451F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59AFD6BE">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568B053F">
                  <w:pPr>
                    <w:adjustRightInd w:val="0"/>
                    <w:snapToGrid w:val="0"/>
                    <w:spacing w:line="240" w:lineRule="auto"/>
                    <w:ind w:firstLine="0" w:firstLineChars="0"/>
                    <w:jc w:val="center"/>
                    <w:rPr>
                      <w:rFonts w:eastAsia="Times New Roman" w:cs="Times New Roman"/>
                      <w:color w:val="auto"/>
                      <w:szCs w:val="21"/>
                      <w:lang w:eastAsia="zh-CN"/>
                    </w:rPr>
                  </w:pPr>
                </w:p>
              </w:tc>
              <w:tc>
                <w:tcPr>
                  <w:tcW w:w="790" w:type="pct"/>
                  <w:tcBorders>
                    <w:tl2br w:val="nil"/>
                    <w:tr2bl w:val="nil"/>
                  </w:tcBorders>
                  <w:vAlign w:val="center"/>
                </w:tcPr>
                <w:p w14:paraId="2C6E2997">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焊接</w:t>
                  </w:r>
                </w:p>
              </w:tc>
              <w:tc>
                <w:tcPr>
                  <w:tcW w:w="2271" w:type="pct"/>
                  <w:tcBorders>
                    <w:tl2br w:val="nil"/>
                    <w:tr2bl w:val="nil"/>
                  </w:tcBorders>
                  <w:vAlign w:val="center"/>
                </w:tcPr>
                <w:p w14:paraId="3350191B">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废焊废料</w:t>
                  </w:r>
                </w:p>
              </w:tc>
            </w:tr>
            <w:tr w14:paraId="256C0A5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3C93C4BB">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32E68312">
                  <w:pPr>
                    <w:adjustRightInd w:val="0"/>
                    <w:snapToGrid w:val="0"/>
                    <w:spacing w:line="240" w:lineRule="auto"/>
                    <w:ind w:firstLine="0" w:firstLineChars="0"/>
                    <w:jc w:val="center"/>
                    <w:rPr>
                      <w:rFonts w:eastAsia="Times New Roman" w:cs="Times New Roman"/>
                      <w:color w:val="auto"/>
                      <w:szCs w:val="21"/>
                      <w:lang w:eastAsia="zh-CN"/>
                    </w:rPr>
                  </w:pPr>
                </w:p>
              </w:tc>
              <w:tc>
                <w:tcPr>
                  <w:tcW w:w="790" w:type="pct"/>
                  <w:tcBorders>
                    <w:tl2br w:val="nil"/>
                    <w:tr2bl w:val="nil"/>
                  </w:tcBorders>
                  <w:vAlign w:val="center"/>
                </w:tcPr>
                <w:p w14:paraId="5646C1B3">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原料储存</w:t>
                  </w:r>
                </w:p>
              </w:tc>
              <w:tc>
                <w:tcPr>
                  <w:tcW w:w="2271" w:type="pct"/>
                  <w:tcBorders>
                    <w:tl2br w:val="nil"/>
                    <w:tr2bl w:val="nil"/>
                  </w:tcBorders>
                  <w:vAlign w:val="center"/>
                </w:tcPr>
                <w:p w14:paraId="68B624CC">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废包装、废油墨桶、废</w:t>
                  </w:r>
                  <w:r>
                    <w:rPr>
                      <w:rFonts w:hint="eastAsia" w:eastAsia="Times New Roman" w:cs="Times New Roman"/>
                      <w:color w:val="auto"/>
                      <w:szCs w:val="21"/>
                      <w:lang w:val="en-US" w:eastAsia="zh-CN"/>
                    </w:rPr>
                    <w:t>稀释剂</w:t>
                  </w:r>
                  <w:r>
                    <w:rPr>
                      <w:rFonts w:hint="eastAsia" w:eastAsia="Times New Roman" w:cs="Times New Roman"/>
                      <w:color w:val="auto"/>
                      <w:szCs w:val="21"/>
                      <w:lang w:eastAsia="zh-CN"/>
                    </w:rPr>
                    <w:t>桶</w:t>
                  </w:r>
                </w:p>
              </w:tc>
            </w:tr>
            <w:tr w14:paraId="1172E70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7079C40D">
                  <w:pPr>
                    <w:adjustRightInd w:val="0"/>
                    <w:snapToGrid w:val="0"/>
                    <w:spacing w:line="240" w:lineRule="auto"/>
                    <w:ind w:firstLine="0" w:firstLineChars="0"/>
                    <w:jc w:val="center"/>
                    <w:rPr>
                      <w:rFonts w:cs="Times New Roman"/>
                      <w:color w:val="auto"/>
                      <w:szCs w:val="21"/>
                      <w:lang w:eastAsia="zh-CN"/>
                    </w:rPr>
                  </w:pPr>
                </w:p>
              </w:tc>
              <w:tc>
                <w:tcPr>
                  <w:tcW w:w="1184" w:type="pct"/>
                  <w:vMerge w:val="continue"/>
                  <w:tcBorders>
                    <w:tl2br w:val="nil"/>
                    <w:tr2bl w:val="nil"/>
                  </w:tcBorders>
                  <w:vAlign w:val="center"/>
                </w:tcPr>
                <w:p w14:paraId="2FA98963">
                  <w:pPr>
                    <w:adjustRightInd w:val="0"/>
                    <w:snapToGrid w:val="0"/>
                    <w:spacing w:line="240" w:lineRule="auto"/>
                    <w:ind w:firstLine="0" w:firstLineChars="0"/>
                    <w:jc w:val="center"/>
                    <w:rPr>
                      <w:rFonts w:eastAsia="Times New Roman" w:cs="Times New Roman"/>
                      <w:color w:val="auto"/>
                      <w:szCs w:val="21"/>
                      <w:lang w:eastAsia="zh-CN"/>
                    </w:rPr>
                  </w:pPr>
                </w:p>
              </w:tc>
              <w:tc>
                <w:tcPr>
                  <w:tcW w:w="790" w:type="pct"/>
                  <w:tcBorders>
                    <w:tl2br w:val="nil"/>
                    <w:tr2bl w:val="nil"/>
                  </w:tcBorders>
                  <w:vAlign w:val="center"/>
                </w:tcPr>
                <w:p w14:paraId="1B672E5C">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废气治理</w:t>
                  </w:r>
                </w:p>
              </w:tc>
              <w:tc>
                <w:tcPr>
                  <w:tcW w:w="2271" w:type="pct"/>
                  <w:tcBorders>
                    <w:tl2br w:val="nil"/>
                    <w:tr2bl w:val="nil"/>
                  </w:tcBorders>
                  <w:vAlign w:val="center"/>
                </w:tcPr>
                <w:p w14:paraId="4BF82E1B">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废活性炭</w:t>
                  </w:r>
                </w:p>
              </w:tc>
            </w:tr>
            <w:tr w14:paraId="52483A3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43603971">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59AF1A5A">
                  <w:pPr>
                    <w:adjustRightInd w:val="0"/>
                    <w:snapToGrid w:val="0"/>
                    <w:spacing w:line="240" w:lineRule="auto"/>
                    <w:ind w:firstLine="0" w:firstLineChars="0"/>
                    <w:jc w:val="center"/>
                    <w:rPr>
                      <w:rFonts w:eastAsia="Times New Roman" w:cs="Times New Roman"/>
                      <w:color w:val="auto"/>
                      <w:szCs w:val="21"/>
                      <w:lang w:eastAsia="zh-CN"/>
                    </w:rPr>
                  </w:pPr>
                </w:p>
              </w:tc>
              <w:tc>
                <w:tcPr>
                  <w:tcW w:w="790" w:type="pct"/>
                  <w:tcBorders>
                    <w:tl2br w:val="nil"/>
                    <w:tr2bl w:val="nil"/>
                  </w:tcBorders>
                  <w:vAlign w:val="center"/>
                </w:tcPr>
                <w:p w14:paraId="28302855">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设备维修</w:t>
                  </w:r>
                </w:p>
              </w:tc>
              <w:tc>
                <w:tcPr>
                  <w:tcW w:w="2271" w:type="pct"/>
                  <w:tcBorders>
                    <w:tl2br w:val="nil"/>
                    <w:tr2bl w:val="nil"/>
                  </w:tcBorders>
                  <w:vAlign w:val="center"/>
                </w:tcPr>
                <w:p w14:paraId="16A9951B">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废润滑油、废油桶、废含油劳保用品</w:t>
                  </w:r>
                </w:p>
              </w:tc>
            </w:tr>
            <w:tr w14:paraId="0137968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008C7758">
                  <w:pPr>
                    <w:adjustRightInd w:val="0"/>
                    <w:snapToGrid w:val="0"/>
                    <w:spacing w:line="240" w:lineRule="auto"/>
                    <w:ind w:firstLine="0" w:firstLineChars="0"/>
                    <w:jc w:val="center"/>
                    <w:rPr>
                      <w:rFonts w:cs="Times New Roman"/>
                      <w:color w:val="auto"/>
                      <w:szCs w:val="21"/>
                      <w:lang w:eastAsia="zh-CN"/>
                    </w:rPr>
                  </w:pPr>
                </w:p>
              </w:tc>
              <w:tc>
                <w:tcPr>
                  <w:tcW w:w="1184" w:type="pct"/>
                  <w:vMerge w:val="restart"/>
                  <w:tcBorders>
                    <w:tl2br w:val="nil"/>
                    <w:tr2bl w:val="nil"/>
                  </w:tcBorders>
                  <w:vAlign w:val="center"/>
                </w:tcPr>
                <w:p w14:paraId="234A14E0">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生活区</w:t>
                  </w:r>
                </w:p>
              </w:tc>
              <w:tc>
                <w:tcPr>
                  <w:tcW w:w="790" w:type="pct"/>
                  <w:tcBorders>
                    <w:tl2br w:val="nil"/>
                    <w:tr2bl w:val="nil"/>
                  </w:tcBorders>
                  <w:vAlign w:val="center"/>
                </w:tcPr>
                <w:p w14:paraId="273DF4F4">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员工生活</w:t>
                  </w:r>
                </w:p>
              </w:tc>
              <w:tc>
                <w:tcPr>
                  <w:tcW w:w="2271" w:type="pct"/>
                  <w:tcBorders>
                    <w:tl2br w:val="nil"/>
                    <w:tr2bl w:val="nil"/>
                  </w:tcBorders>
                  <w:vAlign w:val="center"/>
                </w:tcPr>
                <w:p w14:paraId="7FAF98F9">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生活垃圾</w:t>
                  </w:r>
                </w:p>
              </w:tc>
            </w:tr>
            <w:tr w14:paraId="5FC3727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4" w:type="pct"/>
                  <w:vMerge w:val="continue"/>
                  <w:tcBorders>
                    <w:tl2br w:val="nil"/>
                    <w:tr2bl w:val="nil"/>
                  </w:tcBorders>
                  <w:vAlign w:val="center"/>
                </w:tcPr>
                <w:p w14:paraId="08321E9C">
                  <w:pPr>
                    <w:adjustRightInd w:val="0"/>
                    <w:snapToGrid w:val="0"/>
                    <w:spacing w:line="240" w:lineRule="auto"/>
                    <w:ind w:firstLine="0" w:firstLineChars="0"/>
                    <w:jc w:val="center"/>
                    <w:rPr>
                      <w:rFonts w:cs="Times New Roman"/>
                      <w:color w:val="auto"/>
                      <w:szCs w:val="21"/>
                    </w:rPr>
                  </w:pPr>
                </w:p>
              </w:tc>
              <w:tc>
                <w:tcPr>
                  <w:tcW w:w="1184" w:type="pct"/>
                  <w:vMerge w:val="continue"/>
                  <w:tcBorders>
                    <w:tl2br w:val="nil"/>
                    <w:tr2bl w:val="nil"/>
                  </w:tcBorders>
                  <w:vAlign w:val="center"/>
                </w:tcPr>
                <w:p w14:paraId="5CE98276">
                  <w:pPr>
                    <w:adjustRightInd w:val="0"/>
                    <w:snapToGrid w:val="0"/>
                    <w:spacing w:line="240" w:lineRule="auto"/>
                    <w:ind w:firstLine="0" w:firstLineChars="0"/>
                    <w:jc w:val="center"/>
                    <w:rPr>
                      <w:rFonts w:eastAsia="Times New Roman" w:cs="Times New Roman"/>
                      <w:color w:val="auto"/>
                      <w:szCs w:val="21"/>
                      <w:lang w:eastAsia="zh-CN"/>
                    </w:rPr>
                  </w:pPr>
                </w:p>
              </w:tc>
              <w:tc>
                <w:tcPr>
                  <w:tcW w:w="790" w:type="pct"/>
                  <w:tcBorders>
                    <w:tl2br w:val="nil"/>
                    <w:tr2bl w:val="nil"/>
                  </w:tcBorders>
                  <w:vAlign w:val="center"/>
                </w:tcPr>
                <w:p w14:paraId="6B36089B">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员工食堂</w:t>
                  </w:r>
                </w:p>
              </w:tc>
              <w:tc>
                <w:tcPr>
                  <w:tcW w:w="2271" w:type="pct"/>
                  <w:tcBorders>
                    <w:tl2br w:val="nil"/>
                    <w:tr2bl w:val="nil"/>
                  </w:tcBorders>
                  <w:vAlign w:val="center"/>
                </w:tcPr>
                <w:p w14:paraId="1EF81620">
                  <w:pPr>
                    <w:adjustRightInd w:val="0"/>
                    <w:snapToGrid w:val="0"/>
                    <w:spacing w:line="240" w:lineRule="auto"/>
                    <w:ind w:firstLine="0" w:firstLineChars="0"/>
                    <w:jc w:val="center"/>
                    <w:rPr>
                      <w:rFonts w:eastAsia="Times New Roman" w:cs="Times New Roman"/>
                      <w:color w:val="auto"/>
                      <w:szCs w:val="21"/>
                      <w:lang w:eastAsia="zh-CN"/>
                    </w:rPr>
                  </w:pPr>
                  <w:r>
                    <w:rPr>
                      <w:rFonts w:hint="eastAsia" w:eastAsia="Times New Roman" w:cs="Times New Roman"/>
                      <w:color w:val="auto"/>
                      <w:szCs w:val="21"/>
                      <w:lang w:eastAsia="zh-CN"/>
                    </w:rPr>
                    <w:t>废油脂</w:t>
                  </w:r>
                </w:p>
              </w:tc>
            </w:tr>
          </w:tbl>
          <w:p w14:paraId="4D1DC8DC">
            <w:pPr>
              <w:adjustRightInd w:val="0"/>
              <w:snapToGrid w:val="0"/>
              <w:ind w:firstLine="480"/>
              <w:jc w:val="both"/>
              <w:rPr>
                <w:rFonts w:cs="Times New Roman"/>
                <w:snapToGrid w:val="0"/>
                <w:color w:val="auto"/>
                <w:sz w:val="24"/>
              </w:rPr>
            </w:pPr>
          </w:p>
        </w:tc>
      </w:tr>
      <w:tr w14:paraId="30FC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 w:type="pct"/>
            <w:vAlign w:val="center"/>
          </w:tcPr>
          <w:p w14:paraId="714B6A65">
            <w:pPr>
              <w:pStyle w:val="38"/>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b/>
                <w:bCs/>
                <w:color w:val="auto"/>
                <w:sz w:val="24"/>
                <w:szCs w:val="24"/>
                <w:lang w:eastAsia="zh-CN"/>
              </w:rPr>
              <w:t>与项目有关的原有环境污染问题</w:t>
            </w:r>
          </w:p>
        </w:tc>
        <w:tc>
          <w:tcPr>
            <w:tcW w:w="4754" w:type="pct"/>
          </w:tcPr>
          <w:p w14:paraId="6D154B6C">
            <w:pPr>
              <w:pStyle w:val="76"/>
              <w:ind w:left="0" w:leftChars="0" w:right="0" w:rightChars="0" w:firstLine="478"/>
              <w:jc w:val="both"/>
              <w:rPr>
                <w:rFonts w:ascii="Times New Roman" w:hAnsi="Times New Roman" w:cs="Times New Roman"/>
                <w:b/>
                <w:bCs/>
                <w:color w:val="auto"/>
                <w:lang w:eastAsia="zh-CN"/>
              </w:rPr>
            </w:pPr>
            <w:r>
              <w:rPr>
                <w:rFonts w:hint="eastAsia" w:ascii="Times New Roman" w:hAnsi="Times New Roman" w:cs="Times New Roman"/>
                <w:b/>
                <w:bCs/>
                <w:color w:val="auto"/>
                <w:spacing w:val="-1"/>
                <w:lang w:eastAsia="zh-CN"/>
              </w:rPr>
              <w:t>1</w:t>
            </w:r>
            <w:r>
              <w:rPr>
                <w:rFonts w:ascii="Times New Roman" w:hAnsi="Times New Roman" w:cs="Times New Roman"/>
                <w:b/>
                <w:bCs/>
                <w:color w:val="auto"/>
                <w:spacing w:val="-1"/>
                <w:lang w:eastAsia="zh-CN"/>
              </w:rPr>
              <w:t>、现有项目概况</w:t>
            </w:r>
          </w:p>
          <w:p w14:paraId="1AC81069">
            <w:pPr>
              <w:widowControl/>
              <w:ind w:left="0" w:leftChars="0" w:right="0" w:rightChars="0" w:firstLine="508"/>
              <w:jc w:val="both"/>
              <w:rPr>
                <w:rFonts w:eastAsia="宋体" w:cs="Times New Roman"/>
                <w:color w:val="auto"/>
                <w:sz w:val="24"/>
                <w:szCs w:val="24"/>
                <w:lang w:eastAsia="zh-CN"/>
              </w:rPr>
            </w:pPr>
            <w:r>
              <w:rPr>
                <w:rFonts w:eastAsia="宋体" w:cs="Times New Roman"/>
                <w:color w:val="auto"/>
                <w:spacing w:val="7"/>
                <w:sz w:val="24"/>
                <w:szCs w:val="24"/>
                <w:lang w:eastAsia="zh-CN"/>
              </w:rPr>
              <w:t>2019年西安银海消防设备有限公司在西安市蓝田县华胥镇西北家具工业园新港12路8号投资建设《办公家具柜、金属消火栓箱生产厂房及生产线建设项目》，</w:t>
            </w:r>
            <w:r>
              <w:rPr>
                <w:rFonts w:eastAsia="宋体" w:cs="Times New Roman"/>
                <w:color w:val="auto"/>
                <w:sz w:val="24"/>
                <w:szCs w:val="24"/>
                <w:lang w:eastAsia="zh-CN" w:bidi="ar"/>
              </w:rPr>
              <w:t>本项目总用地7410m</w:t>
            </w:r>
            <w:r>
              <w:rPr>
                <w:rFonts w:eastAsia="宋体" w:cs="Times New Roman"/>
                <w:color w:val="auto"/>
                <w:sz w:val="24"/>
                <w:szCs w:val="24"/>
                <w:vertAlign w:val="superscript"/>
                <w:lang w:eastAsia="zh-CN" w:bidi="ar"/>
              </w:rPr>
              <w:t>2</w:t>
            </w:r>
            <w:r>
              <w:rPr>
                <w:rFonts w:eastAsia="宋体" w:cs="Times New Roman"/>
                <w:color w:val="auto"/>
                <w:sz w:val="24"/>
                <w:szCs w:val="24"/>
                <w:lang w:eastAsia="zh-CN" w:bidi="ar"/>
              </w:rPr>
              <w:t>（11.115亩），项目建设生产厂房、办公楼、宿舍楼及其他配套设施等共计建筑面积5540m</w:t>
            </w:r>
            <w:r>
              <w:rPr>
                <w:rFonts w:eastAsia="宋体" w:cs="Times New Roman"/>
                <w:color w:val="auto"/>
                <w:sz w:val="24"/>
                <w:szCs w:val="24"/>
                <w:vertAlign w:val="superscript"/>
                <w:lang w:eastAsia="zh-CN" w:bidi="ar"/>
              </w:rPr>
              <w:t>2</w:t>
            </w:r>
            <w:r>
              <w:rPr>
                <w:rFonts w:eastAsia="宋体" w:cs="Times New Roman"/>
                <w:color w:val="auto"/>
                <w:sz w:val="24"/>
                <w:szCs w:val="24"/>
                <w:lang w:eastAsia="zh-CN" w:bidi="ar"/>
              </w:rPr>
              <w:t>。其中：1层厂房1座</w:t>
            </w:r>
            <w:r>
              <w:rPr>
                <w:rFonts w:hint="eastAsia" w:eastAsia="宋体" w:cs="Times New Roman"/>
                <w:color w:val="auto"/>
                <w:sz w:val="24"/>
                <w:szCs w:val="24"/>
                <w:lang w:eastAsia="zh-CN" w:bidi="ar"/>
              </w:rPr>
              <w:t>，</w:t>
            </w:r>
            <w:r>
              <w:rPr>
                <w:rFonts w:eastAsia="宋体" w:cs="Times New Roman"/>
                <w:color w:val="auto"/>
                <w:sz w:val="24"/>
                <w:szCs w:val="24"/>
                <w:lang w:eastAsia="zh-CN" w:bidi="ar"/>
              </w:rPr>
              <w:t>建筑面积4548m</w:t>
            </w:r>
            <w:r>
              <w:rPr>
                <w:rFonts w:eastAsia="宋体" w:cs="Times New Roman"/>
                <w:color w:val="auto"/>
                <w:sz w:val="24"/>
                <w:szCs w:val="24"/>
                <w:vertAlign w:val="superscript"/>
                <w:lang w:eastAsia="zh-CN" w:bidi="ar"/>
              </w:rPr>
              <w:t>2</w:t>
            </w:r>
            <w:r>
              <w:rPr>
                <w:rFonts w:eastAsia="宋体" w:cs="Times New Roman"/>
                <w:color w:val="auto"/>
                <w:sz w:val="24"/>
                <w:szCs w:val="24"/>
                <w:lang w:eastAsia="zh-CN" w:bidi="ar"/>
              </w:rPr>
              <w:t>；</w:t>
            </w:r>
            <w:r>
              <w:rPr>
                <w:rFonts w:hint="eastAsia" w:eastAsia="宋体" w:cs="Times New Roman"/>
                <w:color w:val="auto"/>
                <w:sz w:val="24"/>
                <w:szCs w:val="24"/>
                <w:lang w:eastAsia="zh-CN" w:bidi="ar"/>
              </w:rPr>
              <w:t>3层</w:t>
            </w:r>
            <w:r>
              <w:rPr>
                <w:rFonts w:eastAsia="宋体" w:cs="Times New Roman"/>
                <w:color w:val="auto"/>
                <w:sz w:val="24"/>
                <w:szCs w:val="24"/>
                <w:lang w:eastAsia="zh-CN" w:bidi="ar"/>
              </w:rPr>
              <w:t>办公楼1座，建筑面积552m</w:t>
            </w:r>
            <w:r>
              <w:rPr>
                <w:rFonts w:eastAsia="宋体" w:cs="Times New Roman"/>
                <w:color w:val="auto"/>
                <w:sz w:val="24"/>
                <w:szCs w:val="24"/>
                <w:vertAlign w:val="superscript"/>
                <w:lang w:eastAsia="zh-CN" w:bidi="ar"/>
              </w:rPr>
              <w:t>2</w:t>
            </w:r>
            <w:r>
              <w:rPr>
                <w:rFonts w:eastAsia="宋体" w:cs="Times New Roman"/>
                <w:color w:val="auto"/>
                <w:sz w:val="24"/>
                <w:szCs w:val="24"/>
                <w:lang w:eastAsia="zh-CN" w:bidi="ar"/>
              </w:rPr>
              <w:t>；</w:t>
            </w:r>
            <w:r>
              <w:rPr>
                <w:rFonts w:hint="eastAsia" w:eastAsia="宋体" w:cs="Times New Roman"/>
                <w:color w:val="auto"/>
                <w:sz w:val="24"/>
                <w:szCs w:val="24"/>
                <w:lang w:eastAsia="zh-CN" w:bidi="ar"/>
              </w:rPr>
              <w:t>3层</w:t>
            </w:r>
            <w:r>
              <w:rPr>
                <w:rFonts w:eastAsia="宋体" w:cs="Times New Roman"/>
                <w:color w:val="auto"/>
                <w:sz w:val="24"/>
                <w:szCs w:val="24"/>
                <w:lang w:eastAsia="zh-CN" w:bidi="ar"/>
              </w:rPr>
              <w:t>宿舍楼</w:t>
            </w:r>
            <w:r>
              <w:rPr>
                <w:rFonts w:hint="eastAsia" w:eastAsia="宋体" w:cs="Times New Roman"/>
                <w:color w:val="auto"/>
                <w:sz w:val="24"/>
                <w:szCs w:val="24"/>
                <w:lang w:eastAsia="zh-CN" w:bidi="ar"/>
              </w:rPr>
              <w:t>1</w:t>
            </w:r>
            <w:r>
              <w:rPr>
                <w:rFonts w:eastAsia="宋体" w:cs="Times New Roman"/>
                <w:color w:val="auto"/>
                <w:sz w:val="24"/>
                <w:szCs w:val="24"/>
                <w:lang w:eastAsia="zh-CN" w:bidi="ar"/>
              </w:rPr>
              <w:t>座，建筑面积440m</w:t>
            </w:r>
            <w:r>
              <w:rPr>
                <w:rFonts w:eastAsia="宋体" w:cs="Times New Roman"/>
                <w:color w:val="auto"/>
                <w:sz w:val="24"/>
                <w:szCs w:val="24"/>
                <w:vertAlign w:val="superscript"/>
                <w:lang w:eastAsia="zh-CN" w:bidi="ar"/>
              </w:rPr>
              <w:t>2</w:t>
            </w:r>
            <w:r>
              <w:rPr>
                <w:rFonts w:eastAsia="宋体" w:cs="Times New Roman"/>
                <w:color w:val="auto"/>
                <w:sz w:val="24"/>
                <w:szCs w:val="24"/>
                <w:lang w:eastAsia="zh-CN" w:bidi="ar"/>
              </w:rPr>
              <w:t>。</w:t>
            </w:r>
            <w:r>
              <w:rPr>
                <w:rFonts w:eastAsia="宋体" w:cs="Times New Roman"/>
                <w:color w:val="auto"/>
                <w:spacing w:val="7"/>
                <w:sz w:val="24"/>
                <w:szCs w:val="24"/>
                <w:lang w:eastAsia="zh-CN"/>
              </w:rPr>
              <w:t>项目共建设2条生产线，一条办公家具柜生产线，一条消火栓箱生产线，总投资1265.54万元，其中环保投资40.5万元，占总投资的3.2%。</w:t>
            </w:r>
          </w:p>
          <w:p w14:paraId="155A26D4">
            <w:pPr>
              <w:pStyle w:val="76"/>
              <w:ind w:left="0" w:leftChars="0" w:right="0" w:rightChars="0" w:firstLine="478"/>
              <w:jc w:val="both"/>
              <w:rPr>
                <w:rFonts w:ascii="Times New Roman" w:hAnsi="Times New Roman" w:cs="Times New Roman"/>
                <w:b/>
                <w:bCs/>
                <w:color w:val="auto"/>
                <w:lang w:eastAsia="zh-CN"/>
              </w:rPr>
            </w:pPr>
            <w:r>
              <w:rPr>
                <w:rFonts w:hint="eastAsia" w:ascii="Times New Roman" w:hAnsi="Times New Roman" w:cs="Times New Roman"/>
                <w:b/>
                <w:bCs/>
                <w:color w:val="auto"/>
                <w:spacing w:val="-1"/>
                <w:lang w:eastAsia="zh-CN"/>
              </w:rPr>
              <w:t>2</w:t>
            </w:r>
            <w:r>
              <w:rPr>
                <w:rFonts w:ascii="Times New Roman" w:hAnsi="Times New Roman" w:cs="Times New Roman"/>
                <w:b/>
                <w:bCs/>
                <w:color w:val="auto"/>
                <w:spacing w:val="-1"/>
                <w:lang w:eastAsia="zh-CN"/>
              </w:rPr>
              <w:t>、现有项目环保手续履行情况</w:t>
            </w:r>
          </w:p>
          <w:p w14:paraId="5FE4F2C2">
            <w:pPr>
              <w:pStyle w:val="76"/>
              <w:ind w:left="0" w:leftChars="0" w:right="0" w:rightChars="0" w:firstLine="468"/>
              <w:jc w:val="both"/>
              <w:rPr>
                <w:color w:val="auto"/>
                <w:lang w:eastAsia="zh-CN"/>
              </w:rPr>
            </w:pPr>
            <w:r>
              <w:rPr>
                <w:rFonts w:hint="eastAsia" w:ascii="Times New Roman" w:hAnsi="Times New Roman" w:cs="Times New Roman"/>
                <w:color w:val="auto"/>
                <w:spacing w:val="-3"/>
                <w:lang w:eastAsia="zh-CN"/>
              </w:rPr>
              <w:t>通过调查</w:t>
            </w:r>
            <w:r>
              <w:rPr>
                <w:rFonts w:ascii="Times New Roman" w:hAnsi="Times New Roman" w:cs="Times New Roman"/>
                <w:color w:val="auto"/>
                <w:spacing w:val="-3"/>
                <w:lang w:eastAsia="zh-CN"/>
              </w:rPr>
              <w:t>，</w:t>
            </w:r>
            <w:r>
              <w:rPr>
                <w:rFonts w:hint="eastAsia" w:ascii="Times New Roman" w:hAnsi="Times New Roman" w:cs="Times New Roman"/>
                <w:color w:val="auto"/>
                <w:spacing w:val="-3"/>
                <w:lang w:eastAsia="zh-CN"/>
              </w:rPr>
              <w:t>企业现有项目环保手续齐全（见附件4），具体如下表。</w:t>
            </w:r>
          </w:p>
          <w:p w14:paraId="3381FD3A">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表2</w:t>
            </w:r>
            <w:r>
              <w:rPr>
                <w:rFonts w:hint="eastAsia" w:eastAsia="宋体" w:cs="Times New Roman"/>
                <w:b/>
                <w:bCs/>
                <w:color w:val="auto"/>
                <w:szCs w:val="21"/>
                <w:lang w:eastAsia="zh-CN"/>
              </w:rPr>
              <w:t>-7</w:t>
            </w:r>
            <w:r>
              <w:rPr>
                <w:rFonts w:eastAsia="宋体" w:cs="Times New Roman"/>
                <w:b/>
                <w:bCs/>
                <w:color w:val="auto"/>
                <w:szCs w:val="21"/>
                <w:lang w:eastAsia="zh-CN"/>
              </w:rPr>
              <w:t xml:space="preserve">       履行环保手续一览表</w:t>
            </w:r>
          </w:p>
          <w:tbl>
            <w:tblPr>
              <w:tblStyle w:val="36"/>
              <w:tblW w:w="4998"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95"/>
              <w:gridCol w:w="1413"/>
              <w:gridCol w:w="6225"/>
            </w:tblGrid>
            <w:tr w14:paraId="0C8F5D2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397" w:hRule="atLeast"/>
                <w:jc w:val="center"/>
              </w:trPr>
              <w:tc>
                <w:tcPr>
                  <w:tcW w:w="576" w:type="pct"/>
                  <w:tcBorders>
                    <w:tl2br w:val="nil"/>
                    <w:tr2bl w:val="nil"/>
                  </w:tcBorders>
                  <w:vAlign w:val="center"/>
                </w:tcPr>
                <w:p w14:paraId="51B18B8B">
                  <w:pPr>
                    <w:pStyle w:val="76"/>
                    <w:spacing w:line="240" w:lineRule="auto"/>
                    <w:ind w:left="0" w:leftChars="0" w:right="0" w:righ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pacing w:val="7"/>
                      <w:sz w:val="21"/>
                      <w:szCs w:val="21"/>
                    </w:rPr>
                    <w:t>项目名称</w:t>
                  </w:r>
                </w:p>
              </w:tc>
              <w:tc>
                <w:tcPr>
                  <w:tcW w:w="818" w:type="pct"/>
                  <w:tcBorders>
                    <w:tl2br w:val="nil"/>
                    <w:tr2bl w:val="nil"/>
                  </w:tcBorders>
                  <w:vAlign w:val="center"/>
                </w:tcPr>
                <w:p w14:paraId="24719F57">
                  <w:pPr>
                    <w:pStyle w:val="76"/>
                    <w:spacing w:line="240" w:lineRule="auto"/>
                    <w:ind w:left="0" w:leftChars="0" w:right="0" w:righ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pacing w:val="6"/>
                      <w:sz w:val="21"/>
                      <w:szCs w:val="21"/>
                    </w:rPr>
                    <w:t>时间节点</w:t>
                  </w:r>
                </w:p>
              </w:tc>
              <w:tc>
                <w:tcPr>
                  <w:tcW w:w="3604" w:type="pct"/>
                  <w:tcBorders>
                    <w:tl2br w:val="nil"/>
                    <w:tr2bl w:val="nil"/>
                  </w:tcBorders>
                  <w:vAlign w:val="center"/>
                </w:tcPr>
                <w:p w14:paraId="3E4A39D9">
                  <w:pPr>
                    <w:pStyle w:val="76"/>
                    <w:spacing w:line="240" w:lineRule="auto"/>
                    <w:ind w:left="0" w:leftChars="0" w:right="0" w:righ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pacing w:val="8"/>
                      <w:sz w:val="21"/>
                      <w:szCs w:val="21"/>
                    </w:rPr>
                    <w:t>环保手续</w:t>
                  </w:r>
                </w:p>
              </w:tc>
            </w:tr>
            <w:tr w14:paraId="0BD9051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76" w:type="pct"/>
                  <w:vMerge w:val="restart"/>
                  <w:tcBorders>
                    <w:tl2br w:val="nil"/>
                    <w:tr2bl w:val="nil"/>
                  </w:tcBorders>
                  <w:vAlign w:val="center"/>
                </w:tcPr>
                <w:p w14:paraId="402EB236">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pacing w:val="7"/>
                      <w:sz w:val="21"/>
                      <w:szCs w:val="21"/>
                      <w:lang w:eastAsia="zh-CN"/>
                    </w:rPr>
                    <w:t>办公家具柜、金属消火栓箱生产厂房及生产线建设项目</w:t>
                  </w:r>
                </w:p>
              </w:tc>
              <w:tc>
                <w:tcPr>
                  <w:tcW w:w="818" w:type="pct"/>
                  <w:tcBorders>
                    <w:tl2br w:val="nil"/>
                    <w:tr2bl w:val="nil"/>
                  </w:tcBorders>
                  <w:vAlign w:val="center"/>
                </w:tcPr>
                <w:p w14:paraId="344EC6FF">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2019.3</w:t>
                  </w:r>
                </w:p>
              </w:tc>
              <w:tc>
                <w:tcPr>
                  <w:tcW w:w="3604" w:type="pct"/>
                  <w:tcBorders>
                    <w:tl2br w:val="nil"/>
                    <w:tr2bl w:val="nil"/>
                  </w:tcBorders>
                  <w:vAlign w:val="center"/>
                </w:tcPr>
                <w:p w14:paraId="53F137BE">
                  <w:pPr>
                    <w:pStyle w:val="76"/>
                    <w:spacing w:line="240" w:lineRule="auto"/>
                    <w:ind w:left="0" w:leftChars="0" w:right="0" w:rightChars="0" w:firstLine="0" w:firstLineChars="0"/>
                    <w:jc w:val="both"/>
                    <w:rPr>
                      <w:rFonts w:ascii="Times New Roman" w:hAnsi="Times New Roman" w:cs="Times New Roman"/>
                      <w:color w:val="auto"/>
                      <w:sz w:val="21"/>
                      <w:szCs w:val="21"/>
                      <w:lang w:eastAsia="zh-CN"/>
                    </w:rPr>
                  </w:pPr>
                  <w:r>
                    <w:rPr>
                      <w:rFonts w:ascii="Times New Roman" w:hAnsi="Times New Roman" w:cs="Times New Roman"/>
                      <w:color w:val="auto"/>
                      <w:spacing w:val="7"/>
                      <w:sz w:val="21"/>
                      <w:szCs w:val="21"/>
                      <w:lang w:eastAsia="zh-CN"/>
                    </w:rPr>
                    <w:t>企业委托</w:t>
                  </w:r>
                  <w:r>
                    <w:rPr>
                      <w:rFonts w:hint="eastAsia" w:ascii="Times New Roman" w:hAnsi="Times New Roman" w:cs="Times New Roman"/>
                      <w:color w:val="auto"/>
                      <w:spacing w:val="7"/>
                      <w:sz w:val="21"/>
                      <w:szCs w:val="21"/>
                      <w:lang w:eastAsia="zh-CN"/>
                    </w:rPr>
                    <w:t>环评单位</w:t>
                  </w:r>
                  <w:r>
                    <w:rPr>
                      <w:rFonts w:ascii="Times New Roman" w:hAnsi="Times New Roman" w:cs="Times New Roman"/>
                      <w:color w:val="auto"/>
                      <w:spacing w:val="7"/>
                      <w:sz w:val="21"/>
                      <w:szCs w:val="21"/>
                      <w:lang w:eastAsia="zh-CN"/>
                    </w:rPr>
                    <w:t>编制了《办公家具柜、金属消火栓箱生产厂房及生产线建设项目环境影响评价报告表》</w:t>
                  </w:r>
                </w:p>
              </w:tc>
            </w:tr>
            <w:tr w14:paraId="5D19DE2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vAlign w:val="center"/>
                </w:tcPr>
                <w:p w14:paraId="054A3773">
                  <w:pPr>
                    <w:spacing w:line="240" w:lineRule="auto"/>
                    <w:ind w:left="0" w:leftChars="0" w:right="0" w:rightChars="0" w:firstLine="0" w:firstLineChars="0"/>
                    <w:jc w:val="center"/>
                    <w:rPr>
                      <w:rFonts w:eastAsia="宋体" w:cs="Times New Roman"/>
                      <w:color w:val="auto"/>
                      <w:szCs w:val="21"/>
                      <w:lang w:eastAsia="zh-CN"/>
                    </w:rPr>
                  </w:pPr>
                </w:p>
              </w:tc>
              <w:tc>
                <w:tcPr>
                  <w:tcW w:w="818" w:type="pct"/>
                  <w:tcBorders>
                    <w:tl2br w:val="nil"/>
                    <w:tr2bl w:val="nil"/>
                  </w:tcBorders>
                  <w:vAlign w:val="center"/>
                </w:tcPr>
                <w:p w14:paraId="40D822F5">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2019.7.3</w:t>
                  </w:r>
                </w:p>
              </w:tc>
              <w:tc>
                <w:tcPr>
                  <w:tcW w:w="3604" w:type="pct"/>
                  <w:tcBorders>
                    <w:tl2br w:val="nil"/>
                    <w:tr2bl w:val="nil"/>
                  </w:tcBorders>
                  <w:vAlign w:val="center"/>
                </w:tcPr>
                <w:p w14:paraId="6A507690">
                  <w:pPr>
                    <w:pStyle w:val="76"/>
                    <w:spacing w:line="240" w:lineRule="auto"/>
                    <w:ind w:left="0" w:leftChars="0" w:right="0" w:rightChars="0" w:firstLine="0" w:firstLineChars="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取得了原西安市蓝田县环保局</w:t>
                  </w:r>
                  <w:r>
                    <w:rPr>
                      <w:rFonts w:ascii="Times New Roman" w:hAnsi="Times New Roman" w:cs="Times New Roman"/>
                      <w:color w:val="auto"/>
                      <w:spacing w:val="7"/>
                      <w:sz w:val="21"/>
                      <w:szCs w:val="21"/>
                      <w:lang w:eastAsia="zh-CN"/>
                    </w:rPr>
                    <w:t>《</w:t>
                  </w:r>
                  <w:r>
                    <w:rPr>
                      <w:rFonts w:ascii="Times New Roman" w:hAnsi="Times New Roman" w:cs="Times New Roman"/>
                      <w:color w:val="auto"/>
                      <w:sz w:val="21"/>
                      <w:szCs w:val="21"/>
                      <w:lang w:eastAsia="zh-CN"/>
                    </w:rPr>
                    <w:t>关于</w:t>
                  </w:r>
                  <w:r>
                    <w:rPr>
                      <w:rFonts w:ascii="Times New Roman" w:hAnsi="Times New Roman" w:cs="Times New Roman"/>
                      <w:color w:val="auto"/>
                      <w:spacing w:val="7"/>
                      <w:sz w:val="21"/>
                      <w:szCs w:val="21"/>
                      <w:lang w:eastAsia="zh-CN"/>
                    </w:rPr>
                    <w:t>办公家具柜、金属消火栓箱生产厂房及生产线建设项目环境影响评价报告表的</w:t>
                  </w:r>
                  <w:r>
                    <w:rPr>
                      <w:rFonts w:ascii="Times New Roman" w:hAnsi="Times New Roman" w:cs="Times New Roman"/>
                      <w:color w:val="auto"/>
                      <w:sz w:val="21"/>
                      <w:szCs w:val="21"/>
                      <w:lang w:eastAsia="zh-CN"/>
                    </w:rPr>
                    <w:t>批复</w:t>
                  </w:r>
                  <w:r>
                    <w:rPr>
                      <w:rFonts w:ascii="Times New Roman" w:hAnsi="Times New Roman" w:cs="Times New Roman"/>
                      <w:color w:val="auto"/>
                      <w:spacing w:val="7"/>
                      <w:sz w:val="21"/>
                      <w:szCs w:val="21"/>
                      <w:lang w:eastAsia="zh-CN"/>
                    </w:rPr>
                    <w:t>》，批复文号：</w:t>
                  </w:r>
                  <w:r>
                    <w:rPr>
                      <w:rFonts w:ascii="Times New Roman" w:hAnsi="Times New Roman" w:cs="Times New Roman"/>
                      <w:color w:val="auto"/>
                      <w:sz w:val="21"/>
                      <w:szCs w:val="21"/>
                      <w:lang w:eastAsia="zh-CN"/>
                    </w:rPr>
                    <w:t>蓝环批复〔2019〕047号</w:t>
                  </w:r>
                </w:p>
              </w:tc>
            </w:tr>
            <w:tr w14:paraId="41BDBE0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vAlign w:val="center"/>
                </w:tcPr>
                <w:p w14:paraId="358D5166">
                  <w:pPr>
                    <w:spacing w:line="240" w:lineRule="auto"/>
                    <w:ind w:left="0" w:leftChars="0" w:right="0" w:rightChars="0" w:firstLine="0" w:firstLineChars="0"/>
                    <w:jc w:val="center"/>
                    <w:rPr>
                      <w:rFonts w:eastAsia="宋体" w:cs="Times New Roman"/>
                      <w:color w:val="auto"/>
                      <w:szCs w:val="21"/>
                      <w:lang w:eastAsia="zh-CN"/>
                    </w:rPr>
                  </w:pPr>
                </w:p>
              </w:tc>
              <w:tc>
                <w:tcPr>
                  <w:tcW w:w="818" w:type="pct"/>
                  <w:tcBorders>
                    <w:tl2br w:val="nil"/>
                    <w:tr2bl w:val="nil"/>
                  </w:tcBorders>
                  <w:vAlign w:val="center"/>
                </w:tcPr>
                <w:p w14:paraId="7321153C">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2019.9.27</w:t>
                  </w:r>
                </w:p>
              </w:tc>
              <w:tc>
                <w:tcPr>
                  <w:tcW w:w="3604" w:type="pct"/>
                  <w:tcBorders>
                    <w:tl2br w:val="nil"/>
                    <w:tr2bl w:val="nil"/>
                  </w:tcBorders>
                  <w:vAlign w:val="center"/>
                </w:tcPr>
                <w:p w14:paraId="6C20DBAE">
                  <w:pPr>
                    <w:pStyle w:val="76"/>
                    <w:spacing w:line="240" w:lineRule="auto"/>
                    <w:ind w:left="0" w:leftChars="0" w:right="0" w:rightChars="0" w:firstLine="0" w:firstLineChars="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项目建设完成，西安银海消防设备有限公司组织召开了《</w:t>
                  </w:r>
                  <w:r>
                    <w:rPr>
                      <w:rFonts w:ascii="Times New Roman" w:hAnsi="Times New Roman" w:cs="Times New Roman"/>
                      <w:color w:val="auto"/>
                      <w:spacing w:val="7"/>
                      <w:sz w:val="21"/>
                      <w:szCs w:val="21"/>
                      <w:lang w:eastAsia="zh-CN"/>
                    </w:rPr>
                    <w:t>办公家具柜、金属消火栓箱生产厂房及生产线建设项目</w:t>
                  </w:r>
                  <w:r>
                    <w:rPr>
                      <w:rFonts w:ascii="Times New Roman" w:hAnsi="Times New Roman" w:cs="Times New Roman"/>
                      <w:color w:val="auto"/>
                      <w:sz w:val="21"/>
                      <w:szCs w:val="21"/>
                      <w:lang w:eastAsia="zh-CN"/>
                    </w:rPr>
                    <w:t>》竣工环境保护验收会议，会议邀请了有关专家及验收监测单位</w:t>
                  </w:r>
                </w:p>
              </w:tc>
            </w:tr>
            <w:tr w14:paraId="1D43ACF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vAlign w:val="center"/>
                </w:tcPr>
                <w:p w14:paraId="7DC19099">
                  <w:pPr>
                    <w:spacing w:line="240" w:lineRule="auto"/>
                    <w:ind w:left="0" w:leftChars="0" w:right="0" w:rightChars="0" w:firstLine="0" w:firstLineChars="0"/>
                    <w:jc w:val="center"/>
                    <w:rPr>
                      <w:rFonts w:eastAsia="宋体" w:cs="Times New Roman"/>
                      <w:color w:val="auto"/>
                      <w:szCs w:val="21"/>
                      <w:lang w:eastAsia="zh-CN"/>
                    </w:rPr>
                  </w:pPr>
                </w:p>
              </w:tc>
              <w:tc>
                <w:tcPr>
                  <w:tcW w:w="818" w:type="pct"/>
                  <w:tcBorders>
                    <w:tl2br w:val="nil"/>
                    <w:tr2bl w:val="nil"/>
                  </w:tcBorders>
                  <w:vAlign w:val="center"/>
                </w:tcPr>
                <w:p w14:paraId="4A780C16">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2019.10.28</w:t>
                  </w:r>
                </w:p>
              </w:tc>
              <w:tc>
                <w:tcPr>
                  <w:tcW w:w="3604" w:type="pct"/>
                  <w:tcBorders>
                    <w:tl2br w:val="nil"/>
                    <w:tr2bl w:val="nil"/>
                  </w:tcBorders>
                  <w:vAlign w:val="center"/>
                </w:tcPr>
                <w:p w14:paraId="2CFF91B5">
                  <w:pPr>
                    <w:pStyle w:val="76"/>
                    <w:spacing w:line="240" w:lineRule="auto"/>
                    <w:ind w:left="0" w:leftChars="0" w:right="0" w:rightChars="0" w:firstLine="0" w:firstLineChars="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取得了原西安市蓝田县环保局</w:t>
                  </w:r>
                  <w:r>
                    <w:rPr>
                      <w:rFonts w:ascii="Times New Roman" w:hAnsi="Times New Roman" w:cs="Times New Roman"/>
                      <w:color w:val="auto"/>
                      <w:spacing w:val="7"/>
                      <w:sz w:val="21"/>
                      <w:szCs w:val="21"/>
                      <w:lang w:eastAsia="zh-CN"/>
                    </w:rPr>
                    <w:t>《</w:t>
                  </w:r>
                  <w:r>
                    <w:rPr>
                      <w:rFonts w:ascii="Times New Roman" w:hAnsi="Times New Roman" w:cs="Times New Roman"/>
                      <w:color w:val="auto"/>
                      <w:sz w:val="21"/>
                      <w:szCs w:val="21"/>
                      <w:lang w:eastAsia="zh-CN"/>
                    </w:rPr>
                    <w:t>关于</w:t>
                  </w:r>
                  <w:r>
                    <w:rPr>
                      <w:rFonts w:ascii="Times New Roman" w:hAnsi="Times New Roman" w:cs="Times New Roman"/>
                      <w:color w:val="auto"/>
                      <w:spacing w:val="7"/>
                      <w:sz w:val="21"/>
                      <w:szCs w:val="21"/>
                      <w:lang w:eastAsia="zh-CN"/>
                    </w:rPr>
                    <w:t>办公家具柜、金属消火栓箱生产厂房及生产线建设项目竣工环保验收意见备案的批复》，批复文号：</w:t>
                  </w:r>
                  <w:r>
                    <w:rPr>
                      <w:rFonts w:ascii="Times New Roman" w:hAnsi="Times New Roman" w:cs="Times New Roman"/>
                      <w:color w:val="auto"/>
                      <w:sz w:val="21"/>
                      <w:szCs w:val="21"/>
                      <w:lang w:eastAsia="zh-CN"/>
                    </w:rPr>
                    <w:t>蓝环验字〔2019〕039号</w:t>
                  </w:r>
                </w:p>
              </w:tc>
            </w:tr>
            <w:tr w14:paraId="7C67819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vAlign w:val="center"/>
                </w:tcPr>
                <w:p w14:paraId="7727E30F">
                  <w:pPr>
                    <w:spacing w:line="240" w:lineRule="auto"/>
                    <w:ind w:left="0" w:leftChars="0" w:right="0" w:rightChars="0" w:firstLine="0" w:firstLineChars="0"/>
                    <w:jc w:val="center"/>
                    <w:rPr>
                      <w:rFonts w:eastAsia="宋体" w:cs="Times New Roman"/>
                      <w:color w:val="auto"/>
                      <w:szCs w:val="21"/>
                      <w:lang w:eastAsia="zh-CN"/>
                    </w:rPr>
                  </w:pPr>
                </w:p>
              </w:tc>
              <w:tc>
                <w:tcPr>
                  <w:tcW w:w="818" w:type="pct"/>
                  <w:tcBorders>
                    <w:tl2br w:val="nil"/>
                    <w:tr2bl w:val="nil"/>
                  </w:tcBorders>
                  <w:vAlign w:val="center"/>
                </w:tcPr>
                <w:p w14:paraId="23CA69F0">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2020.10.30</w:t>
                  </w:r>
                </w:p>
              </w:tc>
              <w:tc>
                <w:tcPr>
                  <w:tcW w:w="3604" w:type="pct"/>
                  <w:tcBorders>
                    <w:tl2br w:val="nil"/>
                    <w:tr2bl w:val="nil"/>
                  </w:tcBorders>
                  <w:vAlign w:val="center"/>
                </w:tcPr>
                <w:p w14:paraId="7C9223F4">
                  <w:pPr>
                    <w:pStyle w:val="76"/>
                    <w:spacing w:line="240" w:lineRule="auto"/>
                    <w:ind w:left="0" w:leftChars="0" w:right="0" w:rightChars="0" w:firstLine="0" w:firstLineChars="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企业取得了固定污染源排污登记回执，登记编号：916101116631847286001Z</w:t>
                  </w:r>
                </w:p>
              </w:tc>
            </w:tr>
            <w:tr w14:paraId="32C8A10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vAlign w:val="center"/>
                </w:tcPr>
                <w:p w14:paraId="6E76DB2C">
                  <w:pPr>
                    <w:spacing w:line="240" w:lineRule="auto"/>
                    <w:ind w:left="0" w:leftChars="0" w:right="0" w:rightChars="0" w:firstLine="0" w:firstLineChars="0"/>
                    <w:jc w:val="center"/>
                    <w:rPr>
                      <w:rFonts w:eastAsia="宋体" w:cs="Times New Roman"/>
                      <w:color w:val="auto"/>
                      <w:szCs w:val="21"/>
                      <w:lang w:eastAsia="zh-CN"/>
                    </w:rPr>
                  </w:pPr>
                </w:p>
              </w:tc>
              <w:tc>
                <w:tcPr>
                  <w:tcW w:w="818" w:type="pct"/>
                  <w:tcBorders>
                    <w:tl2br w:val="nil"/>
                    <w:tr2bl w:val="nil"/>
                  </w:tcBorders>
                  <w:vAlign w:val="center"/>
                </w:tcPr>
                <w:p w14:paraId="402F357E">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2024.1.15</w:t>
                  </w:r>
                </w:p>
              </w:tc>
              <w:tc>
                <w:tcPr>
                  <w:tcW w:w="3604" w:type="pct"/>
                  <w:tcBorders>
                    <w:tl2br w:val="nil"/>
                    <w:tr2bl w:val="nil"/>
                  </w:tcBorders>
                  <w:vAlign w:val="center"/>
                </w:tcPr>
                <w:p w14:paraId="42B364BA">
                  <w:pPr>
                    <w:pStyle w:val="76"/>
                    <w:spacing w:line="240" w:lineRule="auto"/>
                    <w:ind w:left="0" w:leftChars="0" w:right="0" w:rightChars="0" w:firstLine="0" w:firstLineChars="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企业取得了《西安银海消防设备有限公司突发环境事件应急预案》备案表，备案</w:t>
                  </w:r>
                  <w:r>
                    <w:rPr>
                      <w:rFonts w:hint="eastAsia" w:ascii="Times New Roman" w:hAnsi="Times New Roman" w:cs="Times New Roman"/>
                      <w:color w:val="auto"/>
                      <w:sz w:val="21"/>
                      <w:szCs w:val="21"/>
                      <w:lang w:eastAsia="zh-CN"/>
                    </w:rPr>
                    <w:t>文</w:t>
                  </w:r>
                  <w:r>
                    <w:rPr>
                      <w:rFonts w:ascii="Times New Roman" w:hAnsi="Times New Roman" w:cs="Times New Roman"/>
                      <w:color w:val="auto"/>
                      <w:sz w:val="21"/>
                      <w:szCs w:val="21"/>
                      <w:lang w:eastAsia="zh-CN"/>
                    </w:rPr>
                    <w:t>号：610122-2023-003-L</w:t>
                  </w:r>
                </w:p>
              </w:tc>
            </w:tr>
          </w:tbl>
          <w:p w14:paraId="73E14BD0">
            <w:pPr>
              <w:pStyle w:val="76"/>
              <w:ind w:left="0" w:leftChars="0" w:right="0" w:rightChars="0" w:firstLine="482"/>
              <w:jc w:val="both"/>
              <w:rPr>
                <w:rFonts w:ascii="Times New Roman" w:hAnsi="Times New Roman" w:cs="Times New Roman"/>
                <w:b/>
                <w:bCs/>
                <w:color w:val="auto"/>
                <w:lang w:eastAsia="zh-CN"/>
              </w:rPr>
            </w:pPr>
            <w:r>
              <w:rPr>
                <w:rFonts w:hint="eastAsia" w:ascii="Times New Roman" w:hAnsi="Times New Roman" w:cs="Times New Roman"/>
                <w:b/>
                <w:bCs/>
                <w:color w:val="auto"/>
                <w:lang w:eastAsia="zh-CN"/>
              </w:rPr>
              <w:t>3</w:t>
            </w:r>
            <w:r>
              <w:rPr>
                <w:rFonts w:ascii="Times New Roman" w:hAnsi="Times New Roman" w:cs="Times New Roman"/>
                <w:b/>
                <w:bCs/>
                <w:color w:val="auto"/>
                <w:lang w:eastAsia="zh-CN"/>
              </w:rPr>
              <w:t>、现有项目生产工艺流程及产污环节</w:t>
            </w:r>
          </w:p>
          <w:p w14:paraId="37D4FB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6" w:firstLineChars="200"/>
              <w:jc w:val="both"/>
              <w:textAlignment w:val="auto"/>
              <w:rPr>
                <w:rFonts w:eastAsia="宋体" w:cs="Times New Roman"/>
                <w:b/>
                <w:bCs/>
                <w:color w:val="auto"/>
                <w:sz w:val="24"/>
                <w:szCs w:val="24"/>
                <w:lang w:eastAsia="zh-CN"/>
              </w:rPr>
            </w:pPr>
            <w:r>
              <w:rPr>
                <w:rFonts w:ascii="Times New Roman" w:hAnsi="Times New Roman" w:cs="Times New Roman"/>
                <w:color w:val="auto"/>
                <w:spacing w:val="-1"/>
                <w:sz w:val="24"/>
                <w:szCs w:val="24"/>
                <w:lang w:eastAsia="zh-CN"/>
              </w:rPr>
              <w:t>现有项目生产工艺主要包括</w:t>
            </w:r>
            <w:r>
              <w:rPr>
                <w:rFonts w:hint="eastAsia" w:ascii="Times New Roman" w:hAnsi="Times New Roman" w:cs="Times New Roman"/>
                <w:color w:val="auto"/>
                <w:spacing w:val="-1"/>
                <w:sz w:val="24"/>
                <w:szCs w:val="24"/>
                <w:lang w:eastAsia="zh-CN"/>
              </w:rPr>
              <w:t>裁板、冲压、折弯、焊接、喷涂、固化、组装，主要污染物有切割废气、焊接废气、喷涂</w:t>
            </w:r>
            <w:r>
              <w:rPr>
                <w:rFonts w:hint="eastAsia" w:cs="Times New Roman"/>
                <w:color w:val="auto"/>
                <w:spacing w:val="-1"/>
                <w:sz w:val="24"/>
                <w:szCs w:val="24"/>
                <w:lang w:val="en-US" w:eastAsia="zh-CN"/>
              </w:rPr>
              <w:t>粉尘</w:t>
            </w:r>
            <w:r>
              <w:rPr>
                <w:rFonts w:hint="eastAsia" w:ascii="Times New Roman" w:hAnsi="Times New Roman" w:cs="Times New Roman"/>
                <w:color w:val="auto"/>
                <w:spacing w:val="-1"/>
                <w:sz w:val="24"/>
                <w:szCs w:val="24"/>
                <w:lang w:eastAsia="zh-CN"/>
              </w:rPr>
              <w:t>、固化废气、厂界噪声、生活污水等</w:t>
            </w:r>
            <w:r>
              <w:rPr>
                <w:rFonts w:hint="eastAsia" w:cs="Times New Roman"/>
                <w:color w:val="auto"/>
                <w:spacing w:val="-1"/>
                <w:sz w:val="24"/>
                <w:szCs w:val="24"/>
                <w:lang w:eastAsia="zh-CN"/>
              </w:rPr>
              <w:t>（</w:t>
            </w:r>
            <w:r>
              <w:rPr>
                <w:rFonts w:hint="eastAsia" w:cs="Times New Roman"/>
                <w:color w:val="auto"/>
                <w:spacing w:val="-1"/>
                <w:sz w:val="24"/>
                <w:szCs w:val="24"/>
                <w:lang w:val="en-US" w:eastAsia="zh-CN"/>
              </w:rPr>
              <w:t>工艺流程与本次扩建项目均相同</w:t>
            </w:r>
            <w:r>
              <w:rPr>
                <w:rFonts w:hint="eastAsia" w:cs="Times New Roman"/>
                <w:color w:val="auto"/>
                <w:spacing w:val="-1"/>
                <w:sz w:val="24"/>
                <w:szCs w:val="24"/>
                <w:lang w:eastAsia="zh-CN"/>
              </w:rPr>
              <w:t>）</w:t>
            </w:r>
            <w:r>
              <w:rPr>
                <w:rFonts w:hint="eastAsia" w:ascii="Times New Roman" w:hAnsi="Times New Roman" w:cs="Times New Roman"/>
                <w:color w:val="auto"/>
                <w:spacing w:val="-1"/>
                <w:sz w:val="24"/>
                <w:szCs w:val="24"/>
                <w:lang w:eastAsia="zh-CN"/>
              </w:rPr>
              <w:t>。</w:t>
            </w:r>
          </w:p>
          <w:p w14:paraId="4E95B5BF">
            <w:pPr>
              <w:pStyle w:val="76"/>
              <w:ind w:left="0" w:leftChars="0" w:right="0" w:rightChars="0" w:firstLine="482"/>
              <w:jc w:val="both"/>
              <w:rPr>
                <w:rFonts w:ascii="Times New Roman" w:hAnsi="Times New Roman" w:cs="Times New Roman"/>
                <w:b/>
                <w:bCs/>
                <w:color w:val="auto"/>
                <w:lang w:eastAsia="zh-CN"/>
              </w:rPr>
            </w:pPr>
            <w:r>
              <w:rPr>
                <w:rFonts w:hint="eastAsia" w:ascii="Times New Roman" w:hAnsi="Times New Roman" w:cs="Times New Roman"/>
                <w:b/>
                <w:bCs/>
                <w:color w:val="auto"/>
                <w:lang w:eastAsia="zh-CN"/>
              </w:rPr>
              <w:t>4</w:t>
            </w:r>
            <w:r>
              <w:rPr>
                <w:rFonts w:ascii="Times New Roman" w:hAnsi="Times New Roman" w:cs="Times New Roman"/>
                <w:b/>
                <w:bCs/>
                <w:color w:val="auto"/>
                <w:lang w:eastAsia="zh-CN"/>
              </w:rPr>
              <w:t>、</w:t>
            </w:r>
            <w:r>
              <w:rPr>
                <w:rFonts w:hint="eastAsia" w:ascii="Times New Roman" w:hAnsi="Times New Roman" w:cs="Times New Roman"/>
                <w:b/>
                <w:bCs/>
                <w:color w:val="auto"/>
                <w:lang w:eastAsia="zh-CN"/>
              </w:rPr>
              <w:t>现有工程产污环节及防治措施</w:t>
            </w:r>
          </w:p>
          <w:p w14:paraId="29FA31AA">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表2-12   现有项目产排污及污染防治措施一览表</w:t>
            </w:r>
          </w:p>
          <w:tbl>
            <w:tblPr>
              <w:tblStyle w:val="27"/>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19"/>
              <w:gridCol w:w="1353"/>
              <w:gridCol w:w="1145"/>
              <w:gridCol w:w="1323"/>
              <w:gridCol w:w="1275"/>
              <w:gridCol w:w="3118"/>
            </w:tblGrid>
            <w:tr w14:paraId="1BD9510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688" w:type="pct"/>
                  <w:gridSpan w:val="3"/>
                  <w:tcBorders>
                    <w:tl2br w:val="nil"/>
                    <w:tr2bl w:val="nil"/>
                  </w:tcBorders>
                  <w:vAlign w:val="center"/>
                </w:tcPr>
                <w:p w14:paraId="427AA489">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主要污染源</w:t>
                  </w:r>
                </w:p>
              </w:tc>
              <w:tc>
                <w:tcPr>
                  <w:tcW w:w="766" w:type="pct"/>
                  <w:vMerge w:val="restart"/>
                  <w:tcBorders>
                    <w:tl2br w:val="nil"/>
                    <w:tr2bl w:val="nil"/>
                  </w:tcBorders>
                  <w:vAlign w:val="center"/>
                </w:tcPr>
                <w:p w14:paraId="13DA6CB7">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污染物处理措施及设施</w:t>
                  </w:r>
                </w:p>
              </w:tc>
              <w:tc>
                <w:tcPr>
                  <w:tcW w:w="738" w:type="pct"/>
                  <w:vMerge w:val="restart"/>
                  <w:tcBorders>
                    <w:tl2br w:val="nil"/>
                    <w:tr2bl w:val="nil"/>
                  </w:tcBorders>
                  <w:vAlign w:val="center"/>
                </w:tcPr>
                <w:p w14:paraId="04DF8D5F">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排放方式</w:t>
                  </w:r>
                </w:p>
              </w:tc>
              <w:tc>
                <w:tcPr>
                  <w:tcW w:w="1805" w:type="pct"/>
                  <w:vMerge w:val="restart"/>
                  <w:tcBorders>
                    <w:tl2br w:val="nil"/>
                    <w:tr2bl w:val="nil"/>
                  </w:tcBorders>
                  <w:vAlign w:val="center"/>
                </w:tcPr>
                <w:p w14:paraId="4FE07C4E">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执行标准</w:t>
                  </w:r>
                </w:p>
              </w:tc>
            </w:tr>
            <w:tr w14:paraId="0153641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tcBorders>
                    <w:tl2br w:val="nil"/>
                    <w:tr2bl w:val="nil"/>
                  </w:tcBorders>
                  <w:vAlign w:val="center"/>
                </w:tcPr>
                <w:p w14:paraId="3565F376">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p>
              </w:tc>
              <w:tc>
                <w:tcPr>
                  <w:tcW w:w="783" w:type="pct"/>
                  <w:tcBorders>
                    <w:tl2br w:val="nil"/>
                    <w:tr2bl w:val="nil"/>
                  </w:tcBorders>
                  <w:vAlign w:val="center"/>
                </w:tcPr>
                <w:p w14:paraId="33D94CF9">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生产工序</w:t>
                  </w:r>
                </w:p>
              </w:tc>
              <w:tc>
                <w:tcPr>
                  <w:tcW w:w="663" w:type="pct"/>
                  <w:tcBorders>
                    <w:tl2br w:val="nil"/>
                    <w:tr2bl w:val="nil"/>
                  </w:tcBorders>
                  <w:vAlign w:val="center"/>
                </w:tcPr>
                <w:p w14:paraId="0C5A4D1B">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污染因子</w:t>
                  </w:r>
                </w:p>
              </w:tc>
              <w:tc>
                <w:tcPr>
                  <w:tcW w:w="766" w:type="pct"/>
                  <w:vMerge w:val="continue"/>
                  <w:tcBorders>
                    <w:tl2br w:val="nil"/>
                    <w:tr2bl w:val="nil"/>
                  </w:tcBorders>
                  <w:vAlign w:val="center"/>
                </w:tcPr>
                <w:p w14:paraId="314EC0E1">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64A7A6DF">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vMerge w:val="continue"/>
                  <w:tcBorders>
                    <w:tl2br w:val="nil"/>
                    <w:tr2bl w:val="nil"/>
                  </w:tcBorders>
                  <w:vAlign w:val="center"/>
                </w:tcPr>
                <w:p w14:paraId="62002D25">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r>
            <w:tr w14:paraId="3E1B9B2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restart"/>
                  <w:tcBorders>
                    <w:tl2br w:val="nil"/>
                    <w:tr2bl w:val="nil"/>
                  </w:tcBorders>
                  <w:vAlign w:val="center"/>
                </w:tcPr>
                <w:p w14:paraId="6173AF22">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b/>
                      <w:bCs/>
                      <w:color w:val="auto"/>
                      <w:spacing w:val="-4"/>
                      <w:sz w:val="21"/>
                      <w:szCs w:val="21"/>
                      <w:lang w:eastAsia="zh-CN"/>
                    </w:rPr>
                    <w:t>废气</w:t>
                  </w:r>
                </w:p>
              </w:tc>
              <w:tc>
                <w:tcPr>
                  <w:tcW w:w="783" w:type="pct"/>
                  <w:tcBorders>
                    <w:tl2br w:val="nil"/>
                    <w:tr2bl w:val="nil"/>
                  </w:tcBorders>
                  <w:vAlign w:val="center"/>
                </w:tcPr>
                <w:p w14:paraId="293C7A8D">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折弯</w:t>
                  </w:r>
                </w:p>
              </w:tc>
              <w:tc>
                <w:tcPr>
                  <w:tcW w:w="663" w:type="pct"/>
                  <w:tcBorders>
                    <w:tl2br w:val="nil"/>
                    <w:tr2bl w:val="nil"/>
                  </w:tcBorders>
                  <w:vAlign w:val="center"/>
                </w:tcPr>
                <w:p w14:paraId="07170D88">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颗粒物</w:t>
                  </w:r>
                </w:p>
              </w:tc>
              <w:tc>
                <w:tcPr>
                  <w:tcW w:w="766" w:type="pct"/>
                  <w:tcBorders>
                    <w:tl2br w:val="nil"/>
                    <w:tr2bl w:val="nil"/>
                  </w:tcBorders>
                  <w:vAlign w:val="center"/>
                </w:tcPr>
                <w:p w14:paraId="0A0901E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脉冲除尘器</w:t>
                  </w:r>
                </w:p>
              </w:tc>
              <w:tc>
                <w:tcPr>
                  <w:tcW w:w="738" w:type="pct"/>
                  <w:tcBorders>
                    <w:tl2br w:val="nil"/>
                    <w:tr2bl w:val="nil"/>
                  </w:tcBorders>
                  <w:vAlign w:val="center"/>
                </w:tcPr>
                <w:p w14:paraId="6561DEC4">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有组织</w:t>
                  </w:r>
                </w:p>
              </w:tc>
              <w:tc>
                <w:tcPr>
                  <w:tcW w:w="1805" w:type="pct"/>
                  <w:vMerge w:val="restart"/>
                  <w:tcBorders>
                    <w:tl2br w:val="nil"/>
                    <w:tr2bl w:val="nil"/>
                  </w:tcBorders>
                  <w:vAlign w:val="center"/>
                </w:tcPr>
                <w:p w14:paraId="14C68742">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《大气污染物综合排放标准》（GB16297-1996）二级标准</w:t>
                  </w:r>
                </w:p>
              </w:tc>
            </w:tr>
            <w:tr w14:paraId="42ECE56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5377E78E">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tcBorders>
                    <w:tl2br w:val="nil"/>
                    <w:tr2bl w:val="nil"/>
                  </w:tcBorders>
                  <w:vAlign w:val="center"/>
                </w:tcPr>
                <w:p w14:paraId="5484D94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焊接工序</w:t>
                  </w:r>
                </w:p>
              </w:tc>
              <w:tc>
                <w:tcPr>
                  <w:tcW w:w="663" w:type="pct"/>
                  <w:tcBorders>
                    <w:tl2br w:val="nil"/>
                    <w:tr2bl w:val="nil"/>
                  </w:tcBorders>
                  <w:vAlign w:val="center"/>
                </w:tcPr>
                <w:p w14:paraId="448ABE5A">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颗粒物</w:t>
                  </w:r>
                </w:p>
              </w:tc>
              <w:tc>
                <w:tcPr>
                  <w:tcW w:w="766" w:type="pct"/>
                  <w:tcBorders>
                    <w:tl2br w:val="nil"/>
                    <w:tr2bl w:val="nil"/>
                  </w:tcBorders>
                  <w:vAlign w:val="center"/>
                </w:tcPr>
                <w:p w14:paraId="58CE6764">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焊接烟尘净化器</w:t>
                  </w:r>
                </w:p>
              </w:tc>
              <w:tc>
                <w:tcPr>
                  <w:tcW w:w="738" w:type="pct"/>
                  <w:tcBorders>
                    <w:tl2br w:val="nil"/>
                    <w:tr2bl w:val="nil"/>
                  </w:tcBorders>
                  <w:vAlign w:val="center"/>
                </w:tcPr>
                <w:p w14:paraId="47B3355A">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无组织</w:t>
                  </w:r>
                </w:p>
              </w:tc>
              <w:tc>
                <w:tcPr>
                  <w:tcW w:w="1805" w:type="pct"/>
                  <w:vMerge w:val="continue"/>
                  <w:tcBorders>
                    <w:tl2br w:val="nil"/>
                    <w:tr2bl w:val="nil"/>
                  </w:tcBorders>
                  <w:vAlign w:val="center"/>
                </w:tcPr>
                <w:p w14:paraId="31ECF92B">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r>
            <w:tr w14:paraId="6C7FB89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58FDDF27">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tcBorders>
                    <w:tl2br w:val="nil"/>
                    <w:tr2bl w:val="nil"/>
                  </w:tcBorders>
                  <w:vAlign w:val="center"/>
                </w:tcPr>
                <w:p w14:paraId="2C4E558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喷涂工序</w:t>
                  </w:r>
                </w:p>
              </w:tc>
              <w:tc>
                <w:tcPr>
                  <w:tcW w:w="663" w:type="pct"/>
                  <w:tcBorders>
                    <w:tl2br w:val="nil"/>
                    <w:tr2bl w:val="nil"/>
                  </w:tcBorders>
                  <w:vAlign w:val="center"/>
                </w:tcPr>
                <w:p w14:paraId="14F07C68">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颗粒物</w:t>
                  </w:r>
                </w:p>
              </w:tc>
              <w:tc>
                <w:tcPr>
                  <w:tcW w:w="766" w:type="pct"/>
                  <w:tcBorders>
                    <w:tl2br w:val="nil"/>
                    <w:tr2bl w:val="nil"/>
                  </w:tcBorders>
                  <w:vAlign w:val="center"/>
                </w:tcPr>
                <w:p w14:paraId="327A44DD">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0000FF"/>
                      <w:spacing w:val="-4"/>
                      <w:sz w:val="21"/>
                      <w:szCs w:val="21"/>
                      <w:lang w:eastAsia="zh-CN"/>
                    </w:rPr>
                    <w:t>旋风回收装置+脉冲布袋除尘器</w:t>
                  </w:r>
                </w:p>
              </w:tc>
              <w:tc>
                <w:tcPr>
                  <w:tcW w:w="738" w:type="pct"/>
                  <w:tcBorders>
                    <w:tl2br w:val="nil"/>
                    <w:tr2bl w:val="nil"/>
                  </w:tcBorders>
                  <w:vAlign w:val="center"/>
                </w:tcPr>
                <w:p w14:paraId="75CE4994">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有组织</w:t>
                  </w:r>
                </w:p>
              </w:tc>
              <w:tc>
                <w:tcPr>
                  <w:tcW w:w="1805" w:type="pct"/>
                  <w:vMerge w:val="continue"/>
                  <w:tcBorders>
                    <w:tl2br w:val="nil"/>
                    <w:tr2bl w:val="nil"/>
                  </w:tcBorders>
                  <w:vAlign w:val="center"/>
                </w:tcPr>
                <w:p w14:paraId="1AA5B982">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r>
            <w:tr w14:paraId="2B498B8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00928860">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tcBorders>
                    <w:tl2br w:val="nil"/>
                    <w:tr2bl w:val="nil"/>
                  </w:tcBorders>
                  <w:vAlign w:val="center"/>
                </w:tcPr>
                <w:p w14:paraId="3565BB9E">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固化工序</w:t>
                  </w:r>
                </w:p>
              </w:tc>
              <w:tc>
                <w:tcPr>
                  <w:tcW w:w="663" w:type="pct"/>
                  <w:tcBorders>
                    <w:tl2br w:val="nil"/>
                    <w:tr2bl w:val="nil"/>
                  </w:tcBorders>
                  <w:vAlign w:val="center"/>
                </w:tcPr>
                <w:p w14:paraId="647CF78E">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非甲烷</w:t>
                  </w:r>
                </w:p>
                <w:p w14:paraId="3CE8482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总烃</w:t>
                  </w:r>
                </w:p>
              </w:tc>
              <w:tc>
                <w:tcPr>
                  <w:tcW w:w="766" w:type="pct"/>
                  <w:vMerge w:val="restart"/>
                  <w:tcBorders>
                    <w:tl2br w:val="nil"/>
                    <w:tr2bl w:val="nil"/>
                  </w:tcBorders>
                  <w:vAlign w:val="center"/>
                </w:tcPr>
                <w:p w14:paraId="536FD9D7">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活性炭吸附+UV光解催化处理设备</w:t>
                  </w:r>
                </w:p>
              </w:tc>
              <w:tc>
                <w:tcPr>
                  <w:tcW w:w="738" w:type="pct"/>
                  <w:vMerge w:val="restart"/>
                  <w:tcBorders>
                    <w:tl2br w:val="nil"/>
                    <w:tr2bl w:val="nil"/>
                  </w:tcBorders>
                  <w:vAlign w:val="center"/>
                </w:tcPr>
                <w:p w14:paraId="373FB9EF">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有组织</w:t>
                  </w:r>
                </w:p>
              </w:tc>
              <w:tc>
                <w:tcPr>
                  <w:tcW w:w="1805" w:type="pct"/>
                  <w:tcBorders>
                    <w:tl2br w:val="nil"/>
                    <w:tr2bl w:val="nil"/>
                  </w:tcBorders>
                  <w:vAlign w:val="center"/>
                </w:tcPr>
                <w:p w14:paraId="045FC51E">
                  <w:pPr>
                    <w:widowControl/>
                    <w:spacing w:line="240" w:lineRule="auto"/>
                    <w:ind w:left="0" w:leftChars="0" w:right="0" w:rightChars="0" w:firstLine="0" w:firstLineChars="0"/>
                    <w:jc w:val="center"/>
                    <w:rPr>
                      <w:rFonts w:eastAsia="宋体" w:cs="Times New Roman"/>
                      <w:color w:val="auto"/>
                      <w:spacing w:val="-4"/>
                      <w:szCs w:val="21"/>
                      <w:lang w:eastAsia="zh-CN"/>
                    </w:rPr>
                  </w:pPr>
                  <w:r>
                    <w:rPr>
                      <w:rFonts w:eastAsia="宋体" w:cs="Times New Roman"/>
                      <w:color w:val="auto"/>
                      <w:szCs w:val="21"/>
                      <w:lang w:eastAsia="zh-CN" w:bidi="ar"/>
                    </w:rPr>
                    <w:t>陕西省《挥发性有机物排放控制标准》（DB61/T1061-2017）中的标准限值</w:t>
                  </w:r>
                </w:p>
              </w:tc>
            </w:tr>
            <w:tr w14:paraId="73CCD7D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6E89D211">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vMerge w:val="restart"/>
                  <w:tcBorders>
                    <w:tl2br w:val="nil"/>
                    <w:tr2bl w:val="nil"/>
                  </w:tcBorders>
                  <w:vAlign w:val="center"/>
                </w:tcPr>
                <w:p w14:paraId="189A4E01">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燃烧机废气</w:t>
                  </w:r>
                </w:p>
              </w:tc>
              <w:tc>
                <w:tcPr>
                  <w:tcW w:w="663" w:type="pct"/>
                  <w:tcBorders>
                    <w:tl2br w:val="nil"/>
                    <w:tr2bl w:val="nil"/>
                  </w:tcBorders>
                  <w:vAlign w:val="center"/>
                </w:tcPr>
                <w:p w14:paraId="02A3E8DD">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颗粒物</w:t>
                  </w:r>
                </w:p>
              </w:tc>
              <w:tc>
                <w:tcPr>
                  <w:tcW w:w="766" w:type="pct"/>
                  <w:vMerge w:val="continue"/>
                  <w:tcBorders>
                    <w:tl2br w:val="nil"/>
                    <w:tr2bl w:val="nil"/>
                  </w:tcBorders>
                  <w:vAlign w:val="center"/>
                </w:tcPr>
                <w:p w14:paraId="7CC2A9C7">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4D47877E">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tcBorders>
                    <w:tl2br w:val="nil"/>
                    <w:tr2bl w:val="nil"/>
                  </w:tcBorders>
                  <w:vAlign w:val="center"/>
                </w:tcPr>
                <w:p w14:paraId="5629359E">
                  <w:pPr>
                    <w:widowControl/>
                    <w:spacing w:line="240" w:lineRule="auto"/>
                    <w:ind w:left="0" w:leftChars="0" w:right="0" w:rightChars="0" w:firstLine="0" w:firstLineChars="0"/>
                    <w:jc w:val="center"/>
                    <w:rPr>
                      <w:rFonts w:eastAsia="宋体" w:cs="Times New Roman"/>
                      <w:color w:val="auto"/>
                      <w:spacing w:val="-4"/>
                      <w:szCs w:val="21"/>
                      <w:lang w:eastAsia="zh-CN"/>
                    </w:rPr>
                  </w:pPr>
                  <w:r>
                    <w:rPr>
                      <w:rFonts w:eastAsia="宋体" w:cs="Times New Roman"/>
                      <w:color w:val="auto"/>
                      <w:szCs w:val="21"/>
                      <w:lang w:eastAsia="zh-CN" w:bidi="ar"/>
                    </w:rPr>
                    <w:t>《工业窑炉大气污染物排放标准》（GB9078-1996）</w:t>
                  </w:r>
                  <w:r>
                    <w:rPr>
                      <w:rFonts w:hint="eastAsia" w:eastAsia="宋体" w:cs="Times New Roman"/>
                      <w:color w:val="auto"/>
                      <w:szCs w:val="21"/>
                      <w:lang w:eastAsia="zh-CN" w:bidi="ar"/>
                    </w:rPr>
                    <w:t>表2其他炉窑限值</w:t>
                  </w:r>
                  <w:r>
                    <w:rPr>
                      <w:rFonts w:eastAsia="宋体" w:cs="Times New Roman"/>
                      <w:color w:val="auto"/>
                      <w:szCs w:val="21"/>
                      <w:lang w:eastAsia="zh-CN" w:bidi="ar"/>
                    </w:rPr>
                    <w:t>要求</w:t>
                  </w:r>
                </w:p>
              </w:tc>
            </w:tr>
            <w:tr w14:paraId="2DFD848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7AC50338">
                  <w:pPr>
                    <w:pStyle w:val="76"/>
                    <w:spacing w:line="240" w:lineRule="auto"/>
                    <w:ind w:left="0" w:leftChars="0" w:right="0" w:rightChars="0" w:firstLine="0" w:firstLineChars="0"/>
                    <w:jc w:val="center"/>
                    <w:rPr>
                      <w:color w:val="auto"/>
                      <w:sz w:val="21"/>
                      <w:szCs w:val="21"/>
                      <w:lang w:eastAsia="zh-CN"/>
                    </w:rPr>
                  </w:pPr>
                </w:p>
              </w:tc>
              <w:tc>
                <w:tcPr>
                  <w:tcW w:w="783" w:type="pct"/>
                  <w:vMerge w:val="continue"/>
                  <w:tcBorders>
                    <w:tl2br w:val="nil"/>
                    <w:tr2bl w:val="nil"/>
                  </w:tcBorders>
                  <w:vAlign w:val="center"/>
                </w:tcPr>
                <w:p w14:paraId="44208611">
                  <w:pPr>
                    <w:pStyle w:val="76"/>
                    <w:spacing w:line="240" w:lineRule="auto"/>
                    <w:ind w:left="0" w:leftChars="0" w:right="0" w:rightChars="0" w:firstLine="0" w:firstLineChars="0"/>
                    <w:jc w:val="center"/>
                    <w:rPr>
                      <w:color w:val="auto"/>
                      <w:sz w:val="21"/>
                      <w:szCs w:val="21"/>
                      <w:lang w:eastAsia="zh-CN"/>
                    </w:rPr>
                  </w:pPr>
                </w:p>
              </w:tc>
              <w:tc>
                <w:tcPr>
                  <w:tcW w:w="663" w:type="pct"/>
                  <w:tcBorders>
                    <w:tl2br w:val="nil"/>
                    <w:tr2bl w:val="nil"/>
                  </w:tcBorders>
                  <w:vAlign w:val="center"/>
                </w:tcPr>
                <w:p w14:paraId="73FA87F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ascii="Times New Roman" w:hAnsi="Times New Roman" w:cs="Times New Roman"/>
                      <w:color w:val="auto"/>
                      <w:sz w:val="21"/>
                      <w:szCs w:val="21"/>
                      <w:lang w:eastAsia="zh-CN" w:bidi="ar"/>
                    </w:rPr>
                    <w:t>SO</w:t>
                  </w:r>
                  <w:r>
                    <w:rPr>
                      <w:rFonts w:ascii="Times New Roman" w:hAnsi="Times New Roman" w:cs="Times New Roman"/>
                      <w:color w:val="auto"/>
                      <w:sz w:val="21"/>
                      <w:szCs w:val="21"/>
                      <w:vertAlign w:val="subscript"/>
                      <w:lang w:eastAsia="zh-CN" w:bidi="ar"/>
                    </w:rPr>
                    <w:t>2</w:t>
                  </w:r>
                </w:p>
              </w:tc>
              <w:tc>
                <w:tcPr>
                  <w:tcW w:w="766" w:type="pct"/>
                  <w:vMerge w:val="continue"/>
                  <w:tcBorders>
                    <w:tl2br w:val="nil"/>
                    <w:tr2bl w:val="nil"/>
                  </w:tcBorders>
                  <w:vAlign w:val="center"/>
                </w:tcPr>
                <w:p w14:paraId="0AE3B65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74546B8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vMerge w:val="restart"/>
                  <w:tcBorders>
                    <w:tl2br w:val="nil"/>
                    <w:tr2bl w:val="nil"/>
                  </w:tcBorders>
                  <w:vAlign w:val="center"/>
                </w:tcPr>
                <w:p w14:paraId="3604C57F">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《大气污染物综合排放标准》（GB16297-1996）二级标准</w:t>
                  </w:r>
                </w:p>
              </w:tc>
            </w:tr>
            <w:tr w14:paraId="21CADE8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7F816D1A">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vMerge w:val="continue"/>
                  <w:tcBorders>
                    <w:tl2br w:val="nil"/>
                    <w:tr2bl w:val="nil"/>
                  </w:tcBorders>
                  <w:vAlign w:val="center"/>
                </w:tcPr>
                <w:p w14:paraId="55B097AE">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1E984CC5">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ascii="Times New Roman" w:hAnsi="Times New Roman" w:cs="Times New Roman"/>
                      <w:color w:val="auto"/>
                      <w:sz w:val="21"/>
                      <w:szCs w:val="21"/>
                      <w:lang w:eastAsia="zh-CN" w:bidi="ar"/>
                    </w:rPr>
                    <w:t>NO</w:t>
                  </w:r>
                  <w:r>
                    <w:rPr>
                      <w:rFonts w:ascii="Times New Roman" w:hAnsi="Times New Roman" w:cs="Times New Roman"/>
                      <w:color w:val="auto"/>
                      <w:sz w:val="21"/>
                      <w:szCs w:val="21"/>
                      <w:vertAlign w:val="subscript"/>
                      <w:lang w:eastAsia="zh-CN" w:bidi="ar"/>
                    </w:rPr>
                    <w:t>X</w:t>
                  </w:r>
                </w:p>
              </w:tc>
              <w:tc>
                <w:tcPr>
                  <w:tcW w:w="766" w:type="pct"/>
                  <w:vMerge w:val="continue"/>
                  <w:tcBorders>
                    <w:tl2br w:val="nil"/>
                    <w:tr2bl w:val="nil"/>
                  </w:tcBorders>
                  <w:vAlign w:val="center"/>
                </w:tcPr>
                <w:p w14:paraId="70DBF7D6">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3F2C02A6">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vMerge w:val="continue"/>
                  <w:tcBorders>
                    <w:tl2br w:val="nil"/>
                    <w:tr2bl w:val="nil"/>
                  </w:tcBorders>
                  <w:vAlign w:val="center"/>
                </w:tcPr>
                <w:p w14:paraId="094133E1">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r>
            <w:tr w14:paraId="480F35B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restart"/>
                  <w:tcBorders>
                    <w:tl2br w:val="nil"/>
                    <w:tr2bl w:val="nil"/>
                  </w:tcBorders>
                  <w:vAlign w:val="center"/>
                </w:tcPr>
                <w:p w14:paraId="30F74DFC">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ascii="Times New Roman" w:hAnsi="Times New Roman" w:cs="Times New Roman"/>
                      <w:b/>
                      <w:bCs/>
                      <w:color w:val="auto"/>
                      <w:spacing w:val="-4"/>
                      <w:sz w:val="21"/>
                      <w:szCs w:val="21"/>
                      <w:lang w:eastAsia="zh-CN"/>
                    </w:rPr>
                    <w:t>废水</w:t>
                  </w:r>
                </w:p>
              </w:tc>
              <w:tc>
                <w:tcPr>
                  <w:tcW w:w="783" w:type="pct"/>
                  <w:vMerge w:val="restart"/>
                  <w:tcBorders>
                    <w:tl2br w:val="nil"/>
                    <w:tr2bl w:val="nil"/>
                  </w:tcBorders>
                  <w:vAlign w:val="center"/>
                </w:tcPr>
                <w:p w14:paraId="14CF84A6">
                  <w:pPr>
                    <w:pStyle w:val="76"/>
                    <w:spacing w:line="240" w:lineRule="auto"/>
                    <w:ind w:left="0" w:leftChars="0" w:right="0" w:rightChars="0" w:firstLine="0" w:firstLineChars="0"/>
                    <w:jc w:val="center"/>
                    <w:rPr>
                      <w:rFonts w:hint="default" w:ascii="Times New Roman" w:hAnsi="Times New Roman"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生活污水</w:t>
                  </w:r>
                </w:p>
              </w:tc>
              <w:tc>
                <w:tcPr>
                  <w:tcW w:w="663" w:type="pct"/>
                  <w:tcBorders>
                    <w:tl2br w:val="nil"/>
                    <w:tr2bl w:val="nil"/>
                  </w:tcBorders>
                  <w:vAlign w:val="center"/>
                </w:tcPr>
                <w:p w14:paraId="4A92653B">
                  <w:pPr>
                    <w:spacing w:line="240" w:lineRule="auto"/>
                    <w:ind w:left="0" w:leftChars="0" w:right="0" w:rightChars="0" w:firstLine="0" w:firstLineChars="0"/>
                    <w:jc w:val="center"/>
                    <w:rPr>
                      <w:rFonts w:eastAsia="宋体" w:cs="Times New Roman"/>
                      <w:color w:val="auto"/>
                      <w:spacing w:val="-4"/>
                      <w:szCs w:val="21"/>
                      <w:lang w:eastAsia="zh-CN"/>
                    </w:rPr>
                  </w:pPr>
                  <w:r>
                    <w:rPr>
                      <w:rFonts w:eastAsia="宋体" w:cs="Times New Roman"/>
                      <w:color w:val="auto"/>
                      <w:spacing w:val="6"/>
                      <w:szCs w:val="21"/>
                    </w:rPr>
                    <w:t>pH</w:t>
                  </w:r>
                </w:p>
              </w:tc>
              <w:tc>
                <w:tcPr>
                  <w:tcW w:w="766" w:type="pct"/>
                  <w:vMerge w:val="restart"/>
                  <w:tcBorders>
                    <w:tl2br w:val="nil"/>
                    <w:tr2bl w:val="nil"/>
                  </w:tcBorders>
                  <w:vAlign w:val="center"/>
                </w:tcPr>
                <w:p w14:paraId="4F9ABC32">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ascii="Times New Roman" w:hAnsi="Times New Roman" w:cs="Times New Roman"/>
                      <w:color w:val="auto"/>
                      <w:spacing w:val="-4"/>
                      <w:sz w:val="21"/>
                      <w:szCs w:val="21"/>
                      <w:lang w:eastAsia="zh-CN"/>
                    </w:rPr>
                    <w:t>油水分离器+化粪池</w:t>
                  </w:r>
                </w:p>
              </w:tc>
              <w:tc>
                <w:tcPr>
                  <w:tcW w:w="738" w:type="pct"/>
                  <w:vMerge w:val="restart"/>
                  <w:tcBorders>
                    <w:tl2br w:val="nil"/>
                    <w:tr2bl w:val="nil"/>
                  </w:tcBorders>
                  <w:vAlign w:val="center"/>
                </w:tcPr>
                <w:p w14:paraId="7F904D30">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ascii="Times New Roman" w:hAnsi="Times New Roman" w:cs="Times New Roman"/>
                      <w:color w:val="auto"/>
                      <w:spacing w:val="-4"/>
                      <w:sz w:val="21"/>
                      <w:szCs w:val="21"/>
                      <w:lang w:eastAsia="zh-CN"/>
                    </w:rPr>
                    <w:t>间接排放</w:t>
                  </w:r>
                </w:p>
              </w:tc>
              <w:tc>
                <w:tcPr>
                  <w:tcW w:w="1805" w:type="pct"/>
                  <w:vMerge w:val="restart"/>
                  <w:tcBorders>
                    <w:tl2br w:val="nil"/>
                    <w:tr2bl w:val="nil"/>
                  </w:tcBorders>
                  <w:vAlign w:val="center"/>
                </w:tcPr>
                <w:p w14:paraId="764CD665">
                  <w:pPr>
                    <w:widowControl/>
                    <w:spacing w:line="240" w:lineRule="auto"/>
                    <w:ind w:left="0" w:leftChars="0" w:right="0" w:rightChars="0" w:firstLine="0" w:firstLineChars="0"/>
                    <w:jc w:val="center"/>
                    <w:rPr>
                      <w:rFonts w:eastAsia="宋体" w:cs="Times New Roman"/>
                      <w:color w:val="auto"/>
                      <w:spacing w:val="-4"/>
                      <w:szCs w:val="21"/>
                      <w:lang w:eastAsia="zh-CN"/>
                    </w:rPr>
                  </w:pPr>
                  <w:r>
                    <w:rPr>
                      <w:rFonts w:eastAsia="宋体" w:cs="Times New Roman"/>
                      <w:color w:val="auto"/>
                      <w:szCs w:val="21"/>
                      <w:lang w:eastAsia="zh-CN" w:bidi="ar"/>
                    </w:rPr>
                    <w:t>《污水综合排放标准》（GB8978-1996）三级标准、《污水排入城镇下水道水质标准》B级标准</w:t>
                  </w:r>
                </w:p>
              </w:tc>
            </w:tr>
            <w:tr w14:paraId="34FEA16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1FAFDBF7">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p>
              </w:tc>
              <w:tc>
                <w:tcPr>
                  <w:tcW w:w="783" w:type="pct"/>
                  <w:vMerge w:val="continue"/>
                  <w:tcBorders>
                    <w:tl2br w:val="nil"/>
                    <w:tr2bl w:val="nil"/>
                  </w:tcBorders>
                  <w:vAlign w:val="center"/>
                </w:tcPr>
                <w:p w14:paraId="238D787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12A47AFB">
                  <w:pPr>
                    <w:spacing w:line="240" w:lineRule="auto"/>
                    <w:ind w:left="0" w:leftChars="0" w:right="0" w:rightChars="0" w:firstLine="0" w:firstLineChars="0"/>
                    <w:jc w:val="center"/>
                    <w:rPr>
                      <w:rFonts w:eastAsia="宋体" w:cs="Times New Roman"/>
                      <w:color w:val="auto"/>
                      <w:spacing w:val="6"/>
                      <w:szCs w:val="21"/>
                    </w:rPr>
                  </w:pPr>
                  <w:r>
                    <w:rPr>
                      <w:rFonts w:eastAsia="宋体" w:cs="Times New Roman"/>
                      <w:color w:val="auto"/>
                      <w:spacing w:val="3"/>
                      <w:szCs w:val="21"/>
                    </w:rPr>
                    <w:t>COD</w:t>
                  </w:r>
                </w:p>
              </w:tc>
              <w:tc>
                <w:tcPr>
                  <w:tcW w:w="766" w:type="pct"/>
                  <w:vMerge w:val="continue"/>
                  <w:tcBorders>
                    <w:tl2br w:val="nil"/>
                    <w:tr2bl w:val="nil"/>
                  </w:tcBorders>
                  <w:vAlign w:val="center"/>
                </w:tcPr>
                <w:p w14:paraId="5C12949B">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4CBC2DE0">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vMerge w:val="continue"/>
                  <w:tcBorders>
                    <w:tl2br w:val="nil"/>
                    <w:tr2bl w:val="nil"/>
                  </w:tcBorders>
                  <w:vAlign w:val="center"/>
                </w:tcPr>
                <w:p w14:paraId="1A6D96AB">
                  <w:pPr>
                    <w:widowControl/>
                    <w:spacing w:line="240" w:lineRule="auto"/>
                    <w:ind w:left="0" w:leftChars="0" w:right="0" w:rightChars="0" w:firstLine="0" w:firstLineChars="0"/>
                    <w:jc w:val="center"/>
                    <w:rPr>
                      <w:rFonts w:eastAsia="宋体" w:cs="Times New Roman"/>
                      <w:color w:val="auto"/>
                      <w:szCs w:val="21"/>
                      <w:lang w:eastAsia="zh-CN" w:bidi="ar"/>
                    </w:rPr>
                  </w:pPr>
                </w:p>
              </w:tc>
            </w:tr>
            <w:tr w14:paraId="647B0F5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42E7C3F4">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p>
              </w:tc>
              <w:tc>
                <w:tcPr>
                  <w:tcW w:w="783" w:type="pct"/>
                  <w:vMerge w:val="continue"/>
                  <w:tcBorders>
                    <w:tl2br w:val="nil"/>
                    <w:tr2bl w:val="nil"/>
                  </w:tcBorders>
                  <w:vAlign w:val="center"/>
                </w:tcPr>
                <w:p w14:paraId="23740478">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22E687F1">
                  <w:pPr>
                    <w:spacing w:line="240" w:lineRule="auto"/>
                    <w:ind w:left="0" w:leftChars="0" w:right="0" w:rightChars="0" w:firstLine="0" w:firstLineChars="0"/>
                    <w:jc w:val="center"/>
                    <w:rPr>
                      <w:rFonts w:eastAsia="宋体" w:cs="Times New Roman"/>
                      <w:color w:val="auto"/>
                      <w:spacing w:val="6"/>
                      <w:szCs w:val="21"/>
                      <w:lang w:eastAsia="zh-CN"/>
                    </w:rPr>
                  </w:pPr>
                  <w:r>
                    <w:rPr>
                      <w:rFonts w:eastAsia="宋体" w:cs="Times New Roman"/>
                      <w:color w:val="auto"/>
                      <w:spacing w:val="3"/>
                      <w:szCs w:val="21"/>
                      <w:lang w:eastAsia="zh-CN"/>
                    </w:rPr>
                    <w:t>BOD</w:t>
                  </w:r>
                  <w:r>
                    <w:rPr>
                      <w:rFonts w:eastAsia="宋体" w:cs="Times New Roman"/>
                      <w:color w:val="auto"/>
                      <w:spacing w:val="3"/>
                      <w:szCs w:val="21"/>
                      <w:vertAlign w:val="subscript"/>
                      <w:lang w:eastAsia="zh-CN"/>
                    </w:rPr>
                    <w:t>5</w:t>
                  </w:r>
                </w:p>
              </w:tc>
              <w:tc>
                <w:tcPr>
                  <w:tcW w:w="766" w:type="pct"/>
                  <w:vMerge w:val="continue"/>
                  <w:tcBorders>
                    <w:tl2br w:val="nil"/>
                    <w:tr2bl w:val="nil"/>
                  </w:tcBorders>
                  <w:vAlign w:val="center"/>
                </w:tcPr>
                <w:p w14:paraId="686A471F">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7721EC5E">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vMerge w:val="continue"/>
                  <w:tcBorders>
                    <w:tl2br w:val="nil"/>
                    <w:tr2bl w:val="nil"/>
                  </w:tcBorders>
                  <w:vAlign w:val="center"/>
                </w:tcPr>
                <w:p w14:paraId="535E3B8B">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r>
            <w:tr w14:paraId="564432C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706BA73B">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p>
              </w:tc>
              <w:tc>
                <w:tcPr>
                  <w:tcW w:w="783" w:type="pct"/>
                  <w:vMerge w:val="continue"/>
                  <w:tcBorders>
                    <w:tl2br w:val="nil"/>
                    <w:tr2bl w:val="nil"/>
                  </w:tcBorders>
                  <w:vAlign w:val="center"/>
                </w:tcPr>
                <w:p w14:paraId="3A57AC32">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4FBD61CA">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ascii="Times New Roman" w:hAnsi="Times New Roman" w:cs="Times New Roman"/>
                      <w:color w:val="auto"/>
                      <w:spacing w:val="6"/>
                      <w:sz w:val="21"/>
                      <w:szCs w:val="21"/>
                    </w:rPr>
                    <w:t>悬浮物</w:t>
                  </w:r>
                </w:p>
              </w:tc>
              <w:tc>
                <w:tcPr>
                  <w:tcW w:w="766" w:type="pct"/>
                  <w:vMerge w:val="continue"/>
                  <w:tcBorders>
                    <w:tl2br w:val="nil"/>
                    <w:tr2bl w:val="nil"/>
                  </w:tcBorders>
                  <w:vAlign w:val="center"/>
                </w:tcPr>
                <w:p w14:paraId="46C4D7E0">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749D1C4E">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vMerge w:val="continue"/>
                  <w:tcBorders>
                    <w:tl2br w:val="nil"/>
                    <w:tr2bl w:val="nil"/>
                  </w:tcBorders>
                  <w:vAlign w:val="center"/>
                </w:tcPr>
                <w:p w14:paraId="7FC31895">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r>
            <w:tr w14:paraId="0ED5373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1172FC2E">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p>
              </w:tc>
              <w:tc>
                <w:tcPr>
                  <w:tcW w:w="783" w:type="pct"/>
                  <w:vMerge w:val="continue"/>
                  <w:tcBorders>
                    <w:tl2br w:val="nil"/>
                    <w:tr2bl w:val="nil"/>
                  </w:tcBorders>
                  <w:vAlign w:val="center"/>
                </w:tcPr>
                <w:p w14:paraId="3EA0BE8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2C0F1765">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ascii="Times New Roman" w:hAnsi="Times New Roman" w:cs="Times New Roman"/>
                      <w:color w:val="auto"/>
                      <w:spacing w:val="4"/>
                      <w:sz w:val="21"/>
                      <w:szCs w:val="21"/>
                    </w:rPr>
                    <w:t>氨氮</w:t>
                  </w:r>
                </w:p>
              </w:tc>
              <w:tc>
                <w:tcPr>
                  <w:tcW w:w="766" w:type="pct"/>
                  <w:vMerge w:val="continue"/>
                  <w:tcBorders>
                    <w:tl2br w:val="nil"/>
                    <w:tr2bl w:val="nil"/>
                  </w:tcBorders>
                  <w:vAlign w:val="center"/>
                </w:tcPr>
                <w:p w14:paraId="55DA0E0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01412FD1">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vMerge w:val="continue"/>
                  <w:tcBorders>
                    <w:tl2br w:val="nil"/>
                    <w:tr2bl w:val="nil"/>
                  </w:tcBorders>
                  <w:vAlign w:val="center"/>
                </w:tcPr>
                <w:p w14:paraId="53E24674">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r>
            <w:tr w14:paraId="38CF4C7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3E12DBBB">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p>
              </w:tc>
              <w:tc>
                <w:tcPr>
                  <w:tcW w:w="783" w:type="pct"/>
                  <w:vMerge w:val="continue"/>
                  <w:tcBorders>
                    <w:tl2br w:val="nil"/>
                    <w:tr2bl w:val="nil"/>
                  </w:tcBorders>
                  <w:vAlign w:val="center"/>
                </w:tcPr>
                <w:p w14:paraId="3B73ED3E">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15E67CD5">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ascii="Times New Roman" w:hAnsi="Times New Roman" w:cs="Times New Roman"/>
                      <w:color w:val="auto"/>
                      <w:sz w:val="21"/>
                      <w:szCs w:val="21"/>
                      <w:lang w:eastAsia="zh-CN"/>
                    </w:rPr>
                    <w:t>动植物油</w:t>
                  </w:r>
                </w:p>
              </w:tc>
              <w:tc>
                <w:tcPr>
                  <w:tcW w:w="766" w:type="pct"/>
                  <w:vMerge w:val="continue"/>
                  <w:tcBorders>
                    <w:tl2br w:val="nil"/>
                    <w:tr2bl w:val="nil"/>
                  </w:tcBorders>
                  <w:vAlign w:val="center"/>
                </w:tcPr>
                <w:p w14:paraId="1F997607">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38" w:type="pct"/>
                  <w:vMerge w:val="continue"/>
                  <w:tcBorders>
                    <w:tl2br w:val="nil"/>
                    <w:tr2bl w:val="nil"/>
                  </w:tcBorders>
                  <w:vAlign w:val="center"/>
                </w:tcPr>
                <w:p w14:paraId="7332BB06">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1805" w:type="pct"/>
                  <w:vMerge w:val="continue"/>
                  <w:tcBorders>
                    <w:tl2br w:val="nil"/>
                    <w:tr2bl w:val="nil"/>
                  </w:tcBorders>
                  <w:vAlign w:val="center"/>
                </w:tcPr>
                <w:p w14:paraId="2CFF3BC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r>
            <w:tr w14:paraId="3439C70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tcBorders>
                    <w:tl2br w:val="nil"/>
                    <w:tr2bl w:val="nil"/>
                  </w:tcBorders>
                  <w:vAlign w:val="center"/>
                </w:tcPr>
                <w:p w14:paraId="3286D936">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噪声</w:t>
                  </w:r>
                </w:p>
              </w:tc>
              <w:tc>
                <w:tcPr>
                  <w:tcW w:w="783" w:type="pct"/>
                  <w:tcBorders>
                    <w:tl2br w:val="nil"/>
                    <w:tr2bl w:val="nil"/>
                  </w:tcBorders>
                  <w:vAlign w:val="center"/>
                </w:tcPr>
                <w:p w14:paraId="18765164">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生产设备</w:t>
                  </w:r>
                </w:p>
              </w:tc>
              <w:tc>
                <w:tcPr>
                  <w:tcW w:w="663" w:type="pct"/>
                  <w:tcBorders>
                    <w:tl2br w:val="nil"/>
                    <w:tr2bl w:val="nil"/>
                  </w:tcBorders>
                  <w:vAlign w:val="center"/>
                </w:tcPr>
                <w:p w14:paraId="585D249C">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hint="eastAsia" w:ascii="Times New Roman" w:hAnsi="Times New Roman" w:cs="Times New Roman"/>
                      <w:color w:val="auto"/>
                      <w:spacing w:val="6"/>
                      <w:sz w:val="21"/>
                      <w:szCs w:val="21"/>
                      <w:lang w:eastAsia="zh-CN"/>
                    </w:rPr>
                    <w:t>Leq</w:t>
                  </w:r>
                </w:p>
              </w:tc>
              <w:tc>
                <w:tcPr>
                  <w:tcW w:w="766" w:type="pct"/>
                  <w:tcBorders>
                    <w:tl2br w:val="nil"/>
                    <w:tr2bl w:val="nil"/>
                  </w:tcBorders>
                  <w:vAlign w:val="center"/>
                </w:tcPr>
                <w:p w14:paraId="0D290616">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选取低噪声设备、厂房隔音、基础减振</w:t>
                  </w:r>
                </w:p>
              </w:tc>
              <w:tc>
                <w:tcPr>
                  <w:tcW w:w="738" w:type="pct"/>
                  <w:tcBorders>
                    <w:tl2br w:val="nil"/>
                    <w:tr2bl w:val="nil"/>
                  </w:tcBorders>
                  <w:vAlign w:val="center"/>
                </w:tcPr>
                <w:p w14:paraId="529F91A7">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w:t>
                  </w:r>
                </w:p>
              </w:tc>
              <w:tc>
                <w:tcPr>
                  <w:tcW w:w="1805" w:type="pct"/>
                  <w:tcBorders>
                    <w:tl2br w:val="nil"/>
                    <w:tr2bl w:val="nil"/>
                  </w:tcBorders>
                  <w:vAlign w:val="center"/>
                </w:tcPr>
                <w:p w14:paraId="36BBB1E1">
                  <w:pPr>
                    <w:widowControl/>
                    <w:spacing w:line="240" w:lineRule="auto"/>
                    <w:ind w:left="0" w:leftChars="0" w:right="0" w:rightChars="0" w:firstLine="0" w:firstLineChars="0"/>
                    <w:jc w:val="center"/>
                    <w:rPr>
                      <w:rFonts w:eastAsia="宋体" w:cs="Times New Roman"/>
                      <w:color w:val="auto"/>
                      <w:spacing w:val="-4"/>
                      <w:szCs w:val="21"/>
                      <w:lang w:eastAsia="zh-CN"/>
                    </w:rPr>
                  </w:pPr>
                  <w:r>
                    <w:rPr>
                      <w:rFonts w:hint="eastAsia" w:ascii="宋体" w:hAnsi="宋体" w:eastAsia="宋体" w:cs="宋体"/>
                      <w:color w:val="auto"/>
                      <w:szCs w:val="21"/>
                      <w:lang w:eastAsia="zh-CN" w:bidi="ar"/>
                    </w:rPr>
                    <w:t>《工业企业厂界环境噪声排放标准》（</w:t>
                  </w:r>
                  <w:r>
                    <w:rPr>
                      <w:rFonts w:eastAsia="宋体" w:cs="Times New Roman"/>
                      <w:color w:val="auto"/>
                      <w:szCs w:val="21"/>
                      <w:lang w:eastAsia="zh-CN" w:bidi="ar"/>
                    </w:rPr>
                    <w:t>GB12348-2008</w:t>
                  </w:r>
                  <w:r>
                    <w:rPr>
                      <w:rFonts w:hint="eastAsia" w:ascii="宋体" w:hAnsi="宋体" w:eastAsia="宋体" w:cs="宋体"/>
                      <w:color w:val="auto"/>
                      <w:szCs w:val="21"/>
                      <w:lang w:eastAsia="zh-CN" w:bidi="ar"/>
                    </w:rPr>
                    <w:t>）</w:t>
                  </w:r>
                  <w:r>
                    <w:rPr>
                      <w:rFonts w:eastAsia="宋体" w:cs="Times New Roman"/>
                      <w:color w:val="auto"/>
                      <w:szCs w:val="21"/>
                      <w:lang w:eastAsia="zh-CN" w:bidi="ar"/>
                    </w:rPr>
                    <w:t>3</w:t>
                  </w:r>
                  <w:r>
                    <w:rPr>
                      <w:rFonts w:hint="eastAsia" w:ascii="宋体" w:hAnsi="宋体" w:eastAsia="宋体" w:cs="宋体"/>
                      <w:color w:val="auto"/>
                      <w:szCs w:val="21"/>
                      <w:lang w:eastAsia="zh-CN" w:bidi="ar"/>
                    </w:rPr>
                    <w:t>类标准</w:t>
                  </w:r>
                </w:p>
              </w:tc>
            </w:tr>
            <w:tr w14:paraId="284A587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restart"/>
                  <w:tcBorders>
                    <w:tl2br w:val="nil"/>
                    <w:tr2bl w:val="nil"/>
                  </w:tcBorders>
                  <w:vAlign w:val="center"/>
                </w:tcPr>
                <w:p w14:paraId="3C159434">
                  <w:pPr>
                    <w:pStyle w:val="76"/>
                    <w:spacing w:line="240" w:lineRule="auto"/>
                    <w:ind w:left="0" w:leftChars="0" w:right="0" w:rightChars="0" w:firstLine="0" w:firstLineChars="0"/>
                    <w:jc w:val="center"/>
                    <w:rPr>
                      <w:rFonts w:ascii="Times New Roman" w:hAnsi="Times New Roman" w:cs="Times New Roman"/>
                      <w:b/>
                      <w:bCs/>
                      <w:color w:val="auto"/>
                      <w:spacing w:val="-4"/>
                      <w:sz w:val="21"/>
                      <w:szCs w:val="21"/>
                      <w:lang w:eastAsia="zh-CN"/>
                    </w:rPr>
                  </w:pPr>
                  <w:r>
                    <w:rPr>
                      <w:rFonts w:hint="eastAsia" w:ascii="Times New Roman" w:hAnsi="Times New Roman" w:cs="Times New Roman"/>
                      <w:b/>
                      <w:bCs/>
                      <w:color w:val="auto"/>
                      <w:spacing w:val="-4"/>
                      <w:sz w:val="21"/>
                      <w:szCs w:val="21"/>
                      <w:lang w:eastAsia="zh-CN"/>
                    </w:rPr>
                    <w:t>固体废物</w:t>
                  </w:r>
                </w:p>
              </w:tc>
              <w:tc>
                <w:tcPr>
                  <w:tcW w:w="783" w:type="pct"/>
                  <w:tcBorders>
                    <w:tl2br w:val="nil"/>
                    <w:tr2bl w:val="nil"/>
                  </w:tcBorders>
                  <w:vAlign w:val="center"/>
                </w:tcPr>
                <w:p w14:paraId="5B7A730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办公生活</w:t>
                  </w:r>
                </w:p>
              </w:tc>
              <w:tc>
                <w:tcPr>
                  <w:tcW w:w="663" w:type="pct"/>
                  <w:tcBorders>
                    <w:tl2br w:val="nil"/>
                    <w:tr2bl w:val="nil"/>
                  </w:tcBorders>
                  <w:vAlign w:val="center"/>
                </w:tcPr>
                <w:p w14:paraId="7EE51F0B">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hint="eastAsia" w:ascii="Times New Roman" w:hAnsi="Times New Roman" w:cs="Times New Roman"/>
                      <w:color w:val="auto"/>
                      <w:spacing w:val="-4"/>
                      <w:sz w:val="21"/>
                      <w:szCs w:val="21"/>
                      <w:lang w:eastAsia="zh-CN"/>
                    </w:rPr>
                    <w:t>生活垃圾</w:t>
                  </w:r>
                </w:p>
              </w:tc>
              <w:tc>
                <w:tcPr>
                  <w:tcW w:w="766" w:type="pct"/>
                  <w:tcBorders>
                    <w:tl2br w:val="nil"/>
                    <w:tr2bl w:val="nil"/>
                  </w:tcBorders>
                  <w:vAlign w:val="center"/>
                </w:tcPr>
                <w:p w14:paraId="05B5C152">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垃圾桶</w:t>
                  </w:r>
                </w:p>
              </w:tc>
              <w:tc>
                <w:tcPr>
                  <w:tcW w:w="738" w:type="pct"/>
                  <w:tcBorders>
                    <w:tl2br w:val="nil"/>
                    <w:tr2bl w:val="nil"/>
                  </w:tcBorders>
                  <w:vAlign w:val="center"/>
                </w:tcPr>
                <w:p w14:paraId="0D2156C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w:t>
                  </w:r>
                </w:p>
              </w:tc>
              <w:tc>
                <w:tcPr>
                  <w:tcW w:w="1805" w:type="pct"/>
                  <w:tcBorders>
                    <w:tl2br w:val="nil"/>
                    <w:tr2bl w:val="nil"/>
                  </w:tcBorders>
                  <w:vAlign w:val="center"/>
                </w:tcPr>
                <w:p w14:paraId="2310467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环卫部门统一清运</w:t>
                  </w:r>
                </w:p>
              </w:tc>
            </w:tr>
            <w:tr w14:paraId="4C24B0C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42BF8EB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vMerge w:val="restart"/>
                  <w:tcBorders>
                    <w:tl2br w:val="nil"/>
                    <w:tr2bl w:val="nil"/>
                  </w:tcBorders>
                  <w:vAlign w:val="center"/>
                </w:tcPr>
                <w:p w14:paraId="2D708233">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加工车间</w:t>
                  </w:r>
                </w:p>
              </w:tc>
              <w:tc>
                <w:tcPr>
                  <w:tcW w:w="663" w:type="pct"/>
                  <w:tcBorders>
                    <w:tl2br w:val="nil"/>
                    <w:tr2bl w:val="nil"/>
                  </w:tcBorders>
                  <w:vAlign w:val="center"/>
                </w:tcPr>
                <w:p w14:paraId="2EE83509">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hint="eastAsia" w:ascii="Times New Roman" w:hAnsi="Times New Roman" w:cs="Times New Roman"/>
                      <w:color w:val="auto"/>
                      <w:spacing w:val="-4"/>
                      <w:sz w:val="21"/>
                      <w:szCs w:val="21"/>
                      <w:lang w:eastAsia="zh-CN"/>
                    </w:rPr>
                    <w:t>废边角料</w:t>
                  </w:r>
                </w:p>
              </w:tc>
              <w:tc>
                <w:tcPr>
                  <w:tcW w:w="766" w:type="pct"/>
                  <w:tcBorders>
                    <w:tl2br w:val="nil"/>
                    <w:tr2bl w:val="nil"/>
                  </w:tcBorders>
                  <w:vAlign w:val="center"/>
                </w:tcPr>
                <w:p w14:paraId="0D6F0F1A">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收集桶</w:t>
                  </w:r>
                </w:p>
              </w:tc>
              <w:tc>
                <w:tcPr>
                  <w:tcW w:w="738" w:type="pct"/>
                  <w:tcBorders>
                    <w:tl2br w:val="nil"/>
                    <w:tr2bl w:val="nil"/>
                  </w:tcBorders>
                  <w:vAlign w:val="center"/>
                </w:tcPr>
                <w:p w14:paraId="0088D318">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w:t>
                  </w:r>
                </w:p>
              </w:tc>
              <w:tc>
                <w:tcPr>
                  <w:tcW w:w="1805" w:type="pct"/>
                  <w:tcBorders>
                    <w:tl2br w:val="nil"/>
                    <w:tr2bl w:val="nil"/>
                  </w:tcBorders>
                  <w:vAlign w:val="center"/>
                </w:tcPr>
                <w:p w14:paraId="60E0B0B4">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外售综合利用</w:t>
                  </w:r>
                </w:p>
              </w:tc>
            </w:tr>
            <w:tr w14:paraId="7985518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7DAD5801">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vMerge w:val="continue"/>
                  <w:tcBorders>
                    <w:tl2br w:val="nil"/>
                    <w:tr2bl w:val="nil"/>
                  </w:tcBorders>
                  <w:vAlign w:val="center"/>
                </w:tcPr>
                <w:p w14:paraId="5741D2E9">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2D051903">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hint="eastAsia" w:ascii="Times New Roman" w:hAnsi="Times New Roman" w:cs="Times New Roman"/>
                      <w:color w:val="auto"/>
                      <w:spacing w:val="-4"/>
                      <w:sz w:val="21"/>
                      <w:szCs w:val="21"/>
                      <w:lang w:eastAsia="zh-CN"/>
                    </w:rPr>
                    <w:t>除尘器收集粉尘</w:t>
                  </w:r>
                </w:p>
              </w:tc>
              <w:tc>
                <w:tcPr>
                  <w:tcW w:w="766" w:type="pct"/>
                  <w:tcBorders>
                    <w:tl2br w:val="nil"/>
                    <w:tr2bl w:val="nil"/>
                  </w:tcBorders>
                  <w:vAlign w:val="center"/>
                </w:tcPr>
                <w:p w14:paraId="29B63D81">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收集桶</w:t>
                  </w:r>
                </w:p>
              </w:tc>
              <w:tc>
                <w:tcPr>
                  <w:tcW w:w="738" w:type="pct"/>
                  <w:tcBorders>
                    <w:tl2br w:val="nil"/>
                    <w:tr2bl w:val="nil"/>
                  </w:tcBorders>
                  <w:vAlign w:val="center"/>
                </w:tcPr>
                <w:p w14:paraId="5A62EA12">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w:t>
                  </w:r>
                </w:p>
              </w:tc>
              <w:tc>
                <w:tcPr>
                  <w:tcW w:w="1805" w:type="pct"/>
                  <w:tcBorders>
                    <w:tl2br w:val="nil"/>
                    <w:tr2bl w:val="nil"/>
                  </w:tcBorders>
                  <w:vAlign w:val="center"/>
                </w:tcPr>
                <w:p w14:paraId="6CFE469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回收利用</w:t>
                  </w:r>
                </w:p>
              </w:tc>
            </w:tr>
            <w:tr w14:paraId="0158D1B1">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15614740">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vMerge w:val="continue"/>
                  <w:tcBorders>
                    <w:tl2br w:val="nil"/>
                    <w:tr2bl w:val="nil"/>
                  </w:tcBorders>
                  <w:vAlign w:val="center"/>
                </w:tcPr>
                <w:p w14:paraId="3CAECF4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1CA4DC38">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hint="eastAsia" w:ascii="Times New Roman" w:hAnsi="Times New Roman" w:cs="Times New Roman"/>
                      <w:color w:val="auto"/>
                      <w:spacing w:val="-4"/>
                      <w:sz w:val="21"/>
                      <w:szCs w:val="21"/>
                      <w:lang w:eastAsia="zh-CN"/>
                    </w:rPr>
                    <w:t>员工食堂废油脂</w:t>
                  </w:r>
                </w:p>
              </w:tc>
              <w:tc>
                <w:tcPr>
                  <w:tcW w:w="766" w:type="pct"/>
                  <w:tcBorders>
                    <w:tl2br w:val="nil"/>
                    <w:tr2bl w:val="nil"/>
                  </w:tcBorders>
                  <w:vAlign w:val="center"/>
                </w:tcPr>
                <w:p w14:paraId="2E5B72FD">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收集桶</w:t>
                  </w:r>
                </w:p>
              </w:tc>
              <w:tc>
                <w:tcPr>
                  <w:tcW w:w="738" w:type="pct"/>
                  <w:tcBorders>
                    <w:tl2br w:val="nil"/>
                    <w:tr2bl w:val="nil"/>
                  </w:tcBorders>
                  <w:vAlign w:val="center"/>
                </w:tcPr>
                <w:p w14:paraId="72F16625">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w:t>
                  </w:r>
                </w:p>
              </w:tc>
              <w:tc>
                <w:tcPr>
                  <w:tcW w:w="1805" w:type="pct"/>
                  <w:tcBorders>
                    <w:tl2br w:val="nil"/>
                    <w:tr2bl w:val="nil"/>
                  </w:tcBorders>
                  <w:vAlign w:val="center"/>
                </w:tcPr>
                <w:p w14:paraId="2D3C70D3">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西安市环科废油脂利用有限公司收集处置</w:t>
                  </w:r>
                </w:p>
              </w:tc>
            </w:tr>
            <w:tr w14:paraId="10DE60A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2" w:type="pct"/>
                  <w:vMerge w:val="continue"/>
                  <w:tcBorders>
                    <w:tl2br w:val="nil"/>
                    <w:tr2bl w:val="nil"/>
                  </w:tcBorders>
                  <w:vAlign w:val="center"/>
                </w:tcPr>
                <w:p w14:paraId="68EBC8EA">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783" w:type="pct"/>
                  <w:vMerge w:val="continue"/>
                  <w:tcBorders>
                    <w:tl2br w:val="nil"/>
                    <w:tr2bl w:val="nil"/>
                  </w:tcBorders>
                  <w:vAlign w:val="center"/>
                </w:tcPr>
                <w:p w14:paraId="65A0A25C">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p>
              </w:tc>
              <w:tc>
                <w:tcPr>
                  <w:tcW w:w="663" w:type="pct"/>
                  <w:tcBorders>
                    <w:tl2br w:val="nil"/>
                    <w:tr2bl w:val="nil"/>
                  </w:tcBorders>
                  <w:vAlign w:val="center"/>
                </w:tcPr>
                <w:p w14:paraId="33580FAC">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hint="eastAsia" w:ascii="Times New Roman" w:hAnsi="Times New Roman" w:cs="Times New Roman"/>
                      <w:color w:val="auto"/>
                      <w:spacing w:val="-4"/>
                      <w:sz w:val="21"/>
                      <w:szCs w:val="21"/>
                      <w:lang w:eastAsia="zh-CN"/>
                    </w:rPr>
                    <w:t>废活性炭</w:t>
                  </w:r>
                </w:p>
              </w:tc>
              <w:tc>
                <w:tcPr>
                  <w:tcW w:w="766" w:type="pct"/>
                  <w:tcBorders>
                    <w:tl2br w:val="nil"/>
                    <w:tr2bl w:val="nil"/>
                  </w:tcBorders>
                  <w:vAlign w:val="center"/>
                </w:tcPr>
                <w:p w14:paraId="22B834C8">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密闭包装</w:t>
                  </w:r>
                </w:p>
              </w:tc>
              <w:tc>
                <w:tcPr>
                  <w:tcW w:w="738" w:type="pct"/>
                  <w:tcBorders>
                    <w:tl2br w:val="nil"/>
                    <w:tr2bl w:val="nil"/>
                  </w:tcBorders>
                  <w:vAlign w:val="center"/>
                </w:tcPr>
                <w:p w14:paraId="0499E0D2">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w:t>
                  </w:r>
                </w:p>
              </w:tc>
              <w:tc>
                <w:tcPr>
                  <w:tcW w:w="1805" w:type="pct"/>
                  <w:tcBorders>
                    <w:tl2br w:val="nil"/>
                    <w:tr2bl w:val="nil"/>
                  </w:tcBorders>
                  <w:vAlign w:val="center"/>
                </w:tcPr>
                <w:p w14:paraId="2EA57D2A">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陕西明瑞资源再生有限公司处理</w:t>
                  </w:r>
                </w:p>
              </w:tc>
            </w:tr>
          </w:tbl>
          <w:p w14:paraId="74C13BA6">
            <w:pPr>
              <w:pStyle w:val="76"/>
              <w:ind w:left="0" w:leftChars="0" w:right="0" w:rightChars="0" w:firstLine="464"/>
              <w:jc w:val="both"/>
              <w:rPr>
                <w:rFonts w:ascii="Times New Roman" w:hAnsi="Times New Roman" w:cs="Times New Roman"/>
                <w:color w:val="auto"/>
                <w:spacing w:val="-4"/>
                <w:lang w:eastAsia="zh-CN"/>
              </w:rPr>
            </w:pPr>
            <w:r>
              <w:rPr>
                <w:rFonts w:hint="eastAsia" w:ascii="Times New Roman" w:hAnsi="Times New Roman" w:cs="Times New Roman"/>
                <w:color w:val="auto"/>
                <w:spacing w:val="-4"/>
                <w:lang w:eastAsia="zh-CN"/>
              </w:rPr>
              <w:t>根据企业提供2023年度自行监测报告（见附件5），现有项目废气、废水、厂界噪声排放情况见下表。</w:t>
            </w:r>
          </w:p>
          <w:p w14:paraId="557F37EE">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表2-13   现有项目废气污染物排放总量一览表</w:t>
            </w:r>
          </w:p>
          <w:tbl>
            <w:tblPr>
              <w:tblStyle w:val="36"/>
              <w:tblW w:w="4998"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86"/>
              <w:gridCol w:w="1221"/>
              <w:gridCol w:w="1222"/>
              <w:gridCol w:w="1083"/>
              <w:gridCol w:w="1184"/>
              <w:gridCol w:w="1426"/>
              <w:gridCol w:w="1111"/>
            </w:tblGrid>
            <w:tr w14:paraId="2D75731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62" w:hRule="atLeast"/>
                <w:jc w:val="center"/>
              </w:trPr>
              <w:tc>
                <w:tcPr>
                  <w:tcW w:w="803" w:type="pct"/>
                  <w:vMerge w:val="restart"/>
                  <w:tcBorders>
                    <w:tl2br w:val="nil"/>
                    <w:tr2bl w:val="nil"/>
                  </w:tcBorders>
                  <w:vAlign w:val="center"/>
                </w:tcPr>
                <w:p w14:paraId="77D80895">
                  <w:pPr>
                    <w:pStyle w:val="76"/>
                    <w:spacing w:line="240" w:lineRule="auto"/>
                    <w:ind w:left="0" w:leftChars="0" w:right="0" w:rightChars="0" w:firstLine="0" w:firstLineChars="0"/>
                    <w:jc w:val="center"/>
                    <w:rPr>
                      <w:rFonts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污染物排放口</w:t>
                  </w:r>
                </w:p>
              </w:tc>
              <w:tc>
                <w:tcPr>
                  <w:tcW w:w="707" w:type="pct"/>
                  <w:vMerge w:val="restart"/>
                  <w:tcBorders>
                    <w:tl2br w:val="nil"/>
                    <w:tr2bl w:val="nil"/>
                  </w:tcBorders>
                  <w:vAlign w:val="center"/>
                </w:tcPr>
                <w:p w14:paraId="43FB2CAA">
                  <w:pPr>
                    <w:pStyle w:val="76"/>
                    <w:spacing w:line="240" w:lineRule="auto"/>
                    <w:ind w:left="0" w:leftChars="0" w:right="0" w:righ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pacing w:val="8"/>
                      <w:sz w:val="21"/>
                      <w:szCs w:val="21"/>
                    </w:rPr>
                    <w:t>污染物名称</w:t>
                  </w:r>
                </w:p>
              </w:tc>
              <w:tc>
                <w:tcPr>
                  <w:tcW w:w="708" w:type="pct"/>
                  <w:vMerge w:val="restart"/>
                  <w:tcBorders>
                    <w:tl2br w:val="nil"/>
                    <w:tr2bl w:val="nil"/>
                  </w:tcBorders>
                  <w:vAlign w:val="center"/>
                </w:tcPr>
                <w:p w14:paraId="3BEA98F2">
                  <w:pPr>
                    <w:pStyle w:val="76"/>
                    <w:spacing w:line="240" w:lineRule="auto"/>
                    <w:ind w:left="0" w:leftChars="0" w:right="0" w:rightChars="0" w:firstLine="0" w:firstLineChars="0"/>
                    <w:jc w:val="center"/>
                    <w:rPr>
                      <w:rFonts w:ascii="Times New Roman" w:hAnsi="Times New Roman" w:cs="Times New Roman"/>
                      <w:b/>
                      <w:bCs/>
                      <w:color w:val="auto"/>
                      <w:sz w:val="21"/>
                      <w:szCs w:val="21"/>
                      <w:lang w:eastAsia="zh-CN"/>
                    </w:rPr>
                  </w:pPr>
                  <w:r>
                    <w:rPr>
                      <w:rFonts w:ascii="Times New Roman" w:hAnsi="Times New Roman" w:cs="Times New Roman"/>
                      <w:b/>
                      <w:bCs/>
                      <w:color w:val="auto"/>
                      <w:spacing w:val="8"/>
                      <w:sz w:val="21"/>
                      <w:szCs w:val="21"/>
                    </w:rPr>
                    <w:t>排放浓度</w:t>
                  </w:r>
                  <w:r>
                    <w:rPr>
                      <w:rFonts w:hint="eastAsia" w:ascii="Times New Roman" w:hAnsi="Times New Roman" w:cs="Times New Roman"/>
                      <w:b/>
                      <w:bCs/>
                      <w:color w:val="auto"/>
                      <w:spacing w:val="8"/>
                      <w:sz w:val="21"/>
                      <w:szCs w:val="21"/>
                      <w:lang w:eastAsia="zh-CN"/>
                    </w:rPr>
                    <w:t>（</w:t>
                  </w:r>
                  <w:r>
                    <w:rPr>
                      <w:rFonts w:hint="eastAsia" w:ascii="Times New Roman" w:hAnsi="Times New Roman" w:cs="Times New Roman"/>
                      <w:b/>
                      <w:bCs/>
                      <w:color w:val="auto"/>
                      <w:spacing w:val="5"/>
                      <w:sz w:val="21"/>
                      <w:szCs w:val="21"/>
                      <w:lang w:eastAsia="zh-CN"/>
                    </w:rPr>
                    <w:t>mg/m</w:t>
                  </w:r>
                  <w:r>
                    <w:rPr>
                      <w:rFonts w:hint="eastAsia" w:ascii="Times New Roman" w:hAnsi="Times New Roman" w:cs="Times New Roman"/>
                      <w:b/>
                      <w:bCs/>
                      <w:color w:val="auto"/>
                      <w:spacing w:val="5"/>
                      <w:sz w:val="21"/>
                      <w:szCs w:val="21"/>
                      <w:vertAlign w:val="superscript"/>
                      <w:lang w:eastAsia="zh-CN"/>
                    </w:rPr>
                    <w:t>3</w:t>
                  </w:r>
                  <w:r>
                    <w:rPr>
                      <w:rFonts w:hint="eastAsia" w:ascii="Times New Roman" w:hAnsi="Times New Roman" w:cs="Times New Roman"/>
                      <w:b/>
                      <w:bCs/>
                      <w:color w:val="auto"/>
                      <w:spacing w:val="8"/>
                      <w:sz w:val="21"/>
                      <w:szCs w:val="21"/>
                      <w:lang w:eastAsia="zh-CN"/>
                    </w:rPr>
                    <w:t>）</w:t>
                  </w:r>
                </w:p>
              </w:tc>
              <w:tc>
                <w:tcPr>
                  <w:tcW w:w="627" w:type="pct"/>
                  <w:vMerge w:val="restart"/>
                  <w:tcBorders>
                    <w:tl2br w:val="nil"/>
                    <w:tr2bl w:val="nil"/>
                  </w:tcBorders>
                  <w:vAlign w:val="center"/>
                </w:tcPr>
                <w:p w14:paraId="34DCEE4C">
                  <w:pPr>
                    <w:pStyle w:val="76"/>
                    <w:spacing w:line="240" w:lineRule="auto"/>
                    <w:ind w:left="0" w:leftChars="0" w:right="0" w:rightChars="0" w:firstLine="0" w:firstLineChars="0"/>
                    <w:jc w:val="center"/>
                    <w:rPr>
                      <w:rFonts w:ascii="Times New Roman" w:hAnsi="Times New Roman" w:cs="Times New Roman"/>
                      <w:b/>
                      <w:bCs/>
                      <w:color w:val="auto"/>
                      <w:spacing w:val="5"/>
                      <w:sz w:val="21"/>
                      <w:szCs w:val="21"/>
                      <w:lang w:eastAsia="zh-CN"/>
                    </w:rPr>
                  </w:pPr>
                  <w:r>
                    <w:rPr>
                      <w:rFonts w:hint="eastAsia" w:ascii="Times New Roman" w:hAnsi="Times New Roman" w:cs="Times New Roman"/>
                      <w:b/>
                      <w:bCs/>
                      <w:color w:val="auto"/>
                      <w:spacing w:val="5"/>
                      <w:sz w:val="21"/>
                      <w:szCs w:val="21"/>
                      <w:lang w:eastAsia="zh-CN"/>
                    </w:rPr>
                    <w:t>排放速率（kg/h）</w:t>
                  </w:r>
                </w:p>
              </w:tc>
              <w:tc>
                <w:tcPr>
                  <w:tcW w:w="1512" w:type="pct"/>
                  <w:gridSpan w:val="2"/>
                  <w:tcBorders>
                    <w:tl2br w:val="nil"/>
                    <w:tr2bl w:val="nil"/>
                  </w:tcBorders>
                  <w:vAlign w:val="center"/>
                </w:tcPr>
                <w:p w14:paraId="2BFD3C9C">
                  <w:pPr>
                    <w:pStyle w:val="76"/>
                    <w:spacing w:line="240" w:lineRule="auto"/>
                    <w:ind w:left="0" w:leftChars="0" w:right="0" w:rightChars="0" w:firstLine="0" w:firstLineChars="0"/>
                    <w:jc w:val="center"/>
                    <w:rPr>
                      <w:rFonts w:ascii="Times New Roman" w:hAnsi="Times New Roman" w:cs="Times New Roman"/>
                      <w:b/>
                      <w:bCs/>
                      <w:color w:val="auto"/>
                      <w:spacing w:val="5"/>
                      <w:sz w:val="21"/>
                      <w:szCs w:val="21"/>
                      <w:lang w:eastAsia="zh-CN"/>
                    </w:rPr>
                  </w:pPr>
                  <w:r>
                    <w:rPr>
                      <w:rFonts w:ascii="Times New Roman" w:hAnsi="Times New Roman" w:cs="Times New Roman"/>
                      <w:b/>
                      <w:bCs/>
                      <w:color w:val="auto"/>
                      <w:spacing w:val="5"/>
                      <w:sz w:val="21"/>
                      <w:szCs w:val="21"/>
                      <w:lang w:eastAsia="zh-CN"/>
                    </w:rPr>
                    <w:t>标准限值</w:t>
                  </w:r>
                </w:p>
              </w:tc>
              <w:tc>
                <w:tcPr>
                  <w:tcW w:w="641" w:type="pct"/>
                  <w:vMerge w:val="restart"/>
                  <w:tcBorders>
                    <w:tl2br w:val="nil"/>
                    <w:tr2bl w:val="nil"/>
                  </w:tcBorders>
                  <w:vAlign w:val="center"/>
                </w:tcPr>
                <w:p w14:paraId="01771D8C">
                  <w:pPr>
                    <w:pStyle w:val="76"/>
                    <w:spacing w:line="240" w:lineRule="auto"/>
                    <w:ind w:left="0" w:leftChars="0" w:right="0" w:rightChars="0" w:firstLine="0" w:firstLineChars="0"/>
                    <w:jc w:val="center"/>
                    <w:rPr>
                      <w:rFonts w:ascii="Times New Roman" w:hAnsi="Times New Roman" w:cs="Times New Roman"/>
                      <w:b/>
                      <w:bCs/>
                      <w:color w:val="auto"/>
                      <w:sz w:val="21"/>
                      <w:szCs w:val="21"/>
                    </w:rPr>
                  </w:pPr>
                  <w:r>
                    <w:rPr>
                      <w:rFonts w:hint="eastAsia" w:ascii="Times New Roman" w:hAnsi="Times New Roman" w:cs="Times New Roman"/>
                      <w:b/>
                      <w:bCs/>
                      <w:color w:val="auto"/>
                      <w:spacing w:val="5"/>
                      <w:sz w:val="21"/>
                      <w:szCs w:val="21"/>
                      <w:lang w:eastAsia="zh-CN"/>
                    </w:rPr>
                    <w:t>年</w:t>
                  </w:r>
                  <w:r>
                    <w:rPr>
                      <w:rFonts w:ascii="Times New Roman" w:hAnsi="Times New Roman" w:cs="Times New Roman"/>
                      <w:b/>
                      <w:bCs/>
                      <w:color w:val="auto"/>
                      <w:spacing w:val="5"/>
                      <w:sz w:val="21"/>
                      <w:szCs w:val="21"/>
                    </w:rPr>
                    <w:t>排放量（t/a）</w:t>
                  </w:r>
                </w:p>
              </w:tc>
            </w:tr>
            <w:tr w14:paraId="0757ED5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62" w:hRule="atLeast"/>
                <w:jc w:val="center"/>
              </w:trPr>
              <w:tc>
                <w:tcPr>
                  <w:tcW w:w="803" w:type="pct"/>
                  <w:vMerge w:val="continue"/>
                  <w:tcBorders>
                    <w:tl2br w:val="nil"/>
                    <w:tr2bl w:val="nil"/>
                  </w:tcBorders>
                  <w:vAlign w:val="center"/>
                </w:tcPr>
                <w:p w14:paraId="35506744">
                  <w:pPr>
                    <w:pStyle w:val="76"/>
                    <w:spacing w:line="240" w:lineRule="auto"/>
                    <w:ind w:left="0" w:leftChars="0" w:right="0" w:rightChars="0" w:firstLine="0" w:firstLineChars="0"/>
                    <w:jc w:val="center"/>
                    <w:rPr>
                      <w:color w:val="auto"/>
                    </w:rPr>
                  </w:pPr>
                </w:p>
              </w:tc>
              <w:tc>
                <w:tcPr>
                  <w:tcW w:w="707" w:type="pct"/>
                  <w:vMerge w:val="continue"/>
                  <w:tcBorders>
                    <w:tl2br w:val="nil"/>
                    <w:tr2bl w:val="nil"/>
                  </w:tcBorders>
                  <w:vAlign w:val="center"/>
                </w:tcPr>
                <w:p w14:paraId="1FC18491">
                  <w:pPr>
                    <w:pStyle w:val="76"/>
                    <w:spacing w:line="240" w:lineRule="auto"/>
                    <w:ind w:left="0" w:leftChars="0" w:right="0" w:rightChars="0" w:firstLine="0" w:firstLineChars="0"/>
                    <w:jc w:val="center"/>
                    <w:rPr>
                      <w:color w:val="auto"/>
                    </w:rPr>
                  </w:pPr>
                </w:p>
              </w:tc>
              <w:tc>
                <w:tcPr>
                  <w:tcW w:w="708" w:type="pct"/>
                  <w:vMerge w:val="continue"/>
                  <w:tcBorders>
                    <w:tl2br w:val="nil"/>
                    <w:tr2bl w:val="nil"/>
                  </w:tcBorders>
                  <w:vAlign w:val="center"/>
                </w:tcPr>
                <w:p w14:paraId="6DB0C942">
                  <w:pPr>
                    <w:pStyle w:val="76"/>
                    <w:spacing w:line="240" w:lineRule="auto"/>
                    <w:ind w:left="0" w:leftChars="0" w:right="0" w:rightChars="0" w:firstLine="0" w:firstLineChars="0"/>
                    <w:jc w:val="center"/>
                    <w:rPr>
                      <w:color w:val="auto"/>
                    </w:rPr>
                  </w:pPr>
                </w:p>
              </w:tc>
              <w:tc>
                <w:tcPr>
                  <w:tcW w:w="627" w:type="pct"/>
                  <w:vMerge w:val="continue"/>
                  <w:tcBorders>
                    <w:tl2br w:val="nil"/>
                    <w:tr2bl w:val="nil"/>
                  </w:tcBorders>
                  <w:vAlign w:val="center"/>
                </w:tcPr>
                <w:p w14:paraId="74C366BB">
                  <w:pPr>
                    <w:pStyle w:val="76"/>
                    <w:spacing w:line="240" w:lineRule="auto"/>
                    <w:ind w:left="0" w:leftChars="0" w:right="0" w:rightChars="0" w:firstLine="0" w:firstLineChars="0"/>
                    <w:jc w:val="center"/>
                    <w:rPr>
                      <w:color w:val="auto"/>
                    </w:rPr>
                  </w:pPr>
                </w:p>
              </w:tc>
              <w:tc>
                <w:tcPr>
                  <w:tcW w:w="686" w:type="pct"/>
                  <w:tcBorders>
                    <w:tl2br w:val="nil"/>
                    <w:tr2bl w:val="nil"/>
                  </w:tcBorders>
                  <w:vAlign w:val="center"/>
                </w:tcPr>
                <w:p w14:paraId="11D4A5A4">
                  <w:pPr>
                    <w:pStyle w:val="76"/>
                    <w:spacing w:line="240" w:lineRule="auto"/>
                    <w:ind w:left="0" w:leftChars="0" w:right="0" w:rightChars="0" w:firstLine="0" w:firstLineChars="0"/>
                    <w:jc w:val="center"/>
                    <w:rPr>
                      <w:color w:val="auto"/>
                    </w:rPr>
                  </w:pPr>
                  <w:r>
                    <w:rPr>
                      <w:rFonts w:ascii="Times New Roman" w:hAnsi="Times New Roman" w:cs="Times New Roman"/>
                      <w:b/>
                      <w:bCs/>
                      <w:color w:val="auto"/>
                      <w:spacing w:val="8"/>
                      <w:sz w:val="21"/>
                      <w:szCs w:val="21"/>
                    </w:rPr>
                    <w:t>排放浓度</w:t>
                  </w:r>
                  <w:r>
                    <w:rPr>
                      <w:rFonts w:hint="eastAsia" w:ascii="Times New Roman" w:hAnsi="Times New Roman" w:cs="Times New Roman"/>
                      <w:b/>
                      <w:bCs/>
                      <w:color w:val="auto"/>
                      <w:spacing w:val="8"/>
                      <w:sz w:val="21"/>
                      <w:szCs w:val="21"/>
                      <w:lang w:eastAsia="zh-CN"/>
                    </w:rPr>
                    <w:t>（</w:t>
                  </w:r>
                  <w:r>
                    <w:rPr>
                      <w:rFonts w:hint="eastAsia" w:ascii="Times New Roman" w:hAnsi="Times New Roman" w:cs="Times New Roman"/>
                      <w:b/>
                      <w:bCs/>
                      <w:color w:val="auto"/>
                      <w:spacing w:val="5"/>
                      <w:sz w:val="21"/>
                      <w:szCs w:val="21"/>
                      <w:lang w:eastAsia="zh-CN"/>
                    </w:rPr>
                    <w:t>mg/m</w:t>
                  </w:r>
                  <w:r>
                    <w:rPr>
                      <w:rFonts w:hint="eastAsia" w:ascii="Times New Roman" w:hAnsi="Times New Roman" w:cs="Times New Roman"/>
                      <w:b/>
                      <w:bCs/>
                      <w:color w:val="auto"/>
                      <w:spacing w:val="5"/>
                      <w:sz w:val="21"/>
                      <w:szCs w:val="21"/>
                      <w:vertAlign w:val="superscript"/>
                      <w:lang w:eastAsia="zh-CN"/>
                    </w:rPr>
                    <w:t>3</w:t>
                  </w:r>
                  <w:r>
                    <w:rPr>
                      <w:rFonts w:hint="eastAsia" w:ascii="Times New Roman" w:hAnsi="Times New Roman" w:cs="Times New Roman"/>
                      <w:b/>
                      <w:bCs/>
                      <w:color w:val="auto"/>
                      <w:spacing w:val="8"/>
                      <w:sz w:val="21"/>
                      <w:szCs w:val="21"/>
                      <w:lang w:eastAsia="zh-CN"/>
                    </w:rPr>
                    <w:t>）</w:t>
                  </w:r>
                </w:p>
              </w:tc>
              <w:tc>
                <w:tcPr>
                  <w:tcW w:w="826" w:type="pct"/>
                  <w:tcBorders>
                    <w:tl2br w:val="nil"/>
                    <w:tr2bl w:val="nil"/>
                  </w:tcBorders>
                  <w:vAlign w:val="center"/>
                </w:tcPr>
                <w:p w14:paraId="7A77F611">
                  <w:pPr>
                    <w:pStyle w:val="76"/>
                    <w:spacing w:line="240" w:lineRule="auto"/>
                    <w:ind w:left="0" w:leftChars="0" w:right="0" w:rightChars="0" w:firstLine="0" w:firstLineChars="0"/>
                    <w:jc w:val="center"/>
                    <w:rPr>
                      <w:color w:val="auto"/>
                    </w:rPr>
                  </w:pPr>
                  <w:r>
                    <w:rPr>
                      <w:rFonts w:hint="eastAsia" w:ascii="Times New Roman" w:hAnsi="Times New Roman" w:cs="Times New Roman"/>
                      <w:b/>
                      <w:bCs/>
                      <w:color w:val="auto"/>
                      <w:spacing w:val="5"/>
                      <w:sz w:val="21"/>
                      <w:szCs w:val="21"/>
                      <w:lang w:eastAsia="zh-CN"/>
                    </w:rPr>
                    <w:t>排放速率（kg/h）</w:t>
                  </w:r>
                </w:p>
              </w:tc>
              <w:tc>
                <w:tcPr>
                  <w:tcW w:w="641" w:type="pct"/>
                  <w:vMerge w:val="continue"/>
                  <w:tcBorders>
                    <w:tl2br w:val="nil"/>
                    <w:tr2bl w:val="nil"/>
                  </w:tcBorders>
                  <w:vAlign w:val="center"/>
                </w:tcPr>
                <w:p w14:paraId="66B8EB55">
                  <w:pPr>
                    <w:pStyle w:val="76"/>
                    <w:spacing w:line="240" w:lineRule="auto"/>
                    <w:ind w:left="0" w:leftChars="0" w:right="0" w:rightChars="0" w:firstLine="0" w:firstLineChars="0"/>
                    <w:jc w:val="center"/>
                    <w:rPr>
                      <w:color w:val="auto"/>
                    </w:rPr>
                  </w:pPr>
                </w:p>
              </w:tc>
            </w:tr>
            <w:tr w14:paraId="23429B7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3" w:type="pct"/>
                  <w:tcBorders>
                    <w:tl2br w:val="nil"/>
                    <w:tr2bl w:val="nil"/>
                  </w:tcBorders>
                  <w:vAlign w:val="center"/>
                </w:tcPr>
                <w:p w14:paraId="6A394A58">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切割及下料</w:t>
                  </w:r>
                </w:p>
                <w:p w14:paraId="5C68417A">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4"/>
                      <w:sz w:val="21"/>
                      <w:szCs w:val="21"/>
                      <w:lang w:eastAsia="zh-CN"/>
                    </w:rPr>
                    <w:t>废气排气筒</w:t>
                  </w:r>
                </w:p>
              </w:tc>
              <w:tc>
                <w:tcPr>
                  <w:tcW w:w="707" w:type="pct"/>
                  <w:tcBorders>
                    <w:tl2br w:val="nil"/>
                    <w:tr2bl w:val="nil"/>
                  </w:tcBorders>
                  <w:vAlign w:val="center"/>
                </w:tcPr>
                <w:p w14:paraId="0D4F1399">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颗粒物</w:t>
                  </w:r>
                </w:p>
              </w:tc>
              <w:tc>
                <w:tcPr>
                  <w:tcW w:w="708" w:type="pct"/>
                  <w:tcBorders>
                    <w:tl2br w:val="nil"/>
                    <w:tr2bl w:val="nil"/>
                  </w:tcBorders>
                  <w:vAlign w:val="center"/>
                </w:tcPr>
                <w:p w14:paraId="21438F67">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9.07</w:t>
                  </w:r>
                </w:p>
              </w:tc>
              <w:tc>
                <w:tcPr>
                  <w:tcW w:w="627" w:type="pct"/>
                  <w:tcBorders>
                    <w:tl2br w:val="nil"/>
                    <w:tr2bl w:val="nil"/>
                  </w:tcBorders>
                  <w:vAlign w:val="center"/>
                </w:tcPr>
                <w:p w14:paraId="6BF57E62">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0.014</w:t>
                  </w:r>
                </w:p>
              </w:tc>
              <w:tc>
                <w:tcPr>
                  <w:tcW w:w="686" w:type="pct"/>
                  <w:tcBorders>
                    <w:tl2br w:val="nil"/>
                    <w:tr2bl w:val="nil"/>
                  </w:tcBorders>
                  <w:vAlign w:val="center"/>
                </w:tcPr>
                <w:p w14:paraId="1E95CC34">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120</w:t>
                  </w:r>
                </w:p>
              </w:tc>
              <w:tc>
                <w:tcPr>
                  <w:tcW w:w="826" w:type="pct"/>
                  <w:tcBorders>
                    <w:tl2br w:val="nil"/>
                    <w:tr2bl w:val="nil"/>
                  </w:tcBorders>
                  <w:vAlign w:val="center"/>
                </w:tcPr>
                <w:p w14:paraId="711089B8">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3.5</w:t>
                  </w:r>
                </w:p>
              </w:tc>
              <w:tc>
                <w:tcPr>
                  <w:tcW w:w="1111" w:type="dxa"/>
                  <w:tcBorders>
                    <w:tl2br w:val="nil"/>
                    <w:tr2bl w:val="nil"/>
                  </w:tcBorders>
                  <w:vAlign w:val="center"/>
                </w:tcPr>
                <w:p w14:paraId="032BF8A0">
                  <w:pPr>
                    <w:widowControl/>
                    <w:spacing w:line="240" w:lineRule="auto"/>
                    <w:ind w:left="0" w:leftChars="0" w:right="0" w:rightChars="0" w:firstLine="0" w:firstLineChars="0"/>
                    <w:jc w:val="center"/>
                    <w:textAlignment w:val="center"/>
                    <w:rPr>
                      <w:rFonts w:eastAsia="宋体" w:cs="Times New Roman"/>
                      <w:color w:val="auto"/>
                      <w:spacing w:val="5"/>
                      <w:szCs w:val="21"/>
                    </w:rPr>
                  </w:pPr>
                  <w:r>
                    <w:rPr>
                      <w:rFonts w:eastAsia="宋体" w:cs="Times New Roman"/>
                      <w:color w:val="auto"/>
                      <w:szCs w:val="21"/>
                      <w:lang w:eastAsia="zh-CN" w:bidi="ar"/>
                    </w:rPr>
                    <w:t>0.0336</w:t>
                  </w:r>
                </w:p>
              </w:tc>
            </w:tr>
            <w:tr w14:paraId="34F7705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3" w:type="pct"/>
                  <w:tcBorders>
                    <w:tl2br w:val="nil"/>
                    <w:tr2bl w:val="nil"/>
                  </w:tcBorders>
                  <w:vAlign w:val="center"/>
                </w:tcPr>
                <w:p w14:paraId="4047D3D5">
                  <w:pPr>
                    <w:pStyle w:val="76"/>
                    <w:spacing w:line="240" w:lineRule="auto"/>
                    <w:ind w:left="0" w:leftChars="0" w:right="0" w:rightChars="0" w:firstLine="0" w:firstLineChars="0"/>
                    <w:jc w:val="center"/>
                    <w:rPr>
                      <w:rFonts w:hint="default" w:ascii="Times New Roman" w:hAnsi="Times New Roman" w:cs="Times New Roman"/>
                      <w:color w:val="auto"/>
                      <w:spacing w:val="-4"/>
                      <w:sz w:val="21"/>
                      <w:szCs w:val="21"/>
                      <w:lang w:val="en-US" w:eastAsia="zh-CN"/>
                    </w:rPr>
                  </w:pPr>
                  <w:r>
                    <w:rPr>
                      <w:rFonts w:hint="eastAsia" w:ascii="Times New Roman" w:hAnsi="Times New Roman" w:cs="Times New Roman"/>
                      <w:color w:val="auto"/>
                      <w:spacing w:val="-4"/>
                      <w:sz w:val="21"/>
                      <w:szCs w:val="21"/>
                      <w:lang w:eastAsia="zh-CN"/>
                    </w:rPr>
                    <w:t>喷涂</w:t>
                  </w:r>
                  <w:r>
                    <w:rPr>
                      <w:rFonts w:hint="eastAsia" w:ascii="Times New Roman" w:hAnsi="Times New Roman" w:cs="Times New Roman"/>
                      <w:color w:val="auto"/>
                      <w:spacing w:val="-4"/>
                      <w:sz w:val="21"/>
                      <w:szCs w:val="21"/>
                      <w:lang w:val="en-US" w:eastAsia="zh-CN"/>
                    </w:rPr>
                    <w:t>粉尘</w:t>
                  </w:r>
                </w:p>
                <w:p w14:paraId="5FE04586">
                  <w:pPr>
                    <w:pStyle w:val="76"/>
                    <w:spacing w:line="240" w:lineRule="auto"/>
                    <w:ind w:left="0" w:leftChars="0" w:right="0" w:rightChars="0" w:firstLine="0" w:firstLineChars="0"/>
                    <w:jc w:val="center"/>
                    <w:rPr>
                      <w:rFonts w:ascii="Times New Roman" w:hAnsi="Times New Roman" w:cs="Times New Roman"/>
                      <w:color w:val="auto"/>
                      <w:spacing w:val="8"/>
                      <w:sz w:val="21"/>
                      <w:szCs w:val="21"/>
                    </w:rPr>
                  </w:pPr>
                  <w:r>
                    <w:rPr>
                      <w:rFonts w:hint="eastAsia" w:ascii="Times New Roman" w:hAnsi="Times New Roman" w:cs="Times New Roman"/>
                      <w:color w:val="auto"/>
                      <w:spacing w:val="-4"/>
                      <w:sz w:val="21"/>
                      <w:szCs w:val="21"/>
                      <w:lang w:eastAsia="zh-CN"/>
                    </w:rPr>
                    <w:t>排气筒</w:t>
                  </w:r>
                </w:p>
              </w:tc>
              <w:tc>
                <w:tcPr>
                  <w:tcW w:w="707" w:type="pct"/>
                  <w:tcBorders>
                    <w:tl2br w:val="nil"/>
                    <w:tr2bl w:val="nil"/>
                  </w:tcBorders>
                  <w:vAlign w:val="center"/>
                </w:tcPr>
                <w:p w14:paraId="7601B1B8">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颗粒物</w:t>
                  </w:r>
                </w:p>
              </w:tc>
              <w:tc>
                <w:tcPr>
                  <w:tcW w:w="708" w:type="pct"/>
                  <w:tcBorders>
                    <w:tl2br w:val="nil"/>
                    <w:tr2bl w:val="nil"/>
                  </w:tcBorders>
                  <w:vAlign w:val="center"/>
                </w:tcPr>
                <w:p w14:paraId="70DF6666">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6.23</w:t>
                  </w:r>
                </w:p>
              </w:tc>
              <w:tc>
                <w:tcPr>
                  <w:tcW w:w="627" w:type="pct"/>
                  <w:tcBorders>
                    <w:tl2br w:val="nil"/>
                    <w:tr2bl w:val="nil"/>
                  </w:tcBorders>
                  <w:vAlign w:val="center"/>
                </w:tcPr>
                <w:p w14:paraId="4A44E856">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0.063</w:t>
                  </w:r>
                </w:p>
              </w:tc>
              <w:tc>
                <w:tcPr>
                  <w:tcW w:w="686" w:type="pct"/>
                  <w:tcBorders>
                    <w:tl2br w:val="nil"/>
                    <w:tr2bl w:val="nil"/>
                  </w:tcBorders>
                  <w:vAlign w:val="center"/>
                </w:tcPr>
                <w:p w14:paraId="794C144C">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120</w:t>
                  </w:r>
                </w:p>
              </w:tc>
              <w:tc>
                <w:tcPr>
                  <w:tcW w:w="826" w:type="pct"/>
                  <w:tcBorders>
                    <w:tl2br w:val="nil"/>
                    <w:tr2bl w:val="nil"/>
                  </w:tcBorders>
                  <w:vAlign w:val="center"/>
                </w:tcPr>
                <w:p w14:paraId="1CE09E86">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3.5</w:t>
                  </w:r>
                </w:p>
              </w:tc>
              <w:tc>
                <w:tcPr>
                  <w:tcW w:w="1111" w:type="dxa"/>
                  <w:tcBorders>
                    <w:tl2br w:val="nil"/>
                    <w:tr2bl w:val="nil"/>
                  </w:tcBorders>
                  <w:vAlign w:val="center"/>
                </w:tcPr>
                <w:p w14:paraId="4FAFCF3F">
                  <w:pPr>
                    <w:widowControl/>
                    <w:spacing w:line="240" w:lineRule="auto"/>
                    <w:ind w:left="0" w:leftChars="0" w:right="0" w:rightChars="0" w:firstLine="0" w:firstLineChars="0"/>
                    <w:jc w:val="center"/>
                    <w:textAlignment w:val="center"/>
                    <w:rPr>
                      <w:rFonts w:eastAsia="宋体" w:cs="Times New Roman"/>
                      <w:color w:val="auto"/>
                      <w:spacing w:val="5"/>
                      <w:szCs w:val="21"/>
                    </w:rPr>
                  </w:pPr>
                  <w:r>
                    <w:rPr>
                      <w:rFonts w:eastAsia="宋体" w:cs="Times New Roman"/>
                      <w:color w:val="auto"/>
                      <w:szCs w:val="21"/>
                      <w:lang w:eastAsia="zh-CN" w:bidi="ar"/>
                    </w:rPr>
                    <w:t>0.0378</w:t>
                  </w:r>
                </w:p>
              </w:tc>
            </w:tr>
            <w:tr w14:paraId="779367E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3" w:type="pct"/>
                  <w:vMerge w:val="restart"/>
                  <w:tcBorders>
                    <w:tl2br w:val="nil"/>
                    <w:tr2bl w:val="nil"/>
                  </w:tcBorders>
                  <w:vAlign w:val="center"/>
                </w:tcPr>
                <w:p w14:paraId="1213D72B">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固化废气</w:t>
                  </w:r>
                </w:p>
                <w:p w14:paraId="424ED223">
                  <w:pPr>
                    <w:pStyle w:val="76"/>
                    <w:spacing w:line="240" w:lineRule="auto"/>
                    <w:ind w:left="0" w:leftChars="0" w:right="0" w:rightChars="0" w:firstLine="0" w:firstLineChars="0"/>
                    <w:jc w:val="center"/>
                    <w:rPr>
                      <w:rFonts w:ascii="Times New Roman" w:hAnsi="Times New Roman" w:cs="Times New Roman"/>
                      <w:color w:val="auto"/>
                      <w:spacing w:val="8"/>
                      <w:sz w:val="21"/>
                      <w:szCs w:val="21"/>
                    </w:rPr>
                  </w:pPr>
                  <w:r>
                    <w:rPr>
                      <w:rFonts w:hint="eastAsia" w:ascii="Times New Roman" w:hAnsi="Times New Roman" w:cs="Times New Roman"/>
                      <w:color w:val="auto"/>
                      <w:spacing w:val="-4"/>
                      <w:sz w:val="21"/>
                      <w:szCs w:val="21"/>
                      <w:lang w:eastAsia="zh-CN"/>
                    </w:rPr>
                    <w:t>排气筒</w:t>
                  </w:r>
                </w:p>
              </w:tc>
              <w:tc>
                <w:tcPr>
                  <w:tcW w:w="707" w:type="pct"/>
                  <w:tcBorders>
                    <w:tl2br w:val="nil"/>
                    <w:tr2bl w:val="nil"/>
                  </w:tcBorders>
                  <w:vAlign w:val="center"/>
                </w:tcPr>
                <w:p w14:paraId="1161DBB3">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颗粒物</w:t>
                  </w:r>
                </w:p>
              </w:tc>
              <w:tc>
                <w:tcPr>
                  <w:tcW w:w="708" w:type="pct"/>
                  <w:tcBorders>
                    <w:tl2br w:val="nil"/>
                    <w:tr2bl w:val="nil"/>
                  </w:tcBorders>
                  <w:vAlign w:val="center"/>
                </w:tcPr>
                <w:p w14:paraId="596B45F0">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3.53</w:t>
                  </w:r>
                </w:p>
              </w:tc>
              <w:tc>
                <w:tcPr>
                  <w:tcW w:w="627" w:type="pct"/>
                  <w:tcBorders>
                    <w:tl2br w:val="nil"/>
                    <w:tr2bl w:val="nil"/>
                  </w:tcBorders>
                  <w:vAlign w:val="center"/>
                </w:tcPr>
                <w:p w14:paraId="78F63F50">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0.012</w:t>
                  </w:r>
                </w:p>
              </w:tc>
              <w:tc>
                <w:tcPr>
                  <w:tcW w:w="686" w:type="pct"/>
                  <w:tcBorders>
                    <w:tl2br w:val="nil"/>
                    <w:tr2bl w:val="nil"/>
                  </w:tcBorders>
                  <w:vAlign w:val="center"/>
                </w:tcPr>
                <w:p w14:paraId="3C5FA98C">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200</w:t>
                  </w:r>
                </w:p>
              </w:tc>
              <w:tc>
                <w:tcPr>
                  <w:tcW w:w="826" w:type="pct"/>
                  <w:tcBorders>
                    <w:tl2br w:val="nil"/>
                    <w:tr2bl w:val="nil"/>
                  </w:tcBorders>
                  <w:vAlign w:val="center"/>
                </w:tcPr>
                <w:p w14:paraId="3908AD62">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w:t>
                  </w:r>
                </w:p>
              </w:tc>
              <w:tc>
                <w:tcPr>
                  <w:tcW w:w="1111" w:type="dxa"/>
                  <w:tcBorders>
                    <w:tl2br w:val="nil"/>
                    <w:tr2bl w:val="nil"/>
                  </w:tcBorders>
                  <w:vAlign w:val="center"/>
                </w:tcPr>
                <w:p w14:paraId="69127A43">
                  <w:pPr>
                    <w:widowControl/>
                    <w:spacing w:line="240" w:lineRule="auto"/>
                    <w:ind w:left="0" w:leftChars="0" w:right="0" w:rightChars="0" w:firstLine="0" w:firstLineChars="0"/>
                    <w:jc w:val="center"/>
                    <w:textAlignment w:val="center"/>
                    <w:rPr>
                      <w:rFonts w:eastAsia="宋体" w:cs="Times New Roman"/>
                      <w:color w:val="auto"/>
                      <w:spacing w:val="5"/>
                      <w:szCs w:val="21"/>
                    </w:rPr>
                  </w:pPr>
                  <w:r>
                    <w:rPr>
                      <w:rFonts w:eastAsia="宋体" w:cs="Times New Roman"/>
                      <w:color w:val="auto"/>
                      <w:szCs w:val="21"/>
                      <w:lang w:eastAsia="zh-CN" w:bidi="ar"/>
                    </w:rPr>
                    <w:t>0.0072</w:t>
                  </w:r>
                </w:p>
              </w:tc>
            </w:tr>
            <w:tr w14:paraId="1F289F1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3" w:type="pct"/>
                  <w:vMerge w:val="continue"/>
                  <w:tcBorders>
                    <w:tl2br w:val="nil"/>
                    <w:tr2bl w:val="nil"/>
                  </w:tcBorders>
                  <w:vAlign w:val="center"/>
                </w:tcPr>
                <w:p w14:paraId="2C699FDC">
                  <w:pPr>
                    <w:pStyle w:val="76"/>
                    <w:spacing w:line="240" w:lineRule="auto"/>
                    <w:ind w:left="0" w:leftChars="0" w:right="0" w:rightChars="0" w:firstLine="0" w:firstLineChars="0"/>
                    <w:jc w:val="center"/>
                    <w:rPr>
                      <w:rFonts w:ascii="Times New Roman" w:hAnsi="Times New Roman" w:cs="Times New Roman"/>
                      <w:color w:val="auto"/>
                      <w:spacing w:val="8"/>
                      <w:sz w:val="21"/>
                      <w:szCs w:val="21"/>
                    </w:rPr>
                  </w:pPr>
                </w:p>
              </w:tc>
              <w:tc>
                <w:tcPr>
                  <w:tcW w:w="707" w:type="pct"/>
                  <w:tcBorders>
                    <w:tl2br w:val="nil"/>
                    <w:tr2bl w:val="nil"/>
                  </w:tcBorders>
                  <w:vAlign w:val="center"/>
                </w:tcPr>
                <w:p w14:paraId="1DA9498A">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ascii="Times New Roman" w:hAnsi="Times New Roman" w:cs="Times New Roman"/>
                      <w:color w:val="auto"/>
                      <w:lang w:eastAsia="zh-CN" w:bidi="ar"/>
                    </w:rPr>
                    <w:t>SO</w:t>
                  </w:r>
                  <w:r>
                    <w:rPr>
                      <w:rFonts w:ascii="Times New Roman" w:hAnsi="Times New Roman" w:cs="Times New Roman"/>
                      <w:color w:val="auto"/>
                      <w:sz w:val="15"/>
                      <w:szCs w:val="15"/>
                      <w:lang w:eastAsia="zh-CN" w:bidi="ar"/>
                    </w:rPr>
                    <w:t>2</w:t>
                  </w:r>
                </w:p>
              </w:tc>
              <w:tc>
                <w:tcPr>
                  <w:tcW w:w="708" w:type="pct"/>
                  <w:tcBorders>
                    <w:tl2br w:val="nil"/>
                    <w:tr2bl w:val="nil"/>
                  </w:tcBorders>
                  <w:vAlign w:val="center"/>
                </w:tcPr>
                <w:p w14:paraId="2B78490A">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5.67</w:t>
                  </w:r>
                </w:p>
              </w:tc>
              <w:tc>
                <w:tcPr>
                  <w:tcW w:w="627" w:type="pct"/>
                  <w:tcBorders>
                    <w:tl2br w:val="nil"/>
                    <w:tr2bl w:val="nil"/>
                  </w:tcBorders>
                  <w:vAlign w:val="center"/>
                </w:tcPr>
                <w:p w14:paraId="6F137BBB">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0.019</w:t>
                  </w:r>
                </w:p>
              </w:tc>
              <w:tc>
                <w:tcPr>
                  <w:tcW w:w="686" w:type="pct"/>
                  <w:tcBorders>
                    <w:tl2br w:val="nil"/>
                    <w:tr2bl w:val="nil"/>
                  </w:tcBorders>
                  <w:vAlign w:val="center"/>
                </w:tcPr>
                <w:p w14:paraId="029AFB14">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550</w:t>
                  </w:r>
                </w:p>
              </w:tc>
              <w:tc>
                <w:tcPr>
                  <w:tcW w:w="826" w:type="pct"/>
                  <w:tcBorders>
                    <w:tl2br w:val="nil"/>
                    <w:tr2bl w:val="nil"/>
                  </w:tcBorders>
                  <w:vAlign w:val="center"/>
                </w:tcPr>
                <w:p w14:paraId="71F95500">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w:t>
                  </w:r>
                </w:p>
              </w:tc>
              <w:tc>
                <w:tcPr>
                  <w:tcW w:w="1111" w:type="dxa"/>
                  <w:tcBorders>
                    <w:tl2br w:val="nil"/>
                    <w:tr2bl w:val="nil"/>
                  </w:tcBorders>
                  <w:vAlign w:val="center"/>
                </w:tcPr>
                <w:p w14:paraId="7842677C">
                  <w:pPr>
                    <w:widowControl/>
                    <w:spacing w:line="240" w:lineRule="auto"/>
                    <w:ind w:left="0" w:leftChars="0" w:right="0" w:rightChars="0" w:firstLine="0" w:firstLineChars="0"/>
                    <w:jc w:val="center"/>
                    <w:textAlignment w:val="center"/>
                    <w:rPr>
                      <w:rFonts w:eastAsia="宋体" w:cs="Times New Roman"/>
                      <w:color w:val="auto"/>
                      <w:spacing w:val="5"/>
                      <w:szCs w:val="21"/>
                    </w:rPr>
                  </w:pPr>
                  <w:r>
                    <w:rPr>
                      <w:rFonts w:eastAsia="宋体" w:cs="Times New Roman"/>
                      <w:color w:val="auto"/>
                      <w:szCs w:val="21"/>
                      <w:lang w:eastAsia="zh-CN" w:bidi="ar"/>
                    </w:rPr>
                    <w:t>0.0114</w:t>
                  </w:r>
                </w:p>
              </w:tc>
            </w:tr>
            <w:tr w14:paraId="1341E0C3">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3" w:type="pct"/>
                  <w:vMerge w:val="continue"/>
                  <w:tcBorders>
                    <w:tl2br w:val="nil"/>
                    <w:tr2bl w:val="nil"/>
                  </w:tcBorders>
                  <w:vAlign w:val="center"/>
                </w:tcPr>
                <w:p w14:paraId="766625F7">
                  <w:pPr>
                    <w:pStyle w:val="76"/>
                    <w:spacing w:line="240" w:lineRule="auto"/>
                    <w:ind w:left="0" w:leftChars="0" w:right="0" w:rightChars="0" w:firstLine="0" w:firstLineChars="0"/>
                    <w:jc w:val="center"/>
                    <w:rPr>
                      <w:rFonts w:ascii="Times New Roman" w:hAnsi="Times New Roman" w:cs="Times New Roman"/>
                      <w:color w:val="auto"/>
                      <w:spacing w:val="8"/>
                      <w:sz w:val="21"/>
                      <w:szCs w:val="21"/>
                    </w:rPr>
                  </w:pPr>
                </w:p>
              </w:tc>
              <w:tc>
                <w:tcPr>
                  <w:tcW w:w="707" w:type="pct"/>
                  <w:tcBorders>
                    <w:tl2br w:val="nil"/>
                    <w:tr2bl w:val="nil"/>
                  </w:tcBorders>
                  <w:vAlign w:val="center"/>
                </w:tcPr>
                <w:p w14:paraId="3E487C2C">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ascii="Times New Roman" w:hAnsi="Times New Roman" w:cs="Times New Roman"/>
                      <w:color w:val="auto"/>
                      <w:lang w:eastAsia="zh-CN" w:bidi="ar"/>
                    </w:rPr>
                    <w:t>NO</w:t>
                  </w:r>
                  <w:r>
                    <w:rPr>
                      <w:rFonts w:ascii="Times New Roman" w:hAnsi="Times New Roman" w:cs="Times New Roman"/>
                      <w:color w:val="auto"/>
                      <w:sz w:val="15"/>
                      <w:szCs w:val="15"/>
                      <w:lang w:eastAsia="zh-CN" w:bidi="ar"/>
                    </w:rPr>
                    <w:t>X</w:t>
                  </w:r>
                </w:p>
              </w:tc>
              <w:tc>
                <w:tcPr>
                  <w:tcW w:w="708" w:type="pct"/>
                  <w:tcBorders>
                    <w:tl2br w:val="nil"/>
                    <w:tr2bl w:val="nil"/>
                  </w:tcBorders>
                  <w:vAlign w:val="center"/>
                </w:tcPr>
                <w:p w14:paraId="71D2753A">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13</w:t>
                  </w:r>
                </w:p>
              </w:tc>
              <w:tc>
                <w:tcPr>
                  <w:tcW w:w="627" w:type="pct"/>
                  <w:tcBorders>
                    <w:tl2br w:val="nil"/>
                    <w:tr2bl w:val="nil"/>
                  </w:tcBorders>
                  <w:vAlign w:val="center"/>
                </w:tcPr>
                <w:p w14:paraId="384114F0">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0.043</w:t>
                  </w:r>
                </w:p>
              </w:tc>
              <w:tc>
                <w:tcPr>
                  <w:tcW w:w="686" w:type="pct"/>
                  <w:tcBorders>
                    <w:tl2br w:val="nil"/>
                    <w:tr2bl w:val="nil"/>
                  </w:tcBorders>
                  <w:vAlign w:val="center"/>
                </w:tcPr>
                <w:p w14:paraId="7F8F53EC">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240</w:t>
                  </w:r>
                </w:p>
              </w:tc>
              <w:tc>
                <w:tcPr>
                  <w:tcW w:w="826" w:type="pct"/>
                  <w:tcBorders>
                    <w:tl2br w:val="nil"/>
                    <w:tr2bl w:val="nil"/>
                  </w:tcBorders>
                  <w:vAlign w:val="center"/>
                </w:tcPr>
                <w:p w14:paraId="3FDBA282">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w:t>
                  </w:r>
                </w:p>
              </w:tc>
              <w:tc>
                <w:tcPr>
                  <w:tcW w:w="1111" w:type="dxa"/>
                  <w:tcBorders>
                    <w:tl2br w:val="nil"/>
                    <w:tr2bl w:val="nil"/>
                  </w:tcBorders>
                  <w:vAlign w:val="center"/>
                </w:tcPr>
                <w:p w14:paraId="1581DE1D">
                  <w:pPr>
                    <w:widowControl/>
                    <w:spacing w:line="240" w:lineRule="auto"/>
                    <w:ind w:left="0" w:leftChars="0" w:right="0" w:rightChars="0" w:firstLine="0" w:firstLineChars="0"/>
                    <w:jc w:val="center"/>
                    <w:textAlignment w:val="center"/>
                    <w:rPr>
                      <w:rFonts w:eastAsia="宋体" w:cs="Times New Roman"/>
                      <w:color w:val="auto"/>
                      <w:spacing w:val="5"/>
                      <w:szCs w:val="21"/>
                    </w:rPr>
                  </w:pPr>
                  <w:r>
                    <w:rPr>
                      <w:rFonts w:eastAsia="宋体" w:cs="Times New Roman"/>
                      <w:color w:val="auto"/>
                      <w:szCs w:val="21"/>
                      <w:lang w:eastAsia="zh-CN" w:bidi="ar"/>
                    </w:rPr>
                    <w:t>0.0258</w:t>
                  </w:r>
                </w:p>
              </w:tc>
            </w:tr>
            <w:tr w14:paraId="4063FDF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3" w:type="pct"/>
                  <w:vMerge w:val="continue"/>
                  <w:tcBorders>
                    <w:tl2br w:val="nil"/>
                    <w:tr2bl w:val="nil"/>
                  </w:tcBorders>
                  <w:vAlign w:val="center"/>
                </w:tcPr>
                <w:p w14:paraId="61A64136">
                  <w:pPr>
                    <w:pStyle w:val="76"/>
                    <w:spacing w:line="240" w:lineRule="auto"/>
                    <w:ind w:left="0" w:leftChars="0" w:right="0" w:rightChars="0" w:firstLine="0" w:firstLineChars="0"/>
                    <w:jc w:val="center"/>
                    <w:rPr>
                      <w:rFonts w:ascii="Times New Roman" w:hAnsi="Times New Roman" w:cs="Times New Roman"/>
                      <w:color w:val="auto"/>
                      <w:spacing w:val="8"/>
                      <w:sz w:val="21"/>
                      <w:szCs w:val="21"/>
                    </w:rPr>
                  </w:pPr>
                </w:p>
              </w:tc>
              <w:tc>
                <w:tcPr>
                  <w:tcW w:w="707" w:type="pct"/>
                  <w:tcBorders>
                    <w:tl2br w:val="nil"/>
                    <w:tr2bl w:val="nil"/>
                  </w:tcBorders>
                  <w:vAlign w:val="center"/>
                </w:tcPr>
                <w:p w14:paraId="11C145CD">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非甲烷总烃</w:t>
                  </w:r>
                </w:p>
              </w:tc>
              <w:tc>
                <w:tcPr>
                  <w:tcW w:w="708" w:type="pct"/>
                  <w:tcBorders>
                    <w:tl2br w:val="nil"/>
                    <w:tr2bl w:val="nil"/>
                  </w:tcBorders>
                  <w:vAlign w:val="center"/>
                </w:tcPr>
                <w:p w14:paraId="0A1E03CD">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4.55</w:t>
                  </w:r>
                </w:p>
              </w:tc>
              <w:tc>
                <w:tcPr>
                  <w:tcW w:w="627" w:type="pct"/>
                  <w:tcBorders>
                    <w:tl2br w:val="nil"/>
                    <w:tr2bl w:val="nil"/>
                  </w:tcBorders>
                  <w:vAlign w:val="center"/>
                </w:tcPr>
                <w:p w14:paraId="72769D84">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0.015</w:t>
                  </w:r>
                </w:p>
              </w:tc>
              <w:tc>
                <w:tcPr>
                  <w:tcW w:w="686" w:type="pct"/>
                  <w:tcBorders>
                    <w:tl2br w:val="nil"/>
                    <w:tr2bl w:val="nil"/>
                  </w:tcBorders>
                  <w:vAlign w:val="center"/>
                </w:tcPr>
                <w:p w14:paraId="23F5FDC0">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50</w:t>
                  </w:r>
                </w:p>
              </w:tc>
              <w:tc>
                <w:tcPr>
                  <w:tcW w:w="826" w:type="pct"/>
                  <w:tcBorders>
                    <w:tl2br w:val="nil"/>
                    <w:tr2bl w:val="nil"/>
                  </w:tcBorders>
                  <w:vAlign w:val="center"/>
                </w:tcPr>
                <w:p w14:paraId="07F4DFA0">
                  <w:pPr>
                    <w:pStyle w:val="76"/>
                    <w:spacing w:line="240" w:lineRule="auto"/>
                    <w:ind w:left="0" w:leftChars="0" w:right="0" w:rightChars="0" w:firstLine="0" w:firstLineChars="0"/>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w:t>
                  </w:r>
                </w:p>
              </w:tc>
              <w:tc>
                <w:tcPr>
                  <w:tcW w:w="1111" w:type="dxa"/>
                  <w:tcBorders>
                    <w:tl2br w:val="nil"/>
                    <w:tr2bl w:val="nil"/>
                  </w:tcBorders>
                  <w:vAlign w:val="center"/>
                </w:tcPr>
                <w:p w14:paraId="21ACD181">
                  <w:pPr>
                    <w:widowControl/>
                    <w:spacing w:line="240" w:lineRule="auto"/>
                    <w:ind w:left="0" w:leftChars="0" w:right="0" w:rightChars="0" w:firstLine="0" w:firstLineChars="0"/>
                    <w:jc w:val="center"/>
                    <w:textAlignment w:val="center"/>
                    <w:rPr>
                      <w:rFonts w:eastAsia="宋体" w:cs="Times New Roman"/>
                      <w:color w:val="auto"/>
                      <w:spacing w:val="5"/>
                      <w:szCs w:val="21"/>
                    </w:rPr>
                  </w:pPr>
                  <w:r>
                    <w:rPr>
                      <w:rFonts w:eastAsia="宋体" w:cs="Times New Roman"/>
                      <w:color w:val="auto"/>
                      <w:szCs w:val="21"/>
                      <w:lang w:eastAsia="zh-CN" w:bidi="ar"/>
                    </w:rPr>
                    <w:t>0.009</w:t>
                  </w:r>
                </w:p>
              </w:tc>
            </w:tr>
            <w:tr w14:paraId="0AA1DAB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000" w:type="pct"/>
                  <w:gridSpan w:val="7"/>
                  <w:tcBorders>
                    <w:tl2br w:val="nil"/>
                    <w:tr2bl w:val="nil"/>
                  </w:tcBorders>
                  <w:vAlign w:val="center"/>
                </w:tcPr>
                <w:p w14:paraId="3B065B90">
                  <w:pPr>
                    <w:pStyle w:val="76"/>
                    <w:spacing w:line="240" w:lineRule="auto"/>
                    <w:ind w:left="0" w:leftChars="0" w:right="0" w:rightChars="0" w:firstLine="0" w:firstLineChars="0"/>
                    <w:jc w:val="both"/>
                    <w:rPr>
                      <w:rFonts w:ascii="Times New Roman" w:hAnsi="Times New Roman" w:cs="Times New Roman"/>
                      <w:color w:val="auto"/>
                      <w:spacing w:val="5"/>
                      <w:sz w:val="21"/>
                      <w:szCs w:val="21"/>
                      <w:lang w:eastAsia="zh-CN"/>
                    </w:rPr>
                  </w:pPr>
                  <w:r>
                    <w:rPr>
                      <w:rFonts w:hint="eastAsia" w:ascii="Times New Roman" w:hAnsi="Times New Roman" w:cs="Times New Roman"/>
                      <w:b/>
                      <w:bCs/>
                      <w:color w:val="auto"/>
                      <w:spacing w:val="5"/>
                      <w:sz w:val="21"/>
                      <w:szCs w:val="21"/>
                      <w:lang w:eastAsia="zh-CN"/>
                    </w:rPr>
                    <w:t>备注：喷涂、固化工序每天工作2h，其他工序每天工作8h，年工作300天。</w:t>
                  </w:r>
                </w:p>
              </w:tc>
            </w:tr>
          </w:tbl>
          <w:p w14:paraId="09EE8A87">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表2-14   现有项目废水污染物排放总量一览表</w:t>
            </w:r>
          </w:p>
          <w:tbl>
            <w:tblPr>
              <w:tblStyle w:val="36"/>
              <w:tblW w:w="4998"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63"/>
              <w:gridCol w:w="2447"/>
              <w:gridCol w:w="1083"/>
              <w:gridCol w:w="1183"/>
              <w:gridCol w:w="2557"/>
            </w:tblGrid>
            <w:tr w14:paraId="4F8DBC6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89" w:type="pct"/>
                  <w:tcBorders>
                    <w:tl2br w:val="nil"/>
                    <w:tr2bl w:val="nil"/>
                  </w:tcBorders>
                  <w:vAlign w:val="center"/>
                </w:tcPr>
                <w:p w14:paraId="5EB88949">
                  <w:pPr>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排放口</w:t>
                  </w:r>
                </w:p>
              </w:tc>
              <w:tc>
                <w:tcPr>
                  <w:tcW w:w="1417" w:type="pct"/>
                  <w:tcBorders>
                    <w:tl2br w:val="nil"/>
                    <w:tr2bl w:val="nil"/>
                  </w:tcBorders>
                  <w:vAlign w:val="center"/>
                </w:tcPr>
                <w:p w14:paraId="33DB8298">
                  <w:pPr>
                    <w:pStyle w:val="76"/>
                    <w:spacing w:line="240" w:lineRule="auto"/>
                    <w:ind w:left="0" w:leftChars="0" w:right="0" w:rightChars="0" w:firstLine="0" w:firstLineChars="0"/>
                    <w:jc w:val="center"/>
                    <w:rPr>
                      <w:rFonts w:ascii="Times New Roman" w:hAnsi="Times New Roman" w:cs="Times New Roman"/>
                      <w:b/>
                      <w:bCs/>
                      <w:color w:val="auto"/>
                      <w:sz w:val="21"/>
                      <w:szCs w:val="21"/>
                      <w:lang w:eastAsia="zh-CN"/>
                    </w:rPr>
                  </w:pPr>
                  <w:r>
                    <w:rPr>
                      <w:rFonts w:ascii="Times New Roman" w:hAnsi="Times New Roman" w:cs="Times New Roman"/>
                      <w:b/>
                      <w:bCs/>
                      <w:color w:val="auto"/>
                      <w:spacing w:val="8"/>
                      <w:sz w:val="21"/>
                      <w:szCs w:val="21"/>
                      <w:lang w:eastAsia="zh-CN"/>
                    </w:rPr>
                    <w:t>污染物名称</w:t>
                  </w:r>
                </w:p>
              </w:tc>
              <w:tc>
                <w:tcPr>
                  <w:tcW w:w="627" w:type="pct"/>
                  <w:tcBorders>
                    <w:tl2br w:val="nil"/>
                    <w:tr2bl w:val="nil"/>
                  </w:tcBorders>
                  <w:vAlign w:val="center"/>
                </w:tcPr>
                <w:p w14:paraId="44534C29">
                  <w:pPr>
                    <w:pStyle w:val="76"/>
                    <w:spacing w:line="240" w:lineRule="auto"/>
                    <w:ind w:left="0" w:leftChars="0" w:right="0" w:rightChars="0" w:firstLine="0" w:firstLineChars="0"/>
                    <w:jc w:val="center"/>
                    <w:rPr>
                      <w:rFonts w:ascii="Times New Roman" w:hAnsi="Times New Roman" w:cs="Times New Roman"/>
                      <w:b/>
                      <w:bCs/>
                      <w:color w:val="auto"/>
                      <w:sz w:val="21"/>
                      <w:szCs w:val="21"/>
                      <w:lang w:eastAsia="zh-CN"/>
                    </w:rPr>
                  </w:pPr>
                  <w:r>
                    <w:rPr>
                      <w:rFonts w:ascii="Times New Roman" w:hAnsi="Times New Roman" w:cs="Times New Roman"/>
                      <w:b/>
                      <w:bCs/>
                      <w:color w:val="auto"/>
                      <w:spacing w:val="8"/>
                      <w:sz w:val="21"/>
                      <w:szCs w:val="21"/>
                      <w:lang w:eastAsia="zh-CN"/>
                    </w:rPr>
                    <w:t>排放浓度</w:t>
                  </w:r>
                </w:p>
              </w:tc>
              <w:tc>
                <w:tcPr>
                  <w:tcW w:w="685" w:type="pct"/>
                  <w:tcBorders>
                    <w:tl2br w:val="nil"/>
                    <w:tr2bl w:val="nil"/>
                  </w:tcBorders>
                  <w:vAlign w:val="center"/>
                </w:tcPr>
                <w:p w14:paraId="67F60C73">
                  <w:pPr>
                    <w:pStyle w:val="76"/>
                    <w:spacing w:line="240" w:lineRule="auto"/>
                    <w:ind w:left="0" w:leftChars="0" w:right="0" w:rightChars="0" w:firstLine="0" w:firstLineChars="0"/>
                    <w:jc w:val="center"/>
                    <w:rPr>
                      <w:rFonts w:ascii="Times New Roman" w:hAnsi="Times New Roman" w:cs="Times New Roman"/>
                      <w:b/>
                      <w:bCs/>
                      <w:color w:val="auto"/>
                      <w:sz w:val="21"/>
                      <w:szCs w:val="21"/>
                      <w:lang w:eastAsia="zh-CN"/>
                    </w:rPr>
                  </w:pPr>
                  <w:r>
                    <w:rPr>
                      <w:rFonts w:hint="eastAsia" w:ascii="Times New Roman" w:hAnsi="Times New Roman" w:cs="Times New Roman"/>
                      <w:b/>
                      <w:bCs/>
                      <w:color w:val="auto"/>
                      <w:spacing w:val="8"/>
                      <w:sz w:val="21"/>
                      <w:szCs w:val="21"/>
                      <w:lang w:eastAsia="zh-CN"/>
                    </w:rPr>
                    <w:t>排放标准</w:t>
                  </w:r>
                </w:p>
              </w:tc>
              <w:tc>
                <w:tcPr>
                  <w:tcW w:w="1480" w:type="pct"/>
                  <w:tcBorders>
                    <w:tl2br w:val="nil"/>
                    <w:tr2bl w:val="nil"/>
                  </w:tcBorders>
                  <w:vAlign w:val="center"/>
                </w:tcPr>
                <w:p w14:paraId="5B6ED8CB">
                  <w:pPr>
                    <w:pStyle w:val="76"/>
                    <w:spacing w:line="240" w:lineRule="auto"/>
                    <w:ind w:left="0" w:leftChars="0" w:right="0" w:rightChars="0" w:firstLine="0" w:firstLineChars="0"/>
                    <w:jc w:val="center"/>
                    <w:rPr>
                      <w:rFonts w:ascii="Times New Roman" w:hAnsi="Times New Roman" w:cs="Times New Roman"/>
                      <w:b/>
                      <w:bCs/>
                      <w:color w:val="auto"/>
                      <w:spacing w:val="8"/>
                      <w:sz w:val="21"/>
                      <w:szCs w:val="21"/>
                      <w:lang w:eastAsia="zh-CN"/>
                    </w:rPr>
                  </w:pPr>
                  <w:r>
                    <w:rPr>
                      <w:rFonts w:hint="eastAsia" w:ascii="Times New Roman" w:hAnsi="Times New Roman" w:cs="Times New Roman"/>
                      <w:b/>
                      <w:bCs/>
                      <w:color w:val="auto"/>
                      <w:spacing w:val="8"/>
                      <w:sz w:val="21"/>
                      <w:szCs w:val="21"/>
                      <w:lang w:eastAsia="zh-CN"/>
                    </w:rPr>
                    <w:t>年排放量（t/a）</w:t>
                  </w:r>
                </w:p>
              </w:tc>
            </w:tr>
            <w:tr w14:paraId="4794BCE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89" w:type="pct"/>
                  <w:vMerge w:val="restart"/>
                  <w:tcBorders>
                    <w:tl2br w:val="nil"/>
                    <w:tr2bl w:val="nil"/>
                  </w:tcBorders>
                  <w:vAlign w:val="center"/>
                </w:tcPr>
                <w:p w14:paraId="562C167E">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生活污水总排口</w:t>
                  </w:r>
                </w:p>
              </w:tc>
              <w:tc>
                <w:tcPr>
                  <w:tcW w:w="2729" w:type="pct"/>
                  <w:gridSpan w:val="3"/>
                  <w:tcBorders>
                    <w:tl2br w:val="nil"/>
                    <w:tr2bl w:val="nil"/>
                  </w:tcBorders>
                  <w:vAlign w:val="center"/>
                </w:tcPr>
                <w:p w14:paraId="4964F407">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废水排放量m</w:t>
                  </w:r>
                  <w:r>
                    <w:rPr>
                      <w:rFonts w:hint="eastAsia" w:ascii="Times New Roman" w:hAnsi="Times New Roman" w:cs="Times New Roman"/>
                      <w:color w:val="auto"/>
                      <w:spacing w:val="8"/>
                      <w:sz w:val="21"/>
                      <w:szCs w:val="21"/>
                      <w:vertAlign w:val="superscript"/>
                      <w:lang w:eastAsia="zh-CN"/>
                    </w:rPr>
                    <w:t>3</w:t>
                  </w:r>
                  <w:r>
                    <w:rPr>
                      <w:rFonts w:hint="eastAsia" w:ascii="Times New Roman" w:hAnsi="Times New Roman" w:cs="Times New Roman"/>
                      <w:color w:val="auto"/>
                      <w:spacing w:val="8"/>
                      <w:sz w:val="21"/>
                      <w:szCs w:val="21"/>
                      <w:lang w:eastAsia="zh-CN"/>
                    </w:rPr>
                    <w:t>/a</w:t>
                  </w:r>
                </w:p>
              </w:tc>
              <w:tc>
                <w:tcPr>
                  <w:tcW w:w="1480" w:type="pct"/>
                  <w:tcBorders>
                    <w:tl2br w:val="nil"/>
                    <w:tr2bl w:val="nil"/>
                  </w:tcBorders>
                  <w:vAlign w:val="center"/>
                </w:tcPr>
                <w:p w14:paraId="6C7ACA5D">
                  <w:pPr>
                    <w:pStyle w:val="76"/>
                    <w:spacing w:line="240" w:lineRule="auto"/>
                    <w:ind w:left="0" w:leftChars="0" w:right="0" w:rightChars="0" w:firstLine="0" w:firstLineChars="0"/>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720</w:t>
                  </w:r>
                </w:p>
              </w:tc>
            </w:tr>
            <w:tr w14:paraId="49BB916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89" w:type="pct"/>
                  <w:vMerge w:val="continue"/>
                  <w:tcBorders>
                    <w:tl2br w:val="nil"/>
                    <w:tr2bl w:val="nil"/>
                  </w:tcBorders>
                  <w:vAlign w:val="center"/>
                </w:tcPr>
                <w:p w14:paraId="0B8FF8A3">
                  <w:pPr>
                    <w:spacing w:line="240" w:lineRule="auto"/>
                    <w:ind w:left="0" w:leftChars="0" w:right="0" w:rightChars="0" w:firstLine="0" w:firstLineChars="0"/>
                    <w:jc w:val="center"/>
                    <w:rPr>
                      <w:rFonts w:eastAsia="宋体" w:cs="Times New Roman"/>
                      <w:color w:val="auto"/>
                      <w:szCs w:val="21"/>
                      <w:lang w:eastAsia="zh-CN"/>
                    </w:rPr>
                  </w:pPr>
                </w:p>
              </w:tc>
              <w:tc>
                <w:tcPr>
                  <w:tcW w:w="1417" w:type="pct"/>
                  <w:tcBorders>
                    <w:tl2br w:val="nil"/>
                    <w:tr2bl w:val="nil"/>
                  </w:tcBorders>
                  <w:vAlign w:val="center"/>
                </w:tcPr>
                <w:p w14:paraId="2F3BAF8B">
                  <w:pPr>
                    <w:spacing w:line="240" w:lineRule="auto"/>
                    <w:ind w:left="0" w:leftChars="0" w:right="0" w:rightChars="0" w:firstLine="0" w:firstLineChars="0"/>
                    <w:jc w:val="center"/>
                    <w:rPr>
                      <w:rFonts w:eastAsia="宋体" w:cs="Times New Roman"/>
                      <w:color w:val="auto"/>
                      <w:spacing w:val="6"/>
                      <w:szCs w:val="21"/>
                      <w:lang w:eastAsia="zh-CN"/>
                    </w:rPr>
                  </w:pPr>
                  <w:r>
                    <w:rPr>
                      <w:rFonts w:eastAsia="宋体" w:cs="Times New Roman"/>
                      <w:color w:val="auto"/>
                      <w:spacing w:val="6"/>
                      <w:szCs w:val="21"/>
                      <w:lang w:eastAsia="zh-CN"/>
                    </w:rPr>
                    <w:t>pH</w:t>
                  </w:r>
                  <w:r>
                    <w:rPr>
                      <w:rFonts w:hint="eastAsia" w:eastAsia="宋体" w:cs="Times New Roman"/>
                      <w:color w:val="auto"/>
                      <w:spacing w:val="6"/>
                      <w:szCs w:val="21"/>
                      <w:lang w:eastAsia="zh-CN"/>
                    </w:rPr>
                    <w:t>（无量纲）</w:t>
                  </w:r>
                </w:p>
              </w:tc>
              <w:tc>
                <w:tcPr>
                  <w:tcW w:w="627" w:type="pct"/>
                  <w:tcBorders>
                    <w:tl2br w:val="nil"/>
                    <w:tr2bl w:val="nil"/>
                  </w:tcBorders>
                  <w:vAlign w:val="center"/>
                </w:tcPr>
                <w:p w14:paraId="3C831558">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7.8~7.9</w:t>
                  </w:r>
                </w:p>
              </w:tc>
              <w:tc>
                <w:tcPr>
                  <w:tcW w:w="685" w:type="pct"/>
                  <w:tcBorders>
                    <w:tl2br w:val="nil"/>
                    <w:tr2bl w:val="nil"/>
                  </w:tcBorders>
                  <w:vAlign w:val="center"/>
                </w:tcPr>
                <w:p w14:paraId="2229B593">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6~9</w:t>
                  </w:r>
                </w:p>
              </w:tc>
              <w:tc>
                <w:tcPr>
                  <w:tcW w:w="1480" w:type="pct"/>
                  <w:tcBorders>
                    <w:tl2br w:val="nil"/>
                    <w:tr2bl w:val="nil"/>
                  </w:tcBorders>
                  <w:vAlign w:val="center"/>
                </w:tcPr>
                <w:p w14:paraId="782A5B61">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r>
            <w:tr w14:paraId="1C114283">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89" w:type="pct"/>
                  <w:vMerge w:val="continue"/>
                  <w:tcBorders>
                    <w:tl2br w:val="nil"/>
                    <w:tr2bl w:val="nil"/>
                  </w:tcBorders>
                  <w:vAlign w:val="center"/>
                </w:tcPr>
                <w:p w14:paraId="3AAD2812">
                  <w:pPr>
                    <w:spacing w:line="240" w:lineRule="auto"/>
                    <w:ind w:left="0" w:leftChars="0" w:right="0" w:rightChars="0" w:firstLine="0" w:firstLineChars="0"/>
                    <w:jc w:val="center"/>
                    <w:rPr>
                      <w:rFonts w:eastAsia="宋体" w:cs="Times New Roman"/>
                      <w:color w:val="auto"/>
                      <w:szCs w:val="21"/>
                      <w:lang w:eastAsia="zh-CN"/>
                    </w:rPr>
                  </w:pPr>
                </w:p>
              </w:tc>
              <w:tc>
                <w:tcPr>
                  <w:tcW w:w="1417" w:type="pct"/>
                  <w:tcBorders>
                    <w:tl2br w:val="nil"/>
                    <w:tr2bl w:val="nil"/>
                  </w:tcBorders>
                  <w:vAlign w:val="center"/>
                </w:tcPr>
                <w:p w14:paraId="30924A02">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pacing w:val="3"/>
                      <w:szCs w:val="21"/>
                      <w:lang w:eastAsia="zh-CN"/>
                    </w:rPr>
                    <w:t>COD</w:t>
                  </w:r>
                  <w:r>
                    <w:rPr>
                      <w:rFonts w:hint="eastAsia" w:eastAsia="宋体" w:cs="Times New Roman"/>
                      <w:color w:val="auto"/>
                      <w:spacing w:val="3"/>
                      <w:szCs w:val="21"/>
                      <w:lang w:eastAsia="zh-CN"/>
                    </w:rPr>
                    <w:t>（mg/L）</w:t>
                  </w:r>
                </w:p>
              </w:tc>
              <w:tc>
                <w:tcPr>
                  <w:tcW w:w="627" w:type="pct"/>
                  <w:tcBorders>
                    <w:tl2br w:val="nil"/>
                    <w:tr2bl w:val="nil"/>
                  </w:tcBorders>
                  <w:vAlign w:val="center"/>
                </w:tcPr>
                <w:p w14:paraId="7CEA53E3">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329</w:t>
                  </w:r>
                </w:p>
              </w:tc>
              <w:tc>
                <w:tcPr>
                  <w:tcW w:w="685" w:type="pct"/>
                  <w:tcBorders>
                    <w:tl2br w:val="nil"/>
                    <w:tr2bl w:val="nil"/>
                  </w:tcBorders>
                  <w:vAlign w:val="center"/>
                </w:tcPr>
                <w:p w14:paraId="75097228">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500</w:t>
                  </w:r>
                </w:p>
              </w:tc>
              <w:tc>
                <w:tcPr>
                  <w:tcW w:w="2557" w:type="dxa"/>
                  <w:tcBorders>
                    <w:tl2br w:val="nil"/>
                    <w:tr2bl w:val="nil"/>
                  </w:tcBorders>
                  <w:vAlign w:val="center"/>
                </w:tcPr>
                <w:p w14:paraId="3A3A8300">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 xml:space="preserve">0.237 </w:t>
                  </w:r>
                </w:p>
              </w:tc>
            </w:tr>
            <w:tr w14:paraId="7D04D1D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89" w:type="pct"/>
                  <w:vMerge w:val="continue"/>
                  <w:tcBorders>
                    <w:tl2br w:val="nil"/>
                    <w:tr2bl w:val="nil"/>
                  </w:tcBorders>
                  <w:vAlign w:val="center"/>
                </w:tcPr>
                <w:p w14:paraId="6ED9BAB9">
                  <w:pPr>
                    <w:spacing w:line="240" w:lineRule="auto"/>
                    <w:ind w:left="0" w:leftChars="0" w:right="0" w:rightChars="0" w:firstLine="0" w:firstLineChars="0"/>
                    <w:jc w:val="center"/>
                    <w:rPr>
                      <w:rFonts w:eastAsia="宋体" w:cs="Times New Roman"/>
                      <w:color w:val="auto"/>
                      <w:szCs w:val="21"/>
                      <w:lang w:eastAsia="zh-CN"/>
                    </w:rPr>
                  </w:pPr>
                </w:p>
              </w:tc>
              <w:tc>
                <w:tcPr>
                  <w:tcW w:w="1417" w:type="pct"/>
                  <w:tcBorders>
                    <w:tl2br w:val="nil"/>
                    <w:tr2bl w:val="nil"/>
                  </w:tcBorders>
                  <w:vAlign w:val="center"/>
                </w:tcPr>
                <w:p w14:paraId="37BC16C4">
                  <w:pPr>
                    <w:spacing w:line="240" w:lineRule="auto"/>
                    <w:ind w:left="0" w:leftChars="0" w:right="0" w:rightChars="0" w:firstLine="0" w:firstLineChars="0"/>
                    <w:jc w:val="center"/>
                    <w:rPr>
                      <w:rFonts w:eastAsia="宋体" w:cs="Times New Roman"/>
                      <w:color w:val="auto"/>
                      <w:spacing w:val="3"/>
                      <w:szCs w:val="21"/>
                      <w:lang w:eastAsia="zh-CN"/>
                    </w:rPr>
                  </w:pPr>
                  <w:r>
                    <w:rPr>
                      <w:rFonts w:eastAsia="宋体" w:cs="Times New Roman"/>
                      <w:color w:val="auto"/>
                      <w:spacing w:val="3"/>
                      <w:szCs w:val="21"/>
                      <w:lang w:eastAsia="zh-CN"/>
                    </w:rPr>
                    <w:t>BOD</w:t>
                  </w:r>
                  <w:r>
                    <w:rPr>
                      <w:rFonts w:eastAsia="宋体" w:cs="Times New Roman"/>
                      <w:color w:val="auto"/>
                      <w:spacing w:val="3"/>
                      <w:szCs w:val="21"/>
                      <w:vertAlign w:val="subscript"/>
                      <w:lang w:eastAsia="zh-CN"/>
                    </w:rPr>
                    <w:t>5</w:t>
                  </w:r>
                  <w:r>
                    <w:rPr>
                      <w:rFonts w:hint="eastAsia" w:eastAsia="宋体" w:cs="Times New Roman"/>
                      <w:color w:val="auto"/>
                      <w:spacing w:val="3"/>
                      <w:szCs w:val="21"/>
                      <w:lang w:eastAsia="zh-CN"/>
                    </w:rPr>
                    <w:t>（mg/L）</w:t>
                  </w:r>
                </w:p>
              </w:tc>
              <w:tc>
                <w:tcPr>
                  <w:tcW w:w="627" w:type="pct"/>
                  <w:tcBorders>
                    <w:tl2br w:val="nil"/>
                    <w:tr2bl w:val="nil"/>
                  </w:tcBorders>
                  <w:vAlign w:val="center"/>
                </w:tcPr>
                <w:p w14:paraId="20E5BDBD">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131</w:t>
                  </w:r>
                </w:p>
              </w:tc>
              <w:tc>
                <w:tcPr>
                  <w:tcW w:w="685" w:type="pct"/>
                  <w:tcBorders>
                    <w:tl2br w:val="nil"/>
                    <w:tr2bl w:val="nil"/>
                  </w:tcBorders>
                  <w:vAlign w:val="center"/>
                </w:tcPr>
                <w:p w14:paraId="34D322CF">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300</w:t>
                  </w:r>
                </w:p>
              </w:tc>
              <w:tc>
                <w:tcPr>
                  <w:tcW w:w="2557" w:type="dxa"/>
                  <w:tcBorders>
                    <w:tl2br w:val="nil"/>
                    <w:tr2bl w:val="nil"/>
                  </w:tcBorders>
                  <w:vAlign w:val="center"/>
                </w:tcPr>
                <w:p w14:paraId="53E31FDA">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 xml:space="preserve">0.094 </w:t>
                  </w:r>
                </w:p>
              </w:tc>
            </w:tr>
            <w:tr w14:paraId="3262B4C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89" w:type="pct"/>
                  <w:vMerge w:val="continue"/>
                  <w:tcBorders>
                    <w:tl2br w:val="nil"/>
                    <w:tr2bl w:val="nil"/>
                  </w:tcBorders>
                  <w:vAlign w:val="center"/>
                </w:tcPr>
                <w:p w14:paraId="37E72122">
                  <w:pPr>
                    <w:spacing w:line="240" w:lineRule="auto"/>
                    <w:ind w:left="0" w:leftChars="0" w:right="0" w:rightChars="0" w:firstLine="0" w:firstLineChars="0"/>
                    <w:jc w:val="center"/>
                    <w:rPr>
                      <w:rFonts w:eastAsia="宋体" w:cs="Times New Roman"/>
                      <w:color w:val="auto"/>
                      <w:szCs w:val="21"/>
                      <w:lang w:eastAsia="zh-CN"/>
                    </w:rPr>
                  </w:pPr>
                </w:p>
              </w:tc>
              <w:tc>
                <w:tcPr>
                  <w:tcW w:w="1417" w:type="pct"/>
                  <w:tcBorders>
                    <w:tl2br w:val="nil"/>
                    <w:tr2bl w:val="nil"/>
                  </w:tcBorders>
                  <w:vAlign w:val="center"/>
                </w:tcPr>
                <w:p w14:paraId="0CAFEF15">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pacing w:val="6"/>
                      <w:sz w:val="21"/>
                      <w:szCs w:val="21"/>
                      <w:lang w:eastAsia="zh-CN"/>
                    </w:rPr>
                    <w:t>悬浮</w:t>
                  </w:r>
                  <w:r>
                    <w:rPr>
                      <w:rFonts w:hint="eastAsia" w:ascii="Times New Roman" w:hAnsi="Times New Roman" w:cs="Times New Roman"/>
                      <w:color w:val="auto"/>
                      <w:spacing w:val="3"/>
                      <w:sz w:val="21"/>
                      <w:szCs w:val="21"/>
                      <w:lang w:eastAsia="zh-CN"/>
                    </w:rPr>
                    <w:t>（mg/L）</w:t>
                  </w:r>
                </w:p>
              </w:tc>
              <w:tc>
                <w:tcPr>
                  <w:tcW w:w="627" w:type="pct"/>
                  <w:tcBorders>
                    <w:tl2br w:val="nil"/>
                    <w:tr2bl w:val="nil"/>
                  </w:tcBorders>
                  <w:vAlign w:val="center"/>
                </w:tcPr>
                <w:p w14:paraId="7C1A8326">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62</w:t>
                  </w:r>
                </w:p>
              </w:tc>
              <w:tc>
                <w:tcPr>
                  <w:tcW w:w="685" w:type="pct"/>
                  <w:tcBorders>
                    <w:tl2br w:val="nil"/>
                    <w:tr2bl w:val="nil"/>
                  </w:tcBorders>
                  <w:vAlign w:val="center"/>
                </w:tcPr>
                <w:p w14:paraId="6F703E2F">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400</w:t>
                  </w:r>
                </w:p>
              </w:tc>
              <w:tc>
                <w:tcPr>
                  <w:tcW w:w="2557" w:type="dxa"/>
                  <w:tcBorders>
                    <w:tl2br w:val="nil"/>
                    <w:tr2bl w:val="nil"/>
                  </w:tcBorders>
                  <w:vAlign w:val="center"/>
                </w:tcPr>
                <w:p w14:paraId="2C2B1660">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 xml:space="preserve">0.045 </w:t>
                  </w:r>
                </w:p>
              </w:tc>
            </w:tr>
            <w:tr w14:paraId="2BB2960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89" w:type="pct"/>
                  <w:vMerge w:val="continue"/>
                  <w:tcBorders>
                    <w:tl2br w:val="nil"/>
                    <w:tr2bl w:val="nil"/>
                  </w:tcBorders>
                  <w:vAlign w:val="center"/>
                </w:tcPr>
                <w:p w14:paraId="2DE9E600">
                  <w:pPr>
                    <w:spacing w:line="240" w:lineRule="auto"/>
                    <w:ind w:left="0" w:leftChars="0" w:right="0" w:rightChars="0" w:firstLine="0" w:firstLineChars="0"/>
                    <w:jc w:val="center"/>
                    <w:rPr>
                      <w:rFonts w:eastAsia="宋体" w:cs="Times New Roman"/>
                      <w:color w:val="auto"/>
                      <w:szCs w:val="21"/>
                      <w:lang w:eastAsia="zh-CN"/>
                    </w:rPr>
                  </w:pPr>
                </w:p>
              </w:tc>
              <w:tc>
                <w:tcPr>
                  <w:tcW w:w="1417" w:type="pct"/>
                  <w:tcBorders>
                    <w:tl2br w:val="nil"/>
                    <w:tr2bl w:val="nil"/>
                  </w:tcBorders>
                  <w:vAlign w:val="center"/>
                </w:tcPr>
                <w:p w14:paraId="21AC5E20">
                  <w:pPr>
                    <w:pStyle w:val="76"/>
                    <w:spacing w:line="240" w:lineRule="auto"/>
                    <w:ind w:left="0" w:leftChars="0" w:right="0" w:rightChars="0" w:firstLine="0" w:firstLineChars="0"/>
                    <w:jc w:val="center"/>
                    <w:rPr>
                      <w:rFonts w:ascii="Times New Roman" w:hAnsi="Times New Roman" w:cs="Times New Roman"/>
                      <w:color w:val="auto"/>
                      <w:spacing w:val="4"/>
                      <w:sz w:val="21"/>
                      <w:szCs w:val="21"/>
                      <w:lang w:eastAsia="zh-CN"/>
                    </w:rPr>
                  </w:pPr>
                  <w:r>
                    <w:rPr>
                      <w:rFonts w:ascii="Times New Roman" w:hAnsi="Times New Roman" w:cs="Times New Roman"/>
                      <w:color w:val="auto"/>
                      <w:spacing w:val="4"/>
                      <w:sz w:val="21"/>
                      <w:szCs w:val="21"/>
                      <w:lang w:eastAsia="zh-CN"/>
                    </w:rPr>
                    <w:t>氨氮</w:t>
                  </w:r>
                  <w:r>
                    <w:rPr>
                      <w:rFonts w:hint="eastAsia" w:ascii="Times New Roman" w:hAnsi="Times New Roman" w:cs="Times New Roman"/>
                      <w:color w:val="auto"/>
                      <w:spacing w:val="3"/>
                      <w:sz w:val="21"/>
                      <w:szCs w:val="21"/>
                      <w:lang w:eastAsia="zh-CN"/>
                    </w:rPr>
                    <w:t>（mg/L）</w:t>
                  </w:r>
                </w:p>
              </w:tc>
              <w:tc>
                <w:tcPr>
                  <w:tcW w:w="627" w:type="pct"/>
                  <w:tcBorders>
                    <w:tl2br w:val="nil"/>
                    <w:tr2bl w:val="nil"/>
                  </w:tcBorders>
                  <w:vAlign w:val="center"/>
                </w:tcPr>
                <w:p w14:paraId="6ECA3072">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40.9</w:t>
                  </w:r>
                </w:p>
              </w:tc>
              <w:tc>
                <w:tcPr>
                  <w:tcW w:w="685" w:type="pct"/>
                  <w:tcBorders>
                    <w:tl2br w:val="nil"/>
                    <w:tr2bl w:val="nil"/>
                  </w:tcBorders>
                  <w:vAlign w:val="center"/>
                </w:tcPr>
                <w:p w14:paraId="78A46DA8">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45</w:t>
                  </w:r>
                </w:p>
              </w:tc>
              <w:tc>
                <w:tcPr>
                  <w:tcW w:w="2557" w:type="dxa"/>
                  <w:tcBorders>
                    <w:tl2br w:val="nil"/>
                    <w:tr2bl w:val="nil"/>
                  </w:tcBorders>
                  <w:vAlign w:val="center"/>
                </w:tcPr>
                <w:p w14:paraId="5CE828B6">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 xml:space="preserve">0.029 </w:t>
                  </w:r>
                </w:p>
              </w:tc>
            </w:tr>
            <w:tr w14:paraId="77CAB81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89" w:type="pct"/>
                  <w:vMerge w:val="continue"/>
                  <w:tcBorders>
                    <w:tl2br w:val="nil"/>
                    <w:tr2bl w:val="nil"/>
                  </w:tcBorders>
                  <w:vAlign w:val="center"/>
                </w:tcPr>
                <w:p w14:paraId="4CBE7737">
                  <w:pPr>
                    <w:spacing w:line="240" w:lineRule="auto"/>
                    <w:ind w:left="0" w:leftChars="0" w:right="0" w:rightChars="0" w:firstLine="0" w:firstLineChars="0"/>
                    <w:jc w:val="center"/>
                    <w:rPr>
                      <w:rFonts w:eastAsia="宋体" w:cs="Times New Roman"/>
                      <w:color w:val="auto"/>
                      <w:szCs w:val="21"/>
                      <w:lang w:eastAsia="zh-CN"/>
                    </w:rPr>
                  </w:pPr>
                </w:p>
              </w:tc>
              <w:tc>
                <w:tcPr>
                  <w:tcW w:w="1417" w:type="pct"/>
                  <w:tcBorders>
                    <w:tl2br w:val="nil"/>
                    <w:tr2bl w:val="nil"/>
                  </w:tcBorders>
                  <w:vAlign w:val="center"/>
                </w:tcPr>
                <w:p w14:paraId="577B770D">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动植物</w:t>
                  </w:r>
                  <w:r>
                    <w:rPr>
                      <w:rFonts w:hint="eastAsia" w:ascii="Times New Roman" w:hAnsi="Times New Roman" w:cs="Times New Roman"/>
                      <w:color w:val="auto"/>
                      <w:sz w:val="21"/>
                      <w:szCs w:val="21"/>
                      <w:lang w:eastAsia="zh-CN"/>
                    </w:rPr>
                    <w:t>油</w:t>
                  </w:r>
                  <w:r>
                    <w:rPr>
                      <w:rFonts w:hint="eastAsia" w:ascii="Times New Roman" w:hAnsi="Times New Roman" w:cs="Times New Roman"/>
                      <w:color w:val="auto"/>
                      <w:spacing w:val="3"/>
                      <w:sz w:val="21"/>
                      <w:szCs w:val="21"/>
                      <w:lang w:eastAsia="zh-CN"/>
                    </w:rPr>
                    <w:t>（mg/L）</w:t>
                  </w:r>
                </w:p>
              </w:tc>
              <w:tc>
                <w:tcPr>
                  <w:tcW w:w="627" w:type="pct"/>
                  <w:tcBorders>
                    <w:tl2br w:val="nil"/>
                    <w:tr2bl w:val="nil"/>
                  </w:tcBorders>
                  <w:vAlign w:val="center"/>
                </w:tcPr>
                <w:p w14:paraId="501E3095">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1.40</w:t>
                  </w:r>
                </w:p>
              </w:tc>
              <w:tc>
                <w:tcPr>
                  <w:tcW w:w="685" w:type="pct"/>
                  <w:tcBorders>
                    <w:tl2br w:val="nil"/>
                    <w:tr2bl w:val="nil"/>
                  </w:tcBorders>
                  <w:vAlign w:val="center"/>
                </w:tcPr>
                <w:p w14:paraId="4C6DCA26">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100</w:t>
                  </w:r>
                </w:p>
              </w:tc>
              <w:tc>
                <w:tcPr>
                  <w:tcW w:w="2557" w:type="dxa"/>
                  <w:tcBorders>
                    <w:tl2br w:val="nil"/>
                    <w:tr2bl w:val="nil"/>
                  </w:tcBorders>
                  <w:vAlign w:val="center"/>
                </w:tcPr>
                <w:p w14:paraId="0A66A5F5">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 xml:space="preserve">0.001 </w:t>
                  </w:r>
                </w:p>
              </w:tc>
            </w:tr>
          </w:tbl>
          <w:p w14:paraId="5795CFD7">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表2-15   现有项目厂界噪声排放量一览表</w:t>
            </w:r>
          </w:p>
          <w:tbl>
            <w:tblPr>
              <w:tblStyle w:val="36"/>
              <w:tblW w:w="4998"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83"/>
              <w:gridCol w:w="1482"/>
              <w:gridCol w:w="1466"/>
              <w:gridCol w:w="1383"/>
              <w:gridCol w:w="1500"/>
              <w:gridCol w:w="1419"/>
            </w:tblGrid>
            <w:tr w14:paraId="602228D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1" w:type="pct"/>
                  <w:vMerge w:val="restart"/>
                  <w:tcBorders>
                    <w:tl2br w:val="nil"/>
                    <w:tr2bl w:val="nil"/>
                  </w:tcBorders>
                  <w:vAlign w:val="center"/>
                </w:tcPr>
                <w:p w14:paraId="38D0E48F">
                  <w:pPr>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监测点位</w:t>
                  </w:r>
                </w:p>
              </w:tc>
              <w:tc>
                <w:tcPr>
                  <w:tcW w:w="858" w:type="pct"/>
                  <w:vMerge w:val="restart"/>
                  <w:tcBorders>
                    <w:tl2br w:val="nil"/>
                    <w:tr2bl w:val="nil"/>
                  </w:tcBorders>
                  <w:vAlign w:val="center"/>
                </w:tcPr>
                <w:p w14:paraId="2742B951">
                  <w:pPr>
                    <w:pStyle w:val="76"/>
                    <w:spacing w:line="240" w:lineRule="auto"/>
                    <w:ind w:left="0" w:leftChars="0" w:right="0" w:rightChars="0" w:firstLine="0" w:firstLineChars="0"/>
                    <w:jc w:val="center"/>
                    <w:rPr>
                      <w:rFonts w:ascii="Times New Roman" w:hAnsi="Times New Roman" w:cs="Times New Roman"/>
                      <w:b/>
                      <w:bCs/>
                      <w:color w:val="auto"/>
                      <w:spacing w:val="6"/>
                      <w:sz w:val="21"/>
                      <w:szCs w:val="21"/>
                      <w:lang w:eastAsia="zh-CN"/>
                    </w:rPr>
                  </w:pPr>
                  <w:r>
                    <w:rPr>
                      <w:rFonts w:hint="eastAsia" w:ascii="Times New Roman" w:hAnsi="Times New Roman" w:cs="Times New Roman"/>
                      <w:b/>
                      <w:bCs/>
                      <w:color w:val="auto"/>
                      <w:spacing w:val="6"/>
                      <w:sz w:val="21"/>
                      <w:szCs w:val="21"/>
                      <w:lang w:eastAsia="zh-CN"/>
                    </w:rPr>
                    <w:t>污染因子</w:t>
                  </w:r>
                </w:p>
              </w:tc>
              <w:tc>
                <w:tcPr>
                  <w:tcW w:w="1650" w:type="pct"/>
                  <w:gridSpan w:val="2"/>
                  <w:tcBorders>
                    <w:tl2br w:val="nil"/>
                    <w:tr2bl w:val="nil"/>
                  </w:tcBorders>
                  <w:vAlign w:val="center"/>
                </w:tcPr>
                <w:p w14:paraId="2E18A38C">
                  <w:pPr>
                    <w:pStyle w:val="76"/>
                    <w:spacing w:line="240" w:lineRule="auto"/>
                    <w:ind w:left="0" w:leftChars="0" w:right="0" w:rightChars="0" w:firstLine="0" w:firstLineChars="0"/>
                    <w:jc w:val="center"/>
                    <w:rPr>
                      <w:rFonts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厂界噪声</w:t>
                  </w:r>
                  <w:r>
                    <w:rPr>
                      <w:rFonts w:hint="eastAsia" w:ascii="Times New Roman" w:hAnsi="Times New Roman" w:cs="Times New Roman"/>
                      <w:b/>
                      <w:bCs/>
                      <w:color w:val="auto"/>
                      <w:spacing w:val="6"/>
                      <w:sz w:val="21"/>
                      <w:szCs w:val="21"/>
                      <w:lang w:eastAsia="zh-CN"/>
                    </w:rPr>
                    <w:t xml:space="preserve"> dB（A）</w:t>
                  </w:r>
                </w:p>
              </w:tc>
              <w:tc>
                <w:tcPr>
                  <w:tcW w:w="1689" w:type="pct"/>
                  <w:gridSpan w:val="2"/>
                  <w:tcBorders>
                    <w:tl2br w:val="nil"/>
                    <w:tr2bl w:val="nil"/>
                  </w:tcBorders>
                  <w:vAlign w:val="center"/>
                </w:tcPr>
                <w:p w14:paraId="0A69C7D0">
                  <w:pPr>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排放标准</w:t>
                  </w:r>
                  <w:r>
                    <w:rPr>
                      <w:rFonts w:hint="eastAsia" w:eastAsia="宋体" w:cs="Times New Roman"/>
                      <w:color w:val="auto"/>
                      <w:spacing w:val="6"/>
                      <w:szCs w:val="21"/>
                      <w:lang w:eastAsia="zh-CN"/>
                    </w:rPr>
                    <w:t xml:space="preserve"> </w:t>
                  </w:r>
                  <w:r>
                    <w:rPr>
                      <w:rFonts w:hint="eastAsia" w:eastAsia="宋体" w:cs="Times New Roman"/>
                      <w:b/>
                      <w:bCs/>
                      <w:color w:val="auto"/>
                      <w:spacing w:val="6"/>
                      <w:szCs w:val="21"/>
                      <w:lang w:eastAsia="zh-CN"/>
                    </w:rPr>
                    <w:t>dB（A）</w:t>
                  </w:r>
                </w:p>
              </w:tc>
            </w:tr>
            <w:tr w14:paraId="18FCED7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1" w:type="pct"/>
                  <w:vMerge w:val="continue"/>
                  <w:tcBorders>
                    <w:tl2br w:val="nil"/>
                    <w:tr2bl w:val="nil"/>
                  </w:tcBorders>
                  <w:vAlign w:val="center"/>
                </w:tcPr>
                <w:p w14:paraId="158090AA">
                  <w:pPr>
                    <w:spacing w:line="240" w:lineRule="auto"/>
                    <w:ind w:left="0" w:leftChars="0" w:right="0" w:rightChars="0" w:firstLine="0" w:firstLineChars="0"/>
                    <w:jc w:val="center"/>
                    <w:rPr>
                      <w:rFonts w:eastAsia="宋体" w:cs="Times New Roman"/>
                      <w:b/>
                      <w:bCs/>
                      <w:color w:val="auto"/>
                      <w:szCs w:val="21"/>
                      <w:lang w:eastAsia="zh-CN"/>
                    </w:rPr>
                  </w:pPr>
                </w:p>
              </w:tc>
              <w:tc>
                <w:tcPr>
                  <w:tcW w:w="858" w:type="pct"/>
                  <w:vMerge w:val="continue"/>
                  <w:tcBorders>
                    <w:tl2br w:val="nil"/>
                    <w:tr2bl w:val="nil"/>
                  </w:tcBorders>
                  <w:vAlign w:val="center"/>
                </w:tcPr>
                <w:p w14:paraId="4EE98805">
                  <w:pPr>
                    <w:pStyle w:val="76"/>
                    <w:spacing w:line="240" w:lineRule="auto"/>
                    <w:ind w:left="0" w:leftChars="0" w:right="0" w:rightChars="0" w:firstLine="0" w:firstLineChars="0"/>
                    <w:jc w:val="center"/>
                    <w:rPr>
                      <w:rFonts w:ascii="Times New Roman" w:hAnsi="Times New Roman" w:cs="Times New Roman"/>
                      <w:b/>
                      <w:bCs/>
                      <w:color w:val="auto"/>
                      <w:spacing w:val="6"/>
                      <w:sz w:val="21"/>
                      <w:szCs w:val="21"/>
                      <w:lang w:eastAsia="zh-CN"/>
                    </w:rPr>
                  </w:pPr>
                </w:p>
              </w:tc>
              <w:tc>
                <w:tcPr>
                  <w:tcW w:w="849" w:type="pct"/>
                  <w:tcBorders>
                    <w:tl2br w:val="nil"/>
                    <w:tr2bl w:val="nil"/>
                  </w:tcBorders>
                  <w:vAlign w:val="center"/>
                </w:tcPr>
                <w:p w14:paraId="2704A683">
                  <w:pPr>
                    <w:pStyle w:val="76"/>
                    <w:spacing w:line="240" w:lineRule="auto"/>
                    <w:ind w:left="0" w:leftChars="0" w:right="0" w:rightChars="0" w:firstLine="0" w:firstLineChars="0"/>
                    <w:jc w:val="center"/>
                    <w:rPr>
                      <w:rFonts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昼间</w:t>
                  </w:r>
                </w:p>
              </w:tc>
              <w:tc>
                <w:tcPr>
                  <w:tcW w:w="800" w:type="pct"/>
                  <w:tcBorders>
                    <w:tl2br w:val="nil"/>
                    <w:tr2bl w:val="nil"/>
                  </w:tcBorders>
                  <w:vAlign w:val="center"/>
                </w:tcPr>
                <w:p w14:paraId="425F0CFC">
                  <w:pPr>
                    <w:pStyle w:val="76"/>
                    <w:spacing w:line="240" w:lineRule="auto"/>
                    <w:ind w:left="0" w:leftChars="0" w:right="0" w:rightChars="0" w:firstLine="0" w:firstLineChars="0"/>
                    <w:jc w:val="center"/>
                    <w:rPr>
                      <w:rFonts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夜间</w:t>
                  </w:r>
                </w:p>
              </w:tc>
              <w:tc>
                <w:tcPr>
                  <w:tcW w:w="868" w:type="pct"/>
                  <w:tcBorders>
                    <w:tl2br w:val="nil"/>
                    <w:tr2bl w:val="nil"/>
                  </w:tcBorders>
                  <w:vAlign w:val="center"/>
                </w:tcPr>
                <w:p w14:paraId="152253E2">
                  <w:pPr>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昼间</w:t>
                  </w:r>
                </w:p>
              </w:tc>
              <w:tc>
                <w:tcPr>
                  <w:tcW w:w="820" w:type="pct"/>
                  <w:tcBorders>
                    <w:tl2br w:val="nil"/>
                    <w:tr2bl w:val="nil"/>
                  </w:tcBorders>
                  <w:vAlign w:val="center"/>
                </w:tcPr>
                <w:p w14:paraId="3C9F228F">
                  <w:pPr>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夜间</w:t>
                  </w:r>
                </w:p>
              </w:tc>
            </w:tr>
            <w:tr w14:paraId="5D272B3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1" w:type="pct"/>
                  <w:tcBorders>
                    <w:tl2br w:val="nil"/>
                    <w:tr2bl w:val="nil"/>
                  </w:tcBorders>
                  <w:vAlign w:val="center"/>
                </w:tcPr>
                <w:p w14:paraId="2A8C15B0">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厂界四周</w:t>
                  </w:r>
                </w:p>
              </w:tc>
              <w:tc>
                <w:tcPr>
                  <w:tcW w:w="858" w:type="pct"/>
                  <w:tcBorders>
                    <w:tl2br w:val="nil"/>
                    <w:tr2bl w:val="nil"/>
                  </w:tcBorders>
                  <w:vAlign w:val="center"/>
                </w:tcPr>
                <w:p w14:paraId="67AB9DB3">
                  <w:pPr>
                    <w:pStyle w:val="76"/>
                    <w:spacing w:line="240" w:lineRule="auto"/>
                    <w:ind w:left="0" w:leftChars="0" w:right="0" w:rightChars="0" w:firstLine="0" w:firstLineChars="0"/>
                    <w:jc w:val="center"/>
                    <w:rPr>
                      <w:rFonts w:ascii="Times New Roman" w:hAnsi="Times New Roman" w:cs="Times New Roman"/>
                      <w:color w:val="auto"/>
                      <w:spacing w:val="6"/>
                      <w:sz w:val="21"/>
                      <w:szCs w:val="21"/>
                      <w:lang w:eastAsia="zh-CN"/>
                    </w:rPr>
                  </w:pPr>
                  <w:r>
                    <w:rPr>
                      <w:rFonts w:ascii="Times New Roman" w:hAnsi="Times New Roman" w:cs="Times New Roman"/>
                      <w:color w:val="auto"/>
                      <w:spacing w:val="6"/>
                      <w:sz w:val="21"/>
                      <w:szCs w:val="21"/>
                      <w:lang w:eastAsia="zh-CN"/>
                    </w:rPr>
                    <w:t>Leq</w:t>
                  </w:r>
                </w:p>
              </w:tc>
              <w:tc>
                <w:tcPr>
                  <w:tcW w:w="849" w:type="pct"/>
                  <w:tcBorders>
                    <w:tl2br w:val="nil"/>
                    <w:tr2bl w:val="nil"/>
                  </w:tcBorders>
                  <w:vAlign w:val="center"/>
                </w:tcPr>
                <w:p w14:paraId="0ADFC10A">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55</w:t>
                  </w:r>
                </w:p>
              </w:tc>
              <w:tc>
                <w:tcPr>
                  <w:tcW w:w="800" w:type="pct"/>
                  <w:tcBorders>
                    <w:tl2br w:val="nil"/>
                    <w:tr2bl w:val="nil"/>
                  </w:tcBorders>
                  <w:vAlign w:val="center"/>
                </w:tcPr>
                <w:p w14:paraId="05CAE912">
                  <w:pPr>
                    <w:pStyle w:val="76"/>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45</w:t>
                  </w:r>
                </w:p>
              </w:tc>
              <w:tc>
                <w:tcPr>
                  <w:tcW w:w="868" w:type="pct"/>
                  <w:tcBorders>
                    <w:tl2br w:val="nil"/>
                    <w:tr2bl w:val="nil"/>
                  </w:tcBorders>
                  <w:vAlign w:val="center"/>
                </w:tcPr>
                <w:p w14:paraId="733CADC8">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65</w:t>
                  </w:r>
                </w:p>
              </w:tc>
              <w:tc>
                <w:tcPr>
                  <w:tcW w:w="820" w:type="pct"/>
                  <w:tcBorders>
                    <w:tl2br w:val="nil"/>
                    <w:tr2bl w:val="nil"/>
                  </w:tcBorders>
                  <w:vAlign w:val="center"/>
                </w:tcPr>
                <w:p w14:paraId="7C7FA3E6">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55</w:t>
                  </w:r>
                </w:p>
              </w:tc>
            </w:tr>
          </w:tbl>
          <w:p w14:paraId="00A5D7CE">
            <w:pPr>
              <w:pStyle w:val="34"/>
              <w:spacing w:line="360" w:lineRule="auto"/>
              <w:ind w:firstLine="482" w:firstLineChars="200"/>
              <w:jc w:val="both"/>
              <w:rPr>
                <w:rFonts w:hint="default" w:ascii="Times New Roman" w:eastAsia="宋体" w:cs="Times New Roman"/>
                <w:b/>
                <w:bCs/>
                <w:color w:val="auto"/>
                <w:lang w:val="en-US" w:eastAsia="zh-CN"/>
              </w:rPr>
            </w:pPr>
            <w:r>
              <w:rPr>
                <w:rFonts w:hint="eastAsia" w:ascii="Times New Roman" w:cs="Times New Roman"/>
                <w:b/>
                <w:bCs/>
                <w:color w:val="auto"/>
                <w:lang w:val="en-US" w:eastAsia="zh-CN"/>
              </w:rPr>
              <w:t>5、企业环境管理情况</w:t>
            </w:r>
          </w:p>
          <w:p w14:paraId="6FB6A99D">
            <w:pPr>
              <w:pStyle w:val="34"/>
              <w:spacing w:line="360" w:lineRule="auto"/>
              <w:ind w:firstLine="560" w:firstLineChars="200"/>
              <w:jc w:val="both"/>
              <w:rPr>
                <w:rFonts w:hint="eastAsia" w:ascii="Times New Roman" w:hAnsi="Times New Roman" w:eastAsia="宋体" w:cs="Times New Roman"/>
                <w:b w:val="0"/>
                <w:bCs/>
                <w:color w:val="auto"/>
                <w:spacing w:val="0"/>
                <w:sz w:val="28"/>
                <w:szCs w:val="28"/>
                <w:lang w:val="en-US" w:eastAsia="zh-CN"/>
              </w:rPr>
            </w:pPr>
            <w:r>
              <w:rPr>
                <w:rFonts w:hint="eastAsia" w:ascii="Times New Roman" w:hAnsi="Times New Roman" w:eastAsia="宋体" w:cs="Times New Roman"/>
                <w:b w:val="0"/>
                <w:bCs/>
                <w:color w:val="auto"/>
                <w:spacing w:val="0"/>
                <w:sz w:val="28"/>
                <w:szCs w:val="28"/>
                <w:lang w:val="en-US" w:eastAsia="zh-CN"/>
              </w:rPr>
              <w:t>通过调查可知，企业</w:t>
            </w:r>
            <w:r>
              <w:rPr>
                <w:rFonts w:hint="default" w:ascii="Times New Roman" w:hAnsi="Times New Roman" w:eastAsia="宋体" w:cs="Times New Roman"/>
                <w:b w:val="0"/>
                <w:bCs/>
                <w:color w:val="auto"/>
                <w:spacing w:val="0"/>
                <w:sz w:val="28"/>
                <w:szCs w:val="28"/>
                <w:lang w:val="en-US" w:eastAsia="zh-CN"/>
              </w:rPr>
              <w:t>严格执行</w:t>
            </w:r>
            <w:r>
              <w:rPr>
                <w:rFonts w:hint="eastAsia" w:ascii="Times New Roman" w:hAnsi="Times New Roman" w:eastAsia="宋体" w:cs="Times New Roman"/>
                <w:b w:val="0"/>
                <w:bCs/>
                <w:color w:val="auto"/>
                <w:spacing w:val="0"/>
                <w:sz w:val="28"/>
                <w:szCs w:val="28"/>
                <w:lang w:val="en-US" w:eastAsia="zh-CN"/>
              </w:rPr>
              <w:t>了</w:t>
            </w:r>
            <w:r>
              <w:rPr>
                <w:rFonts w:hint="eastAsia" w:ascii="Times New Roman" w:cs="Times New Roman"/>
                <w:b w:val="0"/>
                <w:bCs/>
                <w:color w:val="auto"/>
                <w:spacing w:val="0"/>
                <w:sz w:val="28"/>
                <w:szCs w:val="28"/>
                <w:lang w:val="en-US" w:eastAsia="zh-CN"/>
              </w:rPr>
              <w:t>“</w:t>
            </w:r>
            <w:r>
              <w:rPr>
                <w:rFonts w:hint="default" w:ascii="Times New Roman" w:hAnsi="Times New Roman" w:eastAsia="宋体" w:cs="Times New Roman"/>
                <w:b w:val="0"/>
                <w:bCs/>
                <w:color w:val="auto"/>
                <w:spacing w:val="0"/>
                <w:sz w:val="28"/>
                <w:szCs w:val="28"/>
                <w:lang w:val="en-US" w:eastAsia="zh-CN"/>
              </w:rPr>
              <w:t>三同时</w:t>
            </w:r>
            <w:r>
              <w:rPr>
                <w:rFonts w:hint="eastAsia" w:ascii="Times New Roman" w:cs="Times New Roman"/>
                <w:b w:val="0"/>
                <w:bCs/>
                <w:color w:val="auto"/>
                <w:spacing w:val="0"/>
                <w:sz w:val="28"/>
                <w:szCs w:val="28"/>
                <w:lang w:val="en-US" w:eastAsia="zh-CN"/>
              </w:rPr>
              <w:t>”</w:t>
            </w:r>
            <w:r>
              <w:rPr>
                <w:rFonts w:hint="default" w:ascii="Times New Roman" w:hAnsi="Times New Roman" w:eastAsia="宋体" w:cs="Times New Roman"/>
                <w:b w:val="0"/>
                <w:bCs/>
                <w:color w:val="auto"/>
                <w:spacing w:val="0"/>
                <w:sz w:val="28"/>
                <w:szCs w:val="28"/>
                <w:lang w:val="en-US" w:eastAsia="zh-CN"/>
              </w:rPr>
              <w:t>制度，按照政府环境管理要求以及环评提出的环保治理设施进行建设，并与项目同时投入使用</w:t>
            </w:r>
            <w:r>
              <w:rPr>
                <w:rFonts w:hint="eastAsia" w:ascii="Times New Roman" w:hAnsi="Times New Roman" w:eastAsia="宋体" w:cs="Times New Roman"/>
                <w:b w:val="0"/>
                <w:bCs/>
                <w:color w:val="auto"/>
                <w:spacing w:val="0"/>
                <w:sz w:val="28"/>
                <w:szCs w:val="28"/>
                <w:lang w:val="en-US" w:eastAsia="zh-CN"/>
              </w:rPr>
              <w:t>；环保档案齐全，已指定污染源自行监测方案，并按照方案进行污染源监测。</w:t>
            </w:r>
          </w:p>
          <w:p w14:paraId="3F4EB159">
            <w:pPr>
              <w:pStyle w:val="34"/>
              <w:spacing w:line="360" w:lineRule="auto"/>
              <w:ind w:firstLine="482" w:firstLineChars="200"/>
              <w:jc w:val="both"/>
              <w:rPr>
                <w:rFonts w:ascii="Times New Roman" w:cs="Times New Roman"/>
                <w:b/>
                <w:bCs/>
                <w:color w:val="auto"/>
              </w:rPr>
            </w:pPr>
            <w:r>
              <w:rPr>
                <w:rFonts w:hint="eastAsia" w:ascii="Times New Roman" w:cs="Times New Roman"/>
                <w:b/>
                <w:bCs/>
                <w:color w:val="auto"/>
                <w:lang w:val="en-US" w:eastAsia="zh-CN"/>
              </w:rPr>
              <w:t>6</w:t>
            </w:r>
            <w:r>
              <w:rPr>
                <w:rFonts w:ascii="Times New Roman" w:cs="Times New Roman"/>
                <w:b/>
                <w:bCs/>
                <w:color w:val="auto"/>
              </w:rPr>
              <w:t>、现有项目主要环境问题及整改措施</w:t>
            </w:r>
          </w:p>
          <w:p w14:paraId="49B4D53C">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 xml:space="preserve">表2-13    </w:t>
            </w:r>
            <w:r>
              <w:rPr>
                <w:rFonts w:eastAsia="宋体" w:cs="Times New Roman"/>
                <w:b/>
                <w:bCs/>
                <w:color w:val="auto"/>
                <w:szCs w:val="21"/>
                <w:lang w:eastAsia="zh-CN"/>
              </w:rPr>
              <w:t>现有项目主要环境问题及整改措施要求</w:t>
            </w:r>
          </w:p>
          <w:tbl>
            <w:tblPr>
              <w:tblStyle w:val="3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164"/>
              <w:gridCol w:w="4469"/>
            </w:tblGrid>
            <w:tr w14:paraId="02BE5A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11" w:type="pct"/>
                  <w:tcBorders>
                    <w:tl2br w:val="nil"/>
                    <w:tr2bl w:val="nil"/>
                  </w:tcBorders>
                  <w:vAlign w:val="center"/>
                </w:tcPr>
                <w:p w14:paraId="27CB2B15">
                  <w:pPr>
                    <w:pStyle w:val="76"/>
                    <w:spacing w:line="240" w:lineRule="auto"/>
                    <w:ind w:left="0" w:leftChars="0" w:right="0" w:rightChars="0" w:firstLine="0" w:firstLineChars="0"/>
                    <w:jc w:val="center"/>
                    <w:rPr>
                      <w:b/>
                      <w:bCs/>
                      <w:color w:val="auto"/>
                      <w:sz w:val="21"/>
                      <w:szCs w:val="21"/>
                    </w:rPr>
                  </w:pPr>
                  <w:r>
                    <w:rPr>
                      <w:rFonts w:hint="eastAsia"/>
                      <w:b/>
                      <w:bCs/>
                      <w:color w:val="auto"/>
                      <w:spacing w:val="8"/>
                      <w:sz w:val="21"/>
                      <w:szCs w:val="21"/>
                    </w:rPr>
                    <w:t>存在问题</w:t>
                  </w:r>
                </w:p>
              </w:tc>
              <w:tc>
                <w:tcPr>
                  <w:tcW w:w="2588" w:type="pct"/>
                  <w:tcBorders>
                    <w:tl2br w:val="nil"/>
                    <w:tr2bl w:val="nil"/>
                  </w:tcBorders>
                  <w:vAlign w:val="center"/>
                </w:tcPr>
                <w:p w14:paraId="4F4DA10C">
                  <w:pPr>
                    <w:pStyle w:val="76"/>
                    <w:spacing w:line="240" w:lineRule="auto"/>
                    <w:ind w:left="0" w:leftChars="0" w:right="0" w:rightChars="0" w:firstLine="0" w:firstLineChars="0"/>
                    <w:jc w:val="center"/>
                    <w:rPr>
                      <w:b/>
                      <w:bCs/>
                      <w:color w:val="auto"/>
                      <w:sz w:val="21"/>
                      <w:szCs w:val="21"/>
                    </w:rPr>
                  </w:pPr>
                  <w:r>
                    <w:rPr>
                      <w:rFonts w:hint="eastAsia"/>
                      <w:b/>
                      <w:bCs/>
                      <w:color w:val="auto"/>
                      <w:spacing w:val="7"/>
                      <w:sz w:val="21"/>
                      <w:szCs w:val="21"/>
                    </w:rPr>
                    <w:t>整改要求</w:t>
                  </w:r>
                </w:p>
              </w:tc>
            </w:tr>
            <w:tr w14:paraId="11B25F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11" w:type="pct"/>
                  <w:tcBorders>
                    <w:tl2br w:val="nil"/>
                    <w:tr2bl w:val="nil"/>
                  </w:tcBorders>
                  <w:vAlign w:val="center"/>
                </w:tcPr>
                <w:p w14:paraId="4D782555">
                  <w:pPr>
                    <w:pStyle w:val="76"/>
                    <w:spacing w:line="240" w:lineRule="auto"/>
                    <w:ind w:left="0" w:leftChars="0" w:right="0" w:rightChars="0" w:firstLine="0" w:firstLineChars="0"/>
                    <w:jc w:val="center"/>
                    <w:rPr>
                      <w:color w:val="auto"/>
                      <w:sz w:val="21"/>
                      <w:szCs w:val="21"/>
                      <w:lang w:eastAsia="zh-CN"/>
                    </w:rPr>
                  </w:pPr>
                  <w:r>
                    <w:rPr>
                      <w:rFonts w:hint="eastAsia"/>
                      <w:color w:val="0000FF"/>
                      <w:spacing w:val="8"/>
                      <w:sz w:val="21"/>
                      <w:szCs w:val="21"/>
                      <w:lang w:eastAsia="zh-CN"/>
                    </w:rPr>
                    <w:t>现有危废暂存间</w:t>
                  </w:r>
                  <w:r>
                    <w:rPr>
                      <w:rFonts w:hint="eastAsia"/>
                      <w:color w:val="0000FF"/>
                      <w:sz w:val="21"/>
                      <w:szCs w:val="21"/>
                      <w:lang w:eastAsia="zh-CN"/>
                    </w:rPr>
                    <w:t>防渗及危险废物标志不符合环保要求</w:t>
                  </w:r>
                </w:p>
              </w:tc>
              <w:tc>
                <w:tcPr>
                  <w:tcW w:w="2588" w:type="pct"/>
                  <w:tcBorders>
                    <w:tl2br w:val="nil"/>
                    <w:tr2bl w:val="nil"/>
                  </w:tcBorders>
                  <w:vAlign w:val="center"/>
                </w:tcPr>
                <w:p w14:paraId="36410CAE">
                  <w:pPr>
                    <w:pStyle w:val="76"/>
                    <w:spacing w:line="240" w:lineRule="auto"/>
                    <w:ind w:left="0" w:leftChars="0" w:right="0" w:rightChars="0" w:firstLine="0" w:firstLineChars="0"/>
                    <w:jc w:val="center"/>
                    <w:rPr>
                      <w:color w:val="0000FF"/>
                      <w:spacing w:val="7"/>
                      <w:sz w:val="21"/>
                      <w:szCs w:val="21"/>
                      <w:lang w:eastAsia="zh-CN"/>
                    </w:rPr>
                  </w:pPr>
                  <w:r>
                    <w:rPr>
                      <w:rFonts w:hint="eastAsia"/>
                      <w:color w:val="0000FF"/>
                      <w:spacing w:val="7"/>
                      <w:sz w:val="21"/>
                      <w:szCs w:val="21"/>
                      <w:lang w:eastAsia="zh-CN"/>
                    </w:rPr>
                    <w:t>按照《危险废物识别标志设置技术规范》</w:t>
                  </w:r>
                </w:p>
                <w:p w14:paraId="0CDD3B11">
                  <w:pPr>
                    <w:pStyle w:val="76"/>
                    <w:spacing w:line="240" w:lineRule="auto"/>
                    <w:ind w:left="0" w:leftChars="0" w:right="0" w:rightChars="0" w:firstLine="0" w:firstLineChars="0"/>
                    <w:jc w:val="center"/>
                    <w:rPr>
                      <w:color w:val="auto"/>
                      <w:sz w:val="21"/>
                      <w:szCs w:val="21"/>
                      <w:lang w:eastAsia="zh-CN"/>
                    </w:rPr>
                  </w:pPr>
                  <w:r>
                    <w:rPr>
                      <w:rFonts w:hint="eastAsia"/>
                      <w:color w:val="0000FF"/>
                      <w:spacing w:val="7"/>
                      <w:sz w:val="21"/>
                      <w:szCs w:val="21"/>
                      <w:lang w:eastAsia="zh-CN"/>
                    </w:rPr>
                    <w:t>（</w:t>
                  </w:r>
                  <w:r>
                    <w:rPr>
                      <w:rFonts w:hint="eastAsia"/>
                      <w:color w:val="0000FF"/>
                      <w:sz w:val="21"/>
                      <w:szCs w:val="21"/>
                      <w:lang w:eastAsia="zh-CN"/>
                    </w:rPr>
                    <w:t>HJ</w:t>
                  </w:r>
                  <w:r>
                    <w:rPr>
                      <w:rFonts w:hint="eastAsia"/>
                      <w:color w:val="0000FF"/>
                      <w:spacing w:val="32"/>
                      <w:w w:val="101"/>
                      <w:sz w:val="21"/>
                      <w:szCs w:val="21"/>
                      <w:lang w:eastAsia="zh-CN"/>
                    </w:rPr>
                    <w:t xml:space="preserve"> </w:t>
                  </w:r>
                  <w:r>
                    <w:rPr>
                      <w:rFonts w:hint="eastAsia"/>
                      <w:color w:val="0000FF"/>
                      <w:spacing w:val="7"/>
                      <w:sz w:val="21"/>
                      <w:szCs w:val="21"/>
                      <w:lang w:eastAsia="zh-CN"/>
                    </w:rPr>
                    <w:t>1276-2022）</w:t>
                  </w:r>
                  <w:r>
                    <w:rPr>
                      <w:rFonts w:hint="eastAsia"/>
                      <w:color w:val="0000FF"/>
                      <w:spacing w:val="8"/>
                      <w:sz w:val="21"/>
                      <w:szCs w:val="21"/>
                      <w:lang w:eastAsia="zh-CN"/>
                    </w:rPr>
                    <w:t>更新设置相关标志；</w:t>
                  </w:r>
                  <w:r>
                    <w:rPr>
                      <w:rFonts w:hint="eastAsia"/>
                      <w:color w:val="auto"/>
                      <w:spacing w:val="8"/>
                      <w:sz w:val="21"/>
                      <w:szCs w:val="21"/>
                      <w:lang w:eastAsia="zh-CN"/>
                    </w:rPr>
                    <w:t>根据</w:t>
                  </w:r>
                  <w:r>
                    <w:rPr>
                      <w:rFonts w:hint="eastAsia"/>
                      <w:color w:val="auto"/>
                      <w:sz w:val="21"/>
                      <w:szCs w:val="21"/>
                      <w:lang w:eastAsia="zh-CN"/>
                    </w:rPr>
                    <w:t>《危险废物贮存污染控制标准》(GB18597-2023)要求进行防渗</w:t>
                  </w:r>
                </w:p>
              </w:tc>
            </w:tr>
            <w:tr w14:paraId="4A3FB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11" w:type="pct"/>
                  <w:tcBorders>
                    <w:tl2br w:val="nil"/>
                    <w:tr2bl w:val="nil"/>
                  </w:tcBorders>
                  <w:vAlign w:val="center"/>
                </w:tcPr>
                <w:p w14:paraId="209F9A52">
                  <w:pPr>
                    <w:pStyle w:val="76"/>
                    <w:spacing w:line="240" w:lineRule="auto"/>
                    <w:ind w:left="0" w:leftChars="0" w:right="0" w:rightChars="0" w:firstLine="0" w:firstLineChars="0"/>
                    <w:jc w:val="center"/>
                    <w:rPr>
                      <w:color w:val="auto"/>
                      <w:spacing w:val="8"/>
                      <w:sz w:val="21"/>
                      <w:szCs w:val="21"/>
                      <w:lang w:eastAsia="zh-CN"/>
                    </w:rPr>
                  </w:pPr>
                  <w:r>
                    <w:rPr>
                      <w:rFonts w:hint="eastAsia"/>
                      <w:color w:val="auto"/>
                      <w:sz w:val="21"/>
                      <w:szCs w:val="21"/>
                      <w:lang w:eastAsia="zh-CN"/>
                    </w:rPr>
                    <w:t>根据《陕西省大气污染治理专项行动方案（2023-2027年）》《西安市大气污染治理专项行动方案（2023-2027年）》周至县、蓝田县应达到环保绩效B级及以上水平</w:t>
                  </w:r>
                </w:p>
              </w:tc>
              <w:tc>
                <w:tcPr>
                  <w:tcW w:w="2588" w:type="pct"/>
                  <w:tcBorders>
                    <w:tl2br w:val="nil"/>
                    <w:tr2bl w:val="nil"/>
                  </w:tcBorders>
                  <w:vAlign w:val="center"/>
                </w:tcPr>
                <w:p w14:paraId="21F4A144">
                  <w:pPr>
                    <w:pStyle w:val="76"/>
                    <w:spacing w:line="240" w:lineRule="auto"/>
                    <w:ind w:left="0" w:leftChars="0" w:right="0" w:rightChars="0" w:firstLine="0" w:firstLineChars="0"/>
                    <w:jc w:val="center"/>
                    <w:rPr>
                      <w:color w:val="auto"/>
                      <w:spacing w:val="7"/>
                      <w:sz w:val="21"/>
                      <w:szCs w:val="21"/>
                      <w:lang w:eastAsia="zh-CN"/>
                    </w:rPr>
                  </w:pPr>
                  <w:r>
                    <w:rPr>
                      <w:rFonts w:hint="eastAsia"/>
                      <w:color w:val="auto"/>
                      <w:sz w:val="21"/>
                      <w:szCs w:val="21"/>
                      <w:u w:color="000000"/>
                      <w:lang w:eastAsia="zh-CN"/>
                    </w:rPr>
                    <w:t>应根据《重污染天气重点行业应急减排措施制定技术指南》家具制造绩效绩效分级指标中B级企业要求进行整改</w:t>
                  </w:r>
                </w:p>
              </w:tc>
            </w:tr>
          </w:tbl>
          <w:p w14:paraId="4ECD3CDC">
            <w:pPr>
              <w:widowControl/>
              <w:ind w:left="0" w:leftChars="0" w:firstLine="0" w:firstLineChars="0"/>
              <w:jc w:val="both"/>
              <w:rPr>
                <w:color w:val="auto"/>
                <w:spacing w:val="6"/>
                <w:sz w:val="20"/>
                <w:szCs w:val="20"/>
                <w:lang w:eastAsia="zh-CN"/>
              </w:rPr>
            </w:pPr>
            <w:r>
              <w:rPr>
                <w:rFonts w:hint="eastAsia"/>
                <w:color w:val="auto"/>
                <w:spacing w:val="6"/>
                <w:sz w:val="20"/>
                <w:szCs w:val="20"/>
                <w:lang w:eastAsia="zh-CN"/>
              </w:rPr>
              <w:t xml:space="preserve"> </w:t>
            </w:r>
          </w:p>
          <w:p w14:paraId="0FF4BCF2">
            <w:pPr>
              <w:pStyle w:val="2"/>
              <w:ind w:left="-63" w:firstLine="720"/>
              <w:jc w:val="both"/>
              <w:outlineLvl w:val="1"/>
              <w:rPr>
                <w:color w:val="auto"/>
                <w:lang w:eastAsia="zh-CN"/>
              </w:rPr>
            </w:pPr>
          </w:p>
          <w:p w14:paraId="4C1E3AB3">
            <w:pPr>
              <w:jc w:val="both"/>
              <w:rPr>
                <w:color w:val="auto"/>
                <w:lang w:eastAsia="zh-CN"/>
              </w:rPr>
            </w:pPr>
          </w:p>
          <w:p w14:paraId="17EDFE7C">
            <w:pPr>
              <w:pStyle w:val="2"/>
              <w:jc w:val="both"/>
              <w:rPr>
                <w:color w:val="auto"/>
                <w:lang w:eastAsia="zh-CN"/>
              </w:rPr>
            </w:pPr>
          </w:p>
          <w:p w14:paraId="08AB825A">
            <w:pPr>
              <w:jc w:val="both"/>
              <w:rPr>
                <w:color w:val="auto"/>
                <w:lang w:eastAsia="zh-CN"/>
              </w:rPr>
            </w:pPr>
          </w:p>
          <w:p w14:paraId="2E7457B5">
            <w:pPr>
              <w:pStyle w:val="2"/>
              <w:ind w:left="0" w:leftChars="0" w:firstLine="0" w:firstLineChars="0"/>
              <w:jc w:val="both"/>
              <w:rPr>
                <w:color w:val="auto"/>
                <w:lang w:eastAsia="zh-CN"/>
              </w:rPr>
            </w:pPr>
          </w:p>
        </w:tc>
      </w:tr>
    </w:tbl>
    <w:p w14:paraId="7F6DCAE1">
      <w:pPr>
        <w:spacing w:line="241" w:lineRule="exact"/>
        <w:ind w:left="0" w:leftChars="0" w:firstLine="0" w:firstLineChars="0"/>
        <w:rPr>
          <w:rFonts w:eastAsia="宋体" w:cs="Times New Roman"/>
          <w:color w:val="auto"/>
          <w:szCs w:val="21"/>
          <w:lang w:eastAsia="zh-CN"/>
        </w:rPr>
        <w:sectPr>
          <w:pgSz w:w="11910" w:h="16838"/>
          <w:pgMar w:top="1440" w:right="1689" w:bottom="1440" w:left="1800" w:header="720" w:footer="1043" w:gutter="0"/>
          <w:cols w:space="0" w:num="1"/>
        </w:sectPr>
      </w:pPr>
    </w:p>
    <w:p w14:paraId="446E3F4B">
      <w:pPr>
        <w:pStyle w:val="8"/>
        <w:spacing w:line="240" w:lineRule="auto"/>
        <w:ind w:left="0" w:leftChars="0" w:firstLine="0" w:firstLineChars="0"/>
        <w:jc w:val="center"/>
        <w:outlineLvl w:val="0"/>
        <w:rPr>
          <w:rFonts w:ascii="Times New Roman" w:hAnsi="Times New Roman" w:eastAsia="宋体" w:cs="Times New Roman"/>
          <w:color w:val="auto"/>
          <w:lang w:eastAsia="zh-CN"/>
        </w:rPr>
      </w:pPr>
      <w:bookmarkStart w:id="7" w:name="_Toc18403"/>
      <w:r>
        <w:rPr>
          <w:rFonts w:ascii="Times New Roman" w:hAnsi="Times New Roman" w:eastAsia="宋体" w:cs="Times New Roman"/>
          <w:b/>
          <w:bCs/>
          <w:color w:val="auto"/>
          <w:lang w:eastAsia="zh-CN"/>
        </w:rPr>
        <w:t>三、区域环境质量现状、环境保护目标及评价标准</w:t>
      </w:r>
      <w:bookmarkEnd w:id="7"/>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8764"/>
      </w:tblGrid>
      <w:tr w14:paraId="6B69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 w:type="pct"/>
            <w:vAlign w:val="center"/>
          </w:tcPr>
          <w:p w14:paraId="0022617B">
            <w:pPr>
              <w:pStyle w:val="38"/>
              <w:spacing w:before="162" w:line="240" w:lineRule="auto"/>
              <w:ind w:left="0" w:leftChars="0" w:right="0" w:rightChars="0" w:firstLine="0" w:firstLineChars="0"/>
              <w:jc w:val="center"/>
              <w:rPr>
                <w:rFonts w:eastAsia="宋体" w:cs="Times New Roman"/>
                <w:color w:val="auto"/>
                <w:szCs w:val="21"/>
              </w:rPr>
            </w:pPr>
            <w:r>
              <w:rPr>
                <w:rFonts w:eastAsia="宋体" w:cs="Times New Roman"/>
                <w:b/>
                <w:bCs/>
                <w:color w:val="auto"/>
                <w:sz w:val="24"/>
                <w:szCs w:val="24"/>
              </w:rPr>
              <w:t>区域环境质量现状</w:t>
            </w:r>
          </w:p>
        </w:tc>
        <w:tc>
          <w:tcPr>
            <w:tcW w:w="4671" w:type="pct"/>
          </w:tcPr>
          <w:p w14:paraId="4154945F">
            <w:pPr>
              <w:adjustRightInd w:val="0"/>
              <w:snapToGrid w:val="0"/>
              <w:ind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1</w:t>
            </w:r>
            <w:r>
              <w:rPr>
                <w:rFonts w:eastAsia="宋体" w:cs="Times New Roman"/>
                <w:b/>
                <w:color w:val="auto"/>
                <w:sz w:val="24"/>
                <w:szCs w:val="24"/>
                <w:lang w:eastAsia="zh-CN"/>
              </w:rPr>
              <w:t>、大气环境质量</w:t>
            </w:r>
          </w:p>
          <w:p w14:paraId="43A86673">
            <w:pPr>
              <w:adjustRightInd w:val="0"/>
              <w:snapToGrid w:val="0"/>
              <w:ind w:firstLine="482"/>
              <w:jc w:val="both"/>
              <w:rPr>
                <w:rFonts w:eastAsia="宋体" w:cs="Times New Roman"/>
                <w:color w:val="auto"/>
                <w:sz w:val="24"/>
                <w:szCs w:val="24"/>
                <w:lang w:eastAsia="zh-CN"/>
              </w:rPr>
            </w:pPr>
            <w:r>
              <w:rPr>
                <w:rFonts w:hint="eastAsia" w:eastAsia="宋体" w:cs="Times New Roman"/>
                <w:b/>
                <w:bCs/>
                <w:color w:val="auto"/>
                <w:sz w:val="24"/>
                <w:szCs w:val="24"/>
                <w:lang w:eastAsia="zh-CN"/>
              </w:rPr>
              <w:t>1.1空气质量达标区判定</w:t>
            </w:r>
          </w:p>
          <w:p w14:paraId="4F9193BA">
            <w:pPr>
              <w:adjustRightInd w:val="0"/>
              <w:snapToGrid w:val="0"/>
              <w:ind w:firstLine="480"/>
              <w:jc w:val="both"/>
              <w:rPr>
                <w:rFonts w:eastAsia="宋体" w:cs="Times New Roman"/>
                <w:color w:val="auto"/>
                <w:sz w:val="24"/>
                <w:szCs w:val="24"/>
                <w:lang w:eastAsia="zh-CN"/>
              </w:rPr>
            </w:pPr>
            <w:r>
              <w:rPr>
                <w:rFonts w:hint="eastAsia" w:eastAsia="宋体"/>
                <w:color w:val="auto"/>
                <w:sz w:val="24"/>
                <w:lang w:eastAsia="zh-CN"/>
              </w:rPr>
              <w:t>本项目空气</w:t>
            </w:r>
            <w:r>
              <w:rPr>
                <w:rFonts w:eastAsia="宋体" w:cs="Times New Roman"/>
                <w:color w:val="auto"/>
                <w:sz w:val="24"/>
                <w:lang w:eastAsia="zh-CN"/>
              </w:rPr>
              <w:t>质量现状引用陕西省生态环境厅办公室于2024年1月19日发布的《环保快报》</w:t>
            </w:r>
            <w:r>
              <w:rPr>
                <w:rFonts w:hint="eastAsia" w:eastAsia="宋体" w:cs="Times New Roman"/>
                <w:color w:val="auto"/>
                <w:sz w:val="24"/>
                <w:lang w:eastAsia="zh-CN"/>
              </w:rPr>
              <w:t>中</w:t>
            </w:r>
            <w:r>
              <w:rPr>
                <w:rFonts w:eastAsia="宋体" w:cs="Times New Roman"/>
                <w:color w:val="auto"/>
                <w:sz w:val="24"/>
                <w:lang w:eastAsia="zh-CN"/>
              </w:rPr>
              <w:t>2023年12月及1~12月全省环境空气质量状况</w:t>
            </w:r>
            <w:r>
              <w:rPr>
                <w:rFonts w:hint="eastAsia" w:eastAsia="宋体" w:cs="Times New Roman"/>
                <w:color w:val="auto"/>
                <w:sz w:val="24"/>
                <w:lang w:eastAsia="zh-CN"/>
              </w:rPr>
              <w:t>，西安市蓝田县</w:t>
            </w:r>
            <w:r>
              <w:rPr>
                <w:rFonts w:eastAsia="宋体" w:cs="Times New Roman"/>
                <w:color w:val="auto"/>
                <w:sz w:val="24"/>
                <w:lang w:eastAsia="zh-CN"/>
              </w:rPr>
              <w:t>环境空气质量现状数据</w:t>
            </w:r>
            <w:r>
              <w:rPr>
                <w:rFonts w:hint="eastAsia" w:eastAsia="宋体" w:cs="Times New Roman"/>
                <w:color w:val="auto"/>
                <w:sz w:val="24"/>
                <w:lang w:eastAsia="zh-CN"/>
              </w:rPr>
              <w:t>具体</w:t>
            </w:r>
            <w:r>
              <w:rPr>
                <w:rFonts w:eastAsia="宋体" w:cs="Times New Roman"/>
                <w:color w:val="auto"/>
                <w:sz w:val="24"/>
                <w:lang w:eastAsia="zh-CN"/>
              </w:rPr>
              <w:t>见</w:t>
            </w:r>
            <w:r>
              <w:rPr>
                <w:rFonts w:eastAsia="宋体" w:cs="Times New Roman"/>
                <w:color w:val="auto"/>
                <w:sz w:val="24"/>
                <w:szCs w:val="24"/>
                <w:lang w:eastAsia="zh-CN"/>
              </w:rPr>
              <w:t>下表。</w:t>
            </w:r>
          </w:p>
          <w:p w14:paraId="7488B13C">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表3-1    环境空气质量主要污染物项目浓度达标分析</w:t>
            </w:r>
          </w:p>
          <w:tbl>
            <w:tblPr>
              <w:tblStyle w:val="26"/>
              <w:tblW w:w="5000" w:type="pct"/>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28" w:type="dxa"/>
                <w:bottom w:w="0" w:type="dxa"/>
                <w:right w:w="28" w:type="dxa"/>
              </w:tblCellMar>
            </w:tblPr>
            <w:tblGrid>
              <w:gridCol w:w="910"/>
              <w:gridCol w:w="3768"/>
              <w:gridCol w:w="966"/>
              <w:gridCol w:w="884"/>
              <w:gridCol w:w="828"/>
              <w:gridCol w:w="1192"/>
            </w:tblGrid>
            <w:tr w14:paraId="51AF89E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rPr>
              <w:tc>
                <w:tcPr>
                  <w:tcW w:w="532" w:type="pct"/>
                  <w:tcBorders>
                    <w:tl2br w:val="nil"/>
                    <w:tr2bl w:val="nil"/>
                  </w:tcBorders>
                  <w:vAlign w:val="center"/>
                </w:tcPr>
                <w:p w14:paraId="4600B207">
                  <w:pPr>
                    <w:pStyle w:val="77"/>
                    <w:spacing w:line="240" w:lineRule="auto"/>
                    <w:ind w:left="0" w:leftChars="0" w:right="0" w:rightChars="0" w:firstLine="0" w:firstLineChars="0"/>
                    <w:rPr>
                      <w:b/>
                      <w:bCs w:val="0"/>
                      <w:color w:val="auto"/>
                    </w:rPr>
                  </w:pPr>
                  <w:r>
                    <w:rPr>
                      <w:b/>
                      <w:bCs w:val="0"/>
                      <w:color w:val="auto"/>
                    </w:rPr>
                    <w:t>项目</w:t>
                  </w:r>
                </w:p>
              </w:tc>
              <w:tc>
                <w:tcPr>
                  <w:tcW w:w="2203" w:type="pct"/>
                  <w:tcBorders>
                    <w:tl2br w:val="nil"/>
                    <w:tr2bl w:val="nil"/>
                  </w:tcBorders>
                  <w:vAlign w:val="center"/>
                </w:tcPr>
                <w:p w14:paraId="400C5417">
                  <w:pPr>
                    <w:pStyle w:val="77"/>
                    <w:spacing w:line="240" w:lineRule="auto"/>
                    <w:ind w:left="0" w:leftChars="0" w:right="0" w:rightChars="0" w:firstLine="0" w:firstLineChars="0"/>
                    <w:rPr>
                      <w:b/>
                      <w:bCs w:val="0"/>
                      <w:color w:val="auto"/>
                    </w:rPr>
                  </w:pPr>
                  <w:r>
                    <w:rPr>
                      <w:b/>
                      <w:bCs w:val="0"/>
                      <w:color w:val="auto"/>
                    </w:rPr>
                    <w:t>年评价指标</w:t>
                  </w:r>
                </w:p>
              </w:tc>
              <w:tc>
                <w:tcPr>
                  <w:tcW w:w="565" w:type="pct"/>
                  <w:tcBorders>
                    <w:tl2br w:val="nil"/>
                    <w:tr2bl w:val="nil"/>
                  </w:tcBorders>
                  <w:vAlign w:val="center"/>
                </w:tcPr>
                <w:p w14:paraId="07D8C3CD">
                  <w:pPr>
                    <w:pStyle w:val="77"/>
                    <w:spacing w:line="240" w:lineRule="auto"/>
                    <w:ind w:left="0" w:leftChars="0" w:right="0" w:rightChars="0" w:firstLine="0" w:firstLineChars="0"/>
                    <w:rPr>
                      <w:b/>
                      <w:bCs w:val="0"/>
                      <w:color w:val="auto"/>
                    </w:rPr>
                  </w:pPr>
                  <w:r>
                    <w:rPr>
                      <w:b/>
                      <w:bCs w:val="0"/>
                      <w:color w:val="auto"/>
                    </w:rPr>
                    <w:t>现状浓度µg/m</w:t>
                  </w:r>
                  <w:r>
                    <w:rPr>
                      <w:b/>
                      <w:bCs w:val="0"/>
                      <w:color w:val="auto"/>
                      <w:vertAlign w:val="superscript"/>
                    </w:rPr>
                    <w:t>3</w:t>
                  </w:r>
                </w:p>
              </w:tc>
              <w:tc>
                <w:tcPr>
                  <w:tcW w:w="517" w:type="pct"/>
                  <w:tcBorders>
                    <w:tl2br w:val="nil"/>
                    <w:tr2bl w:val="nil"/>
                  </w:tcBorders>
                  <w:vAlign w:val="center"/>
                </w:tcPr>
                <w:p w14:paraId="6FE62242">
                  <w:pPr>
                    <w:pStyle w:val="77"/>
                    <w:spacing w:line="240" w:lineRule="auto"/>
                    <w:ind w:left="0" w:leftChars="0" w:right="0" w:rightChars="0" w:firstLine="0" w:firstLineChars="0"/>
                    <w:rPr>
                      <w:b/>
                      <w:bCs w:val="0"/>
                      <w:color w:val="auto"/>
                    </w:rPr>
                  </w:pPr>
                  <w:r>
                    <w:rPr>
                      <w:b/>
                      <w:bCs w:val="0"/>
                      <w:color w:val="auto"/>
                    </w:rPr>
                    <w:t>标准值</w:t>
                  </w:r>
                </w:p>
                <w:p w14:paraId="2D66B03C">
                  <w:pPr>
                    <w:pStyle w:val="77"/>
                    <w:spacing w:line="240" w:lineRule="auto"/>
                    <w:ind w:left="0" w:leftChars="0" w:right="0" w:rightChars="0" w:firstLine="0" w:firstLineChars="0"/>
                    <w:rPr>
                      <w:b/>
                      <w:bCs w:val="0"/>
                      <w:color w:val="auto"/>
                    </w:rPr>
                  </w:pPr>
                  <w:r>
                    <w:rPr>
                      <w:b/>
                      <w:bCs w:val="0"/>
                      <w:color w:val="auto"/>
                    </w:rPr>
                    <w:t>µg/m</w:t>
                  </w:r>
                  <w:r>
                    <w:rPr>
                      <w:b/>
                      <w:bCs w:val="0"/>
                      <w:color w:val="auto"/>
                      <w:vertAlign w:val="superscript"/>
                    </w:rPr>
                    <w:t>3</w:t>
                  </w:r>
                </w:p>
              </w:tc>
              <w:tc>
                <w:tcPr>
                  <w:tcW w:w="484" w:type="pct"/>
                  <w:tcBorders>
                    <w:tl2br w:val="nil"/>
                    <w:tr2bl w:val="nil"/>
                  </w:tcBorders>
                  <w:vAlign w:val="center"/>
                </w:tcPr>
                <w:p w14:paraId="73C64ADF">
                  <w:pPr>
                    <w:pStyle w:val="77"/>
                    <w:spacing w:line="240" w:lineRule="auto"/>
                    <w:ind w:left="0" w:leftChars="0" w:right="0" w:rightChars="0" w:firstLine="0" w:firstLineChars="0"/>
                    <w:rPr>
                      <w:b/>
                      <w:bCs w:val="0"/>
                      <w:color w:val="auto"/>
                    </w:rPr>
                  </w:pPr>
                  <w:r>
                    <w:rPr>
                      <w:b/>
                      <w:bCs w:val="0"/>
                      <w:color w:val="auto"/>
                    </w:rPr>
                    <w:t>占标率</w:t>
                  </w:r>
                </w:p>
                <w:p w14:paraId="44AB6957">
                  <w:pPr>
                    <w:pStyle w:val="77"/>
                    <w:spacing w:line="240" w:lineRule="auto"/>
                    <w:ind w:left="0" w:leftChars="0" w:right="0" w:rightChars="0" w:firstLine="0" w:firstLineChars="0"/>
                    <w:rPr>
                      <w:b/>
                      <w:bCs w:val="0"/>
                      <w:color w:val="auto"/>
                    </w:rPr>
                  </w:pPr>
                  <w:r>
                    <w:rPr>
                      <w:b/>
                      <w:bCs w:val="0"/>
                      <w:color w:val="auto"/>
                    </w:rPr>
                    <w:t>/%</w:t>
                  </w:r>
                </w:p>
              </w:tc>
              <w:tc>
                <w:tcPr>
                  <w:tcW w:w="697" w:type="pct"/>
                  <w:tcBorders>
                    <w:tl2br w:val="nil"/>
                    <w:tr2bl w:val="nil"/>
                  </w:tcBorders>
                  <w:vAlign w:val="center"/>
                </w:tcPr>
                <w:p w14:paraId="41804508">
                  <w:pPr>
                    <w:pStyle w:val="77"/>
                    <w:spacing w:line="240" w:lineRule="auto"/>
                    <w:ind w:left="0" w:leftChars="0" w:right="0" w:rightChars="0" w:firstLine="0" w:firstLineChars="0"/>
                    <w:rPr>
                      <w:b/>
                      <w:bCs w:val="0"/>
                      <w:color w:val="auto"/>
                    </w:rPr>
                  </w:pPr>
                  <w:r>
                    <w:rPr>
                      <w:b/>
                      <w:bCs w:val="0"/>
                      <w:color w:val="auto"/>
                    </w:rPr>
                    <w:t>达标情况</w:t>
                  </w:r>
                </w:p>
              </w:tc>
            </w:tr>
            <w:tr w14:paraId="4C0C890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rPr>
              <w:tc>
                <w:tcPr>
                  <w:tcW w:w="532" w:type="pct"/>
                  <w:tcBorders>
                    <w:tl2br w:val="nil"/>
                    <w:tr2bl w:val="nil"/>
                  </w:tcBorders>
                  <w:vAlign w:val="center"/>
                </w:tcPr>
                <w:p w14:paraId="0D31F335">
                  <w:pPr>
                    <w:pStyle w:val="77"/>
                    <w:spacing w:line="240" w:lineRule="auto"/>
                    <w:ind w:left="0" w:leftChars="0" w:right="0" w:rightChars="0" w:firstLine="0" w:firstLineChars="0"/>
                    <w:rPr>
                      <w:color w:val="auto"/>
                    </w:rPr>
                  </w:pPr>
                  <w:r>
                    <w:rPr>
                      <w:color w:val="auto"/>
                    </w:rPr>
                    <w:t>PM</w:t>
                  </w:r>
                  <w:r>
                    <w:rPr>
                      <w:color w:val="auto"/>
                      <w:vertAlign w:val="subscript"/>
                    </w:rPr>
                    <w:t>10</w:t>
                  </w:r>
                </w:p>
              </w:tc>
              <w:tc>
                <w:tcPr>
                  <w:tcW w:w="2203" w:type="pct"/>
                  <w:tcBorders>
                    <w:tl2br w:val="nil"/>
                    <w:tr2bl w:val="nil"/>
                  </w:tcBorders>
                  <w:vAlign w:val="center"/>
                </w:tcPr>
                <w:p w14:paraId="15769CD7">
                  <w:pPr>
                    <w:pStyle w:val="77"/>
                    <w:spacing w:line="240" w:lineRule="auto"/>
                    <w:ind w:left="0" w:leftChars="0" w:right="0" w:rightChars="0" w:firstLine="0" w:firstLineChars="0"/>
                    <w:rPr>
                      <w:color w:val="auto"/>
                    </w:rPr>
                  </w:pPr>
                  <w:r>
                    <w:rPr>
                      <w:color w:val="auto"/>
                    </w:rPr>
                    <w:t>年均质量浓度</w:t>
                  </w:r>
                </w:p>
              </w:tc>
              <w:tc>
                <w:tcPr>
                  <w:tcW w:w="565" w:type="pct"/>
                  <w:tcBorders>
                    <w:tl2br w:val="nil"/>
                    <w:tr2bl w:val="nil"/>
                  </w:tcBorders>
                  <w:vAlign w:val="center"/>
                </w:tcPr>
                <w:p w14:paraId="0728CDFB">
                  <w:pPr>
                    <w:pStyle w:val="77"/>
                    <w:spacing w:line="240" w:lineRule="auto"/>
                    <w:ind w:left="0" w:leftChars="0" w:right="0" w:rightChars="0" w:firstLine="0" w:firstLineChars="0"/>
                    <w:rPr>
                      <w:color w:val="auto"/>
                    </w:rPr>
                  </w:pPr>
                  <w:r>
                    <w:rPr>
                      <w:color w:val="auto"/>
                      <w:szCs w:val="21"/>
                    </w:rPr>
                    <w:t>73</w:t>
                  </w:r>
                </w:p>
              </w:tc>
              <w:tc>
                <w:tcPr>
                  <w:tcW w:w="517" w:type="pct"/>
                  <w:tcBorders>
                    <w:tl2br w:val="nil"/>
                    <w:tr2bl w:val="nil"/>
                  </w:tcBorders>
                  <w:vAlign w:val="center"/>
                </w:tcPr>
                <w:p w14:paraId="12CC33A9">
                  <w:pPr>
                    <w:pStyle w:val="77"/>
                    <w:spacing w:line="240" w:lineRule="auto"/>
                    <w:ind w:left="0" w:leftChars="0" w:right="0" w:rightChars="0" w:firstLine="0" w:firstLineChars="0"/>
                    <w:rPr>
                      <w:color w:val="auto"/>
                    </w:rPr>
                  </w:pPr>
                  <w:r>
                    <w:rPr>
                      <w:color w:val="auto"/>
                    </w:rPr>
                    <w:t>70</w:t>
                  </w:r>
                </w:p>
              </w:tc>
              <w:tc>
                <w:tcPr>
                  <w:tcW w:w="484" w:type="pct"/>
                  <w:tcBorders>
                    <w:tl2br w:val="nil"/>
                    <w:tr2bl w:val="nil"/>
                  </w:tcBorders>
                  <w:vAlign w:val="center"/>
                </w:tcPr>
                <w:p w14:paraId="43C160AF">
                  <w:pPr>
                    <w:pStyle w:val="77"/>
                    <w:spacing w:line="240" w:lineRule="auto"/>
                    <w:ind w:left="0" w:leftChars="0" w:right="0" w:rightChars="0" w:firstLine="0" w:firstLineChars="0"/>
                    <w:rPr>
                      <w:color w:val="auto"/>
                    </w:rPr>
                  </w:pPr>
                  <w:r>
                    <w:rPr>
                      <w:rFonts w:hint="eastAsia"/>
                      <w:color w:val="auto"/>
                    </w:rPr>
                    <w:t>1</w:t>
                  </w:r>
                  <w:r>
                    <w:rPr>
                      <w:color w:val="auto"/>
                    </w:rPr>
                    <w:t>04.3</w:t>
                  </w:r>
                </w:p>
              </w:tc>
              <w:tc>
                <w:tcPr>
                  <w:tcW w:w="697" w:type="pct"/>
                  <w:tcBorders>
                    <w:tl2br w:val="nil"/>
                    <w:tr2bl w:val="nil"/>
                  </w:tcBorders>
                  <w:vAlign w:val="center"/>
                </w:tcPr>
                <w:p w14:paraId="069383FD">
                  <w:pPr>
                    <w:pStyle w:val="77"/>
                    <w:spacing w:line="240" w:lineRule="auto"/>
                    <w:ind w:left="0" w:leftChars="0" w:right="0" w:rightChars="0" w:firstLine="0" w:firstLineChars="0"/>
                    <w:rPr>
                      <w:b/>
                      <w:bCs w:val="0"/>
                      <w:color w:val="auto"/>
                    </w:rPr>
                  </w:pPr>
                  <w:r>
                    <w:rPr>
                      <w:b/>
                      <w:bCs w:val="0"/>
                      <w:color w:val="auto"/>
                    </w:rPr>
                    <w:t>超标</w:t>
                  </w:r>
                </w:p>
              </w:tc>
            </w:tr>
            <w:tr w14:paraId="441DB7D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rPr>
              <w:tc>
                <w:tcPr>
                  <w:tcW w:w="532" w:type="pct"/>
                  <w:tcBorders>
                    <w:tl2br w:val="nil"/>
                    <w:tr2bl w:val="nil"/>
                  </w:tcBorders>
                  <w:vAlign w:val="center"/>
                </w:tcPr>
                <w:p w14:paraId="5A48D5D2">
                  <w:pPr>
                    <w:pStyle w:val="77"/>
                    <w:spacing w:line="240" w:lineRule="auto"/>
                    <w:ind w:left="0" w:leftChars="0" w:right="0" w:rightChars="0" w:firstLine="0" w:firstLineChars="0"/>
                    <w:rPr>
                      <w:color w:val="auto"/>
                    </w:rPr>
                  </w:pPr>
                  <w:r>
                    <w:rPr>
                      <w:color w:val="auto"/>
                    </w:rPr>
                    <w:t>PM</w:t>
                  </w:r>
                  <w:r>
                    <w:rPr>
                      <w:color w:val="auto"/>
                      <w:vertAlign w:val="subscript"/>
                    </w:rPr>
                    <w:t>2.5</w:t>
                  </w:r>
                </w:p>
              </w:tc>
              <w:tc>
                <w:tcPr>
                  <w:tcW w:w="2203" w:type="pct"/>
                  <w:tcBorders>
                    <w:tl2br w:val="nil"/>
                    <w:tr2bl w:val="nil"/>
                  </w:tcBorders>
                  <w:vAlign w:val="center"/>
                </w:tcPr>
                <w:p w14:paraId="0362F1DE">
                  <w:pPr>
                    <w:pStyle w:val="77"/>
                    <w:spacing w:line="240" w:lineRule="auto"/>
                    <w:ind w:left="0" w:leftChars="0" w:right="0" w:rightChars="0" w:firstLine="0" w:firstLineChars="0"/>
                    <w:rPr>
                      <w:color w:val="auto"/>
                    </w:rPr>
                  </w:pPr>
                  <w:r>
                    <w:rPr>
                      <w:color w:val="auto"/>
                    </w:rPr>
                    <w:t>年均质量浓度</w:t>
                  </w:r>
                </w:p>
              </w:tc>
              <w:tc>
                <w:tcPr>
                  <w:tcW w:w="565" w:type="pct"/>
                  <w:tcBorders>
                    <w:tl2br w:val="nil"/>
                    <w:tr2bl w:val="nil"/>
                  </w:tcBorders>
                  <w:vAlign w:val="center"/>
                </w:tcPr>
                <w:p w14:paraId="68C98D8F">
                  <w:pPr>
                    <w:pStyle w:val="77"/>
                    <w:spacing w:line="240" w:lineRule="auto"/>
                    <w:ind w:left="0" w:leftChars="0" w:right="0" w:rightChars="0" w:firstLine="0" w:firstLineChars="0"/>
                    <w:rPr>
                      <w:color w:val="auto"/>
                    </w:rPr>
                  </w:pPr>
                  <w:r>
                    <w:rPr>
                      <w:color w:val="auto"/>
                      <w:szCs w:val="21"/>
                    </w:rPr>
                    <w:t>36</w:t>
                  </w:r>
                </w:p>
              </w:tc>
              <w:tc>
                <w:tcPr>
                  <w:tcW w:w="517" w:type="pct"/>
                  <w:tcBorders>
                    <w:tl2br w:val="nil"/>
                    <w:tr2bl w:val="nil"/>
                  </w:tcBorders>
                  <w:vAlign w:val="center"/>
                </w:tcPr>
                <w:p w14:paraId="39ACD16F">
                  <w:pPr>
                    <w:pStyle w:val="77"/>
                    <w:spacing w:line="240" w:lineRule="auto"/>
                    <w:ind w:left="0" w:leftChars="0" w:right="0" w:rightChars="0" w:firstLine="0" w:firstLineChars="0"/>
                    <w:rPr>
                      <w:color w:val="auto"/>
                    </w:rPr>
                  </w:pPr>
                  <w:r>
                    <w:rPr>
                      <w:color w:val="auto"/>
                    </w:rPr>
                    <w:t>35</w:t>
                  </w:r>
                </w:p>
              </w:tc>
              <w:tc>
                <w:tcPr>
                  <w:tcW w:w="484" w:type="pct"/>
                  <w:tcBorders>
                    <w:tl2br w:val="nil"/>
                    <w:tr2bl w:val="nil"/>
                  </w:tcBorders>
                  <w:vAlign w:val="center"/>
                </w:tcPr>
                <w:p w14:paraId="753F0D54">
                  <w:pPr>
                    <w:pStyle w:val="77"/>
                    <w:spacing w:line="240" w:lineRule="auto"/>
                    <w:ind w:left="0" w:leftChars="0" w:right="0" w:rightChars="0" w:firstLine="0" w:firstLineChars="0"/>
                    <w:rPr>
                      <w:color w:val="auto"/>
                    </w:rPr>
                  </w:pPr>
                  <w:r>
                    <w:rPr>
                      <w:rFonts w:hint="eastAsia"/>
                      <w:color w:val="auto"/>
                    </w:rPr>
                    <w:t>1</w:t>
                  </w:r>
                  <w:r>
                    <w:rPr>
                      <w:color w:val="auto"/>
                    </w:rPr>
                    <w:t>02.9</w:t>
                  </w:r>
                </w:p>
              </w:tc>
              <w:tc>
                <w:tcPr>
                  <w:tcW w:w="697" w:type="pct"/>
                  <w:tcBorders>
                    <w:tl2br w:val="nil"/>
                    <w:tr2bl w:val="nil"/>
                  </w:tcBorders>
                  <w:vAlign w:val="center"/>
                </w:tcPr>
                <w:p w14:paraId="70F32D40">
                  <w:pPr>
                    <w:pStyle w:val="77"/>
                    <w:spacing w:line="240" w:lineRule="auto"/>
                    <w:ind w:left="0" w:leftChars="0" w:right="0" w:rightChars="0" w:firstLine="0" w:firstLineChars="0"/>
                    <w:rPr>
                      <w:b/>
                      <w:bCs w:val="0"/>
                      <w:color w:val="auto"/>
                    </w:rPr>
                  </w:pPr>
                  <w:r>
                    <w:rPr>
                      <w:b/>
                      <w:bCs w:val="0"/>
                      <w:color w:val="auto"/>
                    </w:rPr>
                    <w:t>超标</w:t>
                  </w:r>
                </w:p>
              </w:tc>
            </w:tr>
            <w:tr w14:paraId="795616F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rPr>
              <w:tc>
                <w:tcPr>
                  <w:tcW w:w="532" w:type="pct"/>
                  <w:tcBorders>
                    <w:tl2br w:val="nil"/>
                    <w:tr2bl w:val="nil"/>
                  </w:tcBorders>
                  <w:vAlign w:val="center"/>
                </w:tcPr>
                <w:p w14:paraId="3559DBB2">
                  <w:pPr>
                    <w:pStyle w:val="77"/>
                    <w:spacing w:line="240" w:lineRule="auto"/>
                    <w:ind w:left="0" w:leftChars="0" w:right="0" w:rightChars="0" w:firstLine="0" w:firstLineChars="0"/>
                    <w:rPr>
                      <w:color w:val="auto"/>
                    </w:rPr>
                  </w:pPr>
                  <w:r>
                    <w:rPr>
                      <w:color w:val="auto"/>
                    </w:rPr>
                    <w:t>SO</w:t>
                  </w:r>
                  <w:r>
                    <w:rPr>
                      <w:color w:val="auto"/>
                      <w:vertAlign w:val="subscript"/>
                    </w:rPr>
                    <w:t>2</w:t>
                  </w:r>
                </w:p>
              </w:tc>
              <w:tc>
                <w:tcPr>
                  <w:tcW w:w="2203" w:type="pct"/>
                  <w:tcBorders>
                    <w:tl2br w:val="nil"/>
                    <w:tr2bl w:val="nil"/>
                  </w:tcBorders>
                  <w:vAlign w:val="center"/>
                </w:tcPr>
                <w:p w14:paraId="3266FCDF">
                  <w:pPr>
                    <w:pStyle w:val="77"/>
                    <w:spacing w:line="240" w:lineRule="auto"/>
                    <w:ind w:left="0" w:leftChars="0" w:right="0" w:rightChars="0" w:firstLine="0" w:firstLineChars="0"/>
                    <w:rPr>
                      <w:color w:val="auto"/>
                    </w:rPr>
                  </w:pPr>
                  <w:r>
                    <w:rPr>
                      <w:color w:val="auto"/>
                    </w:rPr>
                    <w:t>年均质量浓度</w:t>
                  </w:r>
                </w:p>
              </w:tc>
              <w:tc>
                <w:tcPr>
                  <w:tcW w:w="565" w:type="pct"/>
                  <w:tcBorders>
                    <w:tl2br w:val="nil"/>
                    <w:tr2bl w:val="nil"/>
                  </w:tcBorders>
                  <w:vAlign w:val="center"/>
                </w:tcPr>
                <w:p w14:paraId="45BA50D8">
                  <w:pPr>
                    <w:pStyle w:val="77"/>
                    <w:spacing w:line="240" w:lineRule="auto"/>
                    <w:ind w:left="0" w:leftChars="0" w:right="0" w:rightChars="0" w:firstLine="0" w:firstLineChars="0"/>
                    <w:rPr>
                      <w:color w:val="auto"/>
                    </w:rPr>
                  </w:pPr>
                  <w:r>
                    <w:rPr>
                      <w:rFonts w:hint="eastAsia"/>
                      <w:color w:val="auto"/>
                    </w:rPr>
                    <w:t>8</w:t>
                  </w:r>
                </w:p>
              </w:tc>
              <w:tc>
                <w:tcPr>
                  <w:tcW w:w="517" w:type="pct"/>
                  <w:tcBorders>
                    <w:tl2br w:val="nil"/>
                    <w:tr2bl w:val="nil"/>
                  </w:tcBorders>
                  <w:vAlign w:val="center"/>
                </w:tcPr>
                <w:p w14:paraId="1D88E234">
                  <w:pPr>
                    <w:pStyle w:val="77"/>
                    <w:spacing w:line="240" w:lineRule="auto"/>
                    <w:ind w:left="0" w:leftChars="0" w:right="0" w:rightChars="0" w:firstLine="0" w:firstLineChars="0"/>
                    <w:rPr>
                      <w:color w:val="auto"/>
                    </w:rPr>
                  </w:pPr>
                  <w:r>
                    <w:rPr>
                      <w:color w:val="auto"/>
                    </w:rPr>
                    <w:t>60</w:t>
                  </w:r>
                </w:p>
              </w:tc>
              <w:tc>
                <w:tcPr>
                  <w:tcW w:w="484" w:type="pct"/>
                  <w:tcBorders>
                    <w:tl2br w:val="nil"/>
                    <w:tr2bl w:val="nil"/>
                  </w:tcBorders>
                  <w:vAlign w:val="center"/>
                </w:tcPr>
                <w:p w14:paraId="35435C3E">
                  <w:pPr>
                    <w:pStyle w:val="77"/>
                    <w:spacing w:line="240" w:lineRule="auto"/>
                    <w:ind w:left="0" w:leftChars="0" w:right="0" w:rightChars="0" w:firstLine="0" w:firstLineChars="0"/>
                    <w:rPr>
                      <w:color w:val="auto"/>
                    </w:rPr>
                  </w:pPr>
                  <w:r>
                    <w:rPr>
                      <w:rFonts w:hint="eastAsia"/>
                      <w:color w:val="auto"/>
                    </w:rPr>
                    <w:t>1</w:t>
                  </w:r>
                  <w:r>
                    <w:rPr>
                      <w:color w:val="auto"/>
                    </w:rPr>
                    <w:t>3.3</w:t>
                  </w:r>
                </w:p>
              </w:tc>
              <w:tc>
                <w:tcPr>
                  <w:tcW w:w="697" w:type="pct"/>
                  <w:tcBorders>
                    <w:tl2br w:val="nil"/>
                    <w:tr2bl w:val="nil"/>
                  </w:tcBorders>
                  <w:vAlign w:val="center"/>
                </w:tcPr>
                <w:p w14:paraId="3330C7B0">
                  <w:pPr>
                    <w:pStyle w:val="77"/>
                    <w:spacing w:line="240" w:lineRule="auto"/>
                    <w:ind w:left="0" w:leftChars="0" w:right="0" w:rightChars="0" w:firstLine="0" w:firstLineChars="0"/>
                    <w:rPr>
                      <w:color w:val="auto"/>
                    </w:rPr>
                  </w:pPr>
                  <w:r>
                    <w:rPr>
                      <w:color w:val="auto"/>
                    </w:rPr>
                    <w:t>达标</w:t>
                  </w:r>
                </w:p>
              </w:tc>
            </w:tr>
            <w:tr w14:paraId="79D011E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rPr>
              <w:tc>
                <w:tcPr>
                  <w:tcW w:w="532" w:type="pct"/>
                  <w:tcBorders>
                    <w:tl2br w:val="nil"/>
                    <w:tr2bl w:val="nil"/>
                  </w:tcBorders>
                  <w:vAlign w:val="center"/>
                </w:tcPr>
                <w:p w14:paraId="51B4AC72">
                  <w:pPr>
                    <w:pStyle w:val="77"/>
                    <w:spacing w:line="240" w:lineRule="auto"/>
                    <w:ind w:left="0" w:leftChars="0" w:right="0" w:rightChars="0" w:firstLine="0" w:firstLineChars="0"/>
                    <w:rPr>
                      <w:color w:val="auto"/>
                    </w:rPr>
                  </w:pPr>
                  <w:r>
                    <w:rPr>
                      <w:color w:val="auto"/>
                    </w:rPr>
                    <w:t>NO</w:t>
                  </w:r>
                  <w:r>
                    <w:rPr>
                      <w:color w:val="auto"/>
                      <w:vertAlign w:val="subscript"/>
                    </w:rPr>
                    <w:t>2</w:t>
                  </w:r>
                </w:p>
              </w:tc>
              <w:tc>
                <w:tcPr>
                  <w:tcW w:w="2203" w:type="pct"/>
                  <w:tcBorders>
                    <w:tl2br w:val="nil"/>
                    <w:tr2bl w:val="nil"/>
                  </w:tcBorders>
                  <w:vAlign w:val="center"/>
                </w:tcPr>
                <w:p w14:paraId="7FB15633">
                  <w:pPr>
                    <w:pStyle w:val="77"/>
                    <w:spacing w:line="240" w:lineRule="auto"/>
                    <w:ind w:left="0" w:leftChars="0" w:right="0" w:rightChars="0" w:firstLine="0" w:firstLineChars="0"/>
                    <w:rPr>
                      <w:color w:val="auto"/>
                    </w:rPr>
                  </w:pPr>
                  <w:r>
                    <w:rPr>
                      <w:color w:val="auto"/>
                    </w:rPr>
                    <w:t>年均质量浓度</w:t>
                  </w:r>
                </w:p>
              </w:tc>
              <w:tc>
                <w:tcPr>
                  <w:tcW w:w="565" w:type="pct"/>
                  <w:tcBorders>
                    <w:tl2br w:val="nil"/>
                    <w:tr2bl w:val="nil"/>
                  </w:tcBorders>
                  <w:vAlign w:val="center"/>
                </w:tcPr>
                <w:p w14:paraId="4B2D6F78">
                  <w:pPr>
                    <w:pStyle w:val="77"/>
                    <w:spacing w:line="240" w:lineRule="auto"/>
                    <w:ind w:left="0" w:leftChars="0" w:right="0" w:rightChars="0" w:firstLine="0" w:firstLineChars="0"/>
                    <w:rPr>
                      <w:color w:val="auto"/>
                    </w:rPr>
                  </w:pPr>
                  <w:r>
                    <w:rPr>
                      <w:color w:val="auto"/>
                      <w:szCs w:val="21"/>
                    </w:rPr>
                    <w:t>35</w:t>
                  </w:r>
                </w:p>
              </w:tc>
              <w:tc>
                <w:tcPr>
                  <w:tcW w:w="517" w:type="pct"/>
                  <w:tcBorders>
                    <w:tl2br w:val="nil"/>
                    <w:tr2bl w:val="nil"/>
                  </w:tcBorders>
                  <w:vAlign w:val="center"/>
                </w:tcPr>
                <w:p w14:paraId="65297FD4">
                  <w:pPr>
                    <w:pStyle w:val="77"/>
                    <w:spacing w:line="240" w:lineRule="auto"/>
                    <w:ind w:left="0" w:leftChars="0" w:right="0" w:rightChars="0" w:firstLine="0" w:firstLineChars="0"/>
                    <w:rPr>
                      <w:color w:val="auto"/>
                    </w:rPr>
                  </w:pPr>
                  <w:r>
                    <w:rPr>
                      <w:color w:val="auto"/>
                    </w:rPr>
                    <w:t>40</w:t>
                  </w:r>
                </w:p>
              </w:tc>
              <w:tc>
                <w:tcPr>
                  <w:tcW w:w="484" w:type="pct"/>
                  <w:tcBorders>
                    <w:tl2br w:val="nil"/>
                    <w:tr2bl w:val="nil"/>
                  </w:tcBorders>
                  <w:vAlign w:val="center"/>
                </w:tcPr>
                <w:p w14:paraId="4C9D62FD">
                  <w:pPr>
                    <w:pStyle w:val="77"/>
                    <w:spacing w:line="240" w:lineRule="auto"/>
                    <w:ind w:left="0" w:leftChars="0" w:right="0" w:rightChars="0" w:firstLine="0" w:firstLineChars="0"/>
                    <w:rPr>
                      <w:color w:val="auto"/>
                    </w:rPr>
                  </w:pPr>
                  <w:r>
                    <w:rPr>
                      <w:rFonts w:hint="eastAsia"/>
                      <w:color w:val="auto"/>
                    </w:rPr>
                    <w:t>8</w:t>
                  </w:r>
                  <w:r>
                    <w:rPr>
                      <w:color w:val="auto"/>
                    </w:rPr>
                    <w:t>7.5</w:t>
                  </w:r>
                </w:p>
              </w:tc>
              <w:tc>
                <w:tcPr>
                  <w:tcW w:w="697" w:type="pct"/>
                  <w:tcBorders>
                    <w:tl2br w:val="nil"/>
                    <w:tr2bl w:val="nil"/>
                  </w:tcBorders>
                  <w:vAlign w:val="center"/>
                </w:tcPr>
                <w:p w14:paraId="56793268">
                  <w:pPr>
                    <w:pStyle w:val="77"/>
                    <w:spacing w:line="240" w:lineRule="auto"/>
                    <w:ind w:left="0" w:leftChars="0" w:right="0" w:rightChars="0" w:firstLine="0" w:firstLineChars="0"/>
                    <w:rPr>
                      <w:color w:val="auto"/>
                    </w:rPr>
                  </w:pPr>
                  <w:r>
                    <w:rPr>
                      <w:color w:val="auto"/>
                    </w:rPr>
                    <w:t>达标</w:t>
                  </w:r>
                </w:p>
              </w:tc>
            </w:tr>
            <w:tr w14:paraId="48C78D0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rPr>
              <w:tc>
                <w:tcPr>
                  <w:tcW w:w="532" w:type="pct"/>
                  <w:tcBorders>
                    <w:tl2br w:val="nil"/>
                    <w:tr2bl w:val="nil"/>
                  </w:tcBorders>
                  <w:vAlign w:val="center"/>
                </w:tcPr>
                <w:p w14:paraId="31380EB0">
                  <w:pPr>
                    <w:pStyle w:val="77"/>
                    <w:spacing w:line="240" w:lineRule="auto"/>
                    <w:ind w:left="0" w:leftChars="0" w:right="0" w:rightChars="0" w:firstLine="0" w:firstLineChars="0"/>
                    <w:rPr>
                      <w:color w:val="auto"/>
                    </w:rPr>
                  </w:pPr>
                  <w:r>
                    <w:rPr>
                      <w:color w:val="auto"/>
                    </w:rPr>
                    <w:t>CO</w:t>
                  </w:r>
                </w:p>
              </w:tc>
              <w:tc>
                <w:tcPr>
                  <w:tcW w:w="2203" w:type="pct"/>
                  <w:tcBorders>
                    <w:tl2br w:val="nil"/>
                    <w:tr2bl w:val="nil"/>
                  </w:tcBorders>
                  <w:vAlign w:val="center"/>
                </w:tcPr>
                <w:p w14:paraId="4B2EA6E0">
                  <w:pPr>
                    <w:pStyle w:val="77"/>
                    <w:spacing w:line="240" w:lineRule="auto"/>
                    <w:ind w:left="0" w:leftChars="0" w:right="0" w:rightChars="0" w:firstLine="0" w:firstLineChars="0"/>
                    <w:rPr>
                      <w:color w:val="auto"/>
                      <w:lang w:eastAsia="zh-CN"/>
                    </w:rPr>
                  </w:pPr>
                  <w:r>
                    <w:rPr>
                      <w:rFonts w:hint="eastAsia"/>
                      <w:color w:val="auto"/>
                      <w:lang w:eastAsia="zh-CN"/>
                    </w:rPr>
                    <w:t>24小时平均值第9</w:t>
                  </w:r>
                  <w:r>
                    <w:rPr>
                      <w:color w:val="auto"/>
                      <w:lang w:eastAsia="zh-CN"/>
                    </w:rPr>
                    <w:t>5百分位浓度</w:t>
                  </w:r>
                </w:p>
              </w:tc>
              <w:tc>
                <w:tcPr>
                  <w:tcW w:w="565" w:type="pct"/>
                  <w:tcBorders>
                    <w:tl2br w:val="nil"/>
                    <w:tr2bl w:val="nil"/>
                  </w:tcBorders>
                  <w:vAlign w:val="center"/>
                </w:tcPr>
                <w:p w14:paraId="1B9904DD">
                  <w:pPr>
                    <w:pStyle w:val="77"/>
                    <w:spacing w:line="240" w:lineRule="auto"/>
                    <w:ind w:left="0" w:leftChars="0" w:right="0" w:rightChars="0" w:firstLine="0" w:firstLineChars="0"/>
                    <w:rPr>
                      <w:color w:val="auto"/>
                    </w:rPr>
                  </w:pPr>
                  <w:r>
                    <w:rPr>
                      <w:rFonts w:hint="eastAsia"/>
                      <w:color w:val="auto"/>
                      <w:szCs w:val="21"/>
                    </w:rPr>
                    <w:t>1</w:t>
                  </w:r>
                  <w:r>
                    <w:rPr>
                      <w:color w:val="auto"/>
                      <w:szCs w:val="21"/>
                    </w:rPr>
                    <w:t>6</w:t>
                  </w:r>
                  <w:r>
                    <w:rPr>
                      <w:rFonts w:hint="eastAsia"/>
                      <w:color w:val="auto"/>
                      <w:szCs w:val="21"/>
                    </w:rPr>
                    <w:t>00</w:t>
                  </w:r>
                </w:p>
              </w:tc>
              <w:tc>
                <w:tcPr>
                  <w:tcW w:w="517" w:type="pct"/>
                  <w:tcBorders>
                    <w:tl2br w:val="nil"/>
                    <w:tr2bl w:val="nil"/>
                  </w:tcBorders>
                  <w:vAlign w:val="center"/>
                </w:tcPr>
                <w:p w14:paraId="62D8E04F">
                  <w:pPr>
                    <w:pStyle w:val="77"/>
                    <w:spacing w:line="240" w:lineRule="auto"/>
                    <w:ind w:left="0" w:leftChars="0" w:right="0" w:rightChars="0" w:firstLine="0" w:firstLineChars="0"/>
                    <w:rPr>
                      <w:color w:val="auto"/>
                    </w:rPr>
                  </w:pPr>
                  <w:r>
                    <w:rPr>
                      <w:color w:val="auto"/>
                    </w:rPr>
                    <w:t>4000</w:t>
                  </w:r>
                </w:p>
              </w:tc>
              <w:tc>
                <w:tcPr>
                  <w:tcW w:w="484" w:type="pct"/>
                  <w:tcBorders>
                    <w:tl2br w:val="nil"/>
                    <w:tr2bl w:val="nil"/>
                  </w:tcBorders>
                  <w:vAlign w:val="center"/>
                </w:tcPr>
                <w:p w14:paraId="24DDB5B2">
                  <w:pPr>
                    <w:pStyle w:val="77"/>
                    <w:spacing w:line="240" w:lineRule="auto"/>
                    <w:ind w:left="0" w:leftChars="0" w:right="0" w:rightChars="0" w:firstLine="0" w:firstLineChars="0"/>
                    <w:rPr>
                      <w:color w:val="auto"/>
                    </w:rPr>
                  </w:pPr>
                  <w:r>
                    <w:rPr>
                      <w:rFonts w:hint="eastAsia"/>
                      <w:color w:val="auto"/>
                    </w:rPr>
                    <w:t>4</w:t>
                  </w:r>
                  <w:r>
                    <w:rPr>
                      <w:color w:val="auto"/>
                    </w:rPr>
                    <w:t>0.0</w:t>
                  </w:r>
                </w:p>
              </w:tc>
              <w:tc>
                <w:tcPr>
                  <w:tcW w:w="697" w:type="pct"/>
                  <w:tcBorders>
                    <w:tl2br w:val="nil"/>
                    <w:tr2bl w:val="nil"/>
                  </w:tcBorders>
                  <w:vAlign w:val="center"/>
                </w:tcPr>
                <w:p w14:paraId="4AA95486">
                  <w:pPr>
                    <w:pStyle w:val="77"/>
                    <w:spacing w:line="240" w:lineRule="auto"/>
                    <w:ind w:left="0" w:leftChars="0" w:right="0" w:rightChars="0" w:firstLine="0" w:firstLineChars="0"/>
                    <w:rPr>
                      <w:color w:val="auto"/>
                    </w:rPr>
                  </w:pPr>
                  <w:r>
                    <w:rPr>
                      <w:color w:val="auto"/>
                    </w:rPr>
                    <w:t>达标</w:t>
                  </w:r>
                </w:p>
              </w:tc>
            </w:tr>
            <w:tr w14:paraId="3E62B3A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rPr>
              <w:tc>
                <w:tcPr>
                  <w:tcW w:w="532" w:type="pct"/>
                  <w:tcBorders>
                    <w:tl2br w:val="nil"/>
                    <w:tr2bl w:val="nil"/>
                  </w:tcBorders>
                  <w:vAlign w:val="center"/>
                </w:tcPr>
                <w:p w14:paraId="1273E41F">
                  <w:pPr>
                    <w:pStyle w:val="77"/>
                    <w:spacing w:line="240" w:lineRule="auto"/>
                    <w:ind w:left="0" w:leftChars="0" w:right="0" w:rightChars="0" w:firstLine="0" w:firstLineChars="0"/>
                    <w:rPr>
                      <w:color w:val="auto"/>
                    </w:rPr>
                  </w:pPr>
                  <w:r>
                    <w:rPr>
                      <w:color w:val="auto"/>
                    </w:rPr>
                    <w:t>O</w:t>
                  </w:r>
                  <w:r>
                    <w:rPr>
                      <w:color w:val="auto"/>
                      <w:vertAlign w:val="subscript"/>
                    </w:rPr>
                    <w:t>3</w:t>
                  </w:r>
                </w:p>
              </w:tc>
              <w:tc>
                <w:tcPr>
                  <w:tcW w:w="2203" w:type="pct"/>
                  <w:tcBorders>
                    <w:tl2br w:val="nil"/>
                    <w:tr2bl w:val="nil"/>
                  </w:tcBorders>
                  <w:vAlign w:val="center"/>
                </w:tcPr>
                <w:p w14:paraId="54ECA223">
                  <w:pPr>
                    <w:pStyle w:val="77"/>
                    <w:spacing w:line="240" w:lineRule="auto"/>
                    <w:ind w:left="0" w:leftChars="0" w:right="0" w:rightChars="0" w:firstLine="0" w:firstLineChars="0"/>
                    <w:rPr>
                      <w:color w:val="auto"/>
                      <w:lang w:eastAsia="zh-CN"/>
                    </w:rPr>
                  </w:pPr>
                  <w:r>
                    <w:rPr>
                      <w:rFonts w:hint="eastAsia"/>
                      <w:color w:val="auto"/>
                      <w:lang w:eastAsia="zh-CN"/>
                    </w:rPr>
                    <w:t>日最大8小时平均值第9</w:t>
                  </w:r>
                  <w:r>
                    <w:rPr>
                      <w:color w:val="auto"/>
                      <w:lang w:eastAsia="zh-CN"/>
                    </w:rPr>
                    <w:t>0百分位浓度</w:t>
                  </w:r>
                </w:p>
              </w:tc>
              <w:tc>
                <w:tcPr>
                  <w:tcW w:w="565" w:type="pct"/>
                  <w:tcBorders>
                    <w:tl2br w:val="nil"/>
                    <w:tr2bl w:val="nil"/>
                  </w:tcBorders>
                  <w:vAlign w:val="center"/>
                </w:tcPr>
                <w:p w14:paraId="6E714477">
                  <w:pPr>
                    <w:pStyle w:val="77"/>
                    <w:spacing w:line="240" w:lineRule="auto"/>
                    <w:ind w:left="0" w:leftChars="0" w:right="0" w:rightChars="0" w:firstLine="0" w:firstLineChars="0"/>
                    <w:rPr>
                      <w:color w:val="auto"/>
                      <w:lang w:eastAsia="zh-CN"/>
                    </w:rPr>
                  </w:pPr>
                  <w:r>
                    <w:rPr>
                      <w:color w:val="auto"/>
                      <w:szCs w:val="21"/>
                      <w:lang w:eastAsia="zh-CN"/>
                    </w:rPr>
                    <w:t>142</w:t>
                  </w:r>
                </w:p>
              </w:tc>
              <w:tc>
                <w:tcPr>
                  <w:tcW w:w="517" w:type="pct"/>
                  <w:tcBorders>
                    <w:tl2br w:val="nil"/>
                    <w:tr2bl w:val="nil"/>
                  </w:tcBorders>
                  <w:vAlign w:val="center"/>
                </w:tcPr>
                <w:p w14:paraId="4F760BD7">
                  <w:pPr>
                    <w:pStyle w:val="77"/>
                    <w:spacing w:line="240" w:lineRule="auto"/>
                    <w:ind w:left="0" w:leftChars="0" w:right="0" w:rightChars="0" w:firstLine="0" w:firstLineChars="0"/>
                    <w:rPr>
                      <w:color w:val="auto"/>
                      <w:lang w:eastAsia="zh-CN"/>
                    </w:rPr>
                  </w:pPr>
                  <w:r>
                    <w:rPr>
                      <w:color w:val="auto"/>
                      <w:lang w:eastAsia="zh-CN"/>
                    </w:rPr>
                    <w:t>160</w:t>
                  </w:r>
                </w:p>
              </w:tc>
              <w:tc>
                <w:tcPr>
                  <w:tcW w:w="484" w:type="pct"/>
                  <w:tcBorders>
                    <w:tl2br w:val="nil"/>
                    <w:tr2bl w:val="nil"/>
                  </w:tcBorders>
                  <w:vAlign w:val="center"/>
                </w:tcPr>
                <w:p w14:paraId="5A70415A">
                  <w:pPr>
                    <w:pStyle w:val="77"/>
                    <w:spacing w:line="240" w:lineRule="auto"/>
                    <w:ind w:left="0" w:leftChars="0" w:right="0" w:rightChars="0" w:firstLine="0" w:firstLineChars="0"/>
                    <w:rPr>
                      <w:color w:val="auto"/>
                      <w:lang w:eastAsia="zh-CN"/>
                    </w:rPr>
                  </w:pPr>
                  <w:r>
                    <w:rPr>
                      <w:rFonts w:hint="eastAsia"/>
                      <w:color w:val="auto"/>
                      <w:lang w:eastAsia="zh-CN"/>
                    </w:rPr>
                    <w:t>8</w:t>
                  </w:r>
                  <w:r>
                    <w:rPr>
                      <w:color w:val="auto"/>
                      <w:lang w:eastAsia="zh-CN"/>
                    </w:rPr>
                    <w:t>8.8</w:t>
                  </w:r>
                </w:p>
              </w:tc>
              <w:tc>
                <w:tcPr>
                  <w:tcW w:w="697" w:type="pct"/>
                  <w:tcBorders>
                    <w:tl2br w:val="nil"/>
                    <w:tr2bl w:val="nil"/>
                  </w:tcBorders>
                  <w:vAlign w:val="center"/>
                </w:tcPr>
                <w:p w14:paraId="7E63D94D">
                  <w:pPr>
                    <w:pStyle w:val="77"/>
                    <w:spacing w:line="240" w:lineRule="auto"/>
                    <w:ind w:left="0" w:leftChars="0" w:right="0" w:rightChars="0" w:firstLine="0" w:firstLineChars="0"/>
                    <w:rPr>
                      <w:color w:val="auto"/>
                      <w:lang w:eastAsia="zh-CN"/>
                    </w:rPr>
                  </w:pPr>
                  <w:r>
                    <w:rPr>
                      <w:color w:val="auto"/>
                      <w:lang w:eastAsia="zh-CN"/>
                    </w:rPr>
                    <w:t>达标</w:t>
                  </w:r>
                </w:p>
              </w:tc>
            </w:tr>
          </w:tbl>
          <w:p w14:paraId="2F55E4BC">
            <w:pPr>
              <w:adjustRightInd w:val="0"/>
              <w:snapToGrid w:val="0"/>
              <w:ind w:left="0" w:leftChars="0" w:right="0" w:rightChars="0" w:firstLine="480"/>
              <w:jc w:val="both"/>
              <w:rPr>
                <w:rFonts w:eastAsia="宋体" w:cs="Times New Roman"/>
                <w:color w:val="auto"/>
                <w:sz w:val="24"/>
                <w:lang w:eastAsia="zh-CN"/>
              </w:rPr>
            </w:pPr>
            <w:r>
              <w:rPr>
                <w:rFonts w:cs="Times New Roman"/>
                <w:color w:val="auto"/>
                <w:sz w:val="24"/>
                <w:szCs w:val="24"/>
                <w:lang w:eastAsia="zh-CN"/>
              </w:rPr>
              <w:t>由</w:t>
            </w:r>
            <w:r>
              <w:rPr>
                <w:rFonts w:hint="eastAsia" w:cs="Times New Roman"/>
                <w:color w:val="auto"/>
                <w:sz w:val="24"/>
                <w:szCs w:val="24"/>
                <w:lang w:eastAsia="zh-CN"/>
              </w:rPr>
              <w:t>上</w:t>
            </w:r>
            <w:r>
              <w:rPr>
                <w:rFonts w:cs="Times New Roman"/>
                <w:color w:val="auto"/>
                <w:sz w:val="24"/>
                <w:szCs w:val="24"/>
                <w:lang w:eastAsia="zh-CN"/>
              </w:rPr>
              <w:t>表可知，</w:t>
            </w:r>
            <w:r>
              <w:rPr>
                <w:rFonts w:eastAsia="宋体" w:cs="Times New Roman"/>
                <w:color w:val="auto"/>
                <w:sz w:val="24"/>
                <w:lang w:eastAsia="zh-CN"/>
              </w:rPr>
              <w:t>202</w:t>
            </w:r>
            <w:r>
              <w:rPr>
                <w:rFonts w:hint="eastAsia" w:eastAsia="宋体" w:cs="Times New Roman"/>
                <w:color w:val="auto"/>
                <w:sz w:val="24"/>
                <w:lang w:eastAsia="zh-CN"/>
              </w:rPr>
              <w:t>3</w:t>
            </w:r>
            <w:r>
              <w:rPr>
                <w:rFonts w:eastAsia="宋体" w:cs="Times New Roman"/>
                <w:color w:val="auto"/>
                <w:sz w:val="24"/>
                <w:szCs w:val="24"/>
                <w:lang w:eastAsia="zh-CN"/>
              </w:rPr>
              <w:t>年</w:t>
            </w:r>
            <w:r>
              <w:rPr>
                <w:rFonts w:hint="eastAsia" w:eastAsia="宋体" w:cs="Times New Roman"/>
                <w:color w:val="auto"/>
                <w:sz w:val="24"/>
                <w:szCs w:val="24"/>
                <w:lang w:eastAsia="zh-CN"/>
              </w:rPr>
              <w:t>西安市蓝田县</w:t>
            </w:r>
            <w:r>
              <w:rPr>
                <w:rFonts w:hint="eastAsia" w:eastAsia="宋体"/>
                <w:color w:val="auto"/>
                <w:sz w:val="24"/>
                <w:szCs w:val="24"/>
                <w:lang w:eastAsia="zh-CN"/>
              </w:rPr>
              <w:t>环境空气基本污染物项目中</w:t>
            </w:r>
            <w:r>
              <w:rPr>
                <w:rFonts w:eastAsia="宋体" w:cs="Times New Roman"/>
                <w:color w:val="auto"/>
                <w:sz w:val="24"/>
                <w:szCs w:val="24"/>
                <w:lang w:eastAsia="zh-CN"/>
              </w:rPr>
              <w:t>，其中SO</w:t>
            </w:r>
            <w:r>
              <w:rPr>
                <w:rFonts w:eastAsia="宋体" w:cs="Times New Roman"/>
                <w:color w:val="auto"/>
                <w:sz w:val="24"/>
                <w:szCs w:val="24"/>
                <w:vertAlign w:val="subscript"/>
                <w:lang w:eastAsia="zh-CN"/>
              </w:rPr>
              <w:t>2</w:t>
            </w:r>
            <w:r>
              <w:rPr>
                <w:rFonts w:eastAsia="宋体" w:cs="Times New Roman"/>
                <w:color w:val="auto"/>
                <w:sz w:val="24"/>
                <w:szCs w:val="24"/>
                <w:lang w:eastAsia="zh-CN"/>
              </w:rPr>
              <w:t>、NO</w:t>
            </w:r>
            <w:r>
              <w:rPr>
                <w:rFonts w:eastAsia="宋体" w:cs="Times New Roman"/>
                <w:color w:val="auto"/>
                <w:sz w:val="24"/>
                <w:szCs w:val="24"/>
                <w:vertAlign w:val="subscript"/>
                <w:lang w:eastAsia="zh-CN"/>
              </w:rPr>
              <w:t>2</w:t>
            </w:r>
            <w:r>
              <w:rPr>
                <w:rFonts w:eastAsia="宋体" w:cs="Times New Roman"/>
                <w:color w:val="auto"/>
                <w:sz w:val="24"/>
                <w:szCs w:val="24"/>
                <w:lang w:eastAsia="zh-CN"/>
              </w:rPr>
              <w:t>年平均浓度值</w:t>
            </w:r>
            <w:r>
              <w:rPr>
                <w:rFonts w:hint="eastAsia" w:eastAsia="宋体" w:cs="Times New Roman"/>
                <w:color w:val="auto"/>
                <w:sz w:val="24"/>
                <w:szCs w:val="24"/>
                <w:lang w:eastAsia="zh-CN"/>
              </w:rPr>
              <w:t>、</w:t>
            </w:r>
            <w:r>
              <w:rPr>
                <w:rFonts w:eastAsia="宋体" w:cs="Times New Roman"/>
                <w:color w:val="auto"/>
                <w:sz w:val="24"/>
                <w:szCs w:val="24"/>
                <w:lang w:eastAsia="zh-CN"/>
              </w:rPr>
              <w:t>CO</w:t>
            </w:r>
            <w:r>
              <w:rPr>
                <w:rFonts w:hint="eastAsia" w:eastAsia="宋体" w:cs="Times New Roman"/>
                <w:color w:val="auto"/>
                <w:sz w:val="24"/>
                <w:szCs w:val="24"/>
                <w:lang w:eastAsia="zh-CN"/>
              </w:rPr>
              <w:t>24小时平均</w:t>
            </w:r>
            <w:r>
              <w:rPr>
                <w:rFonts w:hint="eastAsia" w:eastAsia="宋体"/>
                <w:color w:val="auto"/>
                <w:sz w:val="24"/>
                <w:szCs w:val="24"/>
                <w:lang w:eastAsia="zh-CN"/>
              </w:rPr>
              <w:t>第9</w:t>
            </w:r>
            <w:r>
              <w:rPr>
                <w:rFonts w:eastAsia="宋体"/>
                <w:color w:val="auto"/>
                <w:sz w:val="24"/>
                <w:szCs w:val="24"/>
                <w:lang w:eastAsia="zh-CN"/>
              </w:rPr>
              <w:t>5百分位浓度</w:t>
            </w:r>
            <w:r>
              <w:rPr>
                <w:rFonts w:hint="eastAsia" w:eastAsia="宋体" w:cs="Times New Roman"/>
                <w:color w:val="auto"/>
                <w:sz w:val="24"/>
                <w:szCs w:val="24"/>
                <w:lang w:eastAsia="zh-CN"/>
              </w:rPr>
              <w:t>和</w:t>
            </w:r>
            <w:r>
              <w:rPr>
                <w:rFonts w:eastAsia="宋体" w:cs="Times New Roman"/>
                <w:color w:val="auto"/>
                <w:sz w:val="24"/>
                <w:szCs w:val="24"/>
                <w:lang w:eastAsia="zh-CN"/>
              </w:rPr>
              <w:t>O</w:t>
            </w:r>
            <w:r>
              <w:rPr>
                <w:rFonts w:eastAsia="宋体" w:cs="Times New Roman"/>
                <w:color w:val="auto"/>
                <w:sz w:val="24"/>
                <w:szCs w:val="24"/>
                <w:vertAlign w:val="subscript"/>
                <w:lang w:eastAsia="zh-CN"/>
              </w:rPr>
              <w:t>3</w:t>
            </w:r>
            <w:r>
              <w:rPr>
                <w:rFonts w:hint="eastAsia" w:eastAsia="宋体" w:cs="Times New Roman"/>
                <w:color w:val="auto"/>
                <w:sz w:val="24"/>
                <w:szCs w:val="24"/>
                <w:lang w:eastAsia="zh-CN"/>
              </w:rPr>
              <w:t>日最大8小时滑动平均</w:t>
            </w:r>
            <w:r>
              <w:rPr>
                <w:rFonts w:hint="eastAsia" w:eastAsia="宋体"/>
                <w:color w:val="auto"/>
                <w:sz w:val="24"/>
                <w:szCs w:val="24"/>
                <w:lang w:eastAsia="zh-CN"/>
              </w:rPr>
              <w:t>第9</w:t>
            </w:r>
            <w:r>
              <w:rPr>
                <w:rFonts w:eastAsia="宋体"/>
                <w:color w:val="auto"/>
                <w:sz w:val="24"/>
                <w:szCs w:val="24"/>
                <w:lang w:eastAsia="zh-CN"/>
              </w:rPr>
              <w:t>0百分位浓度</w:t>
            </w:r>
            <w:r>
              <w:rPr>
                <w:rFonts w:eastAsia="宋体" w:cs="Times New Roman"/>
                <w:color w:val="auto"/>
                <w:sz w:val="24"/>
                <w:szCs w:val="24"/>
                <w:lang w:eastAsia="zh-CN"/>
              </w:rPr>
              <w:t>满足《环境空气质量标准》（GB3095-2012）中的二级标准要求；PM</w:t>
            </w:r>
            <w:r>
              <w:rPr>
                <w:rFonts w:eastAsia="宋体" w:cs="Times New Roman"/>
                <w:color w:val="auto"/>
                <w:sz w:val="24"/>
                <w:szCs w:val="24"/>
                <w:vertAlign w:val="subscript"/>
                <w:lang w:eastAsia="zh-CN"/>
              </w:rPr>
              <w:t>10</w:t>
            </w:r>
            <w:r>
              <w:rPr>
                <w:rFonts w:eastAsia="宋体" w:cs="Times New Roman"/>
                <w:color w:val="auto"/>
                <w:sz w:val="24"/>
                <w:szCs w:val="24"/>
                <w:lang w:eastAsia="zh-CN"/>
              </w:rPr>
              <w:t>、PM</w:t>
            </w:r>
            <w:r>
              <w:rPr>
                <w:rFonts w:eastAsia="宋体" w:cs="Times New Roman"/>
                <w:color w:val="auto"/>
                <w:sz w:val="24"/>
                <w:szCs w:val="24"/>
                <w:vertAlign w:val="subscript"/>
                <w:lang w:eastAsia="zh-CN"/>
              </w:rPr>
              <w:t>2.5</w:t>
            </w:r>
            <w:r>
              <w:rPr>
                <w:rFonts w:eastAsia="宋体" w:cs="Times New Roman"/>
                <w:color w:val="auto"/>
                <w:sz w:val="24"/>
                <w:szCs w:val="24"/>
                <w:lang w:eastAsia="zh-CN"/>
              </w:rPr>
              <w:t>年平均浓度值不满足《环境空气质量标</w:t>
            </w:r>
            <w:r>
              <w:rPr>
                <w:rFonts w:eastAsia="宋体" w:cs="Times New Roman"/>
                <w:color w:val="auto"/>
                <w:sz w:val="24"/>
                <w:lang w:eastAsia="zh-CN"/>
              </w:rPr>
              <w:t>准》（GB3095-2012）中的二级标准要求，本项目所在区域属于不达标区。</w:t>
            </w:r>
          </w:p>
          <w:p w14:paraId="401179A6">
            <w:pPr>
              <w:widowControl/>
              <w:adjustRightInd w:val="0"/>
              <w:snapToGrid w:val="0"/>
              <w:ind w:left="462" w:leftChars="220" w:right="42" w:rightChars="20" w:firstLine="0" w:firstLineChars="0"/>
              <w:jc w:val="both"/>
              <w:rPr>
                <w:rFonts w:cs="Times New Roman"/>
                <w:b/>
                <w:bCs/>
                <w:color w:val="auto"/>
                <w:sz w:val="24"/>
                <w:szCs w:val="24"/>
                <w:lang w:eastAsia="zh-CN"/>
              </w:rPr>
            </w:pPr>
            <w:r>
              <w:rPr>
                <w:rFonts w:hint="eastAsia" w:cs="Times New Roman"/>
                <w:b/>
                <w:bCs/>
                <w:color w:val="auto"/>
                <w:sz w:val="24"/>
                <w:szCs w:val="24"/>
                <w:lang w:eastAsia="zh-CN"/>
              </w:rPr>
              <w:t>1.2</w:t>
            </w:r>
            <w:r>
              <w:rPr>
                <w:rFonts w:cs="Times New Roman"/>
                <w:b/>
                <w:bCs/>
                <w:color w:val="auto"/>
                <w:sz w:val="24"/>
                <w:szCs w:val="24"/>
                <w:lang w:eastAsia="zh-CN"/>
              </w:rPr>
              <w:t>特征污染物</w:t>
            </w:r>
          </w:p>
          <w:p w14:paraId="098FC8D5">
            <w:pPr>
              <w:widowControl/>
              <w:adjustRightInd w:val="0"/>
              <w:snapToGrid w:val="0"/>
              <w:ind w:left="0" w:leftChars="0" w:right="42" w:rightChars="20" w:firstLine="480"/>
              <w:jc w:val="both"/>
              <w:rPr>
                <w:rFonts w:cs="Times New Roman"/>
                <w:color w:val="auto"/>
                <w:sz w:val="24"/>
                <w:szCs w:val="24"/>
                <w:lang w:eastAsia="zh-CN"/>
              </w:rPr>
            </w:pPr>
            <w:r>
              <w:rPr>
                <w:rFonts w:hint="eastAsia" w:cs="Times New Roman"/>
                <w:color w:val="auto"/>
                <w:sz w:val="24"/>
                <w:szCs w:val="24"/>
                <w:lang w:eastAsia="zh-CN"/>
              </w:rPr>
              <w:t>本项目在运营过程中所产生的特征污染物为非甲烷总烃。</w:t>
            </w:r>
          </w:p>
          <w:p w14:paraId="155FC8FC">
            <w:pPr>
              <w:widowControl/>
              <w:adjustRightInd w:val="0"/>
              <w:snapToGrid w:val="0"/>
              <w:ind w:left="0" w:leftChars="0" w:right="42" w:rightChars="20" w:firstLine="480"/>
              <w:jc w:val="both"/>
              <w:rPr>
                <w:rFonts w:cs="Times New Roman"/>
                <w:color w:val="auto"/>
                <w:sz w:val="24"/>
                <w:szCs w:val="24"/>
                <w:lang w:eastAsia="zh-CN"/>
              </w:rPr>
            </w:pPr>
            <w:r>
              <w:rPr>
                <w:rFonts w:cs="Times New Roman"/>
                <w:color w:val="auto"/>
                <w:sz w:val="24"/>
                <w:szCs w:val="24"/>
                <w:lang w:eastAsia="zh-CN"/>
              </w:rPr>
              <w:t>非甲烷总烃</w:t>
            </w:r>
            <w:r>
              <w:rPr>
                <w:rFonts w:hint="eastAsia" w:cs="Times New Roman"/>
                <w:color w:val="auto"/>
                <w:sz w:val="24"/>
                <w:szCs w:val="24"/>
                <w:lang w:eastAsia="zh-CN"/>
              </w:rPr>
              <w:t>环境质量数据</w:t>
            </w:r>
            <w:r>
              <w:rPr>
                <w:rFonts w:cs="Times New Roman"/>
                <w:color w:val="auto"/>
                <w:sz w:val="24"/>
                <w:szCs w:val="24"/>
                <w:lang w:eastAsia="zh-CN"/>
              </w:rPr>
              <w:t>引用《</w:t>
            </w:r>
            <w:r>
              <w:rPr>
                <w:rFonts w:hint="eastAsia" w:cs="Times New Roman"/>
                <w:color w:val="auto"/>
                <w:sz w:val="24"/>
                <w:szCs w:val="24"/>
                <w:lang w:eastAsia="zh-CN"/>
              </w:rPr>
              <w:t>西安志合木业家具板材加工项目</w:t>
            </w:r>
            <w:r>
              <w:rPr>
                <w:rFonts w:cs="Times New Roman"/>
                <w:color w:val="auto"/>
                <w:sz w:val="24"/>
                <w:szCs w:val="24"/>
                <w:lang w:eastAsia="zh-CN"/>
              </w:rPr>
              <w:t>环境质量现状监测报告》中环境空气的监测数据。</w:t>
            </w:r>
            <w:r>
              <w:rPr>
                <w:rFonts w:hint="eastAsia" w:cs="Times New Roman"/>
                <w:color w:val="auto"/>
                <w:sz w:val="24"/>
                <w:szCs w:val="24"/>
                <w:lang w:eastAsia="zh-CN"/>
              </w:rPr>
              <w:t>监测时间为</w:t>
            </w:r>
            <w:r>
              <w:rPr>
                <w:rFonts w:cs="Times New Roman"/>
                <w:color w:val="auto"/>
                <w:sz w:val="24"/>
                <w:szCs w:val="24"/>
                <w:lang w:eastAsia="zh-CN"/>
              </w:rPr>
              <w:t>该监测为</w:t>
            </w:r>
            <w:r>
              <w:rPr>
                <w:rFonts w:hint="eastAsia" w:cs="Times New Roman"/>
                <w:color w:val="auto"/>
                <w:sz w:val="24"/>
                <w:szCs w:val="24"/>
                <w:lang w:eastAsia="zh-CN"/>
              </w:rPr>
              <w:t>2023年10月8日~2023年10月10日，</w:t>
            </w:r>
            <w:r>
              <w:rPr>
                <w:rFonts w:cs="Times New Roman"/>
                <w:color w:val="auto"/>
                <w:sz w:val="24"/>
                <w:szCs w:val="24"/>
                <w:lang w:eastAsia="zh-CN"/>
              </w:rPr>
              <w:t>监测点位于本项目</w:t>
            </w:r>
            <w:r>
              <w:rPr>
                <w:rFonts w:hint="eastAsia" w:cs="Times New Roman"/>
                <w:color w:val="auto"/>
                <w:sz w:val="24"/>
                <w:szCs w:val="24"/>
                <w:lang w:eastAsia="zh-CN"/>
              </w:rPr>
              <w:t>东南侧770m处，监测数据</w:t>
            </w:r>
            <w:r>
              <w:rPr>
                <w:rFonts w:cs="Times New Roman"/>
                <w:color w:val="auto"/>
                <w:sz w:val="24"/>
                <w:szCs w:val="24"/>
                <w:lang w:eastAsia="zh-CN"/>
              </w:rPr>
              <w:t>引用可行</w:t>
            </w:r>
            <w:r>
              <w:rPr>
                <w:rFonts w:hint="eastAsia" w:cs="Times New Roman"/>
                <w:color w:val="auto"/>
                <w:sz w:val="24"/>
                <w:szCs w:val="24"/>
                <w:lang w:eastAsia="zh-CN"/>
              </w:rPr>
              <w:t>，监测报告见附件6，非甲烷总烃环境质量现状见下表</w:t>
            </w:r>
            <w:r>
              <w:rPr>
                <w:rFonts w:cs="Times New Roman"/>
                <w:color w:val="auto"/>
                <w:sz w:val="24"/>
                <w:szCs w:val="24"/>
                <w:lang w:eastAsia="zh-CN"/>
              </w:rPr>
              <w:t>。</w:t>
            </w:r>
          </w:p>
          <w:p w14:paraId="2A27F5C5">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 xml:space="preserve">表3-2    </w:t>
            </w:r>
            <w:r>
              <w:rPr>
                <w:rFonts w:hint="eastAsia" w:eastAsia="宋体" w:cs="Times New Roman"/>
                <w:b/>
                <w:bCs/>
                <w:color w:val="auto"/>
                <w:szCs w:val="21"/>
                <w:lang w:eastAsia="zh-CN"/>
              </w:rPr>
              <w:t>引用监测报告监测点位一览表</w:t>
            </w:r>
          </w:p>
          <w:tbl>
            <w:tblPr>
              <w:tblStyle w:val="27"/>
              <w:tblW w:w="85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416"/>
              <w:gridCol w:w="2400"/>
              <w:gridCol w:w="917"/>
              <w:gridCol w:w="1200"/>
              <w:gridCol w:w="744"/>
            </w:tblGrid>
            <w:tr w14:paraId="797743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Merge w:val="restart"/>
                  <w:tcBorders>
                    <w:tl2br w:val="nil"/>
                    <w:tr2bl w:val="nil"/>
                  </w:tcBorders>
                  <w:vAlign w:val="center"/>
                </w:tcPr>
                <w:p w14:paraId="07896BE3">
                  <w:pPr>
                    <w:pStyle w:val="5"/>
                    <w:spacing w:line="240" w:lineRule="auto"/>
                    <w:ind w:left="0" w:leftChars="0" w:right="0" w:rightChars="0" w:firstLine="0" w:firstLine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监测点名称</w:t>
                  </w:r>
                </w:p>
              </w:tc>
              <w:tc>
                <w:tcPr>
                  <w:tcW w:w="1416" w:type="dxa"/>
                  <w:vMerge w:val="restart"/>
                  <w:tcBorders>
                    <w:tl2br w:val="nil"/>
                    <w:tr2bl w:val="nil"/>
                  </w:tcBorders>
                  <w:vAlign w:val="center"/>
                </w:tcPr>
                <w:p w14:paraId="4594101F">
                  <w:pPr>
                    <w:pStyle w:val="5"/>
                    <w:spacing w:line="240" w:lineRule="auto"/>
                    <w:ind w:left="0" w:leftChars="0" w:right="0" w:rightChars="0" w:firstLine="0" w:firstLine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监测因子</w:t>
                  </w:r>
                </w:p>
              </w:tc>
              <w:tc>
                <w:tcPr>
                  <w:tcW w:w="2400" w:type="dxa"/>
                  <w:vMerge w:val="restart"/>
                  <w:tcBorders>
                    <w:tl2br w:val="nil"/>
                    <w:tr2bl w:val="nil"/>
                  </w:tcBorders>
                  <w:vAlign w:val="center"/>
                </w:tcPr>
                <w:p w14:paraId="2B6FBAA4">
                  <w:pPr>
                    <w:pStyle w:val="5"/>
                    <w:spacing w:line="240" w:lineRule="auto"/>
                    <w:ind w:left="0" w:leftChars="0" w:right="0" w:rightChars="0" w:firstLine="0" w:firstLine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监测时段</w:t>
                  </w:r>
                </w:p>
              </w:tc>
              <w:tc>
                <w:tcPr>
                  <w:tcW w:w="917" w:type="dxa"/>
                  <w:vMerge w:val="restart"/>
                  <w:tcBorders>
                    <w:tl2br w:val="nil"/>
                    <w:tr2bl w:val="nil"/>
                  </w:tcBorders>
                  <w:vAlign w:val="center"/>
                </w:tcPr>
                <w:p w14:paraId="176F4A81">
                  <w:pPr>
                    <w:pStyle w:val="5"/>
                    <w:spacing w:line="240" w:lineRule="auto"/>
                    <w:ind w:left="0" w:leftChars="0" w:right="0" w:rightChars="0" w:firstLine="0" w:firstLine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相对厂址方位</w:t>
                  </w:r>
                </w:p>
              </w:tc>
              <w:tc>
                <w:tcPr>
                  <w:tcW w:w="1200" w:type="dxa"/>
                  <w:vMerge w:val="restart"/>
                  <w:tcBorders>
                    <w:tl2br w:val="nil"/>
                    <w:tr2bl w:val="nil"/>
                  </w:tcBorders>
                  <w:vAlign w:val="center"/>
                </w:tcPr>
                <w:p w14:paraId="0A72FFA7">
                  <w:pPr>
                    <w:pStyle w:val="5"/>
                    <w:spacing w:line="240" w:lineRule="auto"/>
                    <w:ind w:left="0" w:leftChars="0" w:right="0" w:rightChars="0" w:firstLine="0" w:firstLine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相对厂界距离/m</w:t>
                  </w:r>
                </w:p>
              </w:tc>
              <w:tc>
                <w:tcPr>
                  <w:tcW w:w="744" w:type="dxa"/>
                  <w:vMerge w:val="restart"/>
                  <w:tcBorders>
                    <w:tl2br w:val="nil"/>
                    <w:tr2bl w:val="nil"/>
                  </w:tcBorders>
                  <w:vAlign w:val="center"/>
                </w:tcPr>
                <w:p w14:paraId="31C24652">
                  <w:pPr>
                    <w:pStyle w:val="5"/>
                    <w:spacing w:line="240" w:lineRule="auto"/>
                    <w:ind w:left="0" w:leftChars="0" w:right="0" w:rightChars="0" w:firstLine="0" w:firstLine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备注</w:t>
                  </w:r>
                </w:p>
              </w:tc>
            </w:tr>
            <w:tr w14:paraId="1C759A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Merge w:val="continue"/>
                  <w:tcBorders>
                    <w:tl2br w:val="nil"/>
                    <w:tr2bl w:val="nil"/>
                  </w:tcBorders>
                  <w:vAlign w:val="center"/>
                </w:tcPr>
                <w:p w14:paraId="76DB0A2B">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p>
              </w:tc>
              <w:tc>
                <w:tcPr>
                  <w:tcW w:w="1416" w:type="dxa"/>
                  <w:vMerge w:val="continue"/>
                  <w:tcBorders>
                    <w:tl2br w:val="nil"/>
                    <w:tr2bl w:val="nil"/>
                  </w:tcBorders>
                  <w:vAlign w:val="center"/>
                </w:tcPr>
                <w:p w14:paraId="7BE2061A">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p>
              </w:tc>
              <w:tc>
                <w:tcPr>
                  <w:tcW w:w="2400" w:type="dxa"/>
                  <w:vMerge w:val="continue"/>
                  <w:tcBorders>
                    <w:tl2br w:val="nil"/>
                    <w:tr2bl w:val="nil"/>
                  </w:tcBorders>
                  <w:vAlign w:val="center"/>
                </w:tcPr>
                <w:p w14:paraId="219BF96D">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p>
              </w:tc>
              <w:tc>
                <w:tcPr>
                  <w:tcW w:w="917" w:type="dxa"/>
                  <w:vMerge w:val="continue"/>
                  <w:tcBorders>
                    <w:tl2br w:val="nil"/>
                    <w:tr2bl w:val="nil"/>
                  </w:tcBorders>
                  <w:vAlign w:val="center"/>
                </w:tcPr>
                <w:p w14:paraId="5AF95CE6">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p>
              </w:tc>
              <w:tc>
                <w:tcPr>
                  <w:tcW w:w="1200" w:type="dxa"/>
                  <w:vMerge w:val="continue"/>
                  <w:tcBorders>
                    <w:tl2br w:val="nil"/>
                    <w:tr2bl w:val="nil"/>
                  </w:tcBorders>
                  <w:vAlign w:val="center"/>
                </w:tcPr>
                <w:p w14:paraId="6C995A61">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p>
              </w:tc>
              <w:tc>
                <w:tcPr>
                  <w:tcW w:w="744" w:type="dxa"/>
                  <w:vMerge w:val="continue"/>
                  <w:tcBorders>
                    <w:tl2br w:val="nil"/>
                    <w:tr2bl w:val="nil"/>
                  </w:tcBorders>
                  <w:vAlign w:val="center"/>
                </w:tcPr>
                <w:p w14:paraId="2ADC8B44">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p>
              </w:tc>
            </w:tr>
            <w:tr w14:paraId="6504B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tcBorders>
                    <w:tl2br w:val="nil"/>
                    <w:tr2bl w:val="nil"/>
                  </w:tcBorders>
                  <w:vAlign w:val="center"/>
                </w:tcPr>
                <w:p w14:paraId="3000D58D">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西安志合木业家具板材加工项目环境质量现状监测报告</w:t>
                  </w:r>
                  <w:r>
                    <w:rPr>
                      <w:rFonts w:hint="eastAsia" w:ascii="Times New Roman" w:hAnsi="Times New Roman" w:eastAsia="宋体" w:cs="Times New Roman"/>
                      <w:color w:val="auto"/>
                      <w:sz w:val="21"/>
                      <w:szCs w:val="21"/>
                      <w:lang w:eastAsia="zh-CN"/>
                    </w:rPr>
                    <w:t>（蓝田县华胥镇新街村村委会东侧）</w:t>
                  </w:r>
                </w:p>
              </w:tc>
              <w:tc>
                <w:tcPr>
                  <w:tcW w:w="1416" w:type="dxa"/>
                  <w:tcBorders>
                    <w:tl2br w:val="nil"/>
                    <w:tr2bl w:val="nil"/>
                  </w:tcBorders>
                  <w:vAlign w:val="center"/>
                </w:tcPr>
                <w:p w14:paraId="221BBD24">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非甲烷总烃</w:t>
                  </w:r>
                </w:p>
              </w:tc>
              <w:tc>
                <w:tcPr>
                  <w:tcW w:w="2400" w:type="dxa"/>
                  <w:tcBorders>
                    <w:tl2br w:val="nil"/>
                    <w:tr2bl w:val="nil"/>
                  </w:tcBorders>
                  <w:vAlign w:val="center"/>
                </w:tcPr>
                <w:p w14:paraId="785F20DE">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2023.10.8~2023.10.10</w:t>
                  </w:r>
                </w:p>
              </w:tc>
              <w:tc>
                <w:tcPr>
                  <w:tcW w:w="917" w:type="dxa"/>
                  <w:tcBorders>
                    <w:tl2br w:val="nil"/>
                    <w:tr2bl w:val="nil"/>
                  </w:tcBorders>
                  <w:vAlign w:val="center"/>
                </w:tcPr>
                <w:p w14:paraId="47448AD9">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东南</w:t>
                  </w:r>
                </w:p>
              </w:tc>
              <w:tc>
                <w:tcPr>
                  <w:tcW w:w="1200" w:type="dxa"/>
                  <w:tcBorders>
                    <w:tl2br w:val="nil"/>
                    <w:tr2bl w:val="nil"/>
                  </w:tcBorders>
                  <w:vAlign w:val="center"/>
                </w:tcPr>
                <w:p w14:paraId="16819CBC">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770</w:t>
                  </w:r>
                </w:p>
              </w:tc>
              <w:tc>
                <w:tcPr>
                  <w:tcW w:w="744" w:type="dxa"/>
                  <w:tcBorders>
                    <w:tl2br w:val="nil"/>
                    <w:tr2bl w:val="nil"/>
                  </w:tcBorders>
                  <w:vAlign w:val="center"/>
                </w:tcPr>
                <w:p w14:paraId="6DD56985">
                  <w:pPr>
                    <w:pStyle w:val="5"/>
                    <w:spacing w:line="240" w:lineRule="auto"/>
                    <w:ind w:left="0" w:leftChars="0" w:right="0" w:rightChars="0" w:firstLine="0" w:firstLine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引用</w:t>
                  </w:r>
                </w:p>
              </w:tc>
            </w:tr>
          </w:tbl>
          <w:p w14:paraId="69B30969">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表3-3    引用特征因子环境质量现状监测结果        单位：mg/m3</w:t>
            </w:r>
          </w:p>
          <w:tbl>
            <w:tblPr>
              <w:tblStyle w:val="27"/>
              <w:tblW w:w="8548"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115"/>
              <w:gridCol w:w="1483"/>
              <w:gridCol w:w="1711"/>
              <w:gridCol w:w="1867"/>
              <w:gridCol w:w="1372"/>
            </w:tblGrid>
            <w:tr w14:paraId="0AEC2E9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15" w:type="dxa"/>
                  <w:tcBorders>
                    <w:tl2br w:val="nil"/>
                    <w:tr2bl w:val="nil"/>
                  </w:tcBorders>
                  <w:vAlign w:val="center"/>
                </w:tcPr>
                <w:p w14:paraId="38F38A4C">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监测时间</w:t>
                  </w:r>
                </w:p>
              </w:tc>
              <w:tc>
                <w:tcPr>
                  <w:tcW w:w="1483" w:type="dxa"/>
                  <w:tcBorders>
                    <w:tl2br w:val="nil"/>
                    <w:tr2bl w:val="nil"/>
                  </w:tcBorders>
                  <w:vAlign w:val="center"/>
                </w:tcPr>
                <w:p w14:paraId="7E891BED">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污染物</w:t>
                  </w:r>
                </w:p>
              </w:tc>
              <w:tc>
                <w:tcPr>
                  <w:tcW w:w="1711" w:type="dxa"/>
                  <w:tcBorders>
                    <w:tl2br w:val="nil"/>
                    <w:tr2bl w:val="nil"/>
                  </w:tcBorders>
                  <w:vAlign w:val="center"/>
                </w:tcPr>
                <w:p w14:paraId="780A3532">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监测</w:t>
                  </w:r>
                  <w:r>
                    <w:rPr>
                      <w:rFonts w:hint="eastAsia" w:eastAsia="宋体" w:cs="Times New Roman"/>
                      <w:b/>
                      <w:bCs/>
                      <w:color w:val="auto"/>
                      <w:szCs w:val="21"/>
                      <w:lang w:eastAsia="zh-CN"/>
                    </w:rPr>
                    <w:t>结果</w:t>
                  </w:r>
                  <w:r>
                    <w:rPr>
                      <w:rFonts w:eastAsia="宋体" w:cs="Times New Roman"/>
                      <w:b/>
                      <w:bCs/>
                      <w:color w:val="auto"/>
                      <w:szCs w:val="21"/>
                      <w:lang w:eastAsia="zh-CN"/>
                    </w:rPr>
                    <w:t>（mg/m</w:t>
                  </w:r>
                  <w:r>
                    <w:rPr>
                      <w:rFonts w:eastAsia="宋体" w:cs="Times New Roman"/>
                      <w:b/>
                      <w:bCs/>
                      <w:color w:val="auto"/>
                      <w:szCs w:val="21"/>
                      <w:vertAlign w:val="superscript"/>
                      <w:lang w:eastAsia="zh-CN"/>
                    </w:rPr>
                    <w:t>3</w:t>
                  </w:r>
                  <w:r>
                    <w:rPr>
                      <w:rFonts w:eastAsia="宋体" w:cs="Times New Roman"/>
                      <w:b/>
                      <w:bCs/>
                      <w:color w:val="auto"/>
                      <w:szCs w:val="21"/>
                      <w:lang w:eastAsia="zh-CN"/>
                    </w:rPr>
                    <w:t>）</w:t>
                  </w:r>
                </w:p>
              </w:tc>
              <w:tc>
                <w:tcPr>
                  <w:tcW w:w="1867" w:type="dxa"/>
                  <w:tcBorders>
                    <w:tl2br w:val="nil"/>
                    <w:tr2bl w:val="nil"/>
                  </w:tcBorders>
                  <w:vAlign w:val="center"/>
                </w:tcPr>
                <w:p w14:paraId="3B7DCE09">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标准限值</w:t>
                  </w:r>
                </w:p>
              </w:tc>
              <w:tc>
                <w:tcPr>
                  <w:tcW w:w="1372" w:type="dxa"/>
                  <w:tcBorders>
                    <w:tl2br w:val="nil"/>
                    <w:tr2bl w:val="nil"/>
                  </w:tcBorders>
                  <w:vAlign w:val="center"/>
                </w:tcPr>
                <w:p w14:paraId="3D19B7D6">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达标情况</w:t>
                  </w:r>
                </w:p>
              </w:tc>
            </w:tr>
            <w:tr w14:paraId="047CAAC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15" w:type="dxa"/>
                  <w:tcBorders>
                    <w:tl2br w:val="nil"/>
                    <w:tr2bl w:val="nil"/>
                  </w:tcBorders>
                  <w:vAlign w:val="center"/>
                </w:tcPr>
                <w:p w14:paraId="3F4FB0C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2023.10.8~2023.10.10</w:t>
                  </w:r>
                </w:p>
              </w:tc>
              <w:tc>
                <w:tcPr>
                  <w:tcW w:w="1483" w:type="dxa"/>
                  <w:tcBorders>
                    <w:tl2br w:val="nil"/>
                    <w:tr2bl w:val="nil"/>
                  </w:tcBorders>
                  <w:vAlign w:val="center"/>
                </w:tcPr>
                <w:p w14:paraId="40DCB1DC">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非甲烷总烃</w:t>
                  </w:r>
                </w:p>
              </w:tc>
              <w:tc>
                <w:tcPr>
                  <w:tcW w:w="1711" w:type="dxa"/>
                  <w:tcBorders>
                    <w:tl2br w:val="nil"/>
                    <w:tr2bl w:val="nil"/>
                  </w:tcBorders>
                  <w:vAlign w:val="center"/>
                </w:tcPr>
                <w:p w14:paraId="1E014CB0">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0.21~0.30</w:t>
                  </w:r>
                </w:p>
              </w:tc>
              <w:tc>
                <w:tcPr>
                  <w:tcW w:w="1867" w:type="dxa"/>
                  <w:tcBorders>
                    <w:tl2br w:val="nil"/>
                    <w:tr2bl w:val="nil"/>
                  </w:tcBorders>
                  <w:vAlign w:val="center"/>
                </w:tcPr>
                <w:p w14:paraId="1107F195">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2</w:t>
                  </w:r>
                  <w:r>
                    <w:rPr>
                      <w:rFonts w:hint="eastAsia" w:eastAsia="宋体" w:cs="Times New Roman"/>
                      <w:color w:val="auto"/>
                      <w:szCs w:val="21"/>
                      <w:lang w:eastAsia="zh-CN"/>
                    </w:rPr>
                    <w:t>.0</w:t>
                  </w:r>
                </w:p>
                <w:p w14:paraId="270C490F">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（24小时平均）</w:t>
                  </w:r>
                </w:p>
              </w:tc>
              <w:tc>
                <w:tcPr>
                  <w:tcW w:w="1372" w:type="dxa"/>
                  <w:tcBorders>
                    <w:tl2br w:val="nil"/>
                    <w:tr2bl w:val="nil"/>
                  </w:tcBorders>
                  <w:vAlign w:val="center"/>
                </w:tcPr>
                <w:p w14:paraId="1A231A1E">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达标</w:t>
                  </w:r>
                </w:p>
              </w:tc>
            </w:tr>
          </w:tbl>
          <w:p w14:paraId="2EAE3C58">
            <w:pPr>
              <w:ind w:firstLine="480"/>
              <w:jc w:val="both"/>
              <w:rPr>
                <w:rFonts w:cs="Times New Roman"/>
                <w:b/>
                <w:color w:val="auto"/>
                <w:sz w:val="24"/>
                <w:lang w:eastAsia="zh-CN"/>
              </w:rPr>
            </w:pPr>
            <w:r>
              <w:rPr>
                <w:rFonts w:hint="eastAsia" w:cs="Times New Roman"/>
                <w:bCs/>
                <w:color w:val="auto"/>
                <w:sz w:val="24"/>
                <w:szCs w:val="24"/>
                <w:lang w:eastAsia="zh-CN"/>
              </w:rPr>
              <w:t>根据上表</w:t>
            </w:r>
            <w:r>
              <w:rPr>
                <w:rFonts w:cs="Times New Roman"/>
                <w:bCs/>
                <w:color w:val="auto"/>
                <w:sz w:val="24"/>
                <w:szCs w:val="24"/>
                <w:lang w:eastAsia="zh-CN"/>
              </w:rPr>
              <w:t>监测数据结果可知，项目所在地非甲烷总烃</w:t>
            </w:r>
            <w:r>
              <w:rPr>
                <w:rFonts w:hint="eastAsia" w:cs="Times New Roman"/>
                <w:bCs/>
                <w:color w:val="auto"/>
                <w:sz w:val="24"/>
                <w:szCs w:val="24"/>
                <w:lang w:eastAsia="zh-CN"/>
              </w:rPr>
              <w:t>环境质量</w:t>
            </w:r>
            <w:r>
              <w:rPr>
                <w:rFonts w:eastAsia="宋体" w:cs="Times New Roman"/>
                <w:color w:val="auto"/>
                <w:sz w:val="24"/>
                <w:lang w:eastAsia="zh-CN"/>
              </w:rPr>
              <w:t>满足《大气污染物综合排放标准详解》中标准限值</w:t>
            </w:r>
            <w:r>
              <w:rPr>
                <w:rFonts w:cs="Times New Roman"/>
                <w:color w:val="auto"/>
                <w:sz w:val="24"/>
                <w:lang w:eastAsia="zh-CN"/>
              </w:rPr>
              <w:t>。</w:t>
            </w:r>
          </w:p>
          <w:p w14:paraId="6491C5DF">
            <w:pPr>
              <w:ind w:firstLine="482"/>
              <w:jc w:val="both"/>
              <w:rPr>
                <w:rFonts w:cs="Times New Roman"/>
                <w:b/>
                <w:bCs/>
                <w:color w:val="auto"/>
                <w:sz w:val="24"/>
                <w:szCs w:val="24"/>
                <w:lang w:eastAsia="zh-CN"/>
              </w:rPr>
            </w:pPr>
            <w:r>
              <w:rPr>
                <w:rFonts w:hint="eastAsia" w:cs="Times New Roman"/>
                <w:b/>
                <w:bCs/>
                <w:color w:val="auto"/>
                <w:sz w:val="24"/>
                <w:szCs w:val="24"/>
                <w:lang w:eastAsia="zh-CN"/>
              </w:rPr>
              <w:t>2</w:t>
            </w:r>
            <w:r>
              <w:rPr>
                <w:rFonts w:cs="Times New Roman"/>
                <w:b/>
                <w:bCs/>
                <w:color w:val="auto"/>
                <w:sz w:val="24"/>
                <w:szCs w:val="24"/>
                <w:lang w:eastAsia="zh-CN"/>
              </w:rPr>
              <w:t>、声环境质量</w:t>
            </w:r>
          </w:p>
          <w:p w14:paraId="4B8EB7C4">
            <w:pPr>
              <w:ind w:firstLine="480"/>
              <w:jc w:val="both"/>
              <w:rPr>
                <w:rFonts w:cs="Times New Roman"/>
                <w:color w:val="auto"/>
                <w:sz w:val="24"/>
                <w:szCs w:val="24"/>
                <w:lang w:eastAsia="zh-CN"/>
              </w:rPr>
            </w:pPr>
            <w:bookmarkStart w:id="8" w:name="_Toc22200"/>
            <w:r>
              <w:rPr>
                <w:rFonts w:cs="Times New Roman"/>
                <w:color w:val="auto"/>
                <w:sz w:val="24"/>
                <w:szCs w:val="24"/>
                <w:lang w:eastAsia="zh-CN"/>
              </w:rPr>
              <w:t>本项目厂界外周边50米范围内</w:t>
            </w:r>
            <w:r>
              <w:rPr>
                <w:rFonts w:hint="eastAsia" w:cs="Times New Roman"/>
                <w:color w:val="auto"/>
                <w:sz w:val="24"/>
                <w:szCs w:val="24"/>
                <w:lang w:eastAsia="zh-CN"/>
              </w:rPr>
              <w:t>无</w:t>
            </w:r>
            <w:r>
              <w:rPr>
                <w:rFonts w:cs="Times New Roman"/>
                <w:color w:val="auto"/>
                <w:sz w:val="24"/>
                <w:szCs w:val="24"/>
                <w:lang w:eastAsia="zh-CN"/>
              </w:rPr>
              <w:t>声环境保护目标，</w:t>
            </w:r>
            <w:r>
              <w:rPr>
                <w:rFonts w:hint="eastAsia" w:cs="Times New Roman"/>
                <w:color w:val="auto"/>
                <w:sz w:val="24"/>
                <w:szCs w:val="24"/>
                <w:lang w:eastAsia="zh-CN"/>
              </w:rPr>
              <w:t>无需进行保护目标</w:t>
            </w:r>
            <w:r>
              <w:rPr>
                <w:rFonts w:cs="Times New Roman"/>
                <w:color w:val="auto"/>
                <w:sz w:val="24"/>
                <w:szCs w:val="24"/>
                <w:lang w:eastAsia="zh-CN"/>
              </w:rPr>
              <w:t>声环境质量现状</w:t>
            </w:r>
            <w:r>
              <w:rPr>
                <w:rFonts w:hint="eastAsia" w:cs="Times New Roman"/>
                <w:color w:val="auto"/>
                <w:sz w:val="24"/>
                <w:szCs w:val="24"/>
                <w:lang w:eastAsia="zh-CN"/>
              </w:rPr>
              <w:t>监测与评价</w:t>
            </w:r>
            <w:r>
              <w:rPr>
                <w:rFonts w:cs="Times New Roman"/>
                <w:color w:val="auto"/>
                <w:sz w:val="24"/>
                <w:szCs w:val="24"/>
                <w:lang w:eastAsia="zh-CN"/>
              </w:rPr>
              <w:t>。</w:t>
            </w:r>
          </w:p>
          <w:bookmarkEnd w:id="8"/>
          <w:p w14:paraId="573CBFAF">
            <w:pPr>
              <w:widowControl/>
              <w:ind w:firstLine="482"/>
              <w:jc w:val="left"/>
              <w:rPr>
                <w:rFonts w:eastAsia="宋体" w:cs="Times New Roman"/>
                <w:b/>
                <w:color w:val="auto"/>
                <w:sz w:val="24"/>
                <w:szCs w:val="24"/>
                <w:lang w:eastAsia="zh-CN"/>
              </w:rPr>
            </w:pPr>
            <w:bookmarkStart w:id="9" w:name="_Toc8096"/>
            <w:r>
              <w:rPr>
                <w:rFonts w:hint="eastAsia" w:eastAsia="宋体" w:cs="Times New Roman"/>
                <w:b/>
                <w:color w:val="auto"/>
                <w:sz w:val="24"/>
                <w:szCs w:val="24"/>
                <w:lang w:eastAsia="zh-CN"/>
              </w:rPr>
              <w:t>3</w:t>
            </w:r>
            <w:r>
              <w:rPr>
                <w:rFonts w:eastAsia="宋体" w:cs="Times New Roman"/>
                <w:b/>
                <w:color w:val="auto"/>
                <w:sz w:val="24"/>
                <w:szCs w:val="24"/>
                <w:lang w:eastAsia="zh-CN"/>
              </w:rPr>
              <w:t>、</w:t>
            </w:r>
            <w:r>
              <w:rPr>
                <w:rFonts w:hint="eastAsia" w:eastAsia="宋体" w:cs="Times New Roman"/>
                <w:b/>
                <w:color w:val="auto"/>
                <w:sz w:val="24"/>
                <w:szCs w:val="24"/>
                <w:lang w:eastAsia="zh-CN"/>
              </w:rPr>
              <w:t>地下水、</w:t>
            </w:r>
            <w:r>
              <w:rPr>
                <w:rFonts w:eastAsia="宋体" w:cs="Times New Roman"/>
                <w:b/>
                <w:color w:val="auto"/>
                <w:sz w:val="24"/>
                <w:szCs w:val="24"/>
                <w:lang w:eastAsia="zh-CN"/>
              </w:rPr>
              <w:t>土壤环境</w:t>
            </w:r>
          </w:p>
          <w:p w14:paraId="49E7F027">
            <w:pPr>
              <w:adjustRightInd w:val="0"/>
              <w:snapToGrid w:val="0"/>
              <w:ind w:right="-21" w:rightChars="-10" w:firstLine="480"/>
              <w:jc w:val="both"/>
              <w:rPr>
                <w:rFonts w:eastAsia="宋体" w:cs="Times New Roman"/>
                <w:color w:val="auto"/>
                <w:sz w:val="24"/>
                <w:lang w:eastAsia="zh-CN"/>
              </w:rPr>
            </w:pPr>
            <w:r>
              <w:rPr>
                <w:rFonts w:hint="eastAsia" w:cs="Times New Roman"/>
                <w:color w:val="auto"/>
                <w:sz w:val="24"/>
                <w:lang w:eastAsia="zh-CN"/>
              </w:rPr>
              <w:t>本项目</w:t>
            </w:r>
            <w:r>
              <w:rPr>
                <w:rFonts w:eastAsia="宋体" w:cs="Times New Roman"/>
                <w:snapToGrid w:val="0"/>
                <w:color w:val="auto"/>
                <w:sz w:val="24"/>
                <w:szCs w:val="20"/>
                <w:lang w:eastAsia="zh-CN"/>
              </w:rPr>
              <w:t>位于西北家具工业园</w:t>
            </w:r>
            <w:r>
              <w:rPr>
                <w:rFonts w:hint="eastAsia" w:eastAsia="宋体" w:cs="Times New Roman"/>
                <w:snapToGrid w:val="0"/>
                <w:color w:val="auto"/>
                <w:sz w:val="24"/>
                <w:szCs w:val="20"/>
                <w:lang w:eastAsia="zh-CN"/>
              </w:rPr>
              <w:t>现有厂房内，占地性质为工业用地，</w:t>
            </w:r>
            <w:bookmarkEnd w:id="9"/>
            <w:r>
              <w:rPr>
                <w:rFonts w:hint="eastAsia" w:eastAsia="宋体" w:cs="Times New Roman"/>
                <w:color w:val="auto"/>
                <w:sz w:val="24"/>
                <w:lang w:eastAsia="zh-CN"/>
              </w:rPr>
              <w:t>无需开展土壤、地下水环境质量现状调查。</w:t>
            </w:r>
          </w:p>
          <w:p w14:paraId="619290C2">
            <w:pPr>
              <w:numPr>
                <w:ilvl w:val="0"/>
                <w:numId w:val="5"/>
              </w:numPr>
              <w:adjustRightInd w:val="0"/>
              <w:snapToGrid w:val="0"/>
              <w:ind w:left="0" w:leftChars="0" w:right="-21" w:rightChars="-10" w:firstLine="482"/>
              <w:jc w:val="both"/>
              <w:rPr>
                <w:rFonts w:eastAsia="宋体" w:cs="Times New Roman"/>
                <w:b/>
                <w:bCs/>
                <w:color w:val="auto"/>
                <w:sz w:val="24"/>
                <w:lang w:eastAsia="zh-CN"/>
              </w:rPr>
            </w:pPr>
            <w:r>
              <w:rPr>
                <w:rFonts w:hint="eastAsia" w:eastAsia="宋体" w:cs="Times New Roman"/>
                <w:b/>
                <w:bCs/>
                <w:color w:val="auto"/>
                <w:sz w:val="24"/>
                <w:lang w:eastAsia="zh-CN"/>
              </w:rPr>
              <w:t>生态环境</w:t>
            </w:r>
          </w:p>
          <w:p w14:paraId="230ABDA7">
            <w:pPr>
              <w:adjustRightInd w:val="0"/>
              <w:snapToGrid w:val="0"/>
              <w:ind w:left="420" w:leftChars="200" w:right="-21" w:rightChars="-10" w:firstLine="0" w:firstLineChars="0"/>
              <w:jc w:val="both"/>
              <w:rPr>
                <w:rFonts w:eastAsia="宋体" w:cs="Times New Roman"/>
                <w:color w:val="auto"/>
                <w:szCs w:val="21"/>
                <w:lang w:eastAsia="zh-CN"/>
              </w:rPr>
            </w:pPr>
            <w:r>
              <w:rPr>
                <w:rFonts w:hint="eastAsia" w:eastAsia="宋体" w:cs="Times New Roman"/>
                <w:color w:val="auto"/>
                <w:sz w:val="24"/>
                <w:lang w:eastAsia="zh-CN"/>
              </w:rPr>
              <w:t>本项目位于西北家具工业园，不新增占地，无需进行生态现状调查。</w:t>
            </w:r>
          </w:p>
        </w:tc>
      </w:tr>
      <w:tr w14:paraId="11C0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4" w:hRule="atLeast"/>
        </w:trPr>
        <w:tc>
          <w:tcPr>
            <w:tcW w:w="328" w:type="pct"/>
            <w:vAlign w:val="center"/>
          </w:tcPr>
          <w:p w14:paraId="53023BDD">
            <w:pPr>
              <w:pStyle w:val="38"/>
              <w:spacing w:before="162" w:line="240" w:lineRule="auto"/>
              <w:ind w:left="0" w:leftChars="0" w:right="0" w:rightChars="0" w:firstLine="0" w:firstLineChars="0"/>
              <w:jc w:val="center"/>
              <w:rPr>
                <w:rFonts w:eastAsia="宋体" w:cs="Times New Roman"/>
                <w:color w:val="auto"/>
                <w:szCs w:val="21"/>
              </w:rPr>
            </w:pPr>
            <w:r>
              <w:rPr>
                <w:rFonts w:eastAsia="宋体" w:cs="Times New Roman"/>
                <w:b/>
                <w:bCs/>
                <w:color w:val="auto"/>
                <w:sz w:val="24"/>
                <w:szCs w:val="24"/>
              </w:rPr>
              <w:t>环境保护目标</w:t>
            </w:r>
          </w:p>
        </w:tc>
        <w:tc>
          <w:tcPr>
            <w:tcW w:w="4671" w:type="pct"/>
          </w:tcPr>
          <w:p w14:paraId="532BC0AE">
            <w:pPr>
              <w:tabs>
                <w:tab w:val="left" w:pos="8607"/>
              </w:tabs>
              <w:adjustRightInd w:val="0"/>
              <w:snapToGrid w:val="0"/>
              <w:ind w:left="0" w:leftChars="0" w:right="0" w:rightChars="0" w:firstLine="482"/>
              <w:jc w:val="both"/>
              <w:rPr>
                <w:rFonts w:eastAsia="宋体" w:cs="Times New Roman"/>
                <w:b/>
                <w:color w:val="auto"/>
                <w:sz w:val="24"/>
                <w:lang w:eastAsia="zh-CN"/>
              </w:rPr>
            </w:pPr>
            <w:r>
              <w:rPr>
                <w:rFonts w:hint="eastAsia" w:eastAsia="宋体" w:cs="Times New Roman"/>
                <w:b/>
                <w:color w:val="auto"/>
                <w:sz w:val="24"/>
                <w:lang w:eastAsia="zh-CN"/>
              </w:rPr>
              <w:t>1</w:t>
            </w:r>
            <w:r>
              <w:rPr>
                <w:rFonts w:eastAsia="宋体" w:cs="Times New Roman"/>
                <w:b/>
                <w:color w:val="auto"/>
                <w:sz w:val="24"/>
                <w:lang w:eastAsia="zh-CN"/>
              </w:rPr>
              <w:t>、大气环境</w:t>
            </w:r>
          </w:p>
          <w:p w14:paraId="0864DB19">
            <w:pPr>
              <w:tabs>
                <w:tab w:val="left" w:pos="8607"/>
              </w:tabs>
              <w:adjustRightInd w:val="0"/>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本项目厂界外500m范围内大气环境保护目标主要为居住区。</w:t>
            </w:r>
          </w:p>
          <w:p w14:paraId="63AF79D6">
            <w:pPr>
              <w:tabs>
                <w:tab w:val="left" w:pos="8607"/>
              </w:tabs>
              <w:adjustRightInd w:val="0"/>
              <w:snapToGrid w:val="0"/>
              <w:ind w:left="0" w:leftChars="0" w:right="0" w:rightChars="0" w:firstLine="482"/>
              <w:jc w:val="both"/>
              <w:rPr>
                <w:rFonts w:eastAsia="宋体" w:cs="Times New Roman"/>
                <w:b/>
                <w:color w:val="auto"/>
                <w:sz w:val="24"/>
                <w:lang w:eastAsia="zh-CN"/>
              </w:rPr>
            </w:pPr>
            <w:r>
              <w:rPr>
                <w:rFonts w:hint="eastAsia" w:eastAsia="宋体" w:cs="Times New Roman"/>
                <w:b/>
                <w:color w:val="auto"/>
                <w:sz w:val="24"/>
                <w:lang w:eastAsia="zh-CN"/>
              </w:rPr>
              <w:t>2</w:t>
            </w:r>
            <w:r>
              <w:rPr>
                <w:rFonts w:eastAsia="宋体" w:cs="Times New Roman"/>
                <w:b/>
                <w:color w:val="auto"/>
                <w:sz w:val="24"/>
                <w:lang w:eastAsia="zh-CN"/>
              </w:rPr>
              <w:t>、声环境</w:t>
            </w:r>
          </w:p>
          <w:p w14:paraId="0731BEE2">
            <w:pPr>
              <w:tabs>
                <w:tab w:val="left" w:pos="8607"/>
              </w:tabs>
              <w:adjustRightInd w:val="0"/>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本项目厂界外50m范围内无声环境保护目标。</w:t>
            </w:r>
          </w:p>
          <w:p w14:paraId="49CB538A">
            <w:pPr>
              <w:tabs>
                <w:tab w:val="left" w:pos="8607"/>
              </w:tabs>
              <w:adjustRightInd w:val="0"/>
              <w:snapToGrid w:val="0"/>
              <w:ind w:left="0" w:leftChars="0" w:right="0" w:rightChars="0" w:firstLine="482"/>
              <w:jc w:val="both"/>
              <w:rPr>
                <w:rFonts w:eastAsia="宋体" w:cs="Times New Roman"/>
                <w:b/>
                <w:color w:val="auto"/>
                <w:sz w:val="24"/>
                <w:lang w:eastAsia="zh-CN"/>
              </w:rPr>
            </w:pPr>
            <w:r>
              <w:rPr>
                <w:rFonts w:hint="eastAsia" w:eastAsia="宋体" w:cs="Times New Roman"/>
                <w:b/>
                <w:color w:val="auto"/>
                <w:sz w:val="24"/>
                <w:lang w:eastAsia="zh-CN"/>
              </w:rPr>
              <w:t>3</w:t>
            </w:r>
            <w:r>
              <w:rPr>
                <w:rFonts w:eastAsia="宋体" w:cs="Times New Roman"/>
                <w:b/>
                <w:color w:val="auto"/>
                <w:sz w:val="24"/>
                <w:lang w:eastAsia="zh-CN"/>
              </w:rPr>
              <w:t>、地下水环境</w:t>
            </w:r>
          </w:p>
          <w:p w14:paraId="4FFDFA65">
            <w:pPr>
              <w:tabs>
                <w:tab w:val="left" w:pos="8607"/>
              </w:tabs>
              <w:adjustRightInd w:val="0"/>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本项目位于西北工业园区，区域采用市政集中供水，厂界外500m范围内无地下水集中式饮用水水源和热水、矿泉水、温泉等特殊地下水资源。</w:t>
            </w:r>
          </w:p>
          <w:p w14:paraId="2D7FE384">
            <w:pPr>
              <w:tabs>
                <w:tab w:val="left" w:pos="8607"/>
              </w:tabs>
              <w:adjustRightInd w:val="0"/>
              <w:snapToGrid w:val="0"/>
              <w:ind w:left="0" w:leftChars="0" w:right="0" w:rightChars="0" w:firstLine="482"/>
              <w:jc w:val="both"/>
              <w:rPr>
                <w:rFonts w:eastAsia="宋体" w:cs="Times New Roman"/>
                <w:b/>
                <w:color w:val="auto"/>
                <w:sz w:val="24"/>
                <w:lang w:eastAsia="zh-CN"/>
              </w:rPr>
            </w:pPr>
            <w:r>
              <w:rPr>
                <w:rFonts w:hint="eastAsia" w:eastAsia="宋体" w:cs="Times New Roman"/>
                <w:b/>
                <w:color w:val="auto"/>
                <w:sz w:val="24"/>
                <w:lang w:eastAsia="zh-CN"/>
              </w:rPr>
              <w:t>4</w:t>
            </w:r>
            <w:r>
              <w:rPr>
                <w:rFonts w:eastAsia="宋体" w:cs="Times New Roman"/>
                <w:b/>
                <w:color w:val="auto"/>
                <w:sz w:val="24"/>
                <w:lang w:eastAsia="zh-CN"/>
              </w:rPr>
              <w:t>、生态环境</w:t>
            </w:r>
          </w:p>
          <w:p w14:paraId="4CF85A2A">
            <w:pPr>
              <w:tabs>
                <w:tab w:val="left" w:pos="8607"/>
              </w:tabs>
              <w:adjustRightInd w:val="0"/>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本项目用地范围内无自然保护区、风景名胜区、珍稀濒危动植物等生态环境保护目标。</w:t>
            </w:r>
          </w:p>
          <w:p w14:paraId="335F8CC7">
            <w:pPr>
              <w:pStyle w:val="2"/>
              <w:ind w:left="0" w:leftChars="0" w:right="0" w:rightChars="0" w:firstLine="480"/>
              <w:jc w:val="both"/>
              <w:outlineLvl w:val="1"/>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本项目环境保护目标见下表及附图4。</w:t>
            </w:r>
          </w:p>
          <w:p w14:paraId="76E83336">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表3</w:t>
            </w:r>
            <w:r>
              <w:rPr>
                <w:rFonts w:hint="eastAsia" w:eastAsia="宋体" w:cs="Times New Roman"/>
                <w:b/>
                <w:bCs/>
                <w:color w:val="auto"/>
                <w:szCs w:val="21"/>
                <w:lang w:eastAsia="zh-CN"/>
              </w:rPr>
              <w:t>-4</w:t>
            </w:r>
            <w:r>
              <w:rPr>
                <w:rFonts w:eastAsia="宋体" w:cs="Times New Roman"/>
                <w:b/>
                <w:bCs/>
                <w:color w:val="auto"/>
                <w:szCs w:val="21"/>
                <w:lang w:eastAsia="zh-CN"/>
              </w:rPr>
              <w:t xml:space="preserve">    项目环境保护目标</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578"/>
              <w:gridCol w:w="959"/>
              <w:gridCol w:w="1613"/>
              <w:gridCol w:w="1503"/>
              <w:gridCol w:w="633"/>
              <w:gridCol w:w="766"/>
              <w:gridCol w:w="749"/>
              <w:gridCol w:w="800"/>
              <w:gridCol w:w="944"/>
            </w:tblGrid>
            <w:tr w14:paraId="3EFE7C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338" w:type="pct"/>
                  <w:vMerge w:val="restart"/>
                  <w:tcBorders>
                    <w:tl2br w:val="nil"/>
                    <w:tr2bl w:val="nil"/>
                  </w:tcBorders>
                  <w:vAlign w:val="center"/>
                </w:tcPr>
                <w:p w14:paraId="58A84D41">
                  <w:pPr>
                    <w:adjustRightInd w:val="0"/>
                    <w:snapToGrid w:val="0"/>
                    <w:spacing w:line="240" w:lineRule="auto"/>
                    <w:ind w:firstLine="0" w:firstLineChars="0"/>
                    <w:jc w:val="center"/>
                    <w:rPr>
                      <w:rFonts w:cs="Times New Roman"/>
                      <w:b/>
                      <w:color w:val="auto"/>
                      <w:szCs w:val="21"/>
                    </w:rPr>
                  </w:pPr>
                  <w:r>
                    <w:rPr>
                      <w:rFonts w:cs="Times New Roman"/>
                      <w:b/>
                      <w:color w:val="auto"/>
                      <w:szCs w:val="21"/>
                    </w:rPr>
                    <w:t>环境</w:t>
                  </w:r>
                </w:p>
                <w:p w14:paraId="56BB83A4">
                  <w:pPr>
                    <w:adjustRightInd w:val="0"/>
                    <w:snapToGrid w:val="0"/>
                    <w:spacing w:line="240" w:lineRule="auto"/>
                    <w:ind w:firstLine="0" w:firstLineChars="0"/>
                    <w:jc w:val="center"/>
                    <w:rPr>
                      <w:rFonts w:cs="Times New Roman"/>
                      <w:b/>
                      <w:color w:val="auto"/>
                      <w:szCs w:val="21"/>
                    </w:rPr>
                  </w:pPr>
                  <w:r>
                    <w:rPr>
                      <w:rFonts w:cs="Times New Roman"/>
                      <w:b/>
                      <w:color w:val="auto"/>
                      <w:szCs w:val="21"/>
                    </w:rPr>
                    <w:t>要素</w:t>
                  </w:r>
                </w:p>
              </w:tc>
              <w:tc>
                <w:tcPr>
                  <w:tcW w:w="561" w:type="pct"/>
                  <w:vMerge w:val="restart"/>
                  <w:tcBorders>
                    <w:tl2br w:val="nil"/>
                    <w:tr2bl w:val="nil"/>
                  </w:tcBorders>
                  <w:vAlign w:val="center"/>
                </w:tcPr>
                <w:p w14:paraId="24CCF99F">
                  <w:pPr>
                    <w:adjustRightInd w:val="0"/>
                    <w:snapToGrid w:val="0"/>
                    <w:spacing w:line="240" w:lineRule="auto"/>
                    <w:ind w:firstLine="0" w:firstLineChars="0"/>
                    <w:jc w:val="center"/>
                    <w:rPr>
                      <w:rFonts w:eastAsia="宋体" w:cs="Times New Roman"/>
                      <w:b/>
                      <w:color w:val="auto"/>
                      <w:szCs w:val="21"/>
                      <w:lang w:eastAsia="zh-CN"/>
                    </w:rPr>
                  </w:pPr>
                  <w:r>
                    <w:rPr>
                      <w:rFonts w:cs="Times New Roman"/>
                      <w:b/>
                      <w:color w:val="auto"/>
                      <w:szCs w:val="21"/>
                      <w:lang w:eastAsia="zh-CN"/>
                    </w:rPr>
                    <w:t>名称</w:t>
                  </w:r>
                </w:p>
              </w:tc>
              <w:tc>
                <w:tcPr>
                  <w:tcW w:w="1822" w:type="pct"/>
                  <w:gridSpan w:val="2"/>
                  <w:tcBorders>
                    <w:tl2br w:val="nil"/>
                    <w:tr2bl w:val="nil"/>
                  </w:tcBorders>
                  <w:vAlign w:val="center"/>
                </w:tcPr>
                <w:p w14:paraId="03A0B923">
                  <w:pPr>
                    <w:adjustRightInd w:val="0"/>
                    <w:snapToGrid w:val="0"/>
                    <w:spacing w:line="240" w:lineRule="auto"/>
                    <w:ind w:firstLine="0" w:firstLineChars="0"/>
                    <w:jc w:val="center"/>
                    <w:rPr>
                      <w:rFonts w:cs="Times New Roman"/>
                      <w:b/>
                      <w:color w:val="auto"/>
                      <w:szCs w:val="21"/>
                      <w:lang w:eastAsia="zh-CN"/>
                    </w:rPr>
                  </w:pPr>
                  <w:r>
                    <w:rPr>
                      <w:rFonts w:cs="Times New Roman"/>
                      <w:b/>
                      <w:color w:val="auto"/>
                      <w:szCs w:val="21"/>
                      <w:lang w:eastAsia="zh-CN"/>
                    </w:rPr>
                    <w:t>坐标</w:t>
                  </w:r>
                </w:p>
              </w:tc>
              <w:tc>
                <w:tcPr>
                  <w:tcW w:w="370" w:type="pct"/>
                  <w:vMerge w:val="restart"/>
                  <w:tcBorders>
                    <w:tl2br w:val="nil"/>
                    <w:tr2bl w:val="nil"/>
                  </w:tcBorders>
                  <w:vAlign w:val="center"/>
                </w:tcPr>
                <w:p w14:paraId="4B3A4732">
                  <w:pPr>
                    <w:adjustRightInd w:val="0"/>
                    <w:snapToGrid w:val="0"/>
                    <w:spacing w:line="240" w:lineRule="auto"/>
                    <w:ind w:firstLine="0" w:firstLineChars="0"/>
                    <w:jc w:val="center"/>
                    <w:rPr>
                      <w:rFonts w:cs="Times New Roman"/>
                      <w:b/>
                      <w:color w:val="auto"/>
                      <w:szCs w:val="21"/>
                      <w:lang w:eastAsia="zh-CN"/>
                    </w:rPr>
                  </w:pPr>
                  <w:r>
                    <w:rPr>
                      <w:rFonts w:cs="Times New Roman"/>
                      <w:b/>
                      <w:color w:val="auto"/>
                      <w:szCs w:val="21"/>
                      <w:lang w:eastAsia="zh-CN"/>
                    </w:rPr>
                    <w:t>保护</w:t>
                  </w:r>
                </w:p>
                <w:p w14:paraId="101080AC">
                  <w:pPr>
                    <w:adjustRightInd w:val="0"/>
                    <w:snapToGrid w:val="0"/>
                    <w:spacing w:line="240" w:lineRule="auto"/>
                    <w:ind w:firstLine="0" w:firstLineChars="0"/>
                    <w:jc w:val="center"/>
                    <w:rPr>
                      <w:rFonts w:cs="Times New Roman"/>
                      <w:b/>
                      <w:color w:val="auto"/>
                      <w:szCs w:val="21"/>
                      <w:lang w:eastAsia="zh-CN"/>
                    </w:rPr>
                  </w:pPr>
                  <w:r>
                    <w:rPr>
                      <w:rFonts w:cs="Times New Roman"/>
                      <w:b/>
                      <w:color w:val="auto"/>
                      <w:szCs w:val="21"/>
                      <w:lang w:eastAsia="zh-CN"/>
                    </w:rPr>
                    <w:t>对象</w:t>
                  </w:r>
                </w:p>
              </w:tc>
              <w:tc>
                <w:tcPr>
                  <w:tcW w:w="448" w:type="pct"/>
                  <w:vMerge w:val="restart"/>
                  <w:tcBorders>
                    <w:tl2br w:val="nil"/>
                    <w:tr2bl w:val="nil"/>
                  </w:tcBorders>
                  <w:vAlign w:val="center"/>
                </w:tcPr>
                <w:p w14:paraId="1BBCDAF3">
                  <w:pPr>
                    <w:adjustRightInd w:val="0"/>
                    <w:snapToGrid w:val="0"/>
                    <w:spacing w:line="240" w:lineRule="auto"/>
                    <w:ind w:firstLine="0" w:firstLineChars="0"/>
                    <w:jc w:val="center"/>
                    <w:rPr>
                      <w:rFonts w:cs="Times New Roman"/>
                      <w:b/>
                      <w:color w:val="auto"/>
                      <w:szCs w:val="21"/>
                      <w:lang w:eastAsia="zh-CN"/>
                    </w:rPr>
                  </w:pPr>
                  <w:r>
                    <w:rPr>
                      <w:rFonts w:cs="Times New Roman"/>
                      <w:b/>
                      <w:color w:val="auto"/>
                      <w:szCs w:val="21"/>
                      <w:lang w:eastAsia="zh-CN"/>
                    </w:rPr>
                    <w:t>保护</w:t>
                  </w:r>
                </w:p>
                <w:p w14:paraId="1F51DF62">
                  <w:pPr>
                    <w:adjustRightInd w:val="0"/>
                    <w:snapToGrid w:val="0"/>
                    <w:spacing w:line="240" w:lineRule="auto"/>
                    <w:ind w:firstLine="0" w:firstLineChars="0"/>
                    <w:jc w:val="center"/>
                    <w:rPr>
                      <w:rFonts w:cs="Times New Roman"/>
                      <w:b/>
                      <w:color w:val="auto"/>
                      <w:szCs w:val="21"/>
                      <w:lang w:eastAsia="zh-CN"/>
                    </w:rPr>
                  </w:pPr>
                  <w:r>
                    <w:rPr>
                      <w:rFonts w:cs="Times New Roman"/>
                      <w:b/>
                      <w:color w:val="auto"/>
                      <w:szCs w:val="21"/>
                      <w:lang w:eastAsia="zh-CN"/>
                    </w:rPr>
                    <w:t>内容</w:t>
                  </w:r>
                </w:p>
              </w:tc>
              <w:tc>
                <w:tcPr>
                  <w:tcW w:w="438" w:type="pct"/>
                  <w:vMerge w:val="restart"/>
                  <w:tcBorders>
                    <w:tl2br w:val="nil"/>
                    <w:tr2bl w:val="nil"/>
                  </w:tcBorders>
                  <w:vAlign w:val="center"/>
                </w:tcPr>
                <w:p w14:paraId="0BB05E79">
                  <w:pPr>
                    <w:adjustRightInd w:val="0"/>
                    <w:snapToGrid w:val="0"/>
                    <w:spacing w:line="240" w:lineRule="auto"/>
                    <w:ind w:firstLine="0" w:firstLineChars="0"/>
                    <w:jc w:val="center"/>
                    <w:rPr>
                      <w:rFonts w:cs="Times New Roman"/>
                      <w:b/>
                      <w:color w:val="auto"/>
                      <w:szCs w:val="21"/>
                      <w:lang w:eastAsia="zh-CN"/>
                    </w:rPr>
                  </w:pPr>
                  <w:r>
                    <w:rPr>
                      <w:rFonts w:cs="Times New Roman"/>
                      <w:b/>
                      <w:color w:val="auto"/>
                      <w:szCs w:val="21"/>
                      <w:lang w:eastAsia="zh-CN"/>
                    </w:rPr>
                    <w:t>环境</w:t>
                  </w:r>
                </w:p>
                <w:p w14:paraId="5E1CC2B9">
                  <w:pPr>
                    <w:adjustRightInd w:val="0"/>
                    <w:snapToGrid w:val="0"/>
                    <w:spacing w:line="240" w:lineRule="auto"/>
                    <w:ind w:firstLine="0" w:firstLineChars="0"/>
                    <w:jc w:val="center"/>
                    <w:rPr>
                      <w:rFonts w:eastAsia="宋体" w:cs="Times New Roman"/>
                      <w:b/>
                      <w:color w:val="auto"/>
                      <w:szCs w:val="21"/>
                      <w:lang w:eastAsia="zh-CN"/>
                    </w:rPr>
                  </w:pPr>
                  <w:r>
                    <w:rPr>
                      <w:rFonts w:cs="Times New Roman"/>
                      <w:b/>
                      <w:color w:val="auto"/>
                      <w:szCs w:val="21"/>
                      <w:lang w:eastAsia="zh-CN"/>
                    </w:rPr>
                    <w:t>功能区</w:t>
                  </w:r>
                </w:p>
              </w:tc>
              <w:tc>
                <w:tcPr>
                  <w:tcW w:w="468" w:type="pct"/>
                  <w:vMerge w:val="restart"/>
                  <w:tcBorders>
                    <w:tl2br w:val="nil"/>
                    <w:tr2bl w:val="nil"/>
                  </w:tcBorders>
                  <w:vAlign w:val="center"/>
                </w:tcPr>
                <w:p w14:paraId="2540A92D">
                  <w:pPr>
                    <w:adjustRightInd w:val="0"/>
                    <w:snapToGrid w:val="0"/>
                    <w:spacing w:line="240" w:lineRule="auto"/>
                    <w:ind w:firstLine="0" w:firstLineChars="0"/>
                    <w:jc w:val="center"/>
                    <w:rPr>
                      <w:rFonts w:cs="Times New Roman"/>
                      <w:b/>
                      <w:color w:val="auto"/>
                      <w:szCs w:val="21"/>
                      <w:lang w:eastAsia="zh-CN"/>
                    </w:rPr>
                  </w:pPr>
                  <w:r>
                    <w:rPr>
                      <w:rFonts w:cs="Times New Roman"/>
                      <w:b/>
                      <w:color w:val="auto"/>
                      <w:szCs w:val="21"/>
                      <w:lang w:eastAsia="zh-CN"/>
                    </w:rPr>
                    <w:t>相对厂</w:t>
                  </w:r>
                </w:p>
                <w:p w14:paraId="438AE47F">
                  <w:pPr>
                    <w:adjustRightInd w:val="0"/>
                    <w:snapToGrid w:val="0"/>
                    <w:spacing w:line="240" w:lineRule="auto"/>
                    <w:ind w:firstLine="0" w:firstLineChars="0"/>
                    <w:jc w:val="center"/>
                    <w:rPr>
                      <w:rFonts w:eastAsia="宋体" w:cs="Times New Roman"/>
                      <w:b/>
                      <w:color w:val="auto"/>
                      <w:szCs w:val="21"/>
                      <w:lang w:eastAsia="zh-CN"/>
                    </w:rPr>
                  </w:pPr>
                  <w:r>
                    <w:rPr>
                      <w:rFonts w:cs="Times New Roman"/>
                      <w:b/>
                      <w:color w:val="auto"/>
                      <w:szCs w:val="21"/>
                      <w:lang w:eastAsia="zh-CN"/>
                    </w:rPr>
                    <w:t>址方向</w:t>
                  </w:r>
                </w:p>
              </w:tc>
              <w:tc>
                <w:tcPr>
                  <w:tcW w:w="552" w:type="pct"/>
                  <w:vMerge w:val="restart"/>
                  <w:tcBorders>
                    <w:tl2br w:val="nil"/>
                    <w:tr2bl w:val="nil"/>
                  </w:tcBorders>
                  <w:vAlign w:val="center"/>
                </w:tcPr>
                <w:p w14:paraId="7D5833E8">
                  <w:pPr>
                    <w:adjustRightInd w:val="0"/>
                    <w:snapToGrid w:val="0"/>
                    <w:spacing w:line="240" w:lineRule="auto"/>
                    <w:ind w:firstLine="0" w:firstLineChars="0"/>
                    <w:jc w:val="center"/>
                    <w:rPr>
                      <w:rFonts w:cs="Times New Roman"/>
                      <w:b/>
                      <w:color w:val="auto"/>
                      <w:szCs w:val="21"/>
                    </w:rPr>
                  </w:pPr>
                  <w:r>
                    <w:rPr>
                      <w:rFonts w:cs="Times New Roman"/>
                      <w:b/>
                      <w:color w:val="auto"/>
                      <w:szCs w:val="21"/>
                    </w:rPr>
                    <w:t>相对厂界</w:t>
                  </w:r>
                </w:p>
                <w:p w14:paraId="7E9673B9">
                  <w:pPr>
                    <w:adjustRightInd w:val="0"/>
                    <w:snapToGrid w:val="0"/>
                    <w:spacing w:line="240" w:lineRule="auto"/>
                    <w:ind w:firstLine="0" w:firstLineChars="0"/>
                    <w:jc w:val="center"/>
                    <w:rPr>
                      <w:rFonts w:eastAsia="宋体" w:cs="Times New Roman"/>
                      <w:b/>
                      <w:color w:val="auto"/>
                      <w:szCs w:val="21"/>
                      <w:lang w:eastAsia="zh-CN"/>
                    </w:rPr>
                  </w:pPr>
                  <w:r>
                    <w:rPr>
                      <w:rFonts w:cs="Times New Roman"/>
                      <w:b/>
                      <w:color w:val="auto"/>
                      <w:szCs w:val="21"/>
                    </w:rPr>
                    <w:t>距离</w:t>
                  </w:r>
                  <w:r>
                    <w:rPr>
                      <w:rFonts w:cs="Times New Roman"/>
                      <w:b/>
                      <w:color w:val="auto"/>
                      <w:szCs w:val="21"/>
                      <w:lang w:eastAsia="zh-CN"/>
                    </w:rPr>
                    <w:t>/m</w:t>
                  </w:r>
                </w:p>
              </w:tc>
            </w:tr>
            <w:tr w14:paraId="7723E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338" w:type="pct"/>
                  <w:vMerge w:val="continue"/>
                  <w:tcBorders>
                    <w:tl2br w:val="nil"/>
                    <w:tr2bl w:val="nil"/>
                  </w:tcBorders>
                  <w:vAlign w:val="center"/>
                </w:tcPr>
                <w:p w14:paraId="5CCF5BB7">
                  <w:pPr>
                    <w:adjustRightInd w:val="0"/>
                    <w:snapToGrid w:val="0"/>
                    <w:spacing w:line="240" w:lineRule="auto"/>
                    <w:ind w:firstLine="0" w:firstLineChars="0"/>
                    <w:jc w:val="center"/>
                    <w:rPr>
                      <w:rFonts w:cs="Times New Roman"/>
                      <w:color w:val="auto"/>
                      <w:szCs w:val="21"/>
                    </w:rPr>
                  </w:pPr>
                </w:p>
              </w:tc>
              <w:tc>
                <w:tcPr>
                  <w:tcW w:w="561" w:type="pct"/>
                  <w:vMerge w:val="continue"/>
                  <w:tcBorders>
                    <w:tl2br w:val="nil"/>
                    <w:tr2bl w:val="nil"/>
                  </w:tcBorders>
                  <w:vAlign w:val="center"/>
                </w:tcPr>
                <w:p w14:paraId="5A6769A1">
                  <w:pPr>
                    <w:adjustRightInd w:val="0"/>
                    <w:snapToGrid w:val="0"/>
                    <w:spacing w:line="240" w:lineRule="auto"/>
                    <w:ind w:firstLine="0" w:firstLineChars="0"/>
                    <w:jc w:val="center"/>
                    <w:rPr>
                      <w:rFonts w:cs="Times New Roman"/>
                      <w:color w:val="auto"/>
                      <w:szCs w:val="21"/>
                    </w:rPr>
                  </w:pPr>
                </w:p>
              </w:tc>
              <w:tc>
                <w:tcPr>
                  <w:tcW w:w="943" w:type="pct"/>
                  <w:tcBorders>
                    <w:tl2br w:val="nil"/>
                    <w:tr2bl w:val="nil"/>
                  </w:tcBorders>
                  <w:vAlign w:val="center"/>
                </w:tcPr>
                <w:p w14:paraId="4E0DF685">
                  <w:pPr>
                    <w:adjustRightInd w:val="0"/>
                    <w:snapToGrid w:val="0"/>
                    <w:spacing w:line="240" w:lineRule="auto"/>
                    <w:ind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经度</w:t>
                  </w:r>
                </w:p>
              </w:tc>
              <w:tc>
                <w:tcPr>
                  <w:tcW w:w="878" w:type="pct"/>
                  <w:tcBorders>
                    <w:tl2br w:val="nil"/>
                    <w:tr2bl w:val="nil"/>
                  </w:tcBorders>
                  <w:vAlign w:val="center"/>
                </w:tcPr>
                <w:p w14:paraId="4CC46938">
                  <w:pPr>
                    <w:adjustRightInd w:val="0"/>
                    <w:snapToGrid w:val="0"/>
                    <w:spacing w:line="240" w:lineRule="auto"/>
                    <w:ind w:firstLine="0" w:firstLineChars="0"/>
                    <w:jc w:val="center"/>
                    <w:rPr>
                      <w:rFonts w:eastAsia="宋体" w:cs="Times New Roman"/>
                      <w:b/>
                      <w:bCs/>
                      <w:color w:val="auto"/>
                      <w:szCs w:val="21"/>
                      <w:lang w:eastAsia="zh-CN"/>
                    </w:rPr>
                  </w:pPr>
                  <w:r>
                    <w:rPr>
                      <w:rFonts w:hint="eastAsia" w:eastAsia="宋体" w:cs="Times New Roman"/>
                      <w:b/>
                      <w:bCs/>
                      <w:color w:val="auto"/>
                      <w:szCs w:val="21"/>
                      <w:lang w:eastAsia="zh-CN"/>
                    </w:rPr>
                    <w:t>纬度</w:t>
                  </w:r>
                </w:p>
              </w:tc>
              <w:tc>
                <w:tcPr>
                  <w:tcW w:w="370" w:type="pct"/>
                  <w:vMerge w:val="continue"/>
                  <w:tcBorders>
                    <w:tl2br w:val="nil"/>
                    <w:tr2bl w:val="nil"/>
                  </w:tcBorders>
                  <w:vAlign w:val="center"/>
                </w:tcPr>
                <w:p w14:paraId="0CFB45F5">
                  <w:pPr>
                    <w:adjustRightInd w:val="0"/>
                    <w:snapToGrid w:val="0"/>
                    <w:spacing w:line="240" w:lineRule="auto"/>
                    <w:ind w:firstLine="0" w:firstLineChars="0"/>
                    <w:jc w:val="center"/>
                    <w:rPr>
                      <w:rFonts w:cs="Times New Roman"/>
                      <w:color w:val="auto"/>
                      <w:szCs w:val="21"/>
                    </w:rPr>
                  </w:pPr>
                </w:p>
              </w:tc>
              <w:tc>
                <w:tcPr>
                  <w:tcW w:w="448" w:type="pct"/>
                  <w:vMerge w:val="continue"/>
                  <w:tcBorders>
                    <w:tl2br w:val="nil"/>
                    <w:tr2bl w:val="nil"/>
                  </w:tcBorders>
                  <w:vAlign w:val="center"/>
                </w:tcPr>
                <w:p w14:paraId="50140723">
                  <w:pPr>
                    <w:adjustRightInd w:val="0"/>
                    <w:snapToGrid w:val="0"/>
                    <w:spacing w:line="240" w:lineRule="auto"/>
                    <w:ind w:firstLine="0" w:firstLineChars="0"/>
                    <w:jc w:val="center"/>
                    <w:rPr>
                      <w:rFonts w:cs="Times New Roman"/>
                      <w:color w:val="auto"/>
                      <w:szCs w:val="21"/>
                    </w:rPr>
                  </w:pPr>
                </w:p>
              </w:tc>
              <w:tc>
                <w:tcPr>
                  <w:tcW w:w="438" w:type="pct"/>
                  <w:vMerge w:val="continue"/>
                  <w:tcBorders>
                    <w:tl2br w:val="nil"/>
                    <w:tr2bl w:val="nil"/>
                  </w:tcBorders>
                  <w:vAlign w:val="center"/>
                </w:tcPr>
                <w:p w14:paraId="218DEF44">
                  <w:pPr>
                    <w:adjustRightInd w:val="0"/>
                    <w:snapToGrid w:val="0"/>
                    <w:spacing w:line="240" w:lineRule="auto"/>
                    <w:ind w:firstLine="0" w:firstLineChars="0"/>
                    <w:jc w:val="center"/>
                    <w:rPr>
                      <w:rFonts w:cs="Times New Roman"/>
                      <w:color w:val="auto"/>
                      <w:szCs w:val="21"/>
                    </w:rPr>
                  </w:pPr>
                </w:p>
              </w:tc>
              <w:tc>
                <w:tcPr>
                  <w:tcW w:w="468" w:type="pct"/>
                  <w:vMerge w:val="continue"/>
                  <w:tcBorders>
                    <w:tl2br w:val="nil"/>
                    <w:tr2bl w:val="nil"/>
                  </w:tcBorders>
                  <w:vAlign w:val="center"/>
                </w:tcPr>
                <w:p w14:paraId="3AC0F712">
                  <w:pPr>
                    <w:adjustRightInd w:val="0"/>
                    <w:snapToGrid w:val="0"/>
                    <w:spacing w:line="240" w:lineRule="auto"/>
                    <w:ind w:firstLine="0" w:firstLineChars="0"/>
                    <w:jc w:val="center"/>
                    <w:rPr>
                      <w:rFonts w:cs="Times New Roman"/>
                      <w:color w:val="auto"/>
                      <w:szCs w:val="21"/>
                    </w:rPr>
                  </w:pPr>
                </w:p>
              </w:tc>
              <w:tc>
                <w:tcPr>
                  <w:tcW w:w="552" w:type="pct"/>
                  <w:vMerge w:val="continue"/>
                  <w:tcBorders>
                    <w:tl2br w:val="nil"/>
                    <w:tr2bl w:val="nil"/>
                  </w:tcBorders>
                  <w:vAlign w:val="center"/>
                </w:tcPr>
                <w:p w14:paraId="480B336A">
                  <w:pPr>
                    <w:adjustRightInd w:val="0"/>
                    <w:snapToGrid w:val="0"/>
                    <w:spacing w:line="240" w:lineRule="auto"/>
                    <w:ind w:firstLine="0" w:firstLineChars="0"/>
                    <w:jc w:val="center"/>
                    <w:rPr>
                      <w:rFonts w:cs="Times New Roman"/>
                      <w:color w:val="auto"/>
                      <w:szCs w:val="21"/>
                    </w:rPr>
                  </w:pPr>
                </w:p>
              </w:tc>
            </w:tr>
            <w:tr w14:paraId="617C8B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338" w:type="pct"/>
                  <w:vMerge w:val="restart"/>
                  <w:tcBorders>
                    <w:tl2br w:val="nil"/>
                    <w:tr2bl w:val="nil"/>
                  </w:tcBorders>
                  <w:vAlign w:val="center"/>
                </w:tcPr>
                <w:p w14:paraId="734DFE46">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环境</w:t>
                  </w:r>
                </w:p>
                <w:p w14:paraId="288AA31A">
                  <w:pPr>
                    <w:adjustRightInd w:val="0"/>
                    <w:snapToGrid w:val="0"/>
                    <w:spacing w:line="240" w:lineRule="auto"/>
                    <w:ind w:firstLine="0" w:firstLineChars="0"/>
                    <w:jc w:val="center"/>
                    <w:rPr>
                      <w:rFonts w:cs="Times New Roman"/>
                      <w:color w:val="auto"/>
                      <w:szCs w:val="21"/>
                      <w:lang w:eastAsia="zh-CN"/>
                    </w:rPr>
                  </w:pPr>
                  <w:r>
                    <w:rPr>
                      <w:rFonts w:hint="eastAsia" w:cs="Times New Roman"/>
                      <w:color w:val="auto"/>
                      <w:szCs w:val="21"/>
                      <w:lang w:eastAsia="zh-CN"/>
                    </w:rPr>
                    <w:t>空气</w:t>
                  </w:r>
                </w:p>
              </w:tc>
              <w:tc>
                <w:tcPr>
                  <w:tcW w:w="561" w:type="pct"/>
                  <w:tcBorders>
                    <w:tl2br w:val="nil"/>
                    <w:tr2bl w:val="nil"/>
                  </w:tcBorders>
                  <w:vAlign w:val="center"/>
                </w:tcPr>
                <w:p w14:paraId="0DA080CF">
                  <w:pPr>
                    <w:adjustRightInd w:val="0"/>
                    <w:snapToGrid w:val="0"/>
                    <w:spacing w:line="240" w:lineRule="auto"/>
                    <w:ind w:firstLine="0" w:firstLineChars="0"/>
                    <w:jc w:val="center"/>
                    <w:rPr>
                      <w:rFonts w:cs="Times New Roman"/>
                      <w:color w:val="auto"/>
                      <w:kern w:val="2"/>
                      <w:szCs w:val="21"/>
                      <w:lang w:eastAsia="zh-CN"/>
                    </w:rPr>
                  </w:pPr>
                  <w:r>
                    <w:rPr>
                      <w:rFonts w:hint="eastAsia" w:cs="Times New Roman"/>
                      <w:color w:val="auto"/>
                      <w:kern w:val="2"/>
                      <w:szCs w:val="21"/>
                      <w:lang w:eastAsia="zh-CN"/>
                    </w:rPr>
                    <w:t>沙河子村</w:t>
                  </w:r>
                </w:p>
              </w:tc>
              <w:tc>
                <w:tcPr>
                  <w:tcW w:w="943" w:type="pct"/>
                  <w:tcBorders>
                    <w:tl2br w:val="nil"/>
                    <w:tr2bl w:val="nil"/>
                  </w:tcBorders>
                  <w:vAlign w:val="center"/>
                </w:tcPr>
                <w:p w14:paraId="35DC5B8C">
                  <w:pPr>
                    <w:adjustRightInd w:val="0"/>
                    <w:snapToGrid w:val="0"/>
                    <w:spacing w:line="240" w:lineRule="auto"/>
                    <w:ind w:firstLine="0" w:firstLineChars="0"/>
                    <w:jc w:val="center"/>
                    <w:rPr>
                      <w:rFonts w:cs="Times New Roman"/>
                      <w:color w:val="auto"/>
                      <w:kern w:val="2"/>
                      <w:szCs w:val="21"/>
                      <w:lang w:eastAsia="zh-CN"/>
                    </w:rPr>
                  </w:pPr>
                  <w:r>
                    <w:rPr>
                      <w:rFonts w:cs="Times New Roman"/>
                      <w:color w:val="auto"/>
                      <w:kern w:val="2"/>
                      <w:szCs w:val="21"/>
                      <w:lang w:eastAsia="zh-CN"/>
                    </w:rPr>
                    <w:t>109°08'43.1844"</w:t>
                  </w:r>
                </w:p>
              </w:tc>
              <w:tc>
                <w:tcPr>
                  <w:tcW w:w="878" w:type="pct"/>
                  <w:tcBorders>
                    <w:tl2br w:val="nil"/>
                    <w:tr2bl w:val="nil"/>
                  </w:tcBorders>
                  <w:vAlign w:val="center"/>
                </w:tcPr>
                <w:p w14:paraId="0C3092CE">
                  <w:pPr>
                    <w:adjustRightInd w:val="0"/>
                    <w:snapToGrid w:val="0"/>
                    <w:spacing w:line="240" w:lineRule="auto"/>
                    <w:ind w:firstLine="0" w:firstLineChars="0"/>
                    <w:jc w:val="center"/>
                    <w:rPr>
                      <w:rFonts w:cs="Times New Roman"/>
                      <w:color w:val="auto"/>
                      <w:kern w:val="2"/>
                      <w:szCs w:val="21"/>
                      <w:lang w:eastAsia="zh-CN"/>
                    </w:rPr>
                  </w:pPr>
                  <w:r>
                    <w:rPr>
                      <w:rFonts w:cs="Times New Roman"/>
                      <w:color w:val="auto"/>
                      <w:kern w:val="2"/>
                      <w:szCs w:val="21"/>
                      <w:lang w:eastAsia="zh-CN"/>
                    </w:rPr>
                    <w:t>34°15'04.7973"</w:t>
                  </w:r>
                </w:p>
              </w:tc>
              <w:tc>
                <w:tcPr>
                  <w:tcW w:w="370" w:type="pct"/>
                  <w:tcBorders>
                    <w:tl2br w:val="nil"/>
                    <w:tr2bl w:val="nil"/>
                  </w:tcBorders>
                  <w:vAlign w:val="center"/>
                </w:tcPr>
                <w:p w14:paraId="50D2EDEC">
                  <w:pPr>
                    <w:adjustRightInd w:val="0"/>
                    <w:snapToGrid w:val="0"/>
                    <w:spacing w:line="240" w:lineRule="auto"/>
                    <w:ind w:firstLine="0" w:firstLineChars="0"/>
                    <w:jc w:val="center"/>
                    <w:rPr>
                      <w:rFonts w:cs="Times New Roman"/>
                      <w:color w:val="auto"/>
                      <w:kern w:val="2"/>
                      <w:szCs w:val="21"/>
                      <w:lang w:eastAsia="zh-CN"/>
                    </w:rPr>
                  </w:pPr>
                  <w:r>
                    <w:rPr>
                      <w:rFonts w:hint="eastAsia" w:cs="Times New Roman"/>
                      <w:color w:val="auto"/>
                      <w:kern w:val="2"/>
                      <w:szCs w:val="21"/>
                      <w:lang w:eastAsia="zh-CN"/>
                    </w:rPr>
                    <w:t>居民</w:t>
                  </w:r>
                </w:p>
              </w:tc>
              <w:tc>
                <w:tcPr>
                  <w:tcW w:w="448" w:type="pct"/>
                  <w:tcBorders>
                    <w:tl2br w:val="nil"/>
                    <w:tr2bl w:val="nil"/>
                  </w:tcBorders>
                  <w:vAlign w:val="center"/>
                </w:tcPr>
                <w:p w14:paraId="2FBD6C40">
                  <w:pPr>
                    <w:adjustRightInd w:val="0"/>
                    <w:snapToGrid w:val="0"/>
                    <w:spacing w:line="240" w:lineRule="auto"/>
                    <w:ind w:firstLine="0" w:firstLineChars="0"/>
                    <w:jc w:val="center"/>
                    <w:rPr>
                      <w:rFonts w:eastAsia="宋体" w:cs="Times New Roman"/>
                      <w:bCs/>
                      <w:color w:val="auto"/>
                      <w:kern w:val="2"/>
                      <w:szCs w:val="21"/>
                      <w:lang w:eastAsia="zh-CN"/>
                    </w:rPr>
                  </w:pPr>
                  <w:r>
                    <w:rPr>
                      <w:rFonts w:hint="eastAsia" w:eastAsia="宋体" w:cs="Times New Roman"/>
                      <w:bCs/>
                      <w:color w:val="auto"/>
                      <w:kern w:val="2"/>
                      <w:szCs w:val="21"/>
                      <w:lang w:eastAsia="zh-CN"/>
                    </w:rPr>
                    <w:t>200人</w:t>
                  </w:r>
                </w:p>
              </w:tc>
              <w:tc>
                <w:tcPr>
                  <w:tcW w:w="438" w:type="pct"/>
                  <w:vMerge w:val="restart"/>
                  <w:tcBorders>
                    <w:tl2br w:val="nil"/>
                    <w:tr2bl w:val="nil"/>
                  </w:tcBorders>
                  <w:vAlign w:val="center"/>
                </w:tcPr>
                <w:p w14:paraId="5EC52650">
                  <w:pPr>
                    <w:adjustRightInd w:val="0"/>
                    <w:snapToGrid w:val="0"/>
                    <w:spacing w:line="240" w:lineRule="auto"/>
                    <w:ind w:firstLine="0" w:firstLineChars="0"/>
                    <w:jc w:val="center"/>
                    <w:rPr>
                      <w:rFonts w:eastAsia="宋体" w:cs="Times New Roman"/>
                      <w:bCs/>
                      <w:color w:val="auto"/>
                      <w:kern w:val="2"/>
                      <w:szCs w:val="21"/>
                      <w:lang w:eastAsia="zh-CN"/>
                    </w:rPr>
                  </w:pPr>
                  <w:r>
                    <w:rPr>
                      <w:rFonts w:eastAsia="宋体" w:cs="Times New Roman"/>
                      <w:bCs/>
                      <w:color w:val="auto"/>
                      <w:kern w:val="2"/>
                      <w:szCs w:val="21"/>
                      <w:lang w:eastAsia="zh-CN"/>
                    </w:rPr>
                    <w:t>二类</w:t>
                  </w:r>
                </w:p>
                <w:p w14:paraId="11128D68">
                  <w:pPr>
                    <w:adjustRightInd w:val="0"/>
                    <w:snapToGrid w:val="0"/>
                    <w:spacing w:line="240" w:lineRule="auto"/>
                    <w:ind w:firstLine="0" w:firstLineChars="0"/>
                    <w:jc w:val="center"/>
                    <w:rPr>
                      <w:rFonts w:eastAsia="宋体" w:cs="Times New Roman"/>
                      <w:bCs/>
                      <w:color w:val="auto"/>
                      <w:kern w:val="2"/>
                      <w:szCs w:val="21"/>
                      <w:lang w:eastAsia="zh-CN"/>
                    </w:rPr>
                  </w:pPr>
                  <w:r>
                    <w:rPr>
                      <w:rFonts w:eastAsia="宋体" w:cs="Times New Roman"/>
                      <w:bCs/>
                      <w:color w:val="auto"/>
                      <w:kern w:val="2"/>
                      <w:szCs w:val="21"/>
                      <w:lang w:eastAsia="zh-CN"/>
                    </w:rPr>
                    <w:t>功能区</w:t>
                  </w:r>
                </w:p>
              </w:tc>
              <w:tc>
                <w:tcPr>
                  <w:tcW w:w="468" w:type="pct"/>
                  <w:tcBorders>
                    <w:tl2br w:val="nil"/>
                    <w:tr2bl w:val="nil"/>
                  </w:tcBorders>
                  <w:vAlign w:val="center"/>
                </w:tcPr>
                <w:p w14:paraId="561C663D">
                  <w:pPr>
                    <w:adjustRightInd w:val="0"/>
                    <w:snapToGrid w:val="0"/>
                    <w:spacing w:line="240" w:lineRule="auto"/>
                    <w:ind w:firstLine="0" w:firstLineChars="0"/>
                    <w:jc w:val="center"/>
                    <w:rPr>
                      <w:rFonts w:eastAsia="宋体" w:cs="Times New Roman"/>
                      <w:bCs/>
                      <w:color w:val="auto"/>
                      <w:kern w:val="2"/>
                      <w:szCs w:val="21"/>
                      <w:lang w:eastAsia="zh-CN"/>
                    </w:rPr>
                  </w:pPr>
                  <w:r>
                    <w:rPr>
                      <w:rFonts w:hint="eastAsia" w:eastAsia="宋体" w:cs="Times New Roman"/>
                      <w:bCs/>
                      <w:color w:val="auto"/>
                      <w:kern w:val="2"/>
                      <w:szCs w:val="21"/>
                      <w:lang w:eastAsia="zh-CN"/>
                    </w:rPr>
                    <w:t>NW</w:t>
                  </w:r>
                </w:p>
              </w:tc>
              <w:tc>
                <w:tcPr>
                  <w:tcW w:w="552" w:type="pct"/>
                  <w:tcBorders>
                    <w:tl2br w:val="nil"/>
                    <w:tr2bl w:val="nil"/>
                  </w:tcBorders>
                  <w:vAlign w:val="center"/>
                </w:tcPr>
                <w:p w14:paraId="0612AFA1">
                  <w:pPr>
                    <w:adjustRightInd w:val="0"/>
                    <w:snapToGrid w:val="0"/>
                    <w:spacing w:line="240" w:lineRule="auto"/>
                    <w:ind w:firstLine="0" w:firstLineChars="0"/>
                    <w:jc w:val="center"/>
                    <w:rPr>
                      <w:rFonts w:eastAsia="宋体" w:cs="Times New Roman"/>
                      <w:bCs/>
                      <w:color w:val="auto"/>
                      <w:kern w:val="2"/>
                      <w:szCs w:val="21"/>
                      <w:lang w:eastAsia="zh-CN"/>
                    </w:rPr>
                  </w:pPr>
                  <w:r>
                    <w:rPr>
                      <w:rFonts w:hint="eastAsia" w:eastAsia="宋体" w:cs="Times New Roman"/>
                      <w:bCs/>
                      <w:color w:val="auto"/>
                      <w:kern w:val="2"/>
                      <w:szCs w:val="21"/>
                      <w:lang w:eastAsia="zh-CN"/>
                    </w:rPr>
                    <w:t>190</w:t>
                  </w:r>
                </w:p>
              </w:tc>
            </w:tr>
            <w:tr w14:paraId="45B76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338" w:type="pct"/>
                  <w:vMerge w:val="continue"/>
                  <w:tcBorders>
                    <w:tl2br w:val="nil"/>
                    <w:tr2bl w:val="nil"/>
                  </w:tcBorders>
                  <w:vAlign w:val="center"/>
                </w:tcPr>
                <w:p w14:paraId="64614E0D">
                  <w:pPr>
                    <w:adjustRightInd w:val="0"/>
                    <w:snapToGrid w:val="0"/>
                    <w:spacing w:line="240" w:lineRule="auto"/>
                    <w:ind w:firstLine="0" w:firstLineChars="0"/>
                    <w:jc w:val="center"/>
                    <w:rPr>
                      <w:rFonts w:cs="Times New Roman"/>
                      <w:color w:val="auto"/>
                      <w:szCs w:val="21"/>
                    </w:rPr>
                  </w:pPr>
                </w:p>
              </w:tc>
              <w:tc>
                <w:tcPr>
                  <w:tcW w:w="561" w:type="pct"/>
                  <w:tcBorders>
                    <w:tl2br w:val="nil"/>
                    <w:tr2bl w:val="nil"/>
                  </w:tcBorders>
                  <w:vAlign w:val="center"/>
                </w:tcPr>
                <w:p w14:paraId="370EF014">
                  <w:pPr>
                    <w:adjustRightInd w:val="0"/>
                    <w:snapToGrid w:val="0"/>
                    <w:spacing w:line="240" w:lineRule="auto"/>
                    <w:ind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新街村</w:t>
                  </w:r>
                </w:p>
              </w:tc>
              <w:tc>
                <w:tcPr>
                  <w:tcW w:w="943" w:type="pct"/>
                  <w:tcBorders>
                    <w:tl2br w:val="nil"/>
                    <w:tr2bl w:val="nil"/>
                  </w:tcBorders>
                  <w:vAlign w:val="center"/>
                </w:tcPr>
                <w:p w14:paraId="4F670251">
                  <w:pPr>
                    <w:pStyle w:val="8"/>
                    <w:adjustRightInd w:val="0"/>
                    <w:snapToGrid w:val="0"/>
                    <w:spacing w:line="240" w:lineRule="auto"/>
                    <w:ind w:firstLine="0" w:firstLineChars="0"/>
                    <w:jc w:val="center"/>
                    <w:textAlignment w:val="baseline"/>
                    <w:rPr>
                      <w:rFonts w:ascii="Times New Roman" w:hAnsi="Times New Roman" w:eastAsia="宋体" w:cs="Times New Roman"/>
                      <w:color w:val="auto"/>
                      <w:spacing w:val="4"/>
                      <w:kern w:val="18"/>
                      <w:sz w:val="21"/>
                      <w:szCs w:val="21"/>
                      <w:lang w:eastAsia="zh-CN"/>
                    </w:rPr>
                  </w:pPr>
                  <w:r>
                    <w:rPr>
                      <w:rFonts w:ascii="Times New Roman" w:hAnsi="Times New Roman" w:eastAsia="宋体" w:cs="Times New Roman"/>
                      <w:color w:val="auto"/>
                      <w:spacing w:val="4"/>
                      <w:kern w:val="18"/>
                      <w:sz w:val="21"/>
                      <w:szCs w:val="21"/>
                      <w:lang w:eastAsia="zh-CN"/>
                    </w:rPr>
                    <w:t>109°08'52.5120"</w:t>
                  </w:r>
                </w:p>
              </w:tc>
              <w:tc>
                <w:tcPr>
                  <w:tcW w:w="878" w:type="pct"/>
                  <w:tcBorders>
                    <w:tl2br w:val="nil"/>
                    <w:tr2bl w:val="nil"/>
                  </w:tcBorders>
                  <w:vAlign w:val="center"/>
                </w:tcPr>
                <w:p w14:paraId="0B22CFE6">
                  <w:pPr>
                    <w:pStyle w:val="8"/>
                    <w:adjustRightInd w:val="0"/>
                    <w:snapToGrid w:val="0"/>
                    <w:spacing w:line="240" w:lineRule="auto"/>
                    <w:ind w:firstLine="0" w:firstLineChars="0"/>
                    <w:jc w:val="center"/>
                    <w:textAlignment w:val="baseline"/>
                    <w:rPr>
                      <w:rFonts w:ascii="Times New Roman" w:hAnsi="Times New Roman" w:eastAsia="宋体" w:cs="Times New Roman"/>
                      <w:color w:val="auto"/>
                      <w:spacing w:val="4"/>
                      <w:kern w:val="18"/>
                      <w:sz w:val="21"/>
                      <w:szCs w:val="21"/>
                      <w:lang w:eastAsia="zh-CN"/>
                    </w:rPr>
                  </w:pPr>
                  <w:r>
                    <w:rPr>
                      <w:rFonts w:ascii="Times New Roman" w:hAnsi="Times New Roman" w:eastAsia="宋体" w:cs="Times New Roman"/>
                      <w:color w:val="auto"/>
                      <w:spacing w:val="4"/>
                      <w:kern w:val="18"/>
                      <w:sz w:val="21"/>
                      <w:szCs w:val="21"/>
                      <w:lang w:eastAsia="zh-CN"/>
                    </w:rPr>
                    <w:t>34°14'57.1670"</w:t>
                  </w:r>
                </w:p>
              </w:tc>
              <w:tc>
                <w:tcPr>
                  <w:tcW w:w="370" w:type="pct"/>
                  <w:tcBorders>
                    <w:tl2br w:val="nil"/>
                    <w:tr2bl w:val="nil"/>
                  </w:tcBorders>
                  <w:vAlign w:val="center"/>
                </w:tcPr>
                <w:p w14:paraId="29D795FA">
                  <w:pPr>
                    <w:adjustRightInd w:val="0"/>
                    <w:snapToGrid w:val="0"/>
                    <w:spacing w:line="240" w:lineRule="auto"/>
                    <w:ind w:firstLine="0" w:firstLineChars="0"/>
                    <w:jc w:val="center"/>
                    <w:rPr>
                      <w:rFonts w:cs="Times New Roman"/>
                      <w:bCs/>
                      <w:color w:val="auto"/>
                      <w:szCs w:val="21"/>
                      <w:lang w:eastAsia="zh-CN"/>
                    </w:rPr>
                  </w:pPr>
                  <w:r>
                    <w:rPr>
                      <w:rFonts w:hint="eastAsia" w:cs="Times New Roman"/>
                      <w:color w:val="auto"/>
                      <w:kern w:val="2"/>
                      <w:szCs w:val="21"/>
                      <w:lang w:eastAsia="zh-CN"/>
                    </w:rPr>
                    <w:t>居民</w:t>
                  </w:r>
                </w:p>
              </w:tc>
              <w:tc>
                <w:tcPr>
                  <w:tcW w:w="448" w:type="pct"/>
                  <w:tcBorders>
                    <w:tl2br w:val="nil"/>
                    <w:tr2bl w:val="nil"/>
                  </w:tcBorders>
                  <w:vAlign w:val="center"/>
                </w:tcPr>
                <w:p w14:paraId="063E4D4A">
                  <w:pPr>
                    <w:adjustRightInd w:val="0"/>
                    <w:snapToGrid w:val="0"/>
                    <w:spacing w:line="240" w:lineRule="auto"/>
                    <w:ind w:firstLine="0" w:firstLineChars="0"/>
                    <w:jc w:val="center"/>
                    <w:rPr>
                      <w:rFonts w:eastAsia="宋体" w:cs="Times New Roman"/>
                      <w:bCs/>
                      <w:color w:val="auto"/>
                      <w:kern w:val="2"/>
                      <w:szCs w:val="21"/>
                      <w:lang w:eastAsia="zh-CN"/>
                    </w:rPr>
                  </w:pPr>
                  <w:r>
                    <w:rPr>
                      <w:rFonts w:hint="eastAsia" w:eastAsia="宋体" w:cs="Times New Roman"/>
                      <w:bCs/>
                      <w:color w:val="auto"/>
                      <w:kern w:val="2"/>
                      <w:szCs w:val="21"/>
                      <w:lang w:eastAsia="zh-CN"/>
                    </w:rPr>
                    <w:t>260人</w:t>
                  </w:r>
                </w:p>
              </w:tc>
              <w:tc>
                <w:tcPr>
                  <w:tcW w:w="438" w:type="pct"/>
                  <w:vMerge w:val="continue"/>
                  <w:tcBorders>
                    <w:tl2br w:val="nil"/>
                    <w:tr2bl w:val="nil"/>
                  </w:tcBorders>
                  <w:vAlign w:val="center"/>
                </w:tcPr>
                <w:p w14:paraId="1A527199">
                  <w:pPr>
                    <w:adjustRightInd w:val="0"/>
                    <w:snapToGrid w:val="0"/>
                    <w:spacing w:line="240" w:lineRule="auto"/>
                    <w:ind w:firstLine="0" w:firstLineChars="0"/>
                    <w:jc w:val="center"/>
                    <w:rPr>
                      <w:rFonts w:eastAsia="宋体" w:cs="Times New Roman"/>
                      <w:bCs/>
                      <w:color w:val="auto"/>
                      <w:kern w:val="2"/>
                      <w:szCs w:val="21"/>
                      <w:lang w:eastAsia="zh-CN"/>
                    </w:rPr>
                  </w:pPr>
                </w:p>
              </w:tc>
              <w:tc>
                <w:tcPr>
                  <w:tcW w:w="468" w:type="pct"/>
                  <w:tcBorders>
                    <w:tl2br w:val="nil"/>
                    <w:tr2bl w:val="nil"/>
                  </w:tcBorders>
                  <w:vAlign w:val="center"/>
                </w:tcPr>
                <w:p w14:paraId="1BB9F2DF">
                  <w:pPr>
                    <w:pStyle w:val="43"/>
                    <w:snapToGrid w:val="0"/>
                    <w:spacing w:before="0"/>
                    <w:rPr>
                      <w:rFonts w:ascii="Times New Roman" w:hAnsi="Times New Roman" w:eastAsia="宋体" w:cs="Times New Roman"/>
                      <w:color w:val="auto"/>
                      <w:w w:val="100"/>
                      <w:sz w:val="21"/>
                      <w:szCs w:val="21"/>
                      <w:lang w:eastAsia="zh-CN"/>
                    </w:rPr>
                  </w:pPr>
                  <w:r>
                    <w:rPr>
                      <w:rFonts w:hint="eastAsia" w:ascii="Times New Roman" w:hAnsi="Times New Roman" w:eastAsia="宋体" w:cs="Times New Roman"/>
                      <w:color w:val="auto"/>
                      <w:w w:val="100"/>
                      <w:sz w:val="21"/>
                      <w:szCs w:val="21"/>
                      <w:lang w:eastAsia="zh-CN"/>
                    </w:rPr>
                    <w:t>NE</w:t>
                  </w:r>
                </w:p>
              </w:tc>
              <w:tc>
                <w:tcPr>
                  <w:tcW w:w="552" w:type="pct"/>
                  <w:tcBorders>
                    <w:tl2br w:val="nil"/>
                    <w:tr2bl w:val="nil"/>
                  </w:tcBorders>
                  <w:vAlign w:val="center"/>
                </w:tcPr>
                <w:p w14:paraId="415C9A38">
                  <w:pPr>
                    <w:pStyle w:val="43"/>
                    <w:snapToGrid w:val="0"/>
                    <w:spacing w:before="0"/>
                    <w:rPr>
                      <w:rFonts w:ascii="Times New Roman" w:hAnsi="Times New Roman" w:eastAsia="宋体" w:cs="Times New Roman"/>
                      <w:color w:val="auto"/>
                      <w:w w:val="100"/>
                      <w:sz w:val="21"/>
                      <w:szCs w:val="21"/>
                      <w:lang w:eastAsia="zh-CN"/>
                    </w:rPr>
                  </w:pPr>
                  <w:r>
                    <w:rPr>
                      <w:rFonts w:hint="eastAsia" w:ascii="Times New Roman" w:hAnsi="Times New Roman" w:eastAsia="宋体" w:cs="Times New Roman"/>
                      <w:color w:val="auto"/>
                      <w:w w:val="100"/>
                      <w:sz w:val="21"/>
                      <w:szCs w:val="21"/>
                      <w:lang w:eastAsia="zh-CN"/>
                    </w:rPr>
                    <w:t>127</w:t>
                  </w:r>
                </w:p>
              </w:tc>
            </w:tr>
          </w:tbl>
          <w:p w14:paraId="2011FAE0">
            <w:pPr>
              <w:adjustRightInd w:val="0"/>
              <w:snapToGrid w:val="0"/>
              <w:ind w:firstLine="420"/>
              <w:jc w:val="both"/>
              <w:rPr>
                <w:rFonts w:eastAsia="宋体" w:cs="Times New Roman"/>
                <w:color w:val="auto"/>
                <w:szCs w:val="21"/>
                <w:lang w:eastAsia="zh-CN"/>
              </w:rPr>
            </w:pPr>
            <w:r>
              <w:rPr>
                <w:rFonts w:hint="eastAsia" w:eastAsia="宋体" w:cs="Times New Roman"/>
                <w:color w:val="auto"/>
                <w:szCs w:val="21"/>
                <w:lang w:eastAsia="zh-CN"/>
              </w:rPr>
              <w:t xml:space="preserve"> </w:t>
            </w:r>
          </w:p>
        </w:tc>
      </w:tr>
      <w:tr w14:paraId="3D8F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 w:type="pct"/>
            <w:vAlign w:val="center"/>
          </w:tcPr>
          <w:p w14:paraId="4D5EABB9">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污</w:t>
            </w:r>
          </w:p>
          <w:p w14:paraId="31364D48">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染</w:t>
            </w:r>
          </w:p>
          <w:p w14:paraId="3FCD1211">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物</w:t>
            </w:r>
          </w:p>
          <w:p w14:paraId="24BBA1C9">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排</w:t>
            </w:r>
          </w:p>
          <w:p w14:paraId="78D2A425">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放</w:t>
            </w:r>
          </w:p>
          <w:p w14:paraId="51FDFCDA">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控</w:t>
            </w:r>
          </w:p>
          <w:p w14:paraId="02BC808F">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制</w:t>
            </w:r>
          </w:p>
          <w:p w14:paraId="3C69C57C">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标</w:t>
            </w:r>
          </w:p>
          <w:p w14:paraId="6FC09193">
            <w:pPr>
              <w:pStyle w:val="38"/>
              <w:spacing w:line="240" w:lineRule="auto"/>
              <w:ind w:firstLine="0" w:firstLineChars="0"/>
              <w:jc w:val="center"/>
              <w:rPr>
                <w:rFonts w:eastAsia="宋体" w:cs="Times New Roman"/>
                <w:color w:val="auto"/>
                <w:szCs w:val="21"/>
              </w:rPr>
            </w:pPr>
            <w:r>
              <w:rPr>
                <w:rFonts w:eastAsia="宋体" w:cs="Times New Roman"/>
                <w:b/>
                <w:bCs/>
                <w:color w:val="auto"/>
                <w:sz w:val="24"/>
                <w:szCs w:val="24"/>
              </w:rPr>
              <w:t>准</w:t>
            </w:r>
          </w:p>
        </w:tc>
        <w:tc>
          <w:tcPr>
            <w:tcW w:w="4671" w:type="pct"/>
          </w:tcPr>
          <w:p w14:paraId="09074AAA">
            <w:pPr>
              <w:adjustRightInd w:val="0"/>
              <w:snapToGrid w:val="0"/>
              <w:ind w:left="0" w:leftChars="0" w:right="0" w:rightChars="0"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1</w:t>
            </w:r>
            <w:r>
              <w:rPr>
                <w:rFonts w:eastAsia="宋体" w:cs="Times New Roman"/>
                <w:b/>
                <w:color w:val="auto"/>
                <w:sz w:val="24"/>
                <w:szCs w:val="24"/>
                <w:lang w:eastAsia="zh-CN"/>
              </w:rPr>
              <w:t>、废气</w:t>
            </w:r>
          </w:p>
          <w:p w14:paraId="26CCE7B6">
            <w:pPr>
              <w:ind w:left="0" w:leftChars="0" w:right="0" w:rightChars="0" w:firstLine="482"/>
              <w:jc w:val="both"/>
              <w:rPr>
                <w:rFonts w:eastAsia="宋体"/>
                <w:b/>
                <w:bCs/>
                <w:color w:val="auto"/>
                <w:sz w:val="24"/>
                <w:lang w:eastAsia="zh-CN"/>
              </w:rPr>
            </w:pPr>
            <w:r>
              <w:rPr>
                <w:rFonts w:hint="eastAsia" w:eastAsia="宋体"/>
                <w:b/>
                <w:bCs/>
                <w:color w:val="auto"/>
                <w:sz w:val="24"/>
                <w:lang w:eastAsia="zh-CN"/>
              </w:rPr>
              <w:t>1.1施工期：</w:t>
            </w:r>
          </w:p>
          <w:p w14:paraId="7D86C153">
            <w:pPr>
              <w:ind w:left="0" w:leftChars="0" w:right="0" w:rightChars="0" w:firstLine="480"/>
              <w:jc w:val="both"/>
              <w:rPr>
                <w:rFonts w:eastAsia="宋体"/>
                <w:color w:val="auto"/>
                <w:sz w:val="24"/>
                <w:lang w:eastAsia="zh-CN"/>
              </w:rPr>
            </w:pPr>
            <w:r>
              <w:rPr>
                <w:rFonts w:hint="eastAsia" w:eastAsia="宋体"/>
                <w:color w:val="auto"/>
                <w:sz w:val="24"/>
                <w:lang w:eastAsia="zh-CN"/>
              </w:rPr>
              <w:t>扬尘执行《施工场界扬尘排放限值》（DB 61/1078-2017）中相关要求。</w:t>
            </w:r>
          </w:p>
          <w:p w14:paraId="070B76B7">
            <w:pPr>
              <w:ind w:firstLine="482"/>
              <w:jc w:val="both"/>
              <w:rPr>
                <w:rFonts w:eastAsia="宋体" w:cs="Times New Roman"/>
                <w:color w:val="auto"/>
                <w:sz w:val="24"/>
                <w:szCs w:val="24"/>
                <w:lang w:eastAsia="zh-CN"/>
              </w:rPr>
            </w:pPr>
            <w:r>
              <w:rPr>
                <w:rFonts w:hint="eastAsia" w:eastAsia="宋体" w:cs="Times New Roman"/>
                <w:b/>
                <w:bCs/>
                <w:color w:val="auto"/>
                <w:sz w:val="24"/>
                <w:szCs w:val="24"/>
                <w:lang w:eastAsia="zh-CN"/>
              </w:rPr>
              <w:t>1.2</w:t>
            </w:r>
            <w:r>
              <w:rPr>
                <w:rFonts w:eastAsia="宋体" w:cs="Times New Roman"/>
                <w:b/>
                <w:bCs/>
                <w:color w:val="auto"/>
                <w:sz w:val="24"/>
                <w:szCs w:val="24"/>
                <w:lang w:eastAsia="zh-CN"/>
              </w:rPr>
              <w:t>运营期</w:t>
            </w:r>
            <w:r>
              <w:rPr>
                <w:rFonts w:hint="eastAsia" w:eastAsia="宋体" w:cs="Times New Roman"/>
                <w:b/>
                <w:bCs/>
                <w:color w:val="auto"/>
                <w:sz w:val="24"/>
                <w:szCs w:val="24"/>
                <w:lang w:eastAsia="zh-CN"/>
              </w:rPr>
              <w:t>：</w:t>
            </w:r>
          </w:p>
          <w:p w14:paraId="332E80EA">
            <w:pPr>
              <w:ind w:left="0" w:leftChars="0" w:right="0" w:rightChars="0" w:firstLine="480"/>
              <w:jc w:val="both"/>
              <w:rPr>
                <w:color w:val="auto"/>
                <w:sz w:val="24"/>
                <w:lang w:eastAsia="zh-CN"/>
              </w:rPr>
            </w:pPr>
            <w:r>
              <w:rPr>
                <w:color w:val="auto"/>
                <w:sz w:val="24"/>
                <w:lang w:eastAsia="zh-CN"/>
              </w:rPr>
              <w:t>（1）切割粉尘、焊接烟尘、</w:t>
            </w:r>
            <w:r>
              <w:rPr>
                <w:rFonts w:hint="eastAsia"/>
                <w:color w:val="auto"/>
                <w:sz w:val="24"/>
                <w:lang w:eastAsia="zh-CN"/>
              </w:rPr>
              <w:t>喷涂</w:t>
            </w:r>
            <w:r>
              <w:rPr>
                <w:color w:val="auto"/>
                <w:sz w:val="24"/>
                <w:lang w:eastAsia="zh-CN"/>
              </w:rPr>
              <w:t>粉尘排放执行《大气污染物综合排放标准》（GB16297-1996）二级标准及无组织排放监控浓度限值；</w:t>
            </w:r>
          </w:p>
          <w:p w14:paraId="6C86B0E9">
            <w:pPr>
              <w:ind w:left="0" w:leftChars="0" w:right="0" w:rightChars="0" w:firstLine="480"/>
              <w:jc w:val="both"/>
              <w:rPr>
                <w:rFonts w:cs="Times New Roman"/>
                <w:bCs/>
                <w:color w:val="auto"/>
                <w:sz w:val="24"/>
                <w:szCs w:val="24"/>
                <w:lang w:eastAsia="zh-CN"/>
              </w:rPr>
            </w:pPr>
            <w:r>
              <w:rPr>
                <w:rFonts w:cs="Times New Roman"/>
                <w:bCs/>
                <w:color w:val="auto"/>
                <w:sz w:val="24"/>
                <w:lang w:eastAsia="zh-CN"/>
              </w:rPr>
              <w:t>（2）</w:t>
            </w:r>
            <w:r>
              <w:rPr>
                <w:rFonts w:hint="eastAsia" w:cs="Times New Roman"/>
                <w:bCs/>
                <w:color w:val="auto"/>
                <w:sz w:val="24"/>
                <w:lang w:eastAsia="zh-CN"/>
              </w:rPr>
              <w:t>固化</w:t>
            </w:r>
            <w:r>
              <w:rPr>
                <w:color w:val="auto"/>
                <w:sz w:val="24"/>
                <w:lang w:eastAsia="zh-CN"/>
              </w:rPr>
              <w:t>工序非甲烷总烃有组织排放执行《挥发性有机物排放控制标准》（DB61/T 1061-2017）表1中的表面涂装排放浓度限值</w:t>
            </w:r>
            <w:r>
              <w:rPr>
                <w:rFonts w:hint="eastAsia"/>
                <w:color w:val="auto"/>
                <w:sz w:val="24"/>
                <w:lang w:eastAsia="zh-CN"/>
              </w:rPr>
              <w:t>；</w:t>
            </w:r>
            <w:r>
              <w:rPr>
                <w:color w:val="auto"/>
                <w:sz w:val="24"/>
                <w:lang w:eastAsia="zh-CN"/>
              </w:rPr>
              <w:t>无组织排放执行《挥发性有机物排放控制标准》（DB61/T 1061-2017）表3中的企业边界监控点浓度限值和《挥发性有机物无组织排放控制标准》（GB37822-2019）中厂区内监控点浓度限值</w:t>
            </w:r>
            <w:r>
              <w:rPr>
                <w:rFonts w:hint="eastAsia"/>
                <w:color w:val="auto"/>
                <w:sz w:val="24"/>
                <w:lang w:eastAsia="zh-CN"/>
              </w:rPr>
              <w:t>；燃烧机废气执行</w:t>
            </w:r>
            <w:r>
              <w:rPr>
                <w:rFonts w:eastAsia="宋体" w:cs="Times New Roman"/>
                <w:color w:val="auto"/>
                <w:sz w:val="24"/>
                <w:szCs w:val="24"/>
                <w:lang w:eastAsia="zh-CN" w:bidi="ar"/>
              </w:rPr>
              <w:t>《工业炉窑大气污染综合治理方案》（环大气[2019]56号）重点地区标准限值</w:t>
            </w:r>
            <w:r>
              <w:rPr>
                <w:rFonts w:hint="eastAsia" w:eastAsia="宋体" w:cs="Times New Roman"/>
                <w:color w:val="auto"/>
                <w:sz w:val="24"/>
                <w:szCs w:val="24"/>
                <w:lang w:eastAsia="zh-CN" w:bidi="ar"/>
              </w:rPr>
              <w:t>；</w:t>
            </w:r>
          </w:p>
          <w:p w14:paraId="250FC9FA">
            <w:pPr>
              <w:ind w:left="0" w:leftChars="0" w:right="0" w:rightChars="0" w:firstLine="480"/>
              <w:jc w:val="both"/>
              <w:rPr>
                <w:color w:val="auto"/>
                <w:sz w:val="24"/>
                <w:lang w:eastAsia="zh-CN"/>
              </w:rPr>
            </w:pPr>
            <w:r>
              <w:rPr>
                <w:rFonts w:hint="eastAsia"/>
                <w:color w:val="auto"/>
                <w:sz w:val="24"/>
                <w:lang w:eastAsia="zh-CN"/>
              </w:rPr>
              <w:t>（3）</w:t>
            </w:r>
            <w:r>
              <w:rPr>
                <w:color w:val="auto"/>
                <w:sz w:val="24"/>
                <w:lang w:eastAsia="zh-CN"/>
              </w:rPr>
              <w:t>油烟排放执行《饮食业油烟排放标准（试行）》（GB 18483-2001）排放标准。</w:t>
            </w:r>
          </w:p>
          <w:p w14:paraId="5C6DCD29">
            <w:pPr>
              <w:adjustRightInd w:val="0"/>
              <w:snapToGrid w:val="0"/>
              <w:ind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2</w:t>
            </w:r>
            <w:r>
              <w:rPr>
                <w:rFonts w:eastAsia="宋体" w:cs="Times New Roman"/>
                <w:b/>
                <w:color w:val="auto"/>
                <w:sz w:val="24"/>
                <w:szCs w:val="24"/>
                <w:lang w:eastAsia="zh-CN"/>
              </w:rPr>
              <w:t>、废水</w:t>
            </w:r>
          </w:p>
          <w:p w14:paraId="436C6383">
            <w:pPr>
              <w:adjustRightInd w:val="0"/>
              <w:snapToGrid w:val="0"/>
              <w:ind w:firstLine="480"/>
              <w:jc w:val="both"/>
              <w:rPr>
                <w:rFonts w:cs="Times New Roman"/>
                <w:color w:val="auto"/>
                <w:sz w:val="24"/>
                <w:lang w:eastAsia="zh-CN"/>
              </w:rPr>
            </w:pPr>
            <w:r>
              <w:rPr>
                <w:rFonts w:cs="Times New Roman"/>
                <w:color w:val="auto"/>
                <w:sz w:val="24"/>
                <w:lang w:eastAsia="zh-CN"/>
              </w:rPr>
              <w:t>运营期</w:t>
            </w:r>
            <w:r>
              <w:rPr>
                <w:rFonts w:eastAsia="宋体" w:cs="Times New Roman"/>
                <w:color w:val="auto"/>
                <w:sz w:val="24"/>
                <w:lang w:eastAsia="zh-CN"/>
              </w:rPr>
              <w:t>废水排放执行《污水综合排放标准》（</w:t>
            </w:r>
            <w:r>
              <w:rPr>
                <w:rFonts w:cs="Times New Roman"/>
                <w:color w:val="auto"/>
                <w:sz w:val="24"/>
                <w:lang w:eastAsia="zh-CN"/>
              </w:rPr>
              <w:t>GB8978-1996</w:t>
            </w:r>
            <w:r>
              <w:rPr>
                <w:rFonts w:eastAsia="宋体" w:cs="Times New Roman"/>
                <w:color w:val="auto"/>
                <w:sz w:val="24"/>
                <w:lang w:eastAsia="zh-CN"/>
              </w:rPr>
              <w:t>）中表4三级标准</w:t>
            </w:r>
            <w:r>
              <w:rPr>
                <w:rFonts w:cs="Times New Roman"/>
                <w:color w:val="auto"/>
                <w:sz w:val="24"/>
                <w:lang w:eastAsia="zh-CN"/>
              </w:rPr>
              <w:t>以及</w:t>
            </w:r>
            <w:r>
              <w:rPr>
                <w:rFonts w:eastAsia="宋体" w:cs="Times New Roman"/>
                <w:color w:val="auto"/>
                <w:sz w:val="24"/>
                <w:lang w:eastAsia="zh-CN"/>
              </w:rPr>
              <w:t>《污水排入城镇下水道水质标准》（GB/T31962-2015）表1B等级标准</w:t>
            </w:r>
            <w:r>
              <w:rPr>
                <w:rFonts w:cs="Times New Roman"/>
                <w:color w:val="auto"/>
                <w:sz w:val="24"/>
                <w:lang w:eastAsia="zh-CN"/>
              </w:rPr>
              <w:t>。</w:t>
            </w:r>
          </w:p>
          <w:p w14:paraId="1019FC1E">
            <w:pPr>
              <w:adjustRightInd w:val="0"/>
              <w:snapToGrid w:val="0"/>
              <w:ind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3</w:t>
            </w:r>
            <w:r>
              <w:rPr>
                <w:rFonts w:eastAsia="宋体" w:cs="Times New Roman"/>
                <w:b/>
                <w:color w:val="auto"/>
                <w:sz w:val="24"/>
                <w:szCs w:val="24"/>
                <w:lang w:eastAsia="zh-CN"/>
              </w:rPr>
              <w:t>、噪声</w:t>
            </w:r>
          </w:p>
          <w:p w14:paraId="21F7D883">
            <w:pPr>
              <w:snapToGrid w:val="0"/>
              <w:ind w:firstLine="480"/>
              <w:jc w:val="left"/>
              <w:rPr>
                <w:color w:val="auto"/>
                <w:sz w:val="24"/>
                <w:lang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lang w:eastAsia="zh-CN"/>
              </w:rPr>
              <w:t>施工期噪声执行《建筑施工场界环境噪声排放标准》（GB12523-2011）中限值要求；</w:t>
            </w:r>
          </w:p>
          <w:p w14:paraId="4DDD1F35">
            <w:pPr>
              <w:snapToGrid w:val="0"/>
              <w:ind w:firstLine="480"/>
              <w:jc w:val="left"/>
              <w:rPr>
                <w:rFonts w:eastAsia="宋体" w:cs="Times New Roman"/>
                <w:color w:val="auto"/>
                <w:sz w:val="24"/>
                <w:lang w:eastAsia="zh-CN"/>
              </w:rPr>
            </w:pPr>
            <w:r>
              <w:rPr>
                <w:rFonts w:hint="eastAsia" w:eastAsia="宋体" w:cs="Times New Roman"/>
                <w:color w:val="auto"/>
                <w:sz w:val="24"/>
                <w:lang w:eastAsia="zh-CN"/>
              </w:rPr>
              <w:t>（</w:t>
            </w:r>
            <w:r>
              <w:rPr>
                <w:rFonts w:hint="eastAsia" w:eastAsia="宋体" w:cs="Times New Roman"/>
                <w:color w:val="auto"/>
                <w:sz w:val="24"/>
                <w:lang w:val="en-US" w:eastAsia="zh-CN"/>
              </w:rPr>
              <w:t>2</w:t>
            </w:r>
            <w:r>
              <w:rPr>
                <w:rFonts w:hint="eastAsia" w:eastAsia="宋体" w:cs="Times New Roman"/>
                <w:color w:val="auto"/>
                <w:sz w:val="24"/>
                <w:lang w:eastAsia="zh-CN"/>
              </w:rPr>
              <w:t>）</w:t>
            </w:r>
            <w:r>
              <w:rPr>
                <w:rFonts w:eastAsia="宋体" w:cs="Times New Roman"/>
                <w:color w:val="auto"/>
                <w:sz w:val="24"/>
                <w:lang w:eastAsia="zh-CN"/>
              </w:rPr>
              <w:t>运营期噪声排放执行《工业企业厂界环境噪声排放标准》（GB12348-2008）3类标准。</w:t>
            </w:r>
          </w:p>
          <w:p w14:paraId="6C992DA2">
            <w:pPr>
              <w:adjustRightInd w:val="0"/>
              <w:snapToGrid w:val="0"/>
              <w:ind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4</w:t>
            </w:r>
            <w:r>
              <w:rPr>
                <w:rFonts w:eastAsia="宋体" w:cs="Times New Roman"/>
                <w:b/>
                <w:color w:val="auto"/>
                <w:sz w:val="24"/>
                <w:szCs w:val="24"/>
                <w:lang w:eastAsia="zh-CN"/>
              </w:rPr>
              <w:t>、固废</w:t>
            </w:r>
          </w:p>
          <w:p w14:paraId="54BFFC0F">
            <w:pPr>
              <w:ind w:firstLine="480"/>
              <w:jc w:val="both"/>
              <w:rPr>
                <w:rFonts w:eastAsia="宋体" w:cs="Times New Roman"/>
                <w:color w:val="auto"/>
                <w:sz w:val="24"/>
                <w:szCs w:val="24"/>
                <w:lang w:eastAsia="zh-CN"/>
              </w:rPr>
            </w:pPr>
            <w:r>
              <w:rPr>
                <w:rFonts w:eastAsia="宋体" w:cs="Times New Roman"/>
                <w:color w:val="auto"/>
                <w:sz w:val="24"/>
                <w:szCs w:val="24"/>
                <w:lang w:eastAsia="zh-CN"/>
              </w:rPr>
              <w:t>一般固废执行《一般工业固体废物贮存和填埋污染控制标准》(GB18599-2020)中有关规定；危险废物贮存执行《危险废物贮存污染控制标准》(GB18597-20</w:t>
            </w:r>
            <w:r>
              <w:rPr>
                <w:rFonts w:hint="eastAsia" w:eastAsia="宋体" w:cs="Times New Roman"/>
                <w:color w:val="auto"/>
                <w:sz w:val="24"/>
                <w:szCs w:val="24"/>
                <w:lang w:eastAsia="zh-CN"/>
              </w:rPr>
              <w:t>23</w:t>
            </w:r>
            <w:r>
              <w:rPr>
                <w:rFonts w:eastAsia="宋体" w:cs="Times New Roman"/>
                <w:color w:val="auto"/>
                <w:sz w:val="24"/>
                <w:szCs w:val="24"/>
                <w:lang w:eastAsia="zh-CN"/>
              </w:rPr>
              <w:t>)</w:t>
            </w:r>
            <w:r>
              <w:rPr>
                <w:rFonts w:hint="eastAsia" w:eastAsia="宋体" w:cs="Times New Roman"/>
                <w:color w:val="auto"/>
                <w:sz w:val="24"/>
                <w:szCs w:val="24"/>
                <w:lang w:eastAsia="zh-CN"/>
              </w:rPr>
              <w:t>中</w:t>
            </w:r>
            <w:r>
              <w:rPr>
                <w:rFonts w:eastAsia="宋体" w:cs="Times New Roman"/>
                <w:color w:val="auto"/>
                <w:sz w:val="24"/>
                <w:szCs w:val="24"/>
                <w:lang w:eastAsia="zh-CN"/>
              </w:rPr>
              <w:t>有关规定。</w:t>
            </w:r>
          </w:p>
          <w:p w14:paraId="22DF0C05">
            <w:pPr>
              <w:adjustRightInd w:val="0"/>
              <w:snapToGrid w:val="0"/>
              <w:spacing w:line="240" w:lineRule="auto"/>
              <w:ind w:left="0" w:leftChars="0" w:right="0" w:rightChars="0" w:firstLine="0" w:firstLineChars="0"/>
              <w:jc w:val="center"/>
              <w:rPr>
                <w:rFonts w:eastAsia="宋体" w:cs="Times New Roman"/>
                <w:b/>
                <w:bCs/>
                <w:color w:val="auto"/>
                <w:szCs w:val="21"/>
                <w:lang w:val="zh-CN" w:eastAsia="zh-CN"/>
              </w:rPr>
            </w:pPr>
            <w:r>
              <w:rPr>
                <w:rFonts w:eastAsia="宋体" w:cs="Times New Roman"/>
                <w:b/>
                <w:bCs/>
                <w:color w:val="auto"/>
                <w:szCs w:val="21"/>
                <w:lang w:val="zh-CN" w:eastAsia="zh-CN"/>
              </w:rPr>
              <w:t>表3-5  污染物排放标准</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365"/>
              <w:gridCol w:w="1176"/>
              <w:gridCol w:w="1637"/>
              <w:gridCol w:w="1157"/>
              <w:gridCol w:w="1437"/>
            </w:tblGrid>
            <w:tr w14:paraId="0FB29A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1" w:type="pct"/>
                  <w:vMerge w:val="restart"/>
                  <w:tcBorders>
                    <w:tl2br w:val="nil"/>
                    <w:tr2bl w:val="nil"/>
                  </w:tcBorders>
                  <w:tcMar>
                    <w:left w:w="11" w:type="dxa"/>
                    <w:right w:w="11" w:type="dxa"/>
                  </w:tcMar>
                  <w:vAlign w:val="center"/>
                </w:tcPr>
                <w:p w14:paraId="21656758">
                  <w:pPr>
                    <w:adjustRightInd w:val="0"/>
                    <w:snapToGrid w:val="0"/>
                    <w:spacing w:line="240" w:lineRule="auto"/>
                    <w:ind w:left="0" w:leftChars="0" w:right="0" w:rightChars="0" w:firstLine="0" w:firstLineChars="0"/>
                    <w:jc w:val="center"/>
                    <w:rPr>
                      <w:rFonts w:eastAsia="宋体" w:cs="Times New Roman"/>
                      <w:b/>
                      <w:color w:val="auto"/>
                      <w:szCs w:val="21"/>
                    </w:rPr>
                  </w:pPr>
                  <w:r>
                    <w:rPr>
                      <w:rFonts w:eastAsia="宋体" w:cs="Times New Roman"/>
                      <w:b/>
                      <w:color w:val="auto"/>
                      <w:szCs w:val="21"/>
                    </w:rPr>
                    <w:t>类别</w:t>
                  </w:r>
                </w:p>
              </w:tc>
              <w:tc>
                <w:tcPr>
                  <w:tcW w:w="1384" w:type="pct"/>
                  <w:vMerge w:val="restart"/>
                  <w:tcBorders>
                    <w:tl2br w:val="nil"/>
                    <w:tr2bl w:val="nil"/>
                  </w:tcBorders>
                  <w:tcMar>
                    <w:left w:w="11" w:type="dxa"/>
                    <w:right w:w="11" w:type="dxa"/>
                  </w:tcMar>
                  <w:vAlign w:val="center"/>
                </w:tcPr>
                <w:p w14:paraId="5CFD0CA0">
                  <w:pPr>
                    <w:adjustRightInd w:val="0"/>
                    <w:snapToGrid w:val="0"/>
                    <w:spacing w:line="240" w:lineRule="auto"/>
                    <w:ind w:left="0" w:leftChars="0" w:right="0" w:rightChars="0" w:firstLine="0" w:firstLineChars="0"/>
                    <w:jc w:val="center"/>
                    <w:rPr>
                      <w:rFonts w:eastAsia="宋体" w:cs="Times New Roman"/>
                      <w:b/>
                      <w:color w:val="auto"/>
                      <w:szCs w:val="21"/>
                    </w:rPr>
                  </w:pPr>
                  <w:r>
                    <w:rPr>
                      <w:rFonts w:eastAsia="宋体" w:cs="Times New Roman"/>
                      <w:b/>
                      <w:color w:val="auto"/>
                      <w:szCs w:val="21"/>
                    </w:rPr>
                    <w:t>标准名称及级(类)别</w:t>
                  </w:r>
                </w:p>
              </w:tc>
              <w:tc>
                <w:tcPr>
                  <w:tcW w:w="688" w:type="pct"/>
                  <w:vMerge w:val="restart"/>
                  <w:tcBorders>
                    <w:tl2br w:val="nil"/>
                    <w:tr2bl w:val="nil"/>
                  </w:tcBorders>
                  <w:tcMar>
                    <w:left w:w="11" w:type="dxa"/>
                    <w:right w:w="11" w:type="dxa"/>
                  </w:tcMar>
                  <w:vAlign w:val="center"/>
                </w:tcPr>
                <w:p w14:paraId="79BD28EA">
                  <w:pPr>
                    <w:adjustRightInd w:val="0"/>
                    <w:snapToGrid w:val="0"/>
                    <w:spacing w:line="240" w:lineRule="auto"/>
                    <w:ind w:left="0" w:leftChars="0" w:right="0" w:rightChars="0" w:firstLine="0" w:firstLineChars="0"/>
                    <w:jc w:val="center"/>
                    <w:rPr>
                      <w:rFonts w:eastAsia="宋体" w:cs="Times New Roman"/>
                      <w:b/>
                      <w:color w:val="auto"/>
                      <w:szCs w:val="21"/>
                    </w:rPr>
                  </w:pPr>
                  <w:r>
                    <w:rPr>
                      <w:rFonts w:eastAsia="宋体" w:cs="Times New Roman"/>
                      <w:b/>
                      <w:color w:val="auto"/>
                      <w:szCs w:val="21"/>
                    </w:rPr>
                    <w:t>污染因子</w:t>
                  </w:r>
                </w:p>
              </w:tc>
              <w:tc>
                <w:tcPr>
                  <w:tcW w:w="2476" w:type="pct"/>
                  <w:gridSpan w:val="3"/>
                  <w:tcBorders>
                    <w:tl2br w:val="nil"/>
                    <w:tr2bl w:val="nil"/>
                  </w:tcBorders>
                  <w:tcMar>
                    <w:left w:w="11" w:type="dxa"/>
                    <w:right w:w="11" w:type="dxa"/>
                  </w:tcMar>
                  <w:vAlign w:val="center"/>
                </w:tcPr>
                <w:p w14:paraId="4571AF8E">
                  <w:pPr>
                    <w:adjustRightInd w:val="0"/>
                    <w:snapToGrid w:val="0"/>
                    <w:spacing w:line="240" w:lineRule="auto"/>
                    <w:ind w:left="0" w:leftChars="0" w:right="0" w:rightChars="0" w:firstLine="0" w:firstLineChars="0"/>
                    <w:jc w:val="center"/>
                    <w:rPr>
                      <w:rFonts w:eastAsia="宋体" w:cs="Times New Roman"/>
                      <w:b/>
                      <w:color w:val="auto"/>
                      <w:szCs w:val="21"/>
                    </w:rPr>
                  </w:pPr>
                  <w:r>
                    <w:rPr>
                      <w:rFonts w:eastAsia="宋体" w:cs="Times New Roman"/>
                      <w:b/>
                      <w:color w:val="auto"/>
                      <w:szCs w:val="21"/>
                    </w:rPr>
                    <w:t>标准值</w:t>
                  </w:r>
                </w:p>
              </w:tc>
            </w:tr>
            <w:tr w14:paraId="78BFF3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2EF92389">
                  <w:pPr>
                    <w:adjustRightInd w:val="0"/>
                    <w:snapToGrid w:val="0"/>
                    <w:spacing w:line="240" w:lineRule="auto"/>
                    <w:ind w:left="0" w:leftChars="0" w:right="0" w:rightChars="0" w:firstLine="0" w:firstLineChars="0"/>
                    <w:jc w:val="center"/>
                    <w:rPr>
                      <w:rFonts w:eastAsia="宋体" w:cs="Times New Roman"/>
                      <w:b/>
                      <w:color w:val="auto"/>
                      <w:szCs w:val="21"/>
                    </w:rPr>
                  </w:pPr>
                </w:p>
              </w:tc>
              <w:tc>
                <w:tcPr>
                  <w:tcW w:w="1384" w:type="pct"/>
                  <w:vMerge w:val="continue"/>
                  <w:tcBorders>
                    <w:tl2br w:val="nil"/>
                    <w:tr2bl w:val="nil"/>
                  </w:tcBorders>
                  <w:tcMar>
                    <w:left w:w="11" w:type="dxa"/>
                    <w:right w:w="11" w:type="dxa"/>
                  </w:tcMar>
                  <w:vAlign w:val="center"/>
                </w:tcPr>
                <w:p w14:paraId="241AE3C5">
                  <w:pPr>
                    <w:adjustRightInd w:val="0"/>
                    <w:snapToGrid w:val="0"/>
                    <w:spacing w:line="240" w:lineRule="auto"/>
                    <w:ind w:left="0" w:leftChars="0" w:right="0" w:rightChars="0" w:firstLine="0" w:firstLineChars="0"/>
                    <w:jc w:val="center"/>
                    <w:rPr>
                      <w:rFonts w:eastAsia="宋体" w:cs="Times New Roman"/>
                      <w:b/>
                      <w:color w:val="auto"/>
                      <w:szCs w:val="21"/>
                    </w:rPr>
                  </w:pPr>
                </w:p>
              </w:tc>
              <w:tc>
                <w:tcPr>
                  <w:tcW w:w="688" w:type="pct"/>
                  <w:vMerge w:val="continue"/>
                  <w:tcBorders>
                    <w:tl2br w:val="nil"/>
                    <w:tr2bl w:val="nil"/>
                  </w:tcBorders>
                  <w:tcMar>
                    <w:left w:w="11" w:type="dxa"/>
                    <w:right w:w="11" w:type="dxa"/>
                  </w:tcMar>
                  <w:vAlign w:val="center"/>
                </w:tcPr>
                <w:p w14:paraId="246A5A5A">
                  <w:pPr>
                    <w:adjustRightInd w:val="0"/>
                    <w:snapToGrid w:val="0"/>
                    <w:spacing w:line="240" w:lineRule="auto"/>
                    <w:ind w:left="0" w:leftChars="0" w:right="0" w:rightChars="0" w:firstLine="0" w:firstLineChars="0"/>
                    <w:jc w:val="center"/>
                    <w:rPr>
                      <w:rFonts w:eastAsia="宋体" w:cs="Times New Roman"/>
                      <w:b/>
                      <w:color w:val="auto"/>
                      <w:szCs w:val="21"/>
                    </w:rPr>
                  </w:pPr>
                </w:p>
              </w:tc>
              <w:tc>
                <w:tcPr>
                  <w:tcW w:w="958" w:type="pct"/>
                  <w:tcBorders>
                    <w:tl2br w:val="nil"/>
                    <w:tr2bl w:val="nil"/>
                  </w:tcBorders>
                  <w:tcMar>
                    <w:left w:w="11" w:type="dxa"/>
                    <w:right w:w="11" w:type="dxa"/>
                  </w:tcMar>
                  <w:vAlign w:val="center"/>
                </w:tcPr>
                <w:p w14:paraId="2E868F2F">
                  <w:pPr>
                    <w:adjustRightInd w:val="0"/>
                    <w:snapToGrid w:val="0"/>
                    <w:spacing w:line="240" w:lineRule="auto"/>
                    <w:ind w:left="0" w:leftChars="0" w:right="0" w:rightChars="0" w:firstLine="0" w:firstLineChars="0"/>
                    <w:jc w:val="center"/>
                    <w:rPr>
                      <w:rFonts w:eastAsia="宋体" w:cs="Times New Roman"/>
                      <w:b/>
                      <w:color w:val="auto"/>
                      <w:szCs w:val="21"/>
                      <w:lang w:eastAsia="zh-CN"/>
                    </w:rPr>
                  </w:pPr>
                  <w:r>
                    <w:rPr>
                      <w:rFonts w:eastAsia="宋体" w:cs="Times New Roman"/>
                      <w:b/>
                      <w:color w:val="auto"/>
                      <w:szCs w:val="21"/>
                      <w:lang w:eastAsia="zh-CN"/>
                    </w:rPr>
                    <w:t>监控点</w:t>
                  </w:r>
                </w:p>
              </w:tc>
              <w:tc>
                <w:tcPr>
                  <w:tcW w:w="1518" w:type="pct"/>
                  <w:gridSpan w:val="2"/>
                  <w:tcBorders>
                    <w:tl2br w:val="nil"/>
                    <w:tr2bl w:val="nil"/>
                  </w:tcBorders>
                  <w:tcMar>
                    <w:left w:w="11" w:type="dxa"/>
                    <w:right w:w="11" w:type="dxa"/>
                  </w:tcMar>
                  <w:vAlign w:val="center"/>
                </w:tcPr>
                <w:p w14:paraId="24E8DCBF">
                  <w:pPr>
                    <w:adjustRightInd w:val="0"/>
                    <w:snapToGrid w:val="0"/>
                    <w:spacing w:line="240" w:lineRule="auto"/>
                    <w:ind w:left="0" w:leftChars="0" w:right="0" w:rightChars="0" w:firstLine="0" w:firstLineChars="0"/>
                    <w:jc w:val="center"/>
                    <w:rPr>
                      <w:rFonts w:eastAsia="宋体" w:cs="Times New Roman"/>
                      <w:b/>
                      <w:color w:val="auto"/>
                      <w:szCs w:val="21"/>
                      <w:lang w:eastAsia="zh-CN"/>
                    </w:rPr>
                  </w:pPr>
                  <w:r>
                    <w:rPr>
                      <w:rFonts w:eastAsia="宋体" w:cs="Times New Roman"/>
                      <w:b/>
                      <w:color w:val="auto"/>
                      <w:szCs w:val="21"/>
                      <w:lang w:eastAsia="zh-CN"/>
                    </w:rPr>
                    <w:t>标准限值</w:t>
                  </w:r>
                </w:p>
              </w:tc>
            </w:tr>
            <w:tr w14:paraId="79FCF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tcBorders>
                    <w:tl2br w:val="nil"/>
                    <w:tr2bl w:val="nil"/>
                  </w:tcBorders>
                  <w:tcMar>
                    <w:left w:w="11" w:type="dxa"/>
                    <w:right w:w="11" w:type="dxa"/>
                  </w:tcMar>
                  <w:vAlign w:val="center"/>
                </w:tcPr>
                <w:p w14:paraId="62DBDB6A">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施工</w:t>
                  </w:r>
                </w:p>
                <w:p w14:paraId="248F6C11">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扬尘</w:t>
                  </w:r>
                </w:p>
              </w:tc>
              <w:tc>
                <w:tcPr>
                  <w:tcW w:w="1384" w:type="pct"/>
                  <w:tcBorders>
                    <w:tl2br w:val="nil"/>
                    <w:tr2bl w:val="nil"/>
                  </w:tcBorders>
                  <w:tcMar>
                    <w:left w:w="11" w:type="dxa"/>
                    <w:right w:w="11" w:type="dxa"/>
                  </w:tcMar>
                  <w:vAlign w:val="center"/>
                </w:tcPr>
                <w:p w14:paraId="2F58B15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《施工场界扬尘排放限值》（DB61/1078-2017）</w:t>
                  </w:r>
                </w:p>
              </w:tc>
              <w:tc>
                <w:tcPr>
                  <w:tcW w:w="688" w:type="pct"/>
                  <w:tcBorders>
                    <w:tl2br w:val="nil"/>
                    <w:tr2bl w:val="nil"/>
                  </w:tcBorders>
                  <w:tcMar>
                    <w:left w:w="11" w:type="dxa"/>
                    <w:right w:w="11" w:type="dxa"/>
                  </w:tcMar>
                  <w:vAlign w:val="center"/>
                </w:tcPr>
                <w:p w14:paraId="13BE77F7">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TSP</w:t>
                  </w:r>
                </w:p>
              </w:tc>
              <w:tc>
                <w:tcPr>
                  <w:tcW w:w="958" w:type="pct"/>
                  <w:tcBorders>
                    <w:tl2br w:val="nil"/>
                    <w:tr2bl w:val="nil"/>
                  </w:tcBorders>
                  <w:tcMar>
                    <w:left w:w="11" w:type="dxa"/>
                    <w:right w:w="11" w:type="dxa"/>
                  </w:tcMar>
                  <w:vAlign w:val="center"/>
                </w:tcPr>
                <w:p w14:paraId="3CBB65B5">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（周界外浓度最高点）</w:t>
                  </w:r>
                </w:p>
              </w:tc>
              <w:tc>
                <w:tcPr>
                  <w:tcW w:w="1518" w:type="pct"/>
                  <w:gridSpan w:val="2"/>
                  <w:tcBorders>
                    <w:tl2br w:val="nil"/>
                    <w:tr2bl w:val="nil"/>
                  </w:tcBorders>
                  <w:tcMar>
                    <w:left w:w="11" w:type="dxa"/>
                    <w:right w:w="11" w:type="dxa"/>
                  </w:tcMar>
                  <w:vAlign w:val="center"/>
                </w:tcPr>
                <w:p w14:paraId="75BCCA44">
                  <w:pPr>
                    <w:adjustRightInd w:val="0"/>
                    <w:snapToGrid w:val="0"/>
                    <w:spacing w:line="240" w:lineRule="auto"/>
                    <w:ind w:left="0" w:leftChars="0" w:right="0" w:rightChars="0" w:firstLine="0" w:firstLineChars="0"/>
                    <w:jc w:val="center"/>
                    <w:rPr>
                      <w:rFonts w:eastAsia="宋体" w:cs="Times New Roman"/>
                      <w:color w:val="auto"/>
                      <w:szCs w:val="21"/>
                      <w:vertAlign w:val="superscript"/>
                      <w:lang w:eastAsia="zh-CN"/>
                    </w:rPr>
                  </w:pPr>
                  <w:r>
                    <w:rPr>
                      <w:rFonts w:eastAsia="宋体" w:cs="Times New Roman"/>
                      <w:color w:val="auto"/>
                      <w:szCs w:val="21"/>
                      <w:lang w:eastAsia="zh-CN"/>
                    </w:rPr>
                    <w:t>0.7mg/m</w:t>
                  </w:r>
                  <w:r>
                    <w:rPr>
                      <w:rFonts w:eastAsia="宋体" w:cs="Times New Roman"/>
                      <w:color w:val="auto"/>
                      <w:szCs w:val="21"/>
                      <w:vertAlign w:val="superscript"/>
                      <w:lang w:eastAsia="zh-CN"/>
                    </w:rPr>
                    <w:t>3</w:t>
                  </w:r>
                </w:p>
                <w:p w14:paraId="26983759">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（基础、主体结构及装饰工程）</w:t>
                  </w:r>
                </w:p>
              </w:tc>
            </w:tr>
            <w:tr w14:paraId="425C85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restart"/>
                  <w:tcBorders>
                    <w:tl2br w:val="nil"/>
                    <w:tr2bl w:val="nil"/>
                  </w:tcBorders>
                  <w:tcMar>
                    <w:left w:w="11" w:type="dxa"/>
                    <w:right w:w="11" w:type="dxa"/>
                  </w:tcMar>
                  <w:vAlign w:val="center"/>
                </w:tcPr>
                <w:p w14:paraId="66E90D35">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运营期</w:t>
                  </w:r>
                </w:p>
                <w:p w14:paraId="7ED1632A">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废气</w:t>
                  </w:r>
                </w:p>
              </w:tc>
              <w:tc>
                <w:tcPr>
                  <w:tcW w:w="1384" w:type="pct"/>
                  <w:vMerge w:val="restart"/>
                  <w:tcBorders>
                    <w:tl2br w:val="nil"/>
                    <w:tr2bl w:val="nil"/>
                  </w:tcBorders>
                  <w:tcMar>
                    <w:left w:w="11" w:type="dxa"/>
                    <w:right w:w="11" w:type="dxa"/>
                  </w:tcMar>
                  <w:vAlign w:val="center"/>
                </w:tcPr>
                <w:p w14:paraId="4EF9F103">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《大气污染物综合排放标准》（GB16297-1996）表2及无组织控制标准</w:t>
                  </w:r>
                </w:p>
              </w:tc>
              <w:tc>
                <w:tcPr>
                  <w:tcW w:w="688" w:type="pct"/>
                  <w:vMerge w:val="restart"/>
                  <w:tcBorders>
                    <w:tl2br w:val="nil"/>
                    <w:tr2bl w:val="nil"/>
                  </w:tcBorders>
                  <w:tcMar>
                    <w:left w:w="11" w:type="dxa"/>
                    <w:right w:w="11" w:type="dxa"/>
                  </w:tcMar>
                  <w:vAlign w:val="center"/>
                </w:tcPr>
                <w:p w14:paraId="46A08AE7">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颗粒物</w:t>
                  </w:r>
                </w:p>
              </w:tc>
              <w:tc>
                <w:tcPr>
                  <w:tcW w:w="958" w:type="pct"/>
                  <w:vMerge w:val="restart"/>
                  <w:tcBorders>
                    <w:tl2br w:val="nil"/>
                    <w:tr2bl w:val="nil"/>
                  </w:tcBorders>
                  <w:tcMar>
                    <w:left w:w="11" w:type="dxa"/>
                    <w:right w:w="11" w:type="dxa"/>
                  </w:tcMar>
                  <w:vAlign w:val="center"/>
                </w:tcPr>
                <w:p w14:paraId="1FFDF5AD">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排气筒</w:t>
                  </w:r>
                </w:p>
              </w:tc>
              <w:tc>
                <w:tcPr>
                  <w:tcW w:w="677" w:type="pct"/>
                  <w:tcBorders>
                    <w:tl2br w:val="nil"/>
                    <w:tr2bl w:val="nil"/>
                  </w:tcBorders>
                  <w:tcMar>
                    <w:left w:w="11" w:type="dxa"/>
                    <w:right w:w="11" w:type="dxa"/>
                  </w:tcMar>
                  <w:vAlign w:val="center"/>
                </w:tcPr>
                <w:p w14:paraId="31760F5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浓度</w:t>
                  </w:r>
                </w:p>
              </w:tc>
              <w:tc>
                <w:tcPr>
                  <w:tcW w:w="841" w:type="pct"/>
                  <w:tcBorders>
                    <w:tl2br w:val="nil"/>
                    <w:tr2bl w:val="nil"/>
                  </w:tcBorders>
                  <w:tcMar>
                    <w:left w:w="11" w:type="dxa"/>
                    <w:right w:w="11" w:type="dxa"/>
                  </w:tcMar>
                  <w:vAlign w:val="center"/>
                </w:tcPr>
                <w:p w14:paraId="46A80A9D">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120</w:t>
                  </w:r>
                  <w:r>
                    <w:rPr>
                      <w:rFonts w:eastAsia="宋体" w:cs="Times New Roman"/>
                      <w:color w:val="auto"/>
                      <w:szCs w:val="21"/>
                    </w:rPr>
                    <w:t>mg/m</w:t>
                  </w:r>
                  <w:r>
                    <w:rPr>
                      <w:rFonts w:eastAsia="宋体" w:cs="Times New Roman"/>
                      <w:color w:val="auto"/>
                      <w:szCs w:val="21"/>
                      <w:vertAlign w:val="superscript"/>
                    </w:rPr>
                    <w:t>3</w:t>
                  </w:r>
                </w:p>
              </w:tc>
            </w:tr>
            <w:tr w14:paraId="6147AE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20B83692">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753DA5EA">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vMerge w:val="continue"/>
                  <w:tcBorders>
                    <w:tl2br w:val="nil"/>
                    <w:tr2bl w:val="nil"/>
                  </w:tcBorders>
                  <w:tcMar>
                    <w:left w:w="11" w:type="dxa"/>
                    <w:right w:w="11" w:type="dxa"/>
                  </w:tcMar>
                  <w:vAlign w:val="center"/>
                </w:tcPr>
                <w:p w14:paraId="3F8280A1">
                  <w:pPr>
                    <w:adjustRightInd w:val="0"/>
                    <w:snapToGrid w:val="0"/>
                    <w:spacing w:line="240" w:lineRule="auto"/>
                    <w:ind w:left="0" w:leftChars="0" w:right="0" w:rightChars="0" w:firstLine="0" w:firstLineChars="0"/>
                    <w:jc w:val="center"/>
                    <w:rPr>
                      <w:rFonts w:eastAsia="宋体" w:cs="Times New Roman"/>
                      <w:color w:val="auto"/>
                      <w:szCs w:val="21"/>
                    </w:rPr>
                  </w:pPr>
                </w:p>
              </w:tc>
              <w:tc>
                <w:tcPr>
                  <w:tcW w:w="958" w:type="pct"/>
                  <w:vMerge w:val="continue"/>
                  <w:tcBorders>
                    <w:tl2br w:val="nil"/>
                    <w:tr2bl w:val="nil"/>
                  </w:tcBorders>
                  <w:tcMar>
                    <w:left w:w="11" w:type="dxa"/>
                    <w:right w:w="11" w:type="dxa"/>
                  </w:tcMar>
                  <w:vAlign w:val="center"/>
                </w:tcPr>
                <w:p w14:paraId="2A6DECA5">
                  <w:pPr>
                    <w:adjustRightInd w:val="0"/>
                    <w:snapToGrid w:val="0"/>
                    <w:spacing w:line="240" w:lineRule="auto"/>
                    <w:ind w:left="0" w:leftChars="0" w:right="0" w:rightChars="0" w:firstLine="0" w:firstLineChars="0"/>
                    <w:jc w:val="center"/>
                    <w:rPr>
                      <w:rFonts w:eastAsia="宋体" w:cs="Times New Roman"/>
                      <w:color w:val="auto"/>
                      <w:szCs w:val="21"/>
                    </w:rPr>
                  </w:pPr>
                </w:p>
              </w:tc>
              <w:tc>
                <w:tcPr>
                  <w:tcW w:w="677" w:type="pct"/>
                  <w:tcBorders>
                    <w:tl2br w:val="nil"/>
                    <w:tr2bl w:val="nil"/>
                  </w:tcBorders>
                  <w:tcMar>
                    <w:left w:w="11" w:type="dxa"/>
                    <w:right w:w="11" w:type="dxa"/>
                  </w:tcMar>
                  <w:vAlign w:val="center"/>
                </w:tcPr>
                <w:p w14:paraId="4E667BE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速率</w:t>
                  </w:r>
                </w:p>
              </w:tc>
              <w:tc>
                <w:tcPr>
                  <w:tcW w:w="841" w:type="pct"/>
                  <w:tcBorders>
                    <w:tl2br w:val="nil"/>
                    <w:tr2bl w:val="nil"/>
                  </w:tcBorders>
                  <w:tcMar>
                    <w:left w:w="11" w:type="dxa"/>
                    <w:right w:w="11" w:type="dxa"/>
                  </w:tcMar>
                  <w:vAlign w:val="center"/>
                </w:tcPr>
                <w:p w14:paraId="4C0FA4CE">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kern w:val="2"/>
                      <w:szCs w:val="21"/>
                      <w:lang w:eastAsia="zh-CN"/>
                    </w:rPr>
                    <w:t>3.5kg/h</w:t>
                  </w:r>
                </w:p>
              </w:tc>
            </w:tr>
            <w:tr w14:paraId="25D18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288B3D7D">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7A81F0A9">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vMerge w:val="continue"/>
                  <w:tcBorders>
                    <w:tl2br w:val="nil"/>
                    <w:tr2bl w:val="nil"/>
                  </w:tcBorders>
                  <w:tcMar>
                    <w:left w:w="11" w:type="dxa"/>
                    <w:right w:w="11" w:type="dxa"/>
                  </w:tcMar>
                  <w:vAlign w:val="center"/>
                </w:tcPr>
                <w:p w14:paraId="1E3B82EE">
                  <w:pPr>
                    <w:adjustRightInd w:val="0"/>
                    <w:snapToGrid w:val="0"/>
                    <w:spacing w:line="240" w:lineRule="auto"/>
                    <w:ind w:left="0" w:leftChars="0" w:right="0" w:rightChars="0" w:firstLine="0" w:firstLineChars="0"/>
                    <w:jc w:val="center"/>
                    <w:rPr>
                      <w:rFonts w:eastAsia="宋体" w:cs="Times New Roman"/>
                      <w:color w:val="auto"/>
                      <w:szCs w:val="21"/>
                    </w:rPr>
                  </w:pPr>
                </w:p>
              </w:tc>
              <w:tc>
                <w:tcPr>
                  <w:tcW w:w="958" w:type="pct"/>
                  <w:tcBorders>
                    <w:tl2br w:val="nil"/>
                    <w:tr2bl w:val="nil"/>
                  </w:tcBorders>
                  <w:tcMar>
                    <w:left w:w="11" w:type="dxa"/>
                    <w:right w:w="11" w:type="dxa"/>
                  </w:tcMar>
                  <w:vAlign w:val="center"/>
                </w:tcPr>
                <w:p w14:paraId="77205A32">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rPr>
                    <w:t>厂界</w:t>
                  </w:r>
                  <w:r>
                    <w:rPr>
                      <w:rFonts w:eastAsia="宋体" w:cs="Times New Roman"/>
                      <w:color w:val="auto"/>
                      <w:szCs w:val="21"/>
                      <w:lang w:eastAsia="zh-CN"/>
                    </w:rPr>
                    <w:t>外</w:t>
                  </w:r>
                </w:p>
              </w:tc>
              <w:tc>
                <w:tcPr>
                  <w:tcW w:w="677" w:type="pct"/>
                  <w:tcBorders>
                    <w:tl2br w:val="nil"/>
                    <w:tr2bl w:val="nil"/>
                  </w:tcBorders>
                  <w:tcMar>
                    <w:left w:w="11" w:type="dxa"/>
                    <w:right w:w="11" w:type="dxa"/>
                  </w:tcMar>
                  <w:vAlign w:val="center"/>
                </w:tcPr>
                <w:p w14:paraId="53773DBD">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浓度</w:t>
                  </w:r>
                </w:p>
              </w:tc>
              <w:tc>
                <w:tcPr>
                  <w:tcW w:w="841" w:type="pct"/>
                  <w:tcBorders>
                    <w:tl2br w:val="nil"/>
                    <w:tr2bl w:val="nil"/>
                  </w:tcBorders>
                  <w:tcMar>
                    <w:left w:w="11" w:type="dxa"/>
                    <w:right w:w="11" w:type="dxa"/>
                  </w:tcMar>
                  <w:vAlign w:val="center"/>
                </w:tcPr>
                <w:p w14:paraId="2CCC8629">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1.0mg/m</w:t>
                  </w:r>
                  <w:r>
                    <w:rPr>
                      <w:rFonts w:eastAsia="宋体" w:cs="Times New Roman"/>
                      <w:color w:val="auto"/>
                      <w:szCs w:val="21"/>
                      <w:vertAlign w:val="superscript"/>
                    </w:rPr>
                    <w:t>3</w:t>
                  </w:r>
                </w:p>
              </w:tc>
            </w:tr>
            <w:tr w14:paraId="0FF2A3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52B6ED6C">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restart"/>
                  <w:tcBorders>
                    <w:tl2br w:val="nil"/>
                    <w:tr2bl w:val="nil"/>
                  </w:tcBorders>
                  <w:tcMar>
                    <w:left w:w="11" w:type="dxa"/>
                    <w:right w:w="11" w:type="dxa"/>
                  </w:tcMar>
                  <w:vAlign w:val="center"/>
                </w:tcPr>
                <w:p w14:paraId="0A1C9DD0">
                  <w:pPr>
                    <w:widowControl/>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bidi="ar"/>
                    </w:rPr>
                    <w:t>《工业炉窑大气污染综合治理方案》（环大气[2019]56号）重点地区标准限值</w:t>
                  </w:r>
                </w:p>
              </w:tc>
              <w:tc>
                <w:tcPr>
                  <w:tcW w:w="688" w:type="pct"/>
                  <w:tcBorders>
                    <w:tl2br w:val="nil"/>
                    <w:tr2bl w:val="nil"/>
                  </w:tcBorders>
                  <w:tcMar>
                    <w:left w:w="11" w:type="dxa"/>
                    <w:right w:w="11" w:type="dxa"/>
                  </w:tcMar>
                  <w:vAlign w:val="center"/>
                </w:tcPr>
                <w:p w14:paraId="3B7E6C29">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lang w:eastAsia="zh-CN"/>
                    </w:rPr>
                    <w:t>颗粒物</w:t>
                  </w:r>
                </w:p>
              </w:tc>
              <w:tc>
                <w:tcPr>
                  <w:tcW w:w="958" w:type="pct"/>
                  <w:vMerge w:val="restart"/>
                  <w:tcBorders>
                    <w:tl2br w:val="nil"/>
                    <w:tr2bl w:val="nil"/>
                  </w:tcBorders>
                  <w:tcMar>
                    <w:left w:w="11" w:type="dxa"/>
                    <w:right w:w="11" w:type="dxa"/>
                  </w:tcMar>
                  <w:vAlign w:val="center"/>
                </w:tcPr>
                <w:p w14:paraId="2C28F17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排气筒</w:t>
                  </w:r>
                </w:p>
              </w:tc>
              <w:tc>
                <w:tcPr>
                  <w:tcW w:w="1518" w:type="pct"/>
                  <w:gridSpan w:val="2"/>
                  <w:tcBorders>
                    <w:tl2br w:val="nil"/>
                    <w:tr2bl w:val="nil"/>
                  </w:tcBorders>
                  <w:tcMar>
                    <w:left w:w="11" w:type="dxa"/>
                    <w:right w:w="11" w:type="dxa"/>
                  </w:tcMar>
                  <w:vAlign w:val="center"/>
                </w:tcPr>
                <w:p w14:paraId="5173154B">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30</w:t>
                  </w:r>
                  <w:r>
                    <w:rPr>
                      <w:rFonts w:eastAsia="宋体" w:cs="Times New Roman"/>
                      <w:color w:val="auto"/>
                      <w:szCs w:val="21"/>
                    </w:rPr>
                    <w:t>mg/m</w:t>
                  </w:r>
                  <w:r>
                    <w:rPr>
                      <w:rFonts w:eastAsia="宋体" w:cs="Times New Roman"/>
                      <w:color w:val="auto"/>
                      <w:szCs w:val="21"/>
                      <w:vertAlign w:val="superscript"/>
                    </w:rPr>
                    <w:t>3</w:t>
                  </w:r>
                </w:p>
              </w:tc>
            </w:tr>
            <w:tr w14:paraId="7F8155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542D9C99">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5CBBD622">
                  <w:pPr>
                    <w:widowControl/>
                    <w:spacing w:line="240" w:lineRule="auto"/>
                    <w:ind w:left="0" w:leftChars="0" w:right="0" w:rightChars="0" w:firstLine="0" w:firstLineChars="0"/>
                    <w:jc w:val="center"/>
                    <w:rPr>
                      <w:rFonts w:eastAsia="宋体" w:cs="Times New Roman"/>
                      <w:color w:val="auto"/>
                      <w:szCs w:val="21"/>
                      <w:lang w:eastAsia="zh-CN" w:bidi="ar"/>
                    </w:rPr>
                  </w:pPr>
                </w:p>
              </w:tc>
              <w:tc>
                <w:tcPr>
                  <w:tcW w:w="688" w:type="pct"/>
                  <w:tcBorders>
                    <w:tl2br w:val="nil"/>
                    <w:tr2bl w:val="nil"/>
                  </w:tcBorders>
                  <w:tcMar>
                    <w:left w:w="11" w:type="dxa"/>
                    <w:right w:w="11" w:type="dxa"/>
                  </w:tcMar>
                  <w:vAlign w:val="center"/>
                </w:tcPr>
                <w:p w14:paraId="0699ACC5">
                  <w:pPr>
                    <w:pStyle w:val="56"/>
                    <w:keepNext w:val="0"/>
                    <w:widowControl w:val="0"/>
                    <w:adjustRightInd/>
                    <w:snapToGrid/>
                    <w:spacing w:line="240" w:lineRule="auto"/>
                    <w:ind w:leftChars="0" w:right="0" w:rightChars="0"/>
                    <w:rPr>
                      <w:rFonts w:eastAsia="宋体" w:cs="Times New Roman"/>
                      <w:color w:val="auto"/>
                      <w:szCs w:val="21"/>
                      <w:lang w:eastAsia="zh-CN"/>
                    </w:rPr>
                  </w:pPr>
                  <w:r>
                    <w:rPr>
                      <w:rFonts w:eastAsia="宋体" w:cs="Times New Roman"/>
                      <w:color w:val="auto"/>
                      <w:szCs w:val="21"/>
                      <w:lang w:eastAsia="zh-CN" w:bidi="ar"/>
                    </w:rPr>
                    <w:t>SO</w:t>
                  </w:r>
                  <w:r>
                    <w:rPr>
                      <w:rFonts w:eastAsia="宋体" w:cs="Times New Roman"/>
                      <w:color w:val="auto"/>
                      <w:szCs w:val="21"/>
                      <w:vertAlign w:val="subscript"/>
                      <w:lang w:eastAsia="zh-CN" w:bidi="ar"/>
                    </w:rPr>
                    <w:t>2</w:t>
                  </w:r>
                </w:p>
              </w:tc>
              <w:tc>
                <w:tcPr>
                  <w:tcW w:w="958" w:type="pct"/>
                  <w:vMerge w:val="continue"/>
                  <w:tcBorders>
                    <w:tl2br w:val="nil"/>
                    <w:tr2bl w:val="nil"/>
                  </w:tcBorders>
                  <w:tcMar>
                    <w:left w:w="11" w:type="dxa"/>
                    <w:right w:w="11" w:type="dxa"/>
                  </w:tcMar>
                  <w:vAlign w:val="center"/>
                </w:tcPr>
                <w:p w14:paraId="3F15E832">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1518" w:type="pct"/>
                  <w:gridSpan w:val="2"/>
                  <w:tcBorders>
                    <w:tl2br w:val="nil"/>
                    <w:tr2bl w:val="nil"/>
                  </w:tcBorders>
                  <w:tcMar>
                    <w:left w:w="11" w:type="dxa"/>
                    <w:right w:w="11" w:type="dxa"/>
                  </w:tcMar>
                  <w:vAlign w:val="center"/>
                </w:tcPr>
                <w:p w14:paraId="2EE8E14B">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200</w:t>
                  </w:r>
                  <w:r>
                    <w:rPr>
                      <w:rFonts w:eastAsia="宋体" w:cs="Times New Roman"/>
                      <w:color w:val="auto"/>
                      <w:szCs w:val="21"/>
                    </w:rPr>
                    <w:t>mg/m</w:t>
                  </w:r>
                  <w:r>
                    <w:rPr>
                      <w:rFonts w:eastAsia="宋体" w:cs="Times New Roman"/>
                      <w:color w:val="auto"/>
                      <w:szCs w:val="21"/>
                      <w:vertAlign w:val="superscript"/>
                    </w:rPr>
                    <w:t>3</w:t>
                  </w:r>
                </w:p>
              </w:tc>
            </w:tr>
            <w:tr w14:paraId="06E6A5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3A2F5D0A">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05B074B1">
                  <w:pPr>
                    <w:widowControl/>
                    <w:spacing w:line="240" w:lineRule="auto"/>
                    <w:ind w:left="0" w:leftChars="0" w:right="0" w:rightChars="0" w:firstLine="0" w:firstLineChars="0"/>
                    <w:jc w:val="center"/>
                    <w:rPr>
                      <w:rFonts w:eastAsia="宋体" w:cs="Times New Roman"/>
                      <w:color w:val="auto"/>
                      <w:szCs w:val="21"/>
                      <w:lang w:eastAsia="zh-CN" w:bidi="ar"/>
                    </w:rPr>
                  </w:pPr>
                </w:p>
              </w:tc>
              <w:tc>
                <w:tcPr>
                  <w:tcW w:w="688" w:type="pct"/>
                  <w:tcBorders>
                    <w:tl2br w:val="nil"/>
                    <w:tr2bl w:val="nil"/>
                  </w:tcBorders>
                  <w:tcMar>
                    <w:left w:w="11" w:type="dxa"/>
                    <w:right w:w="11" w:type="dxa"/>
                  </w:tcMar>
                  <w:vAlign w:val="center"/>
                </w:tcPr>
                <w:p w14:paraId="7C6E3419">
                  <w:pPr>
                    <w:pStyle w:val="56"/>
                    <w:keepNext w:val="0"/>
                    <w:widowControl w:val="0"/>
                    <w:adjustRightInd/>
                    <w:snapToGrid/>
                    <w:spacing w:line="240" w:lineRule="auto"/>
                    <w:ind w:leftChars="0" w:right="0" w:rightChars="0"/>
                    <w:rPr>
                      <w:rFonts w:eastAsia="宋体" w:cs="Times New Roman"/>
                      <w:color w:val="auto"/>
                      <w:szCs w:val="21"/>
                      <w:lang w:eastAsia="zh-CN"/>
                    </w:rPr>
                  </w:pPr>
                  <w:r>
                    <w:rPr>
                      <w:rFonts w:eastAsia="宋体" w:cs="Times New Roman"/>
                      <w:color w:val="auto"/>
                      <w:szCs w:val="21"/>
                      <w:lang w:eastAsia="zh-CN" w:bidi="ar"/>
                    </w:rPr>
                    <w:t>NO</w:t>
                  </w:r>
                  <w:r>
                    <w:rPr>
                      <w:rFonts w:eastAsia="宋体" w:cs="Times New Roman"/>
                      <w:color w:val="auto"/>
                      <w:szCs w:val="21"/>
                      <w:vertAlign w:val="subscript"/>
                      <w:lang w:eastAsia="zh-CN" w:bidi="ar"/>
                    </w:rPr>
                    <w:t>X</w:t>
                  </w:r>
                </w:p>
              </w:tc>
              <w:tc>
                <w:tcPr>
                  <w:tcW w:w="958" w:type="pct"/>
                  <w:vMerge w:val="continue"/>
                  <w:tcBorders>
                    <w:tl2br w:val="nil"/>
                    <w:tr2bl w:val="nil"/>
                  </w:tcBorders>
                  <w:tcMar>
                    <w:left w:w="11" w:type="dxa"/>
                    <w:right w:w="11" w:type="dxa"/>
                  </w:tcMar>
                  <w:vAlign w:val="center"/>
                </w:tcPr>
                <w:p w14:paraId="5675C15D">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1518" w:type="pct"/>
                  <w:gridSpan w:val="2"/>
                  <w:tcBorders>
                    <w:tl2br w:val="nil"/>
                    <w:tr2bl w:val="nil"/>
                  </w:tcBorders>
                  <w:tcMar>
                    <w:left w:w="11" w:type="dxa"/>
                    <w:right w:w="11" w:type="dxa"/>
                  </w:tcMar>
                  <w:vAlign w:val="center"/>
                </w:tcPr>
                <w:p w14:paraId="7CC2EC66">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300</w:t>
                  </w:r>
                  <w:r>
                    <w:rPr>
                      <w:rFonts w:eastAsia="宋体" w:cs="Times New Roman"/>
                      <w:color w:val="auto"/>
                      <w:szCs w:val="21"/>
                    </w:rPr>
                    <w:t>mg/m</w:t>
                  </w:r>
                  <w:r>
                    <w:rPr>
                      <w:rFonts w:eastAsia="宋体" w:cs="Times New Roman"/>
                      <w:color w:val="auto"/>
                      <w:szCs w:val="21"/>
                      <w:vertAlign w:val="superscript"/>
                    </w:rPr>
                    <w:t>3</w:t>
                  </w:r>
                </w:p>
              </w:tc>
            </w:tr>
            <w:tr w14:paraId="604D47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1AE483B1">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restart"/>
                  <w:tcBorders>
                    <w:tl2br w:val="nil"/>
                    <w:tr2bl w:val="nil"/>
                  </w:tcBorders>
                  <w:tcMar>
                    <w:left w:w="11" w:type="dxa"/>
                    <w:right w:w="11" w:type="dxa"/>
                  </w:tcMar>
                  <w:vAlign w:val="center"/>
                </w:tcPr>
                <w:p w14:paraId="57B75E39">
                  <w:pPr>
                    <w:adjustRightInd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bidi="ar"/>
                    </w:rPr>
                    <w:t>《挥发性有机物排放控制标准》（DB61/T1061-2017）中的标准限值</w:t>
                  </w:r>
                </w:p>
              </w:tc>
              <w:tc>
                <w:tcPr>
                  <w:tcW w:w="688" w:type="pct"/>
                  <w:vMerge w:val="restart"/>
                  <w:tcBorders>
                    <w:tl2br w:val="nil"/>
                    <w:tr2bl w:val="nil"/>
                  </w:tcBorders>
                  <w:tcMar>
                    <w:left w:w="11" w:type="dxa"/>
                    <w:right w:w="11" w:type="dxa"/>
                  </w:tcMar>
                  <w:vAlign w:val="center"/>
                </w:tcPr>
                <w:p w14:paraId="3642A0A5">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kern w:val="2"/>
                      <w:szCs w:val="21"/>
                      <w:lang w:eastAsia="zh-CN"/>
                    </w:rPr>
                    <w:t>非甲烷总烃</w:t>
                  </w:r>
                </w:p>
              </w:tc>
              <w:tc>
                <w:tcPr>
                  <w:tcW w:w="958" w:type="pct"/>
                  <w:tcBorders>
                    <w:tl2br w:val="nil"/>
                    <w:tr2bl w:val="nil"/>
                  </w:tcBorders>
                  <w:tcMar>
                    <w:left w:w="11" w:type="dxa"/>
                    <w:right w:w="11" w:type="dxa"/>
                  </w:tcMar>
                  <w:vAlign w:val="center"/>
                </w:tcPr>
                <w:p w14:paraId="6BC02F1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排气筒</w:t>
                  </w:r>
                </w:p>
              </w:tc>
              <w:tc>
                <w:tcPr>
                  <w:tcW w:w="1518" w:type="pct"/>
                  <w:gridSpan w:val="2"/>
                  <w:tcBorders>
                    <w:tl2br w:val="nil"/>
                    <w:tr2bl w:val="nil"/>
                  </w:tcBorders>
                  <w:tcMar>
                    <w:left w:w="11" w:type="dxa"/>
                    <w:right w:w="11" w:type="dxa"/>
                  </w:tcMar>
                  <w:vAlign w:val="center"/>
                </w:tcPr>
                <w:p w14:paraId="2C42D6B6">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50</w:t>
                  </w:r>
                  <w:r>
                    <w:rPr>
                      <w:rFonts w:eastAsia="宋体" w:cs="Times New Roman"/>
                      <w:color w:val="auto"/>
                      <w:szCs w:val="21"/>
                    </w:rPr>
                    <w:t>mg/m</w:t>
                  </w:r>
                  <w:r>
                    <w:rPr>
                      <w:rFonts w:eastAsia="宋体" w:cs="Times New Roman"/>
                      <w:color w:val="auto"/>
                      <w:szCs w:val="21"/>
                      <w:vertAlign w:val="superscript"/>
                    </w:rPr>
                    <w:t>3</w:t>
                  </w:r>
                </w:p>
              </w:tc>
            </w:tr>
            <w:tr w14:paraId="3758C2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18D1AE08">
                  <w:pPr>
                    <w:adjustRightInd w:val="0"/>
                    <w:snapToGrid w:val="0"/>
                    <w:spacing w:line="240" w:lineRule="auto"/>
                    <w:ind w:left="0" w:leftChars="0" w:right="0" w:rightChars="0" w:firstLine="0" w:firstLineChars="0"/>
                    <w:jc w:val="center"/>
                    <w:rPr>
                      <w:color w:val="auto"/>
                    </w:rPr>
                  </w:pPr>
                </w:p>
              </w:tc>
              <w:tc>
                <w:tcPr>
                  <w:tcW w:w="1384" w:type="pct"/>
                  <w:vMerge w:val="continue"/>
                  <w:tcBorders>
                    <w:tl2br w:val="nil"/>
                    <w:tr2bl w:val="nil"/>
                  </w:tcBorders>
                  <w:tcMar>
                    <w:left w:w="11" w:type="dxa"/>
                    <w:right w:w="11" w:type="dxa"/>
                  </w:tcMar>
                  <w:vAlign w:val="center"/>
                </w:tcPr>
                <w:p w14:paraId="58F7240A">
                  <w:pPr>
                    <w:adjustRightInd w:val="0"/>
                    <w:snapToGrid w:val="0"/>
                    <w:spacing w:line="240" w:lineRule="auto"/>
                    <w:ind w:left="0" w:leftChars="0" w:right="0" w:rightChars="0" w:firstLine="0" w:firstLineChars="0"/>
                    <w:jc w:val="center"/>
                    <w:rPr>
                      <w:color w:val="auto"/>
                    </w:rPr>
                  </w:pPr>
                </w:p>
              </w:tc>
              <w:tc>
                <w:tcPr>
                  <w:tcW w:w="688" w:type="pct"/>
                  <w:vMerge w:val="continue"/>
                  <w:tcBorders>
                    <w:tl2br w:val="nil"/>
                    <w:tr2bl w:val="nil"/>
                  </w:tcBorders>
                  <w:tcMar>
                    <w:left w:w="11" w:type="dxa"/>
                    <w:right w:w="11" w:type="dxa"/>
                  </w:tcMar>
                  <w:vAlign w:val="center"/>
                </w:tcPr>
                <w:p w14:paraId="57300BBE">
                  <w:pPr>
                    <w:adjustRightInd w:val="0"/>
                    <w:snapToGrid w:val="0"/>
                    <w:spacing w:line="240" w:lineRule="auto"/>
                    <w:ind w:left="0" w:leftChars="0" w:right="0" w:rightChars="0" w:firstLine="0" w:firstLineChars="0"/>
                    <w:jc w:val="center"/>
                    <w:rPr>
                      <w:color w:val="auto"/>
                    </w:rPr>
                  </w:pPr>
                </w:p>
              </w:tc>
              <w:tc>
                <w:tcPr>
                  <w:tcW w:w="958" w:type="pct"/>
                  <w:tcBorders>
                    <w:tl2br w:val="nil"/>
                    <w:tr2bl w:val="nil"/>
                  </w:tcBorders>
                  <w:tcMar>
                    <w:left w:w="11" w:type="dxa"/>
                    <w:right w:w="11" w:type="dxa"/>
                  </w:tcMar>
                  <w:vAlign w:val="center"/>
                </w:tcPr>
                <w:p w14:paraId="6E997F0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厂界外</w:t>
                  </w:r>
                </w:p>
              </w:tc>
              <w:tc>
                <w:tcPr>
                  <w:tcW w:w="1518" w:type="pct"/>
                  <w:gridSpan w:val="2"/>
                  <w:tcBorders>
                    <w:tl2br w:val="nil"/>
                    <w:tr2bl w:val="nil"/>
                  </w:tcBorders>
                  <w:tcMar>
                    <w:left w:w="11" w:type="dxa"/>
                    <w:right w:w="11" w:type="dxa"/>
                  </w:tcMar>
                  <w:vAlign w:val="center"/>
                </w:tcPr>
                <w:p w14:paraId="63D1ECA4">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kern w:val="2"/>
                      <w:szCs w:val="21"/>
                      <w:lang w:eastAsia="zh-CN"/>
                    </w:rPr>
                    <w:t>3</w:t>
                  </w:r>
                  <w:r>
                    <w:rPr>
                      <w:rFonts w:eastAsia="宋体" w:cs="Times New Roman"/>
                      <w:color w:val="auto"/>
                      <w:szCs w:val="21"/>
                    </w:rPr>
                    <w:t>mg/m</w:t>
                  </w:r>
                  <w:r>
                    <w:rPr>
                      <w:rFonts w:eastAsia="宋体" w:cs="Times New Roman"/>
                      <w:color w:val="auto"/>
                      <w:szCs w:val="21"/>
                      <w:vertAlign w:val="superscript"/>
                    </w:rPr>
                    <w:t>3</w:t>
                  </w:r>
                </w:p>
              </w:tc>
            </w:tr>
            <w:tr w14:paraId="1A9E96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0822D6D1">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restart"/>
                  <w:tcBorders>
                    <w:tl2br w:val="nil"/>
                    <w:tr2bl w:val="nil"/>
                  </w:tcBorders>
                  <w:tcMar>
                    <w:left w:w="11" w:type="dxa"/>
                    <w:right w:w="11" w:type="dxa"/>
                  </w:tcMar>
                  <w:vAlign w:val="center"/>
                </w:tcPr>
                <w:p w14:paraId="4D7E9B73">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kern w:val="2"/>
                      <w:szCs w:val="21"/>
                      <w:lang w:eastAsia="zh-CN"/>
                    </w:rPr>
                    <w:t>《挥发性有机物无组织排放控制标准》（GB37822-2019）</w:t>
                  </w:r>
                </w:p>
              </w:tc>
              <w:tc>
                <w:tcPr>
                  <w:tcW w:w="688" w:type="pct"/>
                  <w:vMerge w:val="restart"/>
                  <w:tcBorders>
                    <w:tl2br w:val="nil"/>
                    <w:tr2bl w:val="nil"/>
                  </w:tcBorders>
                  <w:tcMar>
                    <w:left w:w="11" w:type="dxa"/>
                    <w:right w:w="11" w:type="dxa"/>
                  </w:tcMar>
                  <w:vAlign w:val="center"/>
                </w:tcPr>
                <w:p w14:paraId="7AD0AE72">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kern w:val="2"/>
                      <w:szCs w:val="21"/>
                      <w:lang w:eastAsia="zh-CN"/>
                    </w:rPr>
                    <w:t>非甲烷总烃</w:t>
                  </w:r>
                </w:p>
              </w:tc>
              <w:tc>
                <w:tcPr>
                  <w:tcW w:w="958" w:type="pct"/>
                  <w:tcBorders>
                    <w:tl2br w:val="nil"/>
                    <w:tr2bl w:val="nil"/>
                  </w:tcBorders>
                  <w:tcMar>
                    <w:left w:w="11" w:type="dxa"/>
                    <w:right w:w="11" w:type="dxa"/>
                  </w:tcMar>
                  <w:vAlign w:val="center"/>
                </w:tcPr>
                <w:p w14:paraId="125ADCAF">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厂区内监控点1h平均浓度值</w:t>
                  </w:r>
                </w:p>
              </w:tc>
              <w:tc>
                <w:tcPr>
                  <w:tcW w:w="1518" w:type="pct"/>
                  <w:gridSpan w:val="2"/>
                  <w:tcBorders>
                    <w:tl2br w:val="nil"/>
                    <w:tr2bl w:val="nil"/>
                  </w:tcBorders>
                  <w:tcMar>
                    <w:left w:w="11" w:type="dxa"/>
                    <w:right w:w="11" w:type="dxa"/>
                  </w:tcMar>
                  <w:vAlign w:val="center"/>
                </w:tcPr>
                <w:p w14:paraId="4380C643">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lang w:eastAsia="zh-CN"/>
                    </w:rPr>
                    <w:t>20.0</w:t>
                  </w:r>
                  <w:r>
                    <w:rPr>
                      <w:rFonts w:eastAsia="宋体" w:cs="Times New Roman"/>
                      <w:color w:val="auto"/>
                      <w:szCs w:val="21"/>
                    </w:rPr>
                    <w:t>mg/m</w:t>
                  </w:r>
                  <w:r>
                    <w:rPr>
                      <w:rFonts w:eastAsia="宋体" w:cs="Times New Roman"/>
                      <w:color w:val="auto"/>
                      <w:szCs w:val="21"/>
                      <w:vertAlign w:val="superscript"/>
                    </w:rPr>
                    <w:t>3</w:t>
                  </w:r>
                </w:p>
              </w:tc>
            </w:tr>
            <w:tr w14:paraId="4622F5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3CD52D8D">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7A5C6A7D">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vMerge w:val="continue"/>
                  <w:tcBorders>
                    <w:tl2br w:val="nil"/>
                    <w:tr2bl w:val="nil"/>
                  </w:tcBorders>
                  <w:tcMar>
                    <w:left w:w="11" w:type="dxa"/>
                    <w:right w:w="11" w:type="dxa"/>
                  </w:tcMar>
                  <w:vAlign w:val="center"/>
                </w:tcPr>
                <w:p w14:paraId="350BBC78">
                  <w:pPr>
                    <w:adjustRightInd w:val="0"/>
                    <w:snapToGrid w:val="0"/>
                    <w:spacing w:line="240" w:lineRule="auto"/>
                    <w:ind w:left="0" w:leftChars="0" w:right="0" w:rightChars="0" w:firstLine="0" w:firstLineChars="0"/>
                    <w:jc w:val="center"/>
                    <w:rPr>
                      <w:rFonts w:eastAsia="宋体" w:cs="Times New Roman"/>
                      <w:color w:val="auto"/>
                      <w:szCs w:val="21"/>
                    </w:rPr>
                  </w:pPr>
                </w:p>
              </w:tc>
              <w:tc>
                <w:tcPr>
                  <w:tcW w:w="958" w:type="pct"/>
                  <w:tcBorders>
                    <w:tl2br w:val="nil"/>
                    <w:tr2bl w:val="nil"/>
                  </w:tcBorders>
                  <w:tcMar>
                    <w:left w:w="11" w:type="dxa"/>
                    <w:right w:w="11" w:type="dxa"/>
                  </w:tcMar>
                  <w:vAlign w:val="center"/>
                </w:tcPr>
                <w:p w14:paraId="4474E37E">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厂区内监控点任意1次浓度值</w:t>
                  </w:r>
                </w:p>
              </w:tc>
              <w:tc>
                <w:tcPr>
                  <w:tcW w:w="1518" w:type="pct"/>
                  <w:gridSpan w:val="2"/>
                  <w:tcBorders>
                    <w:tl2br w:val="nil"/>
                    <w:tr2bl w:val="nil"/>
                  </w:tcBorders>
                  <w:tcMar>
                    <w:left w:w="11" w:type="dxa"/>
                    <w:right w:w="11" w:type="dxa"/>
                  </w:tcMar>
                  <w:vAlign w:val="center"/>
                </w:tcPr>
                <w:p w14:paraId="365B5BC5">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lang w:eastAsia="zh-CN"/>
                    </w:rPr>
                    <w:t>6.0</w:t>
                  </w:r>
                  <w:r>
                    <w:rPr>
                      <w:rFonts w:eastAsia="宋体" w:cs="Times New Roman"/>
                      <w:color w:val="auto"/>
                      <w:szCs w:val="21"/>
                    </w:rPr>
                    <w:t>mg/m</w:t>
                  </w:r>
                  <w:r>
                    <w:rPr>
                      <w:rFonts w:eastAsia="宋体" w:cs="Times New Roman"/>
                      <w:color w:val="auto"/>
                      <w:szCs w:val="21"/>
                      <w:vertAlign w:val="superscript"/>
                    </w:rPr>
                    <w:t>3</w:t>
                  </w:r>
                </w:p>
              </w:tc>
            </w:tr>
            <w:tr w14:paraId="74AD7D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31371993">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tcBorders>
                    <w:tl2br w:val="nil"/>
                    <w:tr2bl w:val="nil"/>
                  </w:tcBorders>
                  <w:tcMar>
                    <w:left w:w="11" w:type="dxa"/>
                    <w:right w:w="11" w:type="dxa"/>
                  </w:tcMar>
                  <w:vAlign w:val="center"/>
                </w:tcPr>
                <w:p w14:paraId="4168148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《饮食业油烟排放标准（试行）》（GB 18483-2001）表2</w:t>
                  </w:r>
                </w:p>
              </w:tc>
              <w:tc>
                <w:tcPr>
                  <w:tcW w:w="688" w:type="pct"/>
                  <w:tcBorders>
                    <w:tl2br w:val="nil"/>
                    <w:tr2bl w:val="nil"/>
                  </w:tcBorders>
                  <w:tcMar>
                    <w:left w:w="11" w:type="dxa"/>
                    <w:right w:w="11" w:type="dxa"/>
                  </w:tcMar>
                  <w:vAlign w:val="center"/>
                </w:tcPr>
                <w:p w14:paraId="6BD50DBF">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饮食业油烟</w:t>
                  </w:r>
                </w:p>
              </w:tc>
              <w:tc>
                <w:tcPr>
                  <w:tcW w:w="958" w:type="pct"/>
                  <w:tcBorders>
                    <w:tl2br w:val="nil"/>
                    <w:tr2bl w:val="nil"/>
                  </w:tcBorders>
                  <w:tcMar>
                    <w:left w:w="11" w:type="dxa"/>
                    <w:right w:w="11" w:type="dxa"/>
                  </w:tcMar>
                  <w:vAlign w:val="center"/>
                </w:tcPr>
                <w:p w14:paraId="1743F9DF">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排气筒出口</w:t>
                  </w:r>
                </w:p>
              </w:tc>
              <w:tc>
                <w:tcPr>
                  <w:tcW w:w="1518" w:type="pct"/>
                  <w:gridSpan w:val="2"/>
                  <w:tcBorders>
                    <w:tl2br w:val="nil"/>
                    <w:tr2bl w:val="nil"/>
                  </w:tcBorders>
                  <w:tcMar>
                    <w:left w:w="11" w:type="dxa"/>
                    <w:right w:w="11" w:type="dxa"/>
                  </w:tcMar>
                  <w:vAlign w:val="center"/>
                </w:tcPr>
                <w:p w14:paraId="4EA75103">
                  <w:pPr>
                    <w:adjustRightInd w:val="0"/>
                    <w:snapToGrid w:val="0"/>
                    <w:spacing w:line="240" w:lineRule="auto"/>
                    <w:ind w:left="0" w:leftChars="0" w:right="0" w:rightChars="0" w:firstLine="0" w:firstLineChars="0"/>
                    <w:jc w:val="center"/>
                    <w:rPr>
                      <w:rFonts w:eastAsia="宋体" w:cs="Times New Roman"/>
                      <w:color w:val="auto"/>
                      <w:szCs w:val="21"/>
                      <w:vertAlign w:val="superscript"/>
                      <w:lang w:eastAsia="zh-CN"/>
                    </w:rPr>
                  </w:pPr>
                  <w:r>
                    <w:rPr>
                      <w:rFonts w:eastAsia="宋体" w:cs="Times New Roman"/>
                      <w:color w:val="auto"/>
                      <w:szCs w:val="21"/>
                      <w:lang w:eastAsia="zh-CN"/>
                    </w:rPr>
                    <w:t>2.0mg/m</w:t>
                  </w:r>
                  <w:r>
                    <w:rPr>
                      <w:rFonts w:eastAsia="宋体" w:cs="Times New Roman"/>
                      <w:color w:val="auto"/>
                      <w:szCs w:val="21"/>
                      <w:vertAlign w:val="superscript"/>
                      <w:lang w:eastAsia="zh-CN"/>
                    </w:rPr>
                    <w:t>3</w:t>
                  </w:r>
                </w:p>
                <w:p w14:paraId="39A9ABCF">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（油烟净化设施最低去除率≥75%）</w:t>
                  </w:r>
                </w:p>
              </w:tc>
            </w:tr>
            <w:tr w14:paraId="1BDA48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restart"/>
                  <w:tcBorders>
                    <w:tl2br w:val="nil"/>
                    <w:tr2bl w:val="nil"/>
                  </w:tcBorders>
                  <w:tcMar>
                    <w:left w:w="11" w:type="dxa"/>
                    <w:right w:w="11" w:type="dxa"/>
                  </w:tcMar>
                  <w:vAlign w:val="center"/>
                </w:tcPr>
                <w:p w14:paraId="16FC24D1">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废水</w:t>
                  </w:r>
                </w:p>
              </w:tc>
              <w:tc>
                <w:tcPr>
                  <w:tcW w:w="1384" w:type="pct"/>
                  <w:vMerge w:val="restart"/>
                  <w:tcBorders>
                    <w:tl2br w:val="nil"/>
                    <w:tr2bl w:val="nil"/>
                  </w:tcBorders>
                  <w:tcMar>
                    <w:left w:w="11" w:type="dxa"/>
                    <w:right w:w="11" w:type="dxa"/>
                  </w:tcMar>
                  <w:vAlign w:val="center"/>
                </w:tcPr>
                <w:p w14:paraId="0E8DC30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《污水综合排放标准》（GB8978-1996）三级标准</w:t>
                  </w:r>
                </w:p>
              </w:tc>
              <w:tc>
                <w:tcPr>
                  <w:tcW w:w="688" w:type="pct"/>
                  <w:tcBorders>
                    <w:tl2br w:val="nil"/>
                    <w:tr2bl w:val="nil"/>
                  </w:tcBorders>
                  <w:tcMar>
                    <w:left w:w="11" w:type="dxa"/>
                    <w:right w:w="11" w:type="dxa"/>
                  </w:tcMar>
                  <w:vAlign w:val="center"/>
                </w:tcPr>
                <w:p w14:paraId="0D9D5F28">
                  <w:pPr>
                    <w:widowControl/>
                    <w:adjustRightInd w:val="0"/>
                    <w:snapToGrid w:val="0"/>
                    <w:spacing w:line="240" w:lineRule="auto"/>
                    <w:ind w:left="0" w:leftChars="0" w:right="0" w:rightChars="0" w:firstLine="0" w:firstLineChars="0"/>
                    <w:jc w:val="center"/>
                    <w:rPr>
                      <w:rFonts w:eastAsia="宋体" w:cs="Times New Roman"/>
                      <w:caps/>
                      <w:color w:val="auto"/>
                      <w:szCs w:val="21"/>
                    </w:rPr>
                  </w:pPr>
                  <w:r>
                    <w:rPr>
                      <w:rFonts w:eastAsia="宋体" w:cs="Times New Roman"/>
                      <w:color w:val="auto"/>
                      <w:szCs w:val="21"/>
                    </w:rPr>
                    <w:t>pH</w:t>
                  </w:r>
                </w:p>
              </w:tc>
              <w:tc>
                <w:tcPr>
                  <w:tcW w:w="958" w:type="pct"/>
                  <w:vMerge w:val="restart"/>
                  <w:tcBorders>
                    <w:tl2br w:val="nil"/>
                    <w:tr2bl w:val="nil"/>
                  </w:tcBorders>
                  <w:tcMar>
                    <w:left w:w="11" w:type="dxa"/>
                    <w:right w:w="11" w:type="dxa"/>
                  </w:tcMar>
                  <w:vAlign w:val="center"/>
                </w:tcPr>
                <w:p w14:paraId="7216B74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废水总排口</w:t>
                  </w:r>
                </w:p>
              </w:tc>
              <w:tc>
                <w:tcPr>
                  <w:tcW w:w="1518" w:type="pct"/>
                  <w:gridSpan w:val="2"/>
                  <w:tcBorders>
                    <w:tl2br w:val="nil"/>
                    <w:tr2bl w:val="nil"/>
                  </w:tcBorders>
                  <w:tcMar>
                    <w:left w:w="11" w:type="dxa"/>
                    <w:right w:w="11" w:type="dxa"/>
                  </w:tcMar>
                  <w:vAlign w:val="center"/>
                </w:tcPr>
                <w:p w14:paraId="2E8FD92A">
                  <w:pPr>
                    <w:widowControl/>
                    <w:adjustRightInd w:val="0"/>
                    <w:snapToGrid w:val="0"/>
                    <w:spacing w:line="240" w:lineRule="auto"/>
                    <w:ind w:left="0" w:leftChars="0" w:right="0" w:rightChars="0" w:firstLine="0" w:firstLineChars="0"/>
                    <w:jc w:val="center"/>
                    <w:rPr>
                      <w:rFonts w:eastAsia="宋体" w:cs="Times New Roman"/>
                      <w:caps/>
                      <w:color w:val="auto"/>
                      <w:szCs w:val="21"/>
                      <w:lang w:eastAsia="zh-CN"/>
                    </w:rPr>
                  </w:pPr>
                  <w:r>
                    <w:rPr>
                      <w:rFonts w:eastAsia="宋体" w:cs="Times New Roman"/>
                      <w:caps/>
                      <w:color w:val="auto"/>
                      <w:szCs w:val="21"/>
                    </w:rPr>
                    <w:t>6~9</w:t>
                  </w:r>
                  <w:r>
                    <w:rPr>
                      <w:rFonts w:hint="eastAsia" w:eastAsia="宋体" w:cs="Times New Roman"/>
                      <w:caps/>
                      <w:color w:val="auto"/>
                      <w:szCs w:val="21"/>
                      <w:lang w:eastAsia="zh-CN"/>
                    </w:rPr>
                    <w:t>（</w:t>
                  </w:r>
                  <w:r>
                    <w:rPr>
                      <w:rFonts w:eastAsia="宋体" w:cs="Times New Roman"/>
                      <w:color w:val="auto"/>
                      <w:szCs w:val="21"/>
                    </w:rPr>
                    <w:t>无量纲</w:t>
                  </w:r>
                  <w:r>
                    <w:rPr>
                      <w:rFonts w:hint="eastAsia" w:eastAsia="宋体" w:cs="Times New Roman"/>
                      <w:caps/>
                      <w:color w:val="auto"/>
                      <w:szCs w:val="21"/>
                      <w:lang w:eastAsia="zh-CN"/>
                    </w:rPr>
                    <w:t>）</w:t>
                  </w:r>
                </w:p>
              </w:tc>
            </w:tr>
            <w:tr w14:paraId="2D14C8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34A0CDE3">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6A48543B">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tcBorders>
                    <w:tl2br w:val="nil"/>
                    <w:tr2bl w:val="nil"/>
                  </w:tcBorders>
                  <w:tcMar>
                    <w:left w:w="11" w:type="dxa"/>
                    <w:right w:w="11" w:type="dxa"/>
                  </w:tcMar>
                  <w:vAlign w:val="center"/>
                </w:tcPr>
                <w:p w14:paraId="08EA9257">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SS</w:t>
                  </w:r>
                </w:p>
              </w:tc>
              <w:tc>
                <w:tcPr>
                  <w:tcW w:w="958" w:type="pct"/>
                  <w:vMerge w:val="continue"/>
                  <w:tcBorders>
                    <w:tl2br w:val="nil"/>
                    <w:tr2bl w:val="nil"/>
                  </w:tcBorders>
                  <w:tcMar>
                    <w:left w:w="11" w:type="dxa"/>
                    <w:right w:w="11" w:type="dxa"/>
                  </w:tcMar>
                  <w:vAlign w:val="center"/>
                </w:tcPr>
                <w:p w14:paraId="3189D4A4">
                  <w:pPr>
                    <w:adjustRightInd w:val="0"/>
                    <w:snapToGrid w:val="0"/>
                    <w:spacing w:line="240" w:lineRule="auto"/>
                    <w:ind w:left="0" w:leftChars="0" w:right="0" w:rightChars="0" w:firstLine="0" w:firstLineChars="0"/>
                    <w:jc w:val="center"/>
                    <w:rPr>
                      <w:rFonts w:eastAsia="宋体" w:cs="Times New Roman"/>
                      <w:color w:val="auto"/>
                      <w:szCs w:val="21"/>
                    </w:rPr>
                  </w:pPr>
                </w:p>
              </w:tc>
              <w:tc>
                <w:tcPr>
                  <w:tcW w:w="1518" w:type="pct"/>
                  <w:gridSpan w:val="2"/>
                  <w:tcBorders>
                    <w:tl2br w:val="nil"/>
                    <w:tr2bl w:val="nil"/>
                  </w:tcBorders>
                  <w:tcMar>
                    <w:left w:w="11" w:type="dxa"/>
                    <w:right w:w="11" w:type="dxa"/>
                  </w:tcMar>
                  <w:vAlign w:val="center"/>
                </w:tcPr>
                <w:p w14:paraId="7A60269B">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400mg/L</w:t>
                  </w:r>
                </w:p>
              </w:tc>
            </w:tr>
            <w:tr w14:paraId="02C6A0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6F79496E">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0C2C9194">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tcBorders>
                    <w:tl2br w:val="nil"/>
                    <w:tr2bl w:val="nil"/>
                  </w:tcBorders>
                  <w:tcMar>
                    <w:left w:w="11" w:type="dxa"/>
                    <w:right w:w="11" w:type="dxa"/>
                  </w:tcMar>
                  <w:vAlign w:val="center"/>
                </w:tcPr>
                <w:p w14:paraId="44291FA3">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BOD</w:t>
                  </w:r>
                  <w:r>
                    <w:rPr>
                      <w:rFonts w:eastAsia="宋体" w:cs="Times New Roman"/>
                      <w:color w:val="auto"/>
                      <w:szCs w:val="21"/>
                      <w:vertAlign w:val="subscript"/>
                    </w:rPr>
                    <w:t>5</w:t>
                  </w:r>
                </w:p>
              </w:tc>
              <w:tc>
                <w:tcPr>
                  <w:tcW w:w="958" w:type="pct"/>
                  <w:vMerge w:val="continue"/>
                  <w:tcBorders>
                    <w:tl2br w:val="nil"/>
                    <w:tr2bl w:val="nil"/>
                  </w:tcBorders>
                  <w:tcMar>
                    <w:left w:w="11" w:type="dxa"/>
                    <w:right w:w="11" w:type="dxa"/>
                  </w:tcMar>
                  <w:vAlign w:val="center"/>
                </w:tcPr>
                <w:p w14:paraId="08CDB420">
                  <w:pPr>
                    <w:adjustRightInd w:val="0"/>
                    <w:snapToGrid w:val="0"/>
                    <w:spacing w:line="240" w:lineRule="auto"/>
                    <w:ind w:left="0" w:leftChars="0" w:right="0" w:rightChars="0" w:firstLine="0" w:firstLineChars="0"/>
                    <w:jc w:val="center"/>
                    <w:rPr>
                      <w:rFonts w:eastAsia="宋体" w:cs="Times New Roman"/>
                      <w:color w:val="auto"/>
                      <w:szCs w:val="21"/>
                    </w:rPr>
                  </w:pPr>
                </w:p>
              </w:tc>
              <w:tc>
                <w:tcPr>
                  <w:tcW w:w="1518" w:type="pct"/>
                  <w:gridSpan w:val="2"/>
                  <w:tcBorders>
                    <w:tl2br w:val="nil"/>
                    <w:tr2bl w:val="nil"/>
                  </w:tcBorders>
                  <w:tcMar>
                    <w:left w:w="11" w:type="dxa"/>
                    <w:right w:w="11" w:type="dxa"/>
                  </w:tcMar>
                  <w:vAlign w:val="center"/>
                </w:tcPr>
                <w:p w14:paraId="672F8066">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300mg/L</w:t>
                  </w:r>
                </w:p>
              </w:tc>
            </w:tr>
            <w:tr w14:paraId="6C1BE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5BF49BEB">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1E1F4651">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tcBorders>
                    <w:tl2br w:val="nil"/>
                    <w:tr2bl w:val="nil"/>
                  </w:tcBorders>
                  <w:tcMar>
                    <w:left w:w="11" w:type="dxa"/>
                    <w:right w:w="11" w:type="dxa"/>
                  </w:tcMar>
                  <w:vAlign w:val="center"/>
                </w:tcPr>
                <w:p w14:paraId="6789385C">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COD</w:t>
                  </w:r>
                </w:p>
              </w:tc>
              <w:tc>
                <w:tcPr>
                  <w:tcW w:w="958" w:type="pct"/>
                  <w:vMerge w:val="continue"/>
                  <w:tcBorders>
                    <w:tl2br w:val="nil"/>
                    <w:tr2bl w:val="nil"/>
                  </w:tcBorders>
                  <w:tcMar>
                    <w:left w:w="11" w:type="dxa"/>
                    <w:right w:w="11" w:type="dxa"/>
                  </w:tcMar>
                  <w:vAlign w:val="center"/>
                </w:tcPr>
                <w:p w14:paraId="07AA63E7">
                  <w:pPr>
                    <w:adjustRightInd w:val="0"/>
                    <w:snapToGrid w:val="0"/>
                    <w:spacing w:line="240" w:lineRule="auto"/>
                    <w:ind w:left="0" w:leftChars="0" w:right="0" w:rightChars="0" w:firstLine="0" w:firstLineChars="0"/>
                    <w:jc w:val="center"/>
                    <w:rPr>
                      <w:rFonts w:eastAsia="宋体" w:cs="Times New Roman"/>
                      <w:color w:val="auto"/>
                      <w:szCs w:val="21"/>
                    </w:rPr>
                  </w:pPr>
                </w:p>
              </w:tc>
              <w:tc>
                <w:tcPr>
                  <w:tcW w:w="1518" w:type="pct"/>
                  <w:gridSpan w:val="2"/>
                  <w:tcBorders>
                    <w:tl2br w:val="nil"/>
                    <w:tr2bl w:val="nil"/>
                  </w:tcBorders>
                  <w:tcMar>
                    <w:left w:w="11" w:type="dxa"/>
                    <w:right w:w="11" w:type="dxa"/>
                  </w:tcMar>
                  <w:vAlign w:val="center"/>
                </w:tcPr>
                <w:p w14:paraId="707A74DE">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500mg/L</w:t>
                  </w:r>
                </w:p>
              </w:tc>
            </w:tr>
            <w:tr w14:paraId="186C39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55CE6CB4">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restart"/>
                  <w:tcBorders>
                    <w:tl2br w:val="nil"/>
                    <w:tr2bl w:val="nil"/>
                  </w:tcBorders>
                  <w:tcMar>
                    <w:left w:w="11" w:type="dxa"/>
                    <w:right w:w="11" w:type="dxa"/>
                  </w:tcMar>
                  <w:vAlign w:val="center"/>
                </w:tcPr>
                <w:p w14:paraId="36C4984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《污水排入城镇下水道水质标准》（GB/T31962-2015）B等级标准</w:t>
                  </w:r>
                </w:p>
              </w:tc>
              <w:tc>
                <w:tcPr>
                  <w:tcW w:w="688" w:type="pct"/>
                  <w:tcBorders>
                    <w:tl2br w:val="nil"/>
                    <w:tr2bl w:val="nil"/>
                  </w:tcBorders>
                  <w:tcMar>
                    <w:left w:w="11" w:type="dxa"/>
                    <w:right w:w="11" w:type="dxa"/>
                  </w:tcMar>
                  <w:vAlign w:val="center"/>
                </w:tcPr>
                <w:p w14:paraId="7186F0AF">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NH</w:t>
                  </w:r>
                  <w:r>
                    <w:rPr>
                      <w:rFonts w:eastAsia="宋体" w:cs="Times New Roman"/>
                      <w:color w:val="auto"/>
                      <w:szCs w:val="21"/>
                      <w:vertAlign w:val="subscript"/>
                    </w:rPr>
                    <w:t>3</w:t>
                  </w:r>
                  <w:r>
                    <w:rPr>
                      <w:rFonts w:eastAsia="宋体" w:cs="Times New Roman"/>
                      <w:color w:val="auto"/>
                      <w:szCs w:val="21"/>
                    </w:rPr>
                    <w:t>-N</w:t>
                  </w:r>
                </w:p>
              </w:tc>
              <w:tc>
                <w:tcPr>
                  <w:tcW w:w="958" w:type="pct"/>
                  <w:vMerge w:val="continue"/>
                  <w:tcBorders>
                    <w:tl2br w:val="nil"/>
                    <w:tr2bl w:val="nil"/>
                  </w:tcBorders>
                  <w:tcMar>
                    <w:left w:w="11" w:type="dxa"/>
                    <w:right w:w="11" w:type="dxa"/>
                  </w:tcMar>
                  <w:vAlign w:val="center"/>
                </w:tcPr>
                <w:p w14:paraId="7F08A65F">
                  <w:pPr>
                    <w:adjustRightInd w:val="0"/>
                    <w:snapToGrid w:val="0"/>
                    <w:spacing w:line="240" w:lineRule="auto"/>
                    <w:ind w:left="0" w:leftChars="0" w:right="0" w:rightChars="0" w:firstLine="0" w:firstLineChars="0"/>
                    <w:jc w:val="center"/>
                    <w:rPr>
                      <w:rFonts w:eastAsia="宋体" w:cs="Times New Roman"/>
                      <w:color w:val="auto"/>
                      <w:szCs w:val="21"/>
                    </w:rPr>
                  </w:pPr>
                </w:p>
              </w:tc>
              <w:tc>
                <w:tcPr>
                  <w:tcW w:w="1518" w:type="pct"/>
                  <w:gridSpan w:val="2"/>
                  <w:tcBorders>
                    <w:tl2br w:val="nil"/>
                    <w:tr2bl w:val="nil"/>
                  </w:tcBorders>
                  <w:tcMar>
                    <w:left w:w="11" w:type="dxa"/>
                    <w:right w:w="11" w:type="dxa"/>
                  </w:tcMar>
                  <w:vAlign w:val="center"/>
                </w:tcPr>
                <w:p w14:paraId="0CE9A61D">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45mg/L</w:t>
                  </w:r>
                </w:p>
              </w:tc>
            </w:tr>
            <w:tr w14:paraId="420D2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1C071D74">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3CC38BC4">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tcBorders>
                    <w:tl2br w:val="nil"/>
                    <w:tr2bl w:val="nil"/>
                  </w:tcBorders>
                  <w:tcMar>
                    <w:left w:w="11" w:type="dxa"/>
                    <w:right w:w="11" w:type="dxa"/>
                  </w:tcMar>
                  <w:vAlign w:val="center"/>
                </w:tcPr>
                <w:p w14:paraId="14BB8EE7">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总氮</w:t>
                  </w:r>
                </w:p>
              </w:tc>
              <w:tc>
                <w:tcPr>
                  <w:tcW w:w="958" w:type="pct"/>
                  <w:vMerge w:val="continue"/>
                  <w:tcBorders>
                    <w:tl2br w:val="nil"/>
                    <w:tr2bl w:val="nil"/>
                  </w:tcBorders>
                  <w:tcMar>
                    <w:left w:w="11" w:type="dxa"/>
                    <w:right w:w="11" w:type="dxa"/>
                  </w:tcMar>
                  <w:vAlign w:val="center"/>
                </w:tcPr>
                <w:p w14:paraId="05F2C1DA">
                  <w:pPr>
                    <w:adjustRightInd w:val="0"/>
                    <w:snapToGrid w:val="0"/>
                    <w:spacing w:line="240" w:lineRule="auto"/>
                    <w:ind w:left="0" w:leftChars="0" w:right="0" w:rightChars="0" w:firstLine="0" w:firstLineChars="0"/>
                    <w:jc w:val="center"/>
                    <w:rPr>
                      <w:rFonts w:eastAsia="宋体" w:cs="Times New Roman"/>
                      <w:color w:val="auto"/>
                      <w:szCs w:val="21"/>
                    </w:rPr>
                  </w:pPr>
                </w:p>
              </w:tc>
              <w:tc>
                <w:tcPr>
                  <w:tcW w:w="1518" w:type="pct"/>
                  <w:gridSpan w:val="2"/>
                  <w:tcBorders>
                    <w:tl2br w:val="nil"/>
                    <w:tr2bl w:val="nil"/>
                  </w:tcBorders>
                  <w:tcMar>
                    <w:left w:w="11" w:type="dxa"/>
                    <w:right w:w="11" w:type="dxa"/>
                  </w:tcMar>
                  <w:vAlign w:val="center"/>
                </w:tcPr>
                <w:p w14:paraId="4F112E8D">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70mg/L</w:t>
                  </w:r>
                </w:p>
              </w:tc>
            </w:tr>
            <w:tr w14:paraId="70EEFA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05CDDB90">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05077830">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tcBorders>
                    <w:tl2br w:val="nil"/>
                    <w:tr2bl w:val="nil"/>
                  </w:tcBorders>
                  <w:tcMar>
                    <w:left w:w="11" w:type="dxa"/>
                    <w:right w:w="11" w:type="dxa"/>
                  </w:tcMar>
                  <w:vAlign w:val="center"/>
                </w:tcPr>
                <w:p w14:paraId="148444CB">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总磷</w:t>
                  </w:r>
                </w:p>
              </w:tc>
              <w:tc>
                <w:tcPr>
                  <w:tcW w:w="958" w:type="pct"/>
                  <w:vMerge w:val="continue"/>
                  <w:tcBorders>
                    <w:tl2br w:val="nil"/>
                    <w:tr2bl w:val="nil"/>
                  </w:tcBorders>
                  <w:tcMar>
                    <w:left w:w="11" w:type="dxa"/>
                    <w:right w:w="11" w:type="dxa"/>
                  </w:tcMar>
                  <w:vAlign w:val="center"/>
                </w:tcPr>
                <w:p w14:paraId="6623BFFB">
                  <w:pPr>
                    <w:adjustRightInd w:val="0"/>
                    <w:snapToGrid w:val="0"/>
                    <w:spacing w:line="240" w:lineRule="auto"/>
                    <w:ind w:left="0" w:leftChars="0" w:right="0" w:rightChars="0" w:firstLine="0" w:firstLineChars="0"/>
                    <w:jc w:val="center"/>
                    <w:rPr>
                      <w:rFonts w:eastAsia="宋体" w:cs="Times New Roman"/>
                      <w:color w:val="auto"/>
                      <w:szCs w:val="21"/>
                    </w:rPr>
                  </w:pPr>
                </w:p>
              </w:tc>
              <w:tc>
                <w:tcPr>
                  <w:tcW w:w="1518" w:type="pct"/>
                  <w:gridSpan w:val="2"/>
                  <w:tcBorders>
                    <w:tl2br w:val="nil"/>
                    <w:tr2bl w:val="nil"/>
                  </w:tcBorders>
                  <w:tcMar>
                    <w:left w:w="11" w:type="dxa"/>
                    <w:right w:w="11" w:type="dxa"/>
                  </w:tcMar>
                  <w:vAlign w:val="center"/>
                </w:tcPr>
                <w:p w14:paraId="12F37A77">
                  <w:pPr>
                    <w:widowControl/>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8mg/L</w:t>
                  </w:r>
                </w:p>
              </w:tc>
            </w:tr>
            <w:tr w14:paraId="1DD72A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restart"/>
                  <w:tcBorders>
                    <w:tl2br w:val="nil"/>
                    <w:tr2bl w:val="nil"/>
                  </w:tcBorders>
                  <w:tcMar>
                    <w:left w:w="11" w:type="dxa"/>
                    <w:right w:w="11" w:type="dxa"/>
                  </w:tcMar>
                  <w:vAlign w:val="center"/>
                </w:tcPr>
                <w:p w14:paraId="3FAFC362">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施工</w:t>
                  </w:r>
                </w:p>
                <w:p w14:paraId="703CFFC7">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噪声</w:t>
                  </w:r>
                </w:p>
              </w:tc>
              <w:tc>
                <w:tcPr>
                  <w:tcW w:w="1384" w:type="pct"/>
                  <w:vMerge w:val="restart"/>
                  <w:tcBorders>
                    <w:tl2br w:val="nil"/>
                    <w:tr2bl w:val="nil"/>
                  </w:tcBorders>
                  <w:tcMar>
                    <w:left w:w="11" w:type="dxa"/>
                    <w:right w:w="11" w:type="dxa"/>
                  </w:tcMar>
                  <w:vAlign w:val="center"/>
                </w:tcPr>
                <w:p w14:paraId="1E3BB8A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《建筑施工场界环境噪声排放标准》（GB12523-2011）</w:t>
                  </w:r>
                </w:p>
              </w:tc>
              <w:tc>
                <w:tcPr>
                  <w:tcW w:w="688" w:type="pct"/>
                  <w:vMerge w:val="restart"/>
                  <w:tcBorders>
                    <w:tl2br w:val="nil"/>
                    <w:tr2bl w:val="nil"/>
                  </w:tcBorders>
                  <w:tcMar>
                    <w:left w:w="11" w:type="dxa"/>
                    <w:right w:w="11" w:type="dxa"/>
                  </w:tcMar>
                  <w:vAlign w:val="center"/>
                </w:tcPr>
                <w:p w14:paraId="325E11BF">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等效A声级</w:t>
                  </w:r>
                </w:p>
              </w:tc>
              <w:tc>
                <w:tcPr>
                  <w:tcW w:w="958" w:type="pct"/>
                  <w:vMerge w:val="restart"/>
                  <w:tcBorders>
                    <w:tl2br w:val="nil"/>
                    <w:tr2bl w:val="nil"/>
                  </w:tcBorders>
                  <w:tcMar>
                    <w:left w:w="11" w:type="dxa"/>
                    <w:right w:w="11" w:type="dxa"/>
                  </w:tcMar>
                  <w:vAlign w:val="center"/>
                </w:tcPr>
                <w:p w14:paraId="6BC44B9F">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施工</w:t>
                  </w:r>
                </w:p>
                <w:p w14:paraId="2F542E6F">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场界</w:t>
                  </w:r>
                </w:p>
              </w:tc>
              <w:tc>
                <w:tcPr>
                  <w:tcW w:w="677" w:type="pct"/>
                  <w:tcBorders>
                    <w:tl2br w:val="nil"/>
                    <w:tr2bl w:val="nil"/>
                  </w:tcBorders>
                  <w:vAlign w:val="center"/>
                </w:tcPr>
                <w:p w14:paraId="2964E059">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昼间</w:t>
                  </w:r>
                </w:p>
              </w:tc>
              <w:tc>
                <w:tcPr>
                  <w:tcW w:w="841" w:type="pct"/>
                  <w:tcBorders>
                    <w:tl2br w:val="nil"/>
                    <w:tr2bl w:val="nil"/>
                  </w:tcBorders>
                  <w:tcMar>
                    <w:left w:w="11" w:type="dxa"/>
                    <w:right w:w="11" w:type="dxa"/>
                  </w:tcMar>
                  <w:vAlign w:val="center"/>
                </w:tcPr>
                <w:p w14:paraId="62AA0EFE">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70dB(A)</w:t>
                  </w:r>
                </w:p>
              </w:tc>
            </w:tr>
            <w:tr w14:paraId="723558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1A86036B">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058A93AF">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vMerge w:val="continue"/>
                  <w:tcBorders>
                    <w:tl2br w:val="nil"/>
                    <w:tr2bl w:val="nil"/>
                  </w:tcBorders>
                  <w:tcMar>
                    <w:left w:w="11" w:type="dxa"/>
                    <w:right w:w="11" w:type="dxa"/>
                  </w:tcMar>
                  <w:vAlign w:val="center"/>
                </w:tcPr>
                <w:p w14:paraId="3088B56A">
                  <w:pPr>
                    <w:adjustRightInd w:val="0"/>
                    <w:snapToGrid w:val="0"/>
                    <w:spacing w:line="240" w:lineRule="auto"/>
                    <w:ind w:left="0" w:leftChars="0" w:right="0" w:rightChars="0" w:firstLine="0" w:firstLineChars="0"/>
                    <w:jc w:val="center"/>
                    <w:rPr>
                      <w:rFonts w:eastAsia="宋体" w:cs="Times New Roman"/>
                      <w:color w:val="auto"/>
                      <w:szCs w:val="21"/>
                    </w:rPr>
                  </w:pPr>
                </w:p>
              </w:tc>
              <w:tc>
                <w:tcPr>
                  <w:tcW w:w="958" w:type="pct"/>
                  <w:vMerge w:val="continue"/>
                  <w:tcBorders>
                    <w:tl2br w:val="nil"/>
                    <w:tr2bl w:val="nil"/>
                  </w:tcBorders>
                  <w:tcMar>
                    <w:left w:w="11" w:type="dxa"/>
                    <w:right w:w="11" w:type="dxa"/>
                  </w:tcMar>
                  <w:vAlign w:val="center"/>
                </w:tcPr>
                <w:p w14:paraId="453E0A18">
                  <w:pPr>
                    <w:adjustRightInd w:val="0"/>
                    <w:snapToGrid w:val="0"/>
                    <w:spacing w:line="240" w:lineRule="auto"/>
                    <w:ind w:left="0" w:leftChars="0" w:right="0" w:rightChars="0" w:firstLine="0" w:firstLineChars="0"/>
                    <w:jc w:val="center"/>
                    <w:rPr>
                      <w:rFonts w:eastAsia="宋体" w:cs="Times New Roman"/>
                      <w:color w:val="auto"/>
                      <w:szCs w:val="21"/>
                    </w:rPr>
                  </w:pPr>
                </w:p>
              </w:tc>
              <w:tc>
                <w:tcPr>
                  <w:tcW w:w="677" w:type="pct"/>
                  <w:tcBorders>
                    <w:tl2br w:val="nil"/>
                    <w:tr2bl w:val="nil"/>
                  </w:tcBorders>
                  <w:vAlign w:val="center"/>
                </w:tcPr>
                <w:p w14:paraId="61D3D08A">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夜间</w:t>
                  </w:r>
                </w:p>
              </w:tc>
              <w:tc>
                <w:tcPr>
                  <w:tcW w:w="841" w:type="pct"/>
                  <w:tcBorders>
                    <w:tl2br w:val="nil"/>
                    <w:tr2bl w:val="nil"/>
                  </w:tcBorders>
                  <w:tcMar>
                    <w:left w:w="11" w:type="dxa"/>
                    <w:right w:w="11" w:type="dxa"/>
                  </w:tcMar>
                  <w:vAlign w:val="center"/>
                </w:tcPr>
                <w:p w14:paraId="112E1DB5">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55dB(A)</w:t>
                  </w:r>
                </w:p>
              </w:tc>
            </w:tr>
            <w:tr w14:paraId="3B2BBB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restart"/>
                  <w:tcBorders>
                    <w:tl2br w:val="nil"/>
                    <w:tr2bl w:val="nil"/>
                  </w:tcBorders>
                  <w:tcMar>
                    <w:left w:w="11" w:type="dxa"/>
                    <w:right w:w="11" w:type="dxa"/>
                  </w:tcMar>
                  <w:vAlign w:val="center"/>
                </w:tcPr>
                <w:p w14:paraId="41EEDDA0">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运营期</w:t>
                  </w:r>
                </w:p>
                <w:p w14:paraId="38340AB5">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噪声</w:t>
                  </w:r>
                </w:p>
              </w:tc>
              <w:tc>
                <w:tcPr>
                  <w:tcW w:w="1384" w:type="pct"/>
                  <w:vMerge w:val="restart"/>
                  <w:tcBorders>
                    <w:tl2br w:val="nil"/>
                    <w:tr2bl w:val="nil"/>
                  </w:tcBorders>
                  <w:tcMar>
                    <w:left w:w="11" w:type="dxa"/>
                    <w:right w:w="11" w:type="dxa"/>
                  </w:tcMar>
                  <w:vAlign w:val="center"/>
                </w:tcPr>
                <w:p w14:paraId="18C77028">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《工业企业厂界环境噪声排放标准》（GB12348-2008）2类标准</w:t>
                  </w:r>
                </w:p>
              </w:tc>
              <w:tc>
                <w:tcPr>
                  <w:tcW w:w="688" w:type="pct"/>
                  <w:vMerge w:val="restart"/>
                  <w:tcBorders>
                    <w:tl2br w:val="nil"/>
                    <w:tr2bl w:val="nil"/>
                  </w:tcBorders>
                  <w:tcMar>
                    <w:left w:w="11" w:type="dxa"/>
                    <w:right w:w="11" w:type="dxa"/>
                  </w:tcMar>
                  <w:vAlign w:val="center"/>
                </w:tcPr>
                <w:p w14:paraId="7045877D">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等效A声级</w:t>
                  </w:r>
                </w:p>
              </w:tc>
              <w:tc>
                <w:tcPr>
                  <w:tcW w:w="958" w:type="pct"/>
                  <w:vMerge w:val="restart"/>
                  <w:tcBorders>
                    <w:tl2br w:val="nil"/>
                    <w:tr2bl w:val="nil"/>
                  </w:tcBorders>
                  <w:tcMar>
                    <w:left w:w="11" w:type="dxa"/>
                    <w:right w:w="11" w:type="dxa"/>
                  </w:tcMar>
                  <w:vAlign w:val="center"/>
                </w:tcPr>
                <w:p w14:paraId="6AD77256">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厂界</w:t>
                  </w:r>
                </w:p>
              </w:tc>
              <w:tc>
                <w:tcPr>
                  <w:tcW w:w="677" w:type="pct"/>
                  <w:tcBorders>
                    <w:tl2br w:val="nil"/>
                    <w:tr2bl w:val="nil"/>
                  </w:tcBorders>
                  <w:vAlign w:val="center"/>
                </w:tcPr>
                <w:p w14:paraId="06DC4EE1">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昼间</w:t>
                  </w:r>
                </w:p>
              </w:tc>
              <w:tc>
                <w:tcPr>
                  <w:tcW w:w="841" w:type="pct"/>
                  <w:tcBorders>
                    <w:tl2br w:val="nil"/>
                    <w:tr2bl w:val="nil"/>
                  </w:tcBorders>
                  <w:tcMar>
                    <w:left w:w="11" w:type="dxa"/>
                    <w:right w:w="11" w:type="dxa"/>
                  </w:tcMar>
                  <w:vAlign w:val="center"/>
                </w:tcPr>
                <w:p w14:paraId="12B9411B">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65</w:t>
                  </w:r>
                  <w:r>
                    <w:rPr>
                      <w:rFonts w:eastAsia="宋体" w:cs="Times New Roman"/>
                      <w:color w:val="auto"/>
                      <w:szCs w:val="21"/>
                    </w:rPr>
                    <w:t>dB(A)</w:t>
                  </w:r>
                </w:p>
              </w:tc>
            </w:tr>
            <w:tr w14:paraId="56011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tcBorders>
                    <w:tl2br w:val="nil"/>
                    <w:tr2bl w:val="nil"/>
                  </w:tcBorders>
                  <w:tcMar>
                    <w:left w:w="11" w:type="dxa"/>
                    <w:right w:w="11" w:type="dxa"/>
                  </w:tcMar>
                  <w:vAlign w:val="center"/>
                </w:tcPr>
                <w:p w14:paraId="2225E808">
                  <w:pPr>
                    <w:adjustRightInd w:val="0"/>
                    <w:snapToGrid w:val="0"/>
                    <w:spacing w:line="240" w:lineRule="auto"/>
                    <w:ind w:left="0" w:leftChars="0" w:right="0" w:rightChars="0" w:firstLine="0" w:firstLineChars="0"/>
                    <w:jc w:val="center"/>
                    <w:rPr>
                      <w:rFonts w:eastAsia="宋体" w:cs="Times New Roman"/>
                      <w:color w:val="auto"/>
                      <w:szCs w:val="21"/>
                    </w:rPr>
                  </w:pPr>
                </w:p>
              </w:tc>
              <w:tc>
                <w:tcPr>
                  <w:tcW w:w="1384" w:type="pct"/>
                  <w:vMerge w:val="continue"/>
                  <w:tcBorders>
                    <w:tl2br w:val="nil"/>
                    <w:tr2bl w:val="nil"/>
                  </w:tcBorders>
                  <w:tcMar>
                    <w:left w:w="11" w:type="dxa"/>
                    <w:right w:w="11" w:type="dxa"/>
                  </w:tcMar>
                  <w:vAlign w:val="center"/>
                </w:tcPr>
                <w:p w14:paraId="0F49A3F3">
                  <w:pPr>
                    <w:adjustRightInd w:val="0"/>
                    <w:snapToGrid w:val="0"/>
                    <w:spacing w:line="240" w:lineRule="auto"/>
                    <w:ind w:left="0" w:leftChars="0" w:right="0" w:rightChars="0" w:firstLine="0" w:firstLineChars="0"/>
                    <w:jc w:val="center"/>
                    <w:rPr>
                      <w:rFonts w:eastAsia="宋体" w:cs="Times New Roman"/>
                      <w:color w:val="auto"/>
                      <w:szCs w:val="21"/>
                    </w:rPr>
                  </w:pPr>
                </w:p>
              </w:tc>
              <w:tc>
                <w:tcPr>
                  <w:tcW w:w="688" w:type="pct"/>
                  <w:vMerge w:val="continue"/>
                  <w:tcBorders>
                    <w:tl2br w:val="nil"/>
                    <w:tr2bl w:val="nil"/>
                  </w:tcBorders>
                  <w:tcMar>
                    <w:left w:w="11" w:type="dxa"/>
                    <w:right w:w="11" w:type="dxa"/>
                  </w:tcMar>
                  <w:vAlign w:val="center"/>
                </w:tcPr>
                <w:p w14:paraId="776C01D7">
                  <w:pPr>
                    <w:adjustRightInd w:val="0"/>
                    <w:snapToGrid w:val="0"/>
                    <w:spacing w:line="240" w:lineRule="auto"/>
                    <w:ind w:left="0" w:leftChars="0" w:right="0" w:rightChars="0" w:firstLine="0" w:firstLineChars="0"/>
                    <w:jc w:val="center"/>
                    <w:rPr>
                      <w:rFonts w:eastAsia="宋体" w:cs="Times New Roman"/>
                      <w:color w:val="auto"/>
                      <w:szCs w:val="21"/>
                    </w:rPr>
                  </w:pPr>
                </w:p>
              </w:tc>
              <w:tc>
                <w:tcPr>
                  <w:tcW w:w="958" w:type="pct"/>
                  <w:vMerge w:val="continue"/>
                  <w:tcBorders>
                    <w:tl2br w:val="nil"/>
                    <w:tr2bl w:val="nil"/>
                  </w:tcBorders>
                  <w:tcMar>
                    <w:left w:w="11" w:type="dxa"/>
                    <w:right w:w="11" w:type="dxa"/>
                  </w:tcMar>
                  <w:vAlign w:val="center"/>
                </w:tcPr>
                <w:p w14:paraId="2B626C85">
                  <w:pPr>
                    <w:adjustRightInd w:val="0"/>
                    <w:snapToGrid w:val="0"/>
                    <w:spacing w:line="240" w:lineRule="auto"/>
                    <w:ind w:left="0" w:leftChars="0" w:right="0" w:rightChars="0" w:firstLine="0" w:firstLineChars="0"/>
                    <w:jc w:val="center"/>
                    <w:rPr>
                      <w:rFonts w:eastAsia="宋体" w:cs="Times New Roman"/>
                      <w:color w:val="auto"/>
                      <w:szCs w:val="21"/>
                    </w:rPr>
                  </w:pPr>
                </w:p>
              </w:tc>
              <w:tc>
                <w:tcPr>
                  <w:tcW w:w="677" w:type="pct"/>
                  <w:tcBorders>
                    <w:tl2br w:val="nil"/>
                    <w:tr2bl w:val="nil"/>
                  </w:tcBorders>
                  <w:vAlign w:val="center"/>
                </w:tcPr>
                <w:p w14:paraId="49E17A3B">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夜间</w:t>
                  </w:r>
                </w:p>
              </w:tc>
              <w:tc>
                <w:tcPr>
                  <w:tcW w:w="841" w:type="pct"/>
                  <w:tcBorders>
                    <w:tl2br w:val="nil"/>
                    <w:tr2bl w:val="nil"/>
                  </w:tcBorders>
                  <w:tcMar>
                    <w:left w:w="11" w:type="dxa"/>
                    <w:right w:w="11" w:type="dxa"/>
                  </w:tcMar>
                  <w:vAlign w:val="center"/>
                </w:tcPr>
                <w:p w14:paraId="6EEF40D4">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55</w:t>
                  </w:r>
                  <w:r>
                    <w:rPr>
                      <w:rFonts w:eastAsia="宋体" w:cs="Times New Roman"/>
                      <w:color w:val="auto"/>
                      <w:szCs w:val="21"/>
                    </w:rPr>
                    <w:t>dB(A)</w:t>
                  </w:r>
                </w:p>
              </w:tc>
            </w:tr>
            <w:tr w14:paraId="5BF394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tcBorders>
                    <w:tl2br w:val="nil"/>
                    <w:tr2bl w:val="nil"/>
                  </w:tcBorders>
                  <w:tcMar>
                    <w:left w:w="11" w:type="dxa"/>
                    <w:right w:w="11" w:type="dxa"/>
                  </w:tcMar>
                  <w:vAlign w:val="center"/>
                </w:tcPr>
                <w:p w14:paraId="41FF7011">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固废</w:t>
                  </w:r>
                </w:p>
              </w:tc>
              <w:tc>
                <w:tcPr>
                  <w:tcW w:w="4548" w:type="pct"/>
                  <w:gridSpan w:val="5"/>
                  <w:tcBorders>
                    <w:tl2br w:val="nil"/>
                    <w:tr2bl w:val="nil"/>
                  </w:tcBorders>
                  <w:tcMar>
                    <w:left w:w="11" w:type="dxa"/>
                    <w:right w:w="11" w:type="dxa"/>
                  </w:tcMar>
                  <w:vAlign w:val="center"/>
                </w:tcPr>
                <w:p w14:paraId="0681270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一般工业固废执行《</w:t>
                  </w:r>
                  <w:r>
                    <w:rPr>
                      <w:rFonts w:eastAsia="宋体" w:cs="Times New Roman"/>
                      <w:color w:val="auto"/>
                      <w:szCs w:val="21"/>
                      <w:lang w:val="en-GB" w:eastAsia="zh-CN"/>
                    </w:rPr>
                    <w:t>一般工业固体废物贮存和填埋污染控制标准》（GB18599-2020）中有关规定，危险废物执行《危险废物贮存污染控制标准》（GB18597-2023）的有关规定。</w:t>
                  </w:r>
                </w:p>
              </w:tc>
            </w:tr>
          </w:tbl>
          <w:p w14:paraId="69A9E3A3">
            <w:pPr>
              <w:pStyle w:val="2"/>
              <w:ind w:left="0" w:leftChars="0" w:firstLine="0" w:firstLineChars="0"/>
              <w:jc w:val="both"/>
              <w:outlineLvl w:val="1"/>
              <w:rPr>
                <w:rFonts w:ascii="Times New Roman" w:hAnsi="Times New Roman" w:eastAsia="宋体" w:cs="Times New Roman"/>
                <w:color w:val="auto"/>
                <w:sz w:val="24"/>
                <w:szCs w:val="24"/>
                <w:lang w:eastAsia="zh-CN"/>
              </w:rPr>
            </w:pPr>
          </w:p>
        </w:tc>
      </w:tr>
      <w:tr w14:paraId="3ECF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 w:type="pct"/>
            <w:vAlign w:val="center"/>
          </w:tcPr>
          <w:p w14:paraId="0B38FCB0">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总</w:t>
            </w:r>
          </w:p>
          <w:p w14:paraId="42C8A861">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量</w:t>
            </w:r>
          </w:p>
          <w:p w14:paraId="3E7B4D86">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控</w:t>
            </w:r>
          </w:p>
          <w:p w14:paraId="440A0364">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制</w:t>
            </w:r>
          </w:p>
          <w:p w14:paraId="0D1E388D">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指</w:t>
            </w:r>
          </w:p>
          <w:p w14:paraId="1B7ED845">
            <w:pPr>
              <w:pStyle w:val="38"/>
              <w:spacing w:line="240" w:lineRule="auto"/>
              <w:ind w:firstLine="0" w:firstLineChars="0"/>
              <w:jc w:val="center"/>
              <w:rPr>
                <w:rFonts w:eastAsia="宋体" w:cs="Times New Roman"/>
                <w:b/>
                <w:bCs/>
                <w:color w:val="auto"/>
                <w:sz w:val="24"/>
                <w:szCs w:val="24"/>
              </w:rPr>
            </w:pPr>
            <w:r>
              <w:rPr>
                <w:rFonts w:eastAsia="宋体" w:cs="Times New Roman"/>
                <w:b/>
                <w:bCs/>
                <w:color w:val="auto"/>
                <w:sz w:val="24"/>
                <w:szCs w:val="24"/>
              </w:rPr>
              <w:t>标</w:t>
            </w:r>
          </w:p>
        </w:tc>
        <w:tc>
          <w:tcPr>
            <w:tcW w:w="4671" w:type="pct"/>
          </w:tcPr>
          <w:p w14:paraId="05B93A71">
            <w:pPr>
              <w:pStyle w:val="35"/>
              <w:spacing w:line="360" w:lineRule="auto"/>
              <w:ind w:firstLine="480" w:firstLineChars="200"/>
              <w:jc w:val="both"/>
              <w:rPr>
                <w:rFonts w:ascii="Times New Roman" w:cs="Times New Roman"/>
                <w:color w:val="auto"/>
                <w:kern w:val="2"/>
              </w:rPr>
            </w:pPr>
            <w:r>
              <w:rPr>
                <w:rFonts w:ascii="Times New Roman" w:cs="Times New Roman"/>
                <w:color w:val="auto"/>
              </w:rPr>
              <w:t>根据陕西省十四五生态环境规划，污染物排放总量指标为：化学需氧量、氨氮及氮氧化物，实施重点行业挥发性有机物（VOCS）总量控制</w:t>
            </w:r>
            <w:r>
              <w:rPr>
                <w:rFonts w:ascii="Times New Roman" w:cs="Times New Roman"/>
                <w:color w:val="auto"/>
                <w:kern w:val="2"/>
              </w:rPr>
              <w:t>。</w:t>
            </w:r>
          </w:p>
          <w:p w14:paraId="3BCF1EC9">
            <w:pPr>
              <w:pStyle w:val="35"/>
              <w:spacing w:line="360" w:lineRule="auto"/>
              <w:ind w:firstLine="480" w:firstLineChars="200"/>
              <w:jc w:val="both"/>
              <w:rPr>
                <w:rFonts w:ascii="Times New Roman" w:cs="Times New Roman"/>
                <w:color w:val="auto"/>
              </w:rPr>
            </w:pPr>
            <w:r>
              <w:rPr>
                <w:rFonts w:ascii="Times New Roman" w:cs="Times New Roman"/>
                <w:color w:val="auto"/>
              </w:rPr>
              <w:t>根据《排污许可证申请与核发技术规范 总则》（HJ 942-2018）以及《排污许可证申请与核发技术规范 家具制造工业》（HJ1027-2019），本项目废气和废水排放口均为一般排放口，因此废气和废水不许可排放量，只许可排放浓度。</w:t>
            </w:r>
          </w:p>
          <w:p w14:paraId="746DA2EF">
            <w:pPr>
              <w:ind w:left="0" w:leftChars="0" w:right="0" w:rightChars="0" w:firstLine="480"/>
              <w:jc w:val="both"/>
              <w:rPr>
                <w:rFonts w:ascii="Times New Roman" w:hAnsi="Times New Roman" w:eastAsia="宋体" w:cs="Times New Roman"/>
                <w:color w:val="auto"/>
                <w:sz w:val="24"/>
                <w:szCs w:val="24"/>
                <w:lang w:eastAsia="zh-CN"/>
              </w:rPr>
            </w:pPr>
            <w:r>
              <w:rPr>
                <w:rFonts w:eastAsia="宋体" w:cs="Times New Roman"/>
                <w:color w:val="auto"/>
                <w:sz w:val="24"/>
                <w:lang w:eastAsia="zh-CN"/>
              </w:rPr>
              <w:t>本项目涉及总量控制污染物产生与排放情况见下表。</w:t>
            </w:r>
          </w:p>
        </w:tc>
      </w:tr>
      <w:tr w14:paraId="108D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8" w:type="pct"/>
            <w:vAlign w:val="center"/>
          </w:tcPr>
          <w:p w14:paraId="489F40AB">
            <w:pPr>
              <w:pStyle w:val="38"/>
              <w:spacing w:line="240" w:lineRule="auto"/>
              <w:ind w:firstLine="0" w:firstLineChars="0"/>
              <w:jc w:val="center"/>
              <w:rPr>
                <w:rFonts w:eastAsia="宋体" w:cs="Times New Roman"/>
                <w:color w:val="auto"/>
                <w:szCs w:val="21"/>
              </w:rPr>
            </w:pPr>
          </w:p>
        </w:tc>
        <w:tc>
          <w:tcPr>
            <w:tcW w:w="4671" w:type="pct"/>
            <w:vAlign w:val="center"/>
          </w:tcPr>
          <w:p w14:paraId="4FEA0180">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p>
          <w:p w14:paraId="53A6DE8C">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表3-8    项目</w:t>
            </w:r>
            <w:r>
              <w:rPr>
                <w:rFonts w:hint="eastAsia" w:eastAsia="宋体" w:cs="Times New Roman"/>
                <w:b/>
                <w:bCs/>
                <w:color w:val="auto"/>
                <w:szCs w:val="21"/>
                <w:lang w:eastAsia="zh-CN"/>
              </w:rPr>
              <w:t>涉及</w:t>
            </w:r>
            <w:r>
              <w:rPr>
                <w:rFonts w:eastAsia="宋体" w:cs="Times New Roman"/>
                <w:b/>
                <w:bCs/>
                <w:color w:val="auto"/>
                <w:szCs w:val="21"/>
                <w:lang w:eastAsia="zh-CN"/>
              </w:rPr>
              <w:t>总量控制指标</w:t>
            </w:r>
            <w:r>
              <w:rPr>
                <w:rFonts w:hint="eastAsia" w:eastAsia="宋体" w:cs="Times New Roman"/>
                <w:b/>
                <w:bCs/>
                <w:color w:val="auto"/>
                <w:szCs w:val="21"/>
                <w:lang w:eastAsia="zh-CN"/>
              </w:rPr>
              <w:t>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76"/>
              <w:gridCol w:w="1365"/>
              <w:gridCol w:w="929"/>
              <w:gridCol w:w="1071"/>
              <w:gridCol w:w="1355"/>
              <w:gridCol w:w="1500"/>
              <w:gridCol w:w="1449"/>
            </w:tblGrid>
            <w:tr w14:paraId="4DFF6EE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l2br w:val="nil"/>
                    <w:tr2bl w:val="nil"/>
                  </w:tcBorders>
                  <w:vAlign w:val="center"/>
                </w:tcPr>
                <w:p w14:paraId="35AA2EA8">
                  <w:pPr>
                    <w:adjustRightInd w:val="0"/>
                    <w:snapToGrid w:val="0"/>
                    <w:spacing w:line="240" w:lineRule="auto"/>
                    <w:ind w:left="0" w:leftChars="0" w:right="0" w:rightChars="0" w:firstLine="0" w:firstLineChars="0"/>
                    <w:jc w:val="center"/>
                    <w:rPr>
                      <w:rFonts w:cs="Times New Roman"/>
                      <w:b/>
                      <w:bCs/>
                      <w:snapToGrid w:val="0"/>
                      <w:color w:val="auto"/>
                      <w:szCs w:val="21"/>
                    </w:rPr>
                  </w:pPr>
                  <w:r>
                    <w:rPr>
                      <w:rFonts w:cs="Times New Roman"/>
                      <w:b/>
                      <w:bCs/>
                      <w:snapToGrid w:val="0"/>
                      <w:color w:val="auto"/>
                      <w:szCs w:val="21"/>
                    </w:rPr>
                    <w:t>污染物类别</w:t>
                  </w:r>
                </w:p>
              </w:tc>
              <w:tc>
                <w:tcPr>
                  <w:tcW w:w="798" w:type="pct"/>
                  <w:tcBorders>
                    <w:tl2br w:val="nil"/>
                    <w:tr2bl w:val="nil"/>
                  </w:tcBorders>
                  <w:vAlign w:val="center"/>
                </w:tcPr>
                <w:p w14:paraId="2F1BD495">
                  <w:pPr>
                    <w:adjustRightInd w:val="0"/>
                    <w:snapToGrid w:val="0"/>
                    <w:spacing w:line="240" w:lineRule="auto"/>
                    <w:ind w:left="0" w:leftChars="0" w:right="0" w:rightChars="0" w:firstLine="0" w:firstLineChars="0"/>
                    <w:jc w:val="center"/>
                    <w:rPr>
                      <w:rFonts w:cs="Times New Roman"/>
                      <w:b/>
                      <w:bCs/>
                      <w:snapToGrid w:val="0"/>
                      <w:color w:val="auto"/>
                      <w:szCs w:val="21"/>
                    </w:rPr>
                  </w:pPr>
                  <w:r>
                    <w:rPr>
                      <w:rFonts w:cs="Times New Roman"/>
                      <w:b/>
                      <w:bCs/>
                      <w:snapToGrid w:val="0"/>
                      <w:color w:val="auto"/>
                      <w:szCs w:val="21"/>
                    </w:rPr>
                    <w:t>污染物名称</w:t>
                  </w:r>
                </w:p>
              </w:tc>
              <w:tc>
                <w:tcPr>
                  <w:tcW w:w="543" w:type="pct"/>
                  <w:tcBorders>
                    <w:tl2br w:val="nil"/>
                    <w:tr2bl w:val="nil"/>
                  </w:tcBorders>
                  <w:vAlign w:val="center"/>
                </w:tcPr>
                <w:p w14:paraId="07E1CA3E">
                  <w:pPr>
                    <w:adjustRightInd w:val="0"/>
                    <w:snapToGrid w:val="0"/>
                    <w:spacing w:line="240" w:lineRule="auto"/>
                    <w:ind w:left="0" w:leftChars="0" w:right="0" w:rightChars="0" w:firstLine="0" w:firstLineChars="0"/>
                    <w:jc w:val="center"/>
                    <w:rPr>
                      <w:rFonts w:cs="Times New Roman"/>
                      <w:b/>
                      <w:bCs/>
                      <w:snapToGrid w:val="0"/>
                      <w:color w:val="auto"/>
                      <w:szCs w:val="21"/>
                      <w:lang w:eastAsia="zh-CN"/>
                    </w:rPr>
                  </w:pPr>
                  <w:r>
                    <w:rPr>
                      <w:rFonts w:hint="eastAsia" w:cs="Times New Roman"/>
                      <w:b/>
                      <w:bCs/>
                      <w:snapToGrid w:val="0"/>
                      <w:color w:val="auto"/>
                      <w:szCs w:val="21"/>
                      <w:lang w:eastAsia="zh-CN"/>
                    </w:rPr>
                    <w:t>扩建前t/a</w:t>
                  </w:r>
                </w:p>
              </w:tc>
              <w:tc>
                <w:tcPr>
                  <w:tcW w:w="626" w:type="pct"/>
                  <w:tcBorders>
                    <w:tl2br w:val="nil"/>
                    <w:tr2bl w:val="nil"/>
                  </w:tcBorders>
                  <w:vAlign w:val="center"/>
                </w:tcPr>
                <w:p w14:paraId="3BA89820">
                  <w:pPr>
                    <w:adjustRightInd w:val="0"/>
                    <w:snapToGrid w:val="0"/>
                    <w:spacing w:line="240" w:lineRule="auto"/>
                    <w:ind w:left="0" w:leftChars="0" w:right="0" w:rightChars="0" w:firstLine="0" w:firstLineChars="0"/>
                    <w:jc w:val="center"/>
                    <w:rPr>
                      <w:rFonts w:cs="Times New Roman"/>
                      <w:b/>
                      <w:bCs/>
                      <w:snapToGrid w:val="0"/>
                      <w:color w:val="auto"/>
                      <w:szCs w:val="21"/>
                      <w:lang w:eastAsia="zh-CN"/>
                    </w:rPr>
                  </w:pPr>
                  <w:r>
                    <w:rPr>
                      <w:rFonts w:hint="eastAsia" w:cs="Times New Roman"/>
                      <w:b/>
                      <w:bCs/>
                      <w:snapToGrid w:val="0"/>
                      <w:color w:val="auto"/>
                      <w:szCs w:val="21"/>
                      <w:lang w:eastAsia="zh-CN"/>
                    </w:rPr>
                    <w:t>本项目t/a</w:t>
                  </w:r>
                </w:p>
              </w:tc>
              <w:tc>
                <w:tcPr>
                  <w:tcW w:w="792" w:type="pct"/>
                  <w:tcBorders>
                    <w:tl2br w:val="nil"/>
                    <w:tr2bl w:val="nil"/>
                  </w:tcBorders>
                  <w:vAlign w:val="center"/>
                </w:tcPr>
                <w:p w14:paraId="6AD8666D">
                  <w:pPr>
                    <w:adjustRightInd w:val="0"/>
                    <w:snapToGrid w:val="0"/>
                    <w:spacing w:line="240" w:lineRule="auto"/>
                    <w:ind w:left="0" w:leftChars="0" w:right="0" w:rightChars="0" w:firstLine="0" w:firstLineChars="0"/>
                    <w:jc w:val="center"/>
                    <w:rPr>
                      <w:rFonts w:cs="Times New Roman"/>
                      <w:b/>
                      <w:bCs/>
                      <w:snapToGrid w:val="0"/>
                      <w:color w:val="auto"/>
                      <w:szCs w:val="21"/>
                      <w:lang w:eastAsia="zh-CN"/>
                    </w:rPr>
                  </w:pPr>
                  <w:r>
                    <w:rPr>
                      <w:rFonts w:hint="eastAsia" w:cs="Times New Roman"/>
                      <w:b/>
                      <w:bCs/>
                      <w:snapToGrid w:val="0"/>
                      <w:color w:val="auto"/>
                      <w:szCs w:val="21"/>
                      <w:lang w:eastAsia="zh-CN"/>
                    </w:rPr>
                    <w:t>扩建后全厂t/a</w:t>
                  </w:r>
                </w:p>
              </w:tc>
              <w:tc>
                <w:tcPr>
                  <w:tcW w:w="877" w:type="pct"/>
                  <w:tcBorders>
                    <w:tl2br w:val="nil"/>
                    <w:tr2bl w:val="nil"/>
                  </w:tcBorders>
                  <w:vAlign w:val="center"/>
                </w:tcPr>
                <w:p w14:paraId="2929C5CA">
                  <w:pPr>
                    <w:adjustRightInd w:val="0"/>
                    <w:snapToGrid w:val="0"/>
                    <w:spacing w:line="240" w:lineRule="auto"/>
                    <w:ind w:left="0" w:leftChars="0" w:right="0" w:rightChars="0" w:firstLine="0" w:firstLineChars="0"/>
                    <w:jc w:val="center"/>
                    <w:rPr>
                      <w:rFonts w:cs="Times New Roman"/>
                      <w:b/>
                      <w:bCs/>
                      <w:snapToGrid w:val="0"/>
                      <w:color w:val="auto"/>
                      <w:szCs w:val="21"/>
                      <w:lang w:eastAsia="zh-CN"/>
                    </w:rPr>
                  </w:pPr>
                  <w:r>
                    <w:rPr>
                      <w:rFonts w:hint="eastAsia" w:cs="Times New Roman"/>
                      <w:b/>
                      <w:bCs/>
                      <w:snapToGrid w:val="0"/>
                      <w:color w:val="auto"/>
                      <w:szCs w:val="21"/>
                      <w:lang w:eastAsia="zh-CN"/>
                    </w:rPr>
                    <w:t>许可排放浓度</w:t>
                  </w:r>
                </w:p>
              </w:tc>
              <w:tc>
                <w:tcPr>
                  <w:tcW w:w="847" w:type="pct"/>
                  <w:tcBorders>
                    <w:tl2br w:val="nil"/>
                    <w:tr2bl w:val="nil"/>
                  </w:tcBorders>
                  <w:vAlign w:val="center"/>
                </w:tcPr>
                <w:p w14:paraId="49C30BA4">
                  <w:pPr>
                    <w:adjustRightInd w:val="0"/>
                    <w:snapToGrid w:val="0"/>
                    <w:spacing w:line="240" w:lineRule="auto"/>
                    <w:ind w:left="0" w:leftChars="0" w:right="0" w:rightChars="0" w:firstLine="0" w:firstLineChars="0"/>
                    <w:jc w:val="center"/>
                    <w:rPr>
                      <w:rFonts w:cs="Times New Roman"/>
                      <w:b/>
                      <w:bCs/>
                      <w:snapToGrid w:val="0"/>
                      <w:color w:val="auto"/>
                      <w:szCs w:val="21"/>
                      <w:lang w:eastAsia="zh-CN"/>
                    </w:rPr>
                  </w:pPr>
                  <w:r>
                    <w:rPr>
                      <w:rFonts w:hint="eastAsia" w:cs="Times New Roman"/>
                      <w:b/>
                      <w:bCs/>
                      <w:snapToGrid w:val="0"/>
                      <w:color w:val="auto"/>
                      <w:szCs w:val="21"/>
                      <w:lang w:eastAsia="zh-CN"/>
                    </w:rPr>
                    <w:t>排放口类型</w:t>
                  </w:r>
                </w:p>
              </w:tc>
            </w:tr>
            <w:tr w14:paraId="200DD72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restart"/>
                  <w:tcBorders>
                    <w:tl2br w:val="nil"/>
                    <w:tr2bl w:val="nil"/>
                  </w:tcBorders>
                  <w:vAlign w:val="center"/>
                </w:tcPr>
                <w:p w14:paraId="1B3EA3FD">
                  <w:pPr>
                    <w:adjustRightInd w:val="0"/>
                    <w:snapToGrid w:val="0"/>
                    <w:spacing w:line="240" w:lineRule="auto"/>
                    <w:ind w:left="0" w:leftChars="0" w:right="0" w:rightChars="0" w:firstLine="0" w:firstLineChars="0"/>
                    <w:jc w:val="center"/>
                    <w:rPr>
                      <w:rFonts w:cs="Times New Roman"/>
                      <w:snapToGrid w:val="0"/>
                      <w:color w:val="auto"/>
                      <w:szCs w:val="21"/>
                    </w:rPr>
                  </w:pPr>
                  <w:r>
                    <w:rPr>
                      <w:rFonts w:cs="Times New Roman"/>
                      <w:snapToGrid w:val="0"/>
                      <w:color w:val="auto"/>
                      <w:szCs w:val="21"/>
                    </w:rPr>
                    <w:t>废气</w:t>
                  </w:r>
                </w:p>
              </w:tc>
              <w:tc>
                <w:tcPr>
                  <w:tcW w:w="798" w:type="pct"/>
                  <w:tcBorders>
                    <w:tl2br w:val="nil"/>
                    <w:tr2bl w:val="nil"/>
                  </w:tcBorders>
                  <w:vAlign w:val="center"/>
                </w:tcPr>
                <w:p w14:paraId="5056C02E">
                  <w:pPr>
                    <w:adjustRightInd w:val="0"/>
                    <w:snapToGrid w:val="0"/>
                    <w:spacing w:line="240" w:lineRule="auto"/>
                    <w:ind w:left="0" w:leftChars="0" w:right="0" w:rightChars="0" w:firstLine="0" w:firstLineChars="0"/>
                    <w:jc w:val="center"/>
                    <w:rPr>
                      <w:rFonts w:cs="Times New Roman"/>
                      <w:snapToGrid w:val="0"/>
                      <w:color w:val="auto"/>
                      <w:szCs w:val="21"/>
                    </w:rPr>
                  </w:pPr>
                  <w:r>
                    <w:rPr>
                      <w:rFonts w:cs="Times New Roman"/>
                      <w:snapToGrid w:val="0"/>
                      <w:color w:val="auto"/>
                      <w:szCs w:val="21"/>
                    </w:rPr>
                    <w:t>VOCs</w:t>
                  </w:r>
                </w:p>
              </w:tc>
              <w:tc>
                <w:tcPr>
                  <w:tcW w:w="543" w:type="pct"/>
                  <w:tcBorders>
                    <w:tl2br w:val="nil"/>
                    <w:tr2bl w:val="nil"/>
                  </w:tcBorders>
                  <w:vAlign w:val="center"/>
                </w:tcPr>
                <w:p w14:paraId="3898A69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0.009</w:t>
                  </w:r>
                </w:p>
              </w:tc>
              <w:tc>
                <w:tcPr>
                  <w:tcW w:w="626" w:type="pct"/>
                  <w:tcBorders>
                    <w:tl2br w:val="nil"/>
                    <w:tr2bl w:val="nil"/>
                  </w:tcBorders>
                  <w:vAlign w:val="center"/>
                </w:tcPr>
                <w:p w14:paraId="322B27E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0.0884</w:t>
                  </w:r>
                </w:p>
              </w:tc>
              <w:tc>
                <w:tcPr>
                  <w:tcW w:w="792" w:type="pct"/>
                  <w:tcBorders>
                    <w:tl2br w:val="nil"/>
                    <w:tr2bl w:val="nil"/>
                  </w:tcBorders>
                  <w:vAlign w:val="center"/>
                </w:tcPr>
                <w:p w14:paraId="6DFCA951">
                  <w:pPr>
                    <w:widowControl/>
                    <w:spacing w:line="240" w:lineRule="auto"/>
                    <w:ind w:left="0" w:leftChars="0" w:right="0" w:rightChars="0" w:firstLine="0" w:firstLineChars="0"/>
                    <w:jc w:val="center"/>
                    <w:textAlignment w:val="center"/>
                    <w:rPr>
                      <w:rFonts w:cs="Times New Roman"/>
                      <w:snapToGrid w:val="0"/>
                      <w:color w:val="auto"/>
                      <w:szCs w:val="21"/>
                    </w:rPr>
                  </w:pPr>
                  <w:r>
                    <w:rPr>
                      <w:rFonts w:hint="eastAsia" w:cs="Times New Roman"/>
                      <w:snapToGrid w:val="0"/>
                      <w:color w:val="auto"/>
                      <w:szCs w:val="21"/>
                      <w:lang w:eastAsia="zh-CN"/>
                    </w:rPr>
                    <w:t>0.0974</w:t>
                  </w:r>
                </w:p>
              </w:tc>
              <w:tc>
                <w:tcPr>
                  <w:tcW w:w="877" w:type="pct"/>
                  <w:tcBorders>
                    <w:tl2br w:val="nil"/>
                    <w:tr2bl w:val="nil"/>
                  </w:tcBorders>
                  <w:vAlign w:val="center"/>
                </w:tcPr>
                <w:p w14:paraId="5BDA476D">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hint="eastAsia" w:cs="Times New Roman"/>
                      <w:snapToGrid w:val="0"/>
                      <w:color w:val="auto"/>
                      <w:szCs w:val="21"/>
                      <w:lang w:eastAsia="zh-CN"/>
                    </w:rPr>
                    <w:t>50</w:t>
                  </w:r>
                  <w:r>
                    <w:rPr>
                      <w:rFonts w:eastAsia="宋体" w:cs="Times New Roman"/>
                      <w:color w:val="auto"/>
                      <w:szCs w:val="21"/>
                    </w:rPr>
                    <w:t>mg/m</w:t>
                  </w:r>
                  <w:r>
                    <w:rPr>
                      <w:rFonts w:eastAsia="宋体" w:cs="Times New Roman"/>
                      <w:color w:val="auto"/>
                      <w:szCs w:val="21"/>
                      <w:vertAlign w:val="superscript"/>
                    </w:rPr>
                    <w:t>3</w:t>
                  </w:r>
                </w:p>
              </w:tc>
              <w:tc>
                <w:tcPr>
                  <w:tcW w:w="847" w:type="pct"/>
                  <w:tcBorders>
                    <w:tl2br w:val="nil"/>
                    <w:tr2bl w:val="nil"/>
                  </w:tcBorders>
                  <w:vAlign w:val="center"/>
                </w:tcPr>
                <w:p w14:paraId="2B04FD06">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hint="eastAsia" w:cs="Times New Roman"/>
                      <w:snapToGrid w:val="0"/>
                      <w:color w:val="auto"/>
                      <w:szCs w:val="21"/>
                      <w:lang w:eastAsia="zh-CN"/>
                    </w:rPr>
                    <w:t>一般排放口</w:t>
                  </w:r>
                </w:p>
              </w:tc>
            </w:tr>
            <w:tr w14:paraId="733CBD1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vAlign w:val="center"/>
                </w:tcPr>
                <w:p w14:paraId="010819C2">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798" w:type="pct"/>
                  <w:tcBorders>
                    <w:tl2br w:val="nil"/>
                    <w:tr2bl w:val="nil"/>
                  </w:tcBorders>
                  <w:vAlign w:val="center"/>
                </w:tcPr>
                <w:p w14:paraId="1737D9F1">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氮氧化物</w:t>
                  </w:r>
                </w:p>
              </w:tc>
              <w:tc>
                <w:tcPr>
                  <w:tcW w:w="543" w:type="pct"/>
                  <w:tcBorders>
                    <w:tl2br w:val="nil"/>
                    <w:tr2bl w:val="nil"/>
                  </w:tcBorders>
                  <w:vAlign w:val="center"/>
                </w:tcPr>
                <w:p w14:paraId="42E97853">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eastAsia="宋体" w:cs="Times New Roman"/>
                      <w:color w:val="auto"/>
                      <w:szCs w:val="21"/>
                      <w:lang w:eastAsia="zh-CN"/>
                    </w:rPr>
                    <w:t>0.0258</w:t>
                  </w:r>
                </w:p>
              </w:tc>
              <w:tc>
                <w:tcPr>
                  <w:tcW w:w="626" w:type="pct"/>
                  <w:tcBorders>
                    <w:tl2br w:val="nil"/>
                    <w:tr2bl w:val="nil"/>
                  </w:tcBorders>
                  <w:vAlign w:val="center"/>
                </w:tcPr>
                <w:p w14:paraId="5DA9466A">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eastAsia="宋体" w:cs="Times New Roman"/>
                      <w:color w:val="auto"/>
                      <w:kern w:val="2"/>
                      <w:szCs w:val="21"/>
                      <w:lang w:eastAsia="zh-CN"/>
                    </w:rPr>
                    <w:t>0.008</w:t>
                  </w:r>
                </w:p>
              </w:tc>
              <w:tc>
                <w:tcPr>
                  <w:tcW w:w="792" w:type="pct"/>
                  <w:tcBorders>
                    <w:tl2br w:val="nil"/>
                    <w:tr2bl w:val="nil"/>
                  </w:tcBorders>
                  <w:vAlign w:val="center"/>
                </w:tcPr>
                <w:p w14:paraId="6940E859">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eastAsia="宋体" w:cs="Times New Roman"/>
                      <w:color w:val="auto"/>
                      <w:szCs w:val="21"/>
                      <w:lang w:eastAsia="zh-CN" w:bidi="ar"/>
                    </w:rPr>
                    <w:t>0.0338</w:t>
                  </w:r>
                </w:p>
              </w:tc>
              <w:tc>
                <w:tcPr>
                  <w:tcW w:w="877" w:type="pct"/>
                  <w:tcBorders>
                    <w:tl2br w:val="nil"/>
                    <w:tr2bl w:val="nil"/>
                  </w:tcBorders>
                  <w:vAlign w:val="center"/>
                </w:tcPr>
                <w:p w14:paraId="4408108B">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hint="eastAsia" w:cs="Times New Roman"/>
                      <w:snapToGrid w:val="0"/>
                      <w:color w:val="auto"/>
                      <w:szCs w:val="21"/>
                      <w:lang w:eastAsia="zh-CN"/>
                    </w:rPr>
                    <w:t>300</w:t>
                  </w:r>
                  <w:r>
                    <w:rPr>
                      <w:rFonts w:eastAsia="宋体" w:cs="Times New Roman"/>
                      <w:color w:val="auto"/>
                      <w:szCs w:val="21"/>
                    </w:rPr>
                    <w:t>mg/m</w:t>
                  </w:r>
                  <w:r>
                    <w:rPr>
                      <w:rFonts w:eastAsia="宋体" w:cs="Times New Roman"/>
                      <w:color w:val="auto"/>
                      <w:szCs w:val="21"/>
                      <w:vertAlign w:val="superscript"/>
                    </w:rPr>
                    <w:t>3</w:t>
                  </w:r>
                </w:p>
              </w:tc>
              <w:tc>
                <w:tcPr>
                  <w:tcW w:w="847" w:type="pct"/>
                  <w:tcBorders>
                    <w:tl2br w:val="nil"/>
                    <w:tr2bl w:val="nil"/>
                  </w:tcBorders>
                  <w:vAlign w:val="center"/>
                </w:tcPr>
                <w:p w14:paraId="78F64013">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hint="eastAsia" w:cs="Times New Roman"/>
                      <w:snapToGrid w:val="0"/>
                      <w:color w:val="auto"/>
                      <w:szCs w:val="21"/>
                      <w:lang w:eastAsia="zh-CN"/>
                    </w:rPr>
                    <w:t>一般排放口</w:t>
                  </w:r>
                </w:p>
              </w:tc>
            </w:tr>
            <w:tr w14:paraId="668958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restart"/>
                  <w:tcBorders>
                    <w:tl2br w:val="nil"/>
                    <w:tr2bl w:val="nil"/>
                  </w:tcBorders>
                  <w:vAlign w:val="center"/>
                </w:tcPr>
                <w:p w14:paraId="63D8CC8F">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cs="Times New Roman"/>
                      <w:snapToGrid w:val="0"/>
                      <w:color w:val="auto"/>
                      <w:szCs w:val="21"/>
                      <w:lang w:eastAsia="zh-CN"/>
                    </w:rPr>
                    <w:t>废水</w:t>
                  </w:r>
                </w:p>
              </w:tc>
              <w:tc>
                <w:tcPr>
                  <w:tcW w:w="798" w:type="pct"/>
                  <w:tcBorders>
                    <w:tl2br w:val="nil"/>
                    <w:tr2bl w:val="nil"/>
                  </w:tcBorders>
                  <w:vAlign w:val="center"/>
                </w:tcPr>
                <w:p w14:paraId="5216AEC7">
                  <w:pPr>
                    <w:adjustRightInd w:val="0"/>
                    <w:snapToGrid w:val="0"/>
                    <w:spacing w:line="240" w:lineRule="auto"/>
                    <w:ind w:left="0" w:leftChars="0" w:right="0" w:rightChars="0" w:firstLine="0" w:firstLineChars="0"/>
                    <w:jc w:val="center"/>
                    <w:rPr>
                      <w:rFonts w:cs="Times New Roman"/>
                      <w:snapToGrid w:val="0"/>
                      <w:color w:val="auto"/>
                      <w:szCs w:val="21"/>
                    </w:rPr>
                  </w:pPr>
                  <w:r>
                    <w:rPr>
                      <w:rFonts w:cs="Times New Roman"/>
                      <w:color w:val="auto"/>
                      <w:kern w:val="2"/>
                      <w:szCs w:val="21"/>
                    </w:rPr>
                    <w:t>COD</w:t>
                  </w:r>
                </w:p>
              </w:tc>
              <w:tc>
                <w:tcPr>
                  <w:tcW w:w="543" w:type="pct"/>
                  <w:tcBorders>
                    <w:tl2br w:val="nil"/>
                    <w:tr2bl w:val="nil"/>
                  </w:tcBorders>
                  <w:vAlign w:val="center"/>
                </w:tcPr>
                <w:p w14:paraId="4B4AA41B">
                  <w:pPr>
                    <w:pStyle w:val="25"/>
                    <w:adjustRightInd w:val="0"/>
                    <w:snapToGrid w:val="0"/>
                    <w:spacing w:after="0"/>
                    <w:ind w:left="0" w:leftChars="0" w:firstLine="0" w:firstLineChars="0"/>
                    <w:jc w:val="center"/>
                    <w:rPr>
                      <w:rFonts w:ascii="Times New Roman" w:cs="Times New Roman"/>
                      <w:snapToGrid w:val="0"/>
                      <w:color w:val="auto"/>
                      <w:szCs w:val="21"/>
                      <w:lang w:eastAsia="zh-CN"/>
                    </w:rPr>
                  </w:pPr>
                  <w:r>
                    <w:rPr>
                      <w:rFonts w:hint="eastAsia" w:ascii="Times New Roman" w:eastAsia="宋体" w:cs="Times New Roman"/>
                      <w:color w:val="auto"/>
                      <w:szCs w:val="21"/>
                      <w:lang w:eastAsia="zh-CN"/>
                    </w:rPr>
                    <w:t>0.237</w:t>
                  </w:r>
                </w:p>
              </w:tc>
              <w:tc>
                <w:tcPr>
                  <w:tcW w:w="626" w:type="pct"/>
                  <w:tcBorders>
                    <w:tl2br w:val="nil"/>
                    <w:tr2bl w:val="nil"/>
                  </w:tcBorders>
                  <w:vAlign w:val="center"/>
                </w:tcPr>
                <w:p w14:paraId="6EB5DD3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0.1142</w:t>
                  </w:r>
                </w:p>
              </w:tc>
              <w:tc>
                <w:tcPr>
                  <w:tcW w:w="792" w:type="pct"/>
                  <w:tcBorders>
                    <w:tl2br w:val="nil"/>
                    <w:tr2bl w:val="nil"/>
                  </w:tcBorders>
                  <w:vAlign w:val="center"/>
                </w:tcPr>
                <w:p w14:paraId="51527DBF">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eastAsia="宋体" w:cs="Times New Roman"/>
                      <w:color w:val="auto"/>
                      <w:szCs w:val="21"/>
                      <w:lang w:eastAsia="zh-CN" w:bidi="ar"/>
                    </w:rPr>
                    <w:t>0.3512</w:t>
                  </w:r>
                </w:p>
              </w:tc>
              <w:tc>
                <w:tcPr>
                  <w:tcW w:w="877" w:type="pct"/>
                  <w:tcBorders>
                    <w:tl2br w:val="nil"/>
                    <w:tr2bl w:val="nil"/>
                  </w:tcBorders>
                  <w:vAlign w:val="center"/>
                </w:tcPr>
                <w:p w14:paraId="36FBB599">
                  <w:pPr>
                    <w:adjustRightInd w:val="0"/>
                    <w:snapToGrid w:val="0"/>
                    <w:spacing w:line="240" w:lineRule="auto"/>
                    <w:ind w:left="0" w:leftChars="0" w:right="0" w:rightChars="0" w:firstLine="0" w:firstLineChars="0"/>
                    <w:jc w:val="center"/>
                    <w:rPr>
                      <w:rFonts w:eastAsia="宋体" w:cs="Times New Roman"/>
                      <w:color w:val="auto"/>
                      <w:szCs w:val="21"/>
                      <w:lang w:eastAsia="zh-CN" w:bidi="ar"/>
                    </w:rPr>
                  </w:pPr>
                  <w:r>
                    <w:rPr>
                      <w:color w:val="auto"/>
                      <w:szCs w:val="21"/>
                    </w:rPr>
                    <w:t>500mg/L</w:t>
                  </w:r>
                </w:p>
              </w:tc>
              <w:tc>
                <w:tcPr>
                  <w:tcW w:w="847" w:type="pct"/>
                  <w:tcBorders>
                    <w:tl2br w:val="nil"/>
                    <w:tr2bl w:val="nil"/>
                  </w:tcBorders>
                  <w:vAlign w:val="center"/>
                </w:tcPr>
                <w:p w14:paraId="3281984B">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hint="eastAsia" w:cs="Times New Roman"/>
                      <w:snapToGrid w:val="0"/>
                      <w:color w:val="auto"/>
                      <w:szCs w:val="21"/>
                      <w:lang w:eastAsia="zh-CN"/>
                    </w:rPr>
                    <w:t>一般排放口</w:t>
                  </w:r>
                </w:p>
              </w:tc>
            </w:tr>
            <w:tr w14:paraId="3C3A844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continue"/>
                  <w:tcBorders>
                    <w:tl2br w:val="nil"/>
                    <w:tr2bl w:val="nil"/>
                  </w:tcBorders>
                  <w:vAlign w:val="center"/>
                </w:tcPr>
                <w:p w14:paraId="0EEDC94C">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798" w:type="pct"/>
                  <w:tcBorders>
                    <w:tl2br w:val="nil"/>
                    <w:tr2bl w:val="nil"/>
                  </w:tcBorders>
                  <w:vAlign w:val="center"/>
                </w:tcPr>
                <w:p w14:paraId="74C1FA50">
                  <w:pPr>
                    <w:adjustRightInd w:val="0"/>
                    <w:snapToGrid w:val="0"/>
                    <w:spacing w:line="240" w:lineRule="auto"/>
                    <w:ind w:left="0" w:leftChars="0" w:right="0" w:rightChars="0" w:firstLine="0" w:firstLineChars="0"/>
                    <w:jc w:val="center"/>
                    <w:rPr>
                      <w:rFonts w:cs="Times New Roman"/>
                      <w:snapToGrid w:val="0"/>
                      <w:color w:val="auto"/>
                      <w:szCs w:val="21"/>
                    </w:rPr>
                  </w:pPr>
                  <w:r>
                    <w:rPr>
                      <w:rFonts w:cs="Times New Roman"/>
                      <w:color w:val="auto"/>
                      <w:kern w:val="2"/>
                      <w:szCs w:val="21"/>
                    </w:rPr>
                    <w:t>氨氮</w:t>
                  </w:r>
                </w:p>
              </w:tc>
              <w:tc>
                <w:tcPr>
                  <w:tcW w:w="543" w:type="pct"/>
                  <w:tcBorders>
                    <w:tl2br w:val="nil"/>
                    <w:tr2bl w:val="nil"/>
                  </w:tcBorders>
                  <w:vAlign w:val="center"/>
                </w:tcPr>
                <w:p w14:paraId="4C6A83E1">
                  <w:pPr>
                    <w:pStyle w:val="25"/>
                    <w:adjustRightInd w:val="0"/>
                    <w:snapToGrid w:val="0"/>
                    <w:spacing w:after="0"/>
                    <w:ind w:left="0" w:leftChars="0" w:firstLine="0" w:firstLineChars="0"/>
                    <w:jc w:val="center"/>
                    <w:rPr>
                      <w:rFonts w:cs="Times New Roman"/>
                      <w:snapToGrid w:val="0"/>
                      <w:color w:val="auto"/>
                      <w:szCs w:val="21"/>
                      <w:lang w:eastAsia="zh-CN"/>
                    </w:rPr>
                  </w:pPr>
                  <w:r>
                    <w:rPr>
                      <w:rFonts w:hint="eastAsia" w:ascii="Times New Roman" w:eastAsia="宋体" w:cs="Times New Roman"/>
                      <w:color w:val="auto"/>
                      <w:szCs w:val="21"/>
                      <w:lang w:eastAsia="zh-CN"/>
                    </w:rPr>
                    <w:t>0.029</w:t>
                  </w:r>
                </w:p>
              </w:tc>
              <w:tc>
                <w:tcPr>
                  <w:tcW w:w="626" w:type="pct"/>
                  <w:tcBorders>
                    <w:tl2br w:val="nil"/>
                    <w:tr2bl w:val="nil"/>
                  </w:tcBorders>
                  <w:vAlign w:val="center"/>
                </w:tcPr>
                <w:p w14:paraId="04D0031A">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0.0118</w:t>
                  </w:r>
                </w:p>
              </w:tc>
              <w:tc>
                <w:tcPr>
                  <w:tcW w:w="792" w:type="pct"/>
                  <w:tcBorders>
                    <w:tl2br w:val="nil"/>
                    <w:tr2bl w:val="nil"/>
                  </w:tcBorders>
                  <w:vAlign w:val="center"/>
                </w:tcPr>
                <w:p w14:paraId="709DCDF0">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eastAsia="宋体" w:cs="Times New Roman"/>
                      <w:color w:val="auto"/>
                      <w:szCs w:val="21"/>
                      <w:lang w:eastAsia="zh-CN" w:bidi="ar"/>
                    </w:rPr>
                    <w:t>0.0408</w:t>
                  </w:r>
                </w:p>
              </w:tc>
              <w:tc>
                <w:tcPr>
                  <w:tcW w:w="877" w:type="pct"/>
                  <w:tcBorders>
                    <w:tl2br w:val="nil"/>
                    <w:tr2bl w:val="nil"/>
                  </w:tcBorders>
                  <w:vAlign w:val="center"/>
                </w:tcPr>
                <w:p w14:paraId="2C562E2E">
                  <w:pPr>
                    <w:adjustRightInd w:val="0"/>
                    <w:snapToGrid w:val="0"/>
                    <w:spacing w:line="240" w:lineRule="auto"/>
                    <w:ind w:left="0" w:leftChars="0" w:right="0" w:rightChars="0" w:firstLine="0" w:firstLineChars="0"/>
                    <w:jc w:val="center"/>
                    <w:rPr>
                      <w:rFonts w:eastAsia="宋体" w:cs="Times New Roman"/>
                      <w:color w:val="auto"/>
                      <w:szCs w:val="21"/>
                      <w:lang w:eastAsia="zh-CN" w:bidi="ar"/>
                    </w:rPr>
                  </w:pPr>
                  <w:r>
                    <w:rPr>
                      <w:color w:val="auto"/>
                      <w:szCs w:val="21"/>
                    </w:rPr>
                    <w:t>45mg/L</w:t>
                  </w:r>
                </w:p>
              </w:tc>
              <w:tc>
                <w:tcPr>
                  <w:tcW w:w="847" w:type="pct"/>
                  <w:tcBorders>
                    <w:tl2br w:val="nil"/>
                    <w:tr2bl w:val="nil"/>
                  </w:tcBorders>
                  <w:vAlign w:val="center"/>
                </w:tcPr>
                <w:p w14:paraId="6953FC92">
                  <w:pPr>
                    <w:widowControl/>
                    <w:spacing w:line="240" w:lineRule="auto"/>
                    <w:ind w:left="0" w:leftChars="0" w:right="0" w:rightChars="0" w:firstLine="0" w:firstLineChars="0"/>
                    <w:jc w:val="center"/>
                    <w:textAlignment w:val="center"/>
                    <w:rPr>
                      <w:rFonts w:cs="Times New Roman"/>
                      <w:snapToGrid w:val="0"/>
                      <w:color w:val="auto"/>
                      <w:szCs w:val="21"/>
                      <w:lang w:eastAsia="zh-CN"/>
                    </w:rPr>
                  </w:pPr>
                  <w:r>
                    <w:rPr>
                      <w:rFonts w:hint="eastAsia" w:cs="Times New Roman"/>
                      <w:snapToGrid w:val="0"/>
                      <w:color w:val="auto"/>
                      <w:szCs w:val="21"/>
                      <w:lang w:eastAsia="zh-CN"/>
                    </w:rPr>
                    <w:t>一般排放口</w:t>
                  </w:r>
                </w:p>
              </w:tc>
            </w:tr>
          </w:tbl>
          <w:p w14:paraId="5E72DC00">
            <w:pPr>
              <w:snapToGrid w:val="0"/>
              <w:ind w:left="0" w:leftChars="0" w:firstLine="0" w:firstLineChars="0"/>
              <w:jc w:val="both"/>
              <w:rPr>
                <w:rFonts w:hint="eastAsia" w:cs="Times New Roman"/>
                <w:color w:val="auto"/>
                <w:lang w:eastAsia="zh-CN"/>
              </w:rPr>
            </w:pPr>
            <w:r>
              <w:rPr>
                <w:rFonts w:hint="eastAsia" w:cs="Times New Roman"/>
                <w:color w:val="auto"/>
                <w:lang w:eastAsia="zh-CN"/>
              </w:rPr>
              <w:t xml:space="preserve"> </w:t>
            </w:r>
          </w:p>
          <w:p w14:paraId="1523CA01">
            <w:pPr>
              <w:pStyle w:val="2"/>
              <w:jc w:val="both"/>
              <w:rPr>
                <w:rFonts w:hint="eastAsia" w:cs="Times New Roman"/>
                <w:color w:val="auto"/>
                <w:lang w:eastAsia="zh-CN"/>
              </w:rPr>
            </w:pPr>
          </w:p>
          <w:p w14:paraId="21E49519">
            <w:pPr>
              <w:jc w:val="both"/>
              <w:rPr>
                <w:rFonts w:hint="eastAsia" w:cs="Times New Roman"/>
                <w:color w:val="auto"/>
                <w:lang w:eastAsia="zh-CN"/>
              </w:rPr>
            </w:pPr>
          </w:p>
          <w:p w14:paraId="3F0AD785">
            <w:pPr>
              <w:pStyle w:val="2"/>
              <w:jc w:val="both"/>
              <w:rPr>
                <w:rFonts w:hint="eastAsia" w:cs="Times New Roman"/>
                <w:color w:val="auto"/>
                <w:lang w:eastAsia="zh-CN"/>
              </w:rPr>
            </w:pPr>
          </w:p>
          <w:p w14:paraId="6CBCC9CF">
            <w:pPr>
              <w:jc w:val="both"/>
              <w:rPr>
                <w:rFonts w:hint="eastAsia" w:cs="Times New Roman"/>
                <w:color w:val="auto"/>
                <w:lang w:eastAsia="zh-CN"/>
              </w:rPr>
            </w:pPr>
          </w:p>
          <w:p w14:paraId="06818742">
            <w:pPr>
              <w:pStyle w:val="2"/>
              <w:jc w:val="both"/>
              <w:rPr>
                <w:rFonts w:hint="eastAsia" w:cs="Times New Roman"/>
                <w:color w:val="auto"/>
                <w:lang w:eastAsia="zh-CN"/>
              </w:rPr>
            </w:pPr>
          </w:p>
          <w:p w14:paraId="3A9CDA86">
            <w:pPr>
              <w:jc w:val="both"/>
              <w:rPr>
                <w:rFonts w:hint="eastAsia" w:cs="Times New Roman"/>
                <w:color w:val="auto"/>
                <w:lang w:eastAsia="zh-CN"/>
              </w:rPr>
            </w:pPr>
          </w:p>
          <w:p w14:paraId="322FD506">
            <w:pPr>
              <w:pStyle w:val="2"/>
              <w:jc w:val="both"/>
              <w:rPr>
                <w:rFonts w:hint="eastAsia" w:cs="Times New Roman"/>
                <w:color w:val="auto"/>
                <w:lang w:eastAsia="zh-CN"/>
              </w:rPr>
            </w:pPr>
          </w:p>
          <w:p w14:paraId="420AFEE2">
            <w:pPr>
              <w:jc w:val="both"/>
              <w:rPr>
                <w:rFonts w:hint="eastAsia" w:cs="Times New Roman"/>
                <w:color w:val="auto"/>
                <w:lang w:eastAsia="zh-CN"/>
              </w:rPr>
            </w:pPr>
          </w:p>
          <w:p w14:paraId="5C58A4AD">
            <w:pPr>
              <w:pStyle w:val="2"/>
              <w:jc w:val="both"/>
              <w:rPr>
                <w:rFonts w:hint="eastAsia" w:cs="Times New Roman"/>
                <w:color w:val="auto"/>
                <w:lang w:eastAsia="zh-CN"/>
              </w:rPr>
            </w:pPr>
          </w:p>
          <w:p w14:paraId="1F82115B">
            <w:pPr>
              <w:jc w:val="both"/>
              <w:rPr>
                <w:rFonts w:hint="eastAsia" w:cs="Times New Roman"/>
                <w:color w:val="auto"/>
                <w:lang w:eastAsia="zh-CN"/>
              </w:rPr>
            </w:pPr>
          </w:p>
          <w:p w14:paraId="412B7040">
            <w:pPr>
              <w:pStyle w:val="2"/>
              <w:jc w:val="both"/>
              <w:rPr>
                <w:rFonts w:hint="eastAsia" w:cs="Times New Roman"/>
                <w:color w:val="auto"/>
                <w:lang w:eastAsia="zh-CN"/>
              </w:rPr>
            </w:pPr>
          </w:p>
          <w:p w14:paraId="774E6926">
            <w:pPr>
              <w:jc w:val="both"/>
              <w:rPr>
                <w:rFonts w:hint="eastAsia" w:cs="Times New Roman"/>
                <w:color w:val="auto"/>
                <w:lang w:eastAsia="zh-CN"/>
              </w:rPr>
            </w:pPr>
          </w:p>
          <w:p w14:paraId="158163F4">
            <w:pPr>
              <w:pStyle w:val="2"/>
              <w:jc w:val="both"/>
              <w:rPr>
                <w:rFonts w:hint="eastAsia" w:cs="Times New Roman"/>
                <w:color w:val="auto"/>
                <w:lang w:eastAsia="zh-CN"/>
              </w:rPr>
            </w:pPr>
          </w:p>
          <w:p w14:paraId="01842E2F">
            <w:pPr>
              <w:jc w:val="both"/>
              <w:rPr>
                <w:rFonts w:hint="eastAsia" w:cs="Times New Roman"/>
                <w:color w:val="auto"/>
                <w:lang w:eastAsia="zh-CN"/>
              </w:rPr>
            </w:pPr>
          </w:p>
          <w:p w14:paraId="2FB7FD42">
            <w:pPr>
              <w:pStyle w:val="2"/>
              <w:ind w:left="0" w:leftChars="0" w:firstLine="0" w:firstLineChars="0"/>
              <w:jc w:val="both"/>
              <w:rPr>
                <w:rFonts w:hint="eastAsia" w:cs="Times New Roman"/>
                <w:color w:val="auto"/>
                <w:lang w:eastAsia="zh-CN"/>
              </w:rPr>
            </w:pPr>
          </w:p>
          <w:p w14:paraId="2020064E">
            <w:pPr>
              <w:pStyle w:val="2"/>
              <w:ind w:left="0" w:leftChars="0" w:firstLine="0" w:firstLineChars="0"/>
              <w:jc w:val="both"/>
              <w:rPr>
                <w:color w:val="auto"/>
                <w:lang w:eastAsia="zh-CN"/>
              </w:rPr>
            </w:pPr>
          </w:p>
        </w:tc>
      </w:tr>
    </w:tbl>
    <w:p w14:paraId="75D381E4">
      <w:pPr>
        <w:spacing w:line="240" w:lineRule="auto"/>
        <w:ind w:firstLine="420"/>
        <w:jc w:val="both"/>
        <w:rPr>
          <w:rFonts w:eastAsia="宋体" w:cs="Times New Roman"/>
          <w:color w:val="auto"/>
          <w:szCs w:val="21"/>
        </w:rPr>
        <w:sectPr>
          <w:pgSz w:w="11910" w:h="16838"/>
          <w:pgMar w:top="1417" w:right="1417" w:bottom="1417" w:left="1417" w:header="720" w:footer="1043" w:gutter="0"/>
          <w:cols w:space="0" w:num="1"/>
        </w:sectPr>
      </w:pPr>
    </w:p>
    <w:p w14:paraId="2901B9ED">
      <w:pPr>
        <w:pStyle w:val="8"/>
        <w:spacing w:line="240" w:lineRule="auto"/>
        <w:ind w:left="0" w:leftChars="0" w:firstLine="0" w:firstLineChars="0"/>
        <w:jc w:val="center"/>
        <w:outlineLvl w:val="0"/>
        <w:rPr>
          <w:rFonts w:ascii="Times New Roman" w:hAnsi="Times New Roman" w:eastAsia="宋体" w:cs="Times New Roman"/>
          <w:color w:val="auto"/>
          <w:lang w:eastAsia="zh-CN"/>
        </w:rPr>
      </w:pPr>
      <w:bookmarkStart w:id="10" w:name="_Toc28122"/>
      <w:r>
        <w:rPr>
          <w:rFonts w:ascii="Times New Roman" w:hAnsi="Times New Roman" w:eastAsia="宋体" w:cs="Times New Roman"/>
          <w:b/>
          <w:bCs/>
          <w:color w:val="auto"/>
          <w:lang w:eastAsia="zh-CN"/>
        </w:rPr>
        <w:t>四、主要环境影响和保护措施</w:t>
      </w:r>
      <w:bookmarkEnd w:id="10"/>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675"/>
      </w:tblGrid>
      <w:tr w14:paraId="0EAA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32" w:type="pct"/>
            <w:vAlign w:val="center"/>
          </w:tcPr>
          <w:p w14:paraId="1E6FF59F">
            <w:pPr>
              <w:pStyle w:val="38"/>
              <w:spacing w:line="240" w:lineRule="auto"/>
              <w:ind w:left="0" w:leftChars="0" w:right="0" w:rightChars="0" w:firstLine="0" w:firstLineChars="0"/>
              <w:jc w:val="center"/>
              <w:rPr>
                <w:rFonts w:eastAsia="宋体" w:cs="Times New Roman"/>
                <w:color w:val="auto"/>
                <w:sz w:val="24"/>
                <w:szCs w:val="24"/>
              </w:rPr>
            </w:pPr>
            <w:r>
              <w:rPr>
                <w:rFonts w:eastAsia="宋体" w:cs="Times New Roman"/>
                <w:b/>
                <w:bCs/>
                <w:color w:val="auto"/>
                <w:sz w:val="24"/>
                <w:szCs w:val="24"/>
              </w:rPr>
              <w:t>施工期环境保护措施</w:t>
            </w:r>
          </w:p>
        </w:tc>
        <w:tc>
          <w:tcPr>
            <w:tcW w:w="4667" w:type="pct"/>
            <w:vAlign w:val="center"/>
          </w:tcPr>
          <w:p w14:paraId="2D0BC7D4">
            <w:pPr>
              <w:ind w:left="0" w:leftChars="0" w:right="0" w:rightChars="0" w:firstLine="480"/>
              <w:jc w:val="both"/>
              <w:rPr>
                <w:rFonts w:eastAsia="宋体" w:cs="Times New Roman"/>
                <w:color w:val="auto"/>
                <w:sz w:val="24"/>
                <w:szCs w:val="24"/>
                <w:lang w:eastAsia="zh-CN" w:bidi="ar"/>
              </w:rPr>
            </w:pPr>
          </w:p>
          <w:p w14:paraId="3884856B">
            <w:pPr>
              <w:ind w:left="0" w:leftChars="0" w:right="0" w:rightChars="0" w:firstLine="480"/>
              <w:jc w:val="both"/>
              <w:rPr>
                <w:rFonts w:eastAsia="宋体" w:cs="Times New Roman"/>
                <w:color w:val="auto"/>
                <w:sz w:val="24"/>
                <w:szCs w:val="32"/>
                <w:lang w:eastAsia="zh-CN"/>
              </w:rPr>
            </w:pPr>
            <w:r>
              <w:rPr>
                <w:rFonts w:eastAsia="宋体" w:cs="Times New Roman"/>
                <w:color w:val="auto"/>
                <w:sz w:val="24"/>
                <w:szCs w:val="24"/>
                <w:lang w:eastAsia="zh-CN" w:bidi="ar"/>
              </w:rPr>
              <w:t>本扩建项目在现有厂房内建设，</w:t>
            </w:r>
            <w:r>
              <w:rPr>
                <w:rFonts w:eastAsia="宋体" w:cs="Times New Roman"/>
                <w:color w:val="auto"/>
                <w:sz w:val="24"/>
                <w:szCs w:val="32"/>
                <w:lang w:eastAsia="zh-CN"/>
              </w:rPr>
              <w:t>施工期对周围环境的影响主要是设备的安装和调试期间产生的废气、废水、噪声和固体废物。</w:t>
            </w:r>
          </w:p>
          <w:p w14:paraId="7619706E">
            <w:pPr>
              <w:ind w:left="0" w:leftChars="0" w:right="0" w:rightChars="0" w:firstLine="482"/>
              <w:jc w:val="both"/>
              <w:rPr>
                <w:rFonts w:eastAsia="宋体" w:cs="Times New Roman"/>
                <w:b/>
                <w:bCs/>
                <w:color w:val="auto"/>
                <w:sz w:val="24"/>
                <w:szCs w:val="32"/>
                <w:lang w:eastAsia="zh-CN"/>
              </w:rPr>
            </w:pPr>
            <w:r>
              <w:rPr>
                <w:rFonts w:eastAsia="宋体" w:cs="Times New Roman"/>
                <w:b/>
                <w:bCs/>
                <w:color w:val="auto"/>
                <w:sz w:val="24"/>
                <w:szCs w:val="32"/>
                <w:lang w:eastAsia="zh-CN"/>
              </w:rPr>
              <w:t>1、废气</w:t>
            </w:r>
          </w:p>
          <w:p w14:paraId="5C0265DC">
            <w:pPr>
              <w:widowControl/>
              <w:ind w:left="0" w:leftChars="0" w:right="0" w:rightChars="0" w:firstLine="480"/>
              <w:jc w:val="both"/>
              <w:rPr>
                <w:rFonts w:eastAsia="宋体" w:cs="Times New Roman"/>
                <w:color w:val="auto"/>
                <w:sz w:val="24"/>
                <w:szCs w:val="32"/>
                <w:lang w:eastAsia="zh-CN"/>
              </w:rPr>
            </w:pPr>
            <w:r>
              <w:rPr>
                <w:rFonts w:eastAsia="宋体" w:cs="Times New Roman"/>
                <w:color w:val="auto"/>
                <w:sz w:val="24"/>
                <w:szCs w:val="32"/>
                <w:lang w:eastAsia="zh-CN"/>
              </w:rPr>
              <w:t>项目不涉及土建施工，施工期废气主要为</w:t>
            </w:r>
            <w:r>
              <w:rPr>
                <w:rFonts w:eastAsia="宋体" w:cs="Times New Roman"/>
                <w:color w:val="auto"/>
                <w:sz w:val="24"/>
                <w:szCs w:val="24"/>
                <w:lang w:eastAsia="zh-CN"/>
              </w:rPr>
              <w:t>运输车辆在运行中产生的汽车尾气，主要污染物有CO、NO</w:t>
            </w:r>
            <w:r>
              <w:rPr>
                <w:rFonts w:eastAsia="宋体" w:cs="Times New Roman"/>
                <w:color w:val="auto"/>
                <w:sz w:val="24"/>
                <w:szCs w:val="24"/>
                <w:vertAlign w:val="subscript"/>
                <w:lang w:eastAsia="zh-CN"/>
              </w:rPr>
              <w:t>2</w:t>
            </w:r>
            <w:r>
              <w:rPr>
                <w:rFonts w:eastAsia="宋体" w:cs="Times New Roman"/>
                <w:color w:val="auto"/>
                <w:sz w:val="24"/>
                <w:szCs w:val="24"/>
                <w:lang w:eastAsia="zh-CN"/>
              </w:rPr>
              <w:t>等</w:t>
            </w:r>
            <w:r>
              <w:rPr>
                <w:rFonts w:eastAsia="宋体" w:cs="Times New Roman"/>
                <w:color w:val="auto"/>
                <w:sz w:val="24"/>
                <w:szCs w:val="32"/>
                <w:lang w:eastAsia="zh-CN"/>
              </w:rPr>
              <w:t>。废气排放仅限于运输沿线，通过加强车辆保养措施，废气对周围环境影响较小。</w:t>
            </w:r>
          </w:p>
          <w:p w14:paraId="0872EFC5">
            <w:pPr>
              <w:ind w:left="0" w:leftChars="0" w:right="0" w:rightChars="0" w:firstLine="482"/>
              <w:jc w:val="both"/>
              <w:rPr>
                <w:rFonts w:eastAsia="宋体" w:cs="Times New Roman"/>
                <w:b/>
                <w:bCs/>
                <w:color w:val="auto"/>
                <w:sz w:val="24"/>
                <w:szCs w:val="32"/>
                <w:lang w:eastAsia="zh-CN"/>
              </w:rPr>
            </w:pPr>
            <w:r>
              <w:rPr>
                <w:rFonts w:eastAsia="宋体" w:cs="Times New Roman"/>
                <w:b/>
                <w:bCs/>
                <w:color w:val="auto"/>
                <w:sz w:val="24"/>
                <w:szCs w:val="32"/>
                <w:lang w:eastAsia="zh-CN"/>
              </w:rPr>
              <w:t>2、废水</w:t>
            </w:r>
          </w:p>
          <w:p w14:paraId="3664B897">
            <w:pPr>
              <w:pStyle w:val="2"/>
              <w:ind w:left="0" w:leftChars="0" w:right="0" w:rightChars="0" w:firstLine="480"/>
              <w:jc w:val="both"/>
              <w:outlineLvl w:val="1"/>
              <w:rPr>
                <w:rFonts w:ascii="Times New Roman" w:hAnsi="Times New Roman" w:eastAsia="宋体" w:cs="Times New Roman"/>
                <w:color w:val="auto"/>
                <w:sz w:val="24"/>
                <w:szCs w:val="32"/>
                <w:lang w:eastAsia="zh-CN"/>
              </w:rPr>
            </w:pPr>
            <w:r>
              <w:rPr>
                <w:rFonts w:ascii="Times New Roman" w:hAnsi="Times New Roman" w:eastAsia="宋体" w:cs="Times New Roman"/>
                <w:color w:val="auto"/>
                <w:sz w:val="24"/>
                <w:szCs w:val="32"/>
                <w:lang w:eastAsia="zh-CN"/>
              </w:rPr>
              <w:t>项目施工期废水主要为施工人员生活污水，污水中主要污染物为COD、BOD</w:t>
            </w:r>
            <w:r>
              <w:rPr>
                <w:rFonts w:ascii="Times New Roman" w:hAnsi="Times New Roman" w:eastAsia="宋体" w:cs="Times New Roman"/>
                <w:color w:val="auto"/>
                <w:sz w:val="24"/>
                <w:szCs w:val="32"/>
                <w:vertAlign w:val="subscript"/>
                <w:lang w:eastAsia="zh-CN"/>
              </w:rPr>
              <w:t>5</w:t>
            </w:r>
            <w:r>
              <w:rPr>
                <w:rFonts w:ascii="Times New Roman" w:hAnsi="Times New Roman" w:eastAsia="宋体" w:cs="Times New Roman"/>
                <w:color w:val="auto"/>
                <w:sz w:val="24"/>
                <w:szCs w:val="32"/>
                <w:lang w:eastAsia="zh-CN"/>
              </w:rPr>
              <w:t>、SS、氨氮等。项目施工期短，仅涉及设备安装及调试，生活污水依托厂内化粪池处理，再经污水管网进入园区污水处理厂处理后达标排放，对周围地表水环境影响较小。</w:t>
            </w:r>
          </w:p>
          <w:p w14:paraId="0408E282">
            <w:pPr>
              <w:ind w:left="0" w:leftChars="0" w:right="0" w:rightChars="0" w:firstLine="482"/>
              <w:jc w:val="both"/>
              <w:rPr>
                <w:rFonts w:eastAsia="宋体" w:cs="Times New Roman"/>
                <w:b/>
                <w:bCs/>
                <w:color w:val="auto"/>
                <w:sz w:val="24"/>
                <w:szCs w:val="32"/>
                <w:lang w:eastAsia="zh-CN"/>
              </w:rPr>
            </w:pPr>
            <w:r>
              <w:rPr>
                <w:rFonts w:eastAsia="宋体" w:cs="Times New Roman"/>
                <w:b/>
                <w:bCs/>
                <w:color w:val="auto"/>
                <w:sz w:val="24"/>
                <w:szCs w:val="32"/>
                <w:lang w:eastAsia="zh-CN"/>
              </w:rPr>
              <w:t>3、噪声</w:t>
            </w:r>
          </w:p>
          <w:p w14:paraId="2A852620">
            <w:pPr>
              <w:ind w:left="0" w:leftChars="0" w:right="0" w:rightChars="0" w:firstLine="480"/>
              <w:jc w:val="both"/>
              <w:rPr>
                <w:rFonts w:eastAsia="宋体" w:cs="Times New Roman"/>
                <w:color w:val="auto"/>
                <w:sz w:val="24"/>
                <w:szCs w:val="32"/>
                <w:lang w:eastAsia="zh-CN"/>
              </w:rPr>
            </w:pPr>
            <w:r>
              <w:rPr>
                <w:rFonts w:eastAsia="宋体" w:cs="Times New Roman"/>
                <w:color w:val="auto"/>
                <w:sz w:val="24"/>
                <w:szCs w:val="32"/>
                <w:lang w:eastAsia="zh-CN"/>
              </w:rPr>
              <w:t>项目施工期噪声主要为电钻、电锯等产生的设备噪声。为减少施工噪声对环境的影响，要求建设单位在工程施工期采取以下噪声控制措施：</w:t>
            </w:r>
          </w:p>
          <w:p w14:paraId="5BDCBE73">
            <w:pPr>
              <w:ind w:left="0" w:leftChars="0" w:right="0" w:rightChars="0" w:firstLine="480"/>
              <w:jc w:val="both"/>
              <w:rPr>
                <w:rFonts w:eastAsia="宋体" w:cs="Times New Roman"/>
                <w:color w:val="auto"/>
                <w:sz w:val="24"/>
                <w:szCs w:val="32"/>
                <w:lang w:eastAsia="zh-CN"/>
              </w:rPr>
            </w:pPr>
            <w:r>
              <w:rPr>
                <w:rFonts w:eastAsia="宋体" w:cs="Times New Roman"/>
                <w:color w:val="auto"/>
                <w:sz w:val="24"/>
                <w:szCs w:val="32"/>
                <w:lang w:eastAsia="zh-CN"/>
              </w:rPr>
              <w:t>（1）合理安排施工方式，控制噪声环境污染；</w:t>
            </w:r>
          </w:p>
          <w:p w14:paraId="7AB1F9F7">
            <w:pPr>
              <w:ind w:left="0" w:leftChars="0" w:right="0" w:rightChars="0" w:firstLine="480"/>
              <w:jc w:val="both"/>
              <w:rPr>
                <w:rFonts w:eastAsia="宋体" w:cs="Times New Roman"/>
                <w:color w:val="auto"/>
                <w:sz w:val="24"/>
                <w:szCs w:val="32"/>
                <w:lang w:eastAsia="zh-CN"/>
              </w:rPr>
            </w:pPr>
            <w:r>
              <w:rPr>
                <w:rFonts w:eastAsia="宋体" w:cs="Times New Roman"/>
                <w:color w:val="auto"/>
                <w:sz w:val="24"/>
                <w:szCs w:val="32"/>
                <w:lang w:eastAsia="zh-CN"/>
              </w:rPr>
              <w:t>（2）严格操作规程，加强施工机械管理，降低人为噪声影响；</w:t>
            </w:r>
          </w:p>
          <w:p w14:paraId="3628FD79">
            <w:pPr>
              <w:ind w:left="0" w:leftChars="0" w:right="0" w:rightChars="0" w:firstLine="480"/>
              <w:jc w:val="both"/>
              <w:rPr>
                <w:rFonts w:eastAsia="宋体" w:cs="Times New Roman"/>
                <w:color w:val="auto"/>
                <w:sz w:val="24"/>
                <w:szCs w:val="32"/>
                <w:lang w:eastAsia="zh-CN"/>
              </w:rPr>
            </w:pPr>
            <w:r>
              <w:rPr>
                <w:rFonts w:eastAsia="宋体" w:cs="Times New Roman"/>
                <w:color w:val="auto"/>
                <w:sz w:val="24"/>
                <w:szCs w:val="32"/>
                <w:lang w:eastAsia="zh-CN"/>
              </w:rPr>
              <w:t>（3）施工尽量采用噪声较低的生产设备，并加强维修保养。采取有效的隔声、减振、消声措施，降低噪声级。</w:t>
            </w:r>
          </w:p>
          <w:p w14:paraId="52C7559A">
            <w:pPr>
              <w:ind w:left="0" w:leftChars="0" w:right="0" w:rightChars="0" w:firstLine="482"/>
              <w:jc w:val="both"/>
              <w:rPr>
                <w:rFonts w:eastAsia="宋体" w:cs="Times New Roman"/>
                <w:b/>
                <w:bCs/>
                <w:color w:val="auto"/>
                <w:sz w:val="24"/>
                <w:szCs w:val="32"/>
                <w:lang w:eastAsia="zh-CN"/>
              </w:rPr>
            </w:pPr>
            <w:r>
              <w:rPr>
                <w:rFonts w:eastAsia="宋体" w:cs="Times New Roman"/>
                <w:b/>
                <w:bCs/>
                <w:color w:val="auto"/>
                <w:sz w:val="24"/>
                <w:szCs w:val="32"/>
                <w:lang w:eastAsia="zh-CN"/>
              </w:rPr>
              <w:t>4、固体废物</w:t>
            </w:r>
          </w:p>
          <w:p w14:paraId="0F34355A">
            <w:pPr>
              <w:ind w:left="0" w:leftChars="0" w:right="0" w:rightChars="0" w:firstLine="480"/>
              <w:jc w:val="both"/>
              <w:rPr>
                <w:rFonts w:eastAsia="宋体" w:cs="Times New Roman"/>
                <w:color w:val="auto"/>
                <w:sz w:val="24"/>
                <w:szCs w:val="32"/>
                <w:lang w:eastAsia="zh-CN"/>
              </w:rPr>
            </w:pPr>
            <w:r>
              <w:rPr>
                <w:rFonts w:eastAsia="宋体" w:cs="Times New Roman"/>
                <w:color w:val="auto"/>
                <w:sz w:val="24"/>
                <w:szCs w:val="32"/>
                <w:lang w:eastAsia="zh-CN"/>
              </w:rPr>
              <w:t xml:space="preserve">项目施工期固体废物主要为设备废包装、施工人员生活垃圾，废包装属于一般固废，外售废品站处置；生活垃圾分类收集后，由当地环卫部门处置。施工期固体废物均可得到妥善处置，对周围环境影响较小。  </w:t>
            </w:r>
          </w:p>
          <w:p w14:paraId="0EF20DFA">
            <w:pPr>
              <w:pStyle w:val="2"/>
              <w:ind w:left="-63" w:firstLine="480"/>
              <w:jc w:val="both"/>
              <w:outlineLvl w:val="1"/>
              <w:rPr>
                <w:color w:val="auto"/>
                <w:sz w:val="24"/>
                <w:szCs w:val="32"/>
                <w:lang w:eastAsia="zh-CN"/>
              </w:rPr>
            </w:pPr>
          </w:p>
          <w:p w14:paraId="4330478C">
            <w:pPr>
              <w:ind w:firstLine="480"/>
              <w:jc w:val="both"/>
              <w:rPr>
                <w:color w:val="auto"/>
                <w:sz w:val="24"/>
                <w:szCs w:val="32"/>
                <w:lang w:eastAsia="zh-CN"/>
              </w:rPr>
            </w:pPr>
          </w:p>
          <w:p w14:paraId="49DEB889">
            <w:pPr>
              <w:pStyle w:val="2"/>
              <w:ind w:left="-63" w:firstLine="480"/>
              <w:jc w:val="both"/>
              <w:outlineLvl w:val="1"/>
              <w:rPr>
                <w:color w:val="auto"/>
                <w:sz w:val="24"/>
                <w:szCs w:val="32"/>
                <w:lang w:eastAsia="zh-CN"/>
              </w:rPr>
            </w:pPr>
          </w:p>
          <w:p w14:paraId="00A53903">
            <w:pPr>
              <w:pStyle w:val="2"/>
              <w:ind w:left="0" w:leftChars="0" w:firstLine="0" w:firstLineChars="0"/>
              <w:jc w:val="both"/>
              <w:outlineLvl w:val="1"/>
              <w:rPr>
                <w:color w:val="auto"/>
                <w:lang w:eastAsia="zh-CN"/>
              </w:rPr>
            </w:pPr>
          </w:p>
        </w:tc>
      </w:tr>
    </w:tbl>
    <w:p w14:paraId="15B84E59">
      <w:pPr>
        <w:ind w:firstLine="420"/>
        <w:rPr>
          <w:color w:val="auto"/>
          <w:lang w:eastAsia="zh-CN"/>
        </w:rPr>
        <w:sectPr>
          <w:footerReference r:id="rId12" w:type="default"/>
          <w:footerReference r:id="rId13" w:type="even"/>
          <w:pgSz w:w="11910" w:h="16838"/>
          <w:pgMar w:top="1417" w:right="1417" w:bottom="1417" w:left="1417" w:header="720" w:footer="1043" w:gutter="0"/>
          <w:cols w:space="0" w:num="1"/>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3589"/>
      </w:tblGrid>
      <w:tr w14:paraId="1C0C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2" w:type="pct"/>
            <w:vAlign w:val="center"/>
          </w:tcPr>
          <w:p w14:paraId="678858AF">
            <w:pPr>
              <w:pStyle w:val="38"/>
              <w:spacing w:line="240" w:lineRule="auto"/>
              <w:ind w:left="0" w:leftChars="0" w:right="0" w:rightChars="0" w:firstLine="0" w:firstLineChars="0"/>
              <w:jc w:val="center"/>
              <w:rPr>
                <w:rFonts w:eastAsia="宋体" w:cs="Times New Roman"/>
                <w:b/>
                <w:bCs/>
                <w:color w:val="auto"/>
                <w:sz w:val="24"/>
                <w:szCs w:val="24"/>
                <w:lang w:eastAsia="zh-CN"/>
              </w:rPr>
            </w:pPr>
            <w:r>
              <w:rPr>
                <w:rFonts w:eastAsia="宋体" w:cs="Times New Roman"/>
                <w:b/>
                <w:bCs/>
                <w:color w:val="auto"/>
                <w:sz w:val="24"/>
                <w:szCs w:val="24"/>
                <w:lang w:eastAsia="zh-CN"/>
              </w:rPr>
              <w:t>运营期环境影响和保护措施</w:t>
            </w:r>
          </w:p>
        </w:tc>
        <w:tc>
          <w:tcPr>
            <w:tcW w:w="4777" w:type="pct"/>
            <w:vAlign w:val="center"/>
          </w:tcPr>
          <w:p w14:paraId="7A88C8D6">
            <w:pPr>
              <w:adjustRightInd w:val="0"/>
              <w:snapToGrid w:val="0"/>
              <w:ind w:left="0" w:leftChars="0" w:right="0" w:rightChars="0"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1</w:t>
            </w:r>
            <w:r>
              <w:rPr>
                <w:rFonts w:eastAsia="宋体" w:cs="Times New Roman"/>
                <w:b/>
                <w:color w:val="auto"/>
                <w:sz w:val="24"/>
                <w:szCs w:val="24"/>
                <w:lang w:eastAsia="zh-CN"/>
              </w:rPr>
              <w:t>、废气</w:t>
            </w:r>
          </w:p>
          <w:p w14:paraId="5F503361">
            <w:pPr>
              <w:adjustRightInd w:val="0"/>
              <w:snapToGrid w:val="0"/>
              <w:ind w:left="0" w:leftChars="0" w:right="0" w:rightChars="0" w:firstLine="480"/>
              <w:jc w:val="both"/>
              <w:rPr>
                <w:rFonts w:eastAsia="宋体" w:cs="Times New Roman"/>
                <w:b/>
                <w:bCs/>
                <w:color w:val="auto"/>
                <w:sz w:val="24"/>
                <w:szCs w:val="24"/>
                <w:lang w:eastAsia="zh-CN"/>
              </w:rPr>
            </w:pPr>
            <w:r>
              <w:rPr>
                <w:rFonts w:eastAsia="宋体" w:cs="Times New Roman"/>
                <w:color w:val="auto"/>
                <w:sz w:val="24"/>
                <w:szCs w:val="24"/>
                <w:lang w:eastAsia="zh-CN"/>
              </w:rPr>
              <w:t>本项目运营期废气主要为切割</w:t>
            </w:r>
            <w:r>
              <w:rPr>
                <w:rFonts w:hint="eastAsia" w:eastAsia="宋体" w:cs="Times New Roman"/>
                <w:color w:val="auto"/>
                <w:sz w:val="24"/>
                <w:szCs w:val="24"/>
                <w:lang w:eastAsia="zh-CN"/>
              </w:rPr>
              <w:t>废气</w:t>
            </w:r>
            <w:r>
              <w:rPr>
                <w:rFonts w:eastAsia="宋体" w:cs="Times New Roman"/>
                <w:color w:val="auto"/>
                <w:sz w:val="24"/>
                <w:szCs w:val="24"/>
                <w:lang w:eastAsia="zh-CN"/>
              </w:rPr>
              <w:t>、焊接烟尘、</w:t>
            </w:r>
            <w:r>
              <w:rPr>
                <w:rFonts w:hint="eastAsia" w:eastAsia="宋体" w:cs="Times New Roman"/>
                <w:color w:val="auto"/>
                <w:sz w:val="24"/>
                <w:szCs w:val="24"/>
                <w:lang w:eastAsia="zh-CN"/>
              </w:rPr>
              <w:t>喷涂</w:t>
            </w:r>
            <w:r>
              <w:rPr>
                <w:rFonts w:eastAsia="宋体" w:cs="Times New Roman"/>
                <w:color w:val="auto"/>
                <w:sz w:val="24"/>
                <w:szCs w:val="24"/>
                <w:lang w:eastAsia="zh-CN"/>
              </w:rPr>
              <w:t>粉尘、</w:t>
            </w:r>
            <w:r>
              <w:rPr>
                <w:rFonts w:hint="eastAsia" w:eastAsia="宋体" w:cs="Times New Roman"/>
                <w:color w:val="auto"/>
                <w:sz w:val="24"/>
                <w:szCs w:val="24"/>
                <w:lang w:eastAsia="zh-CN"/>
              </w:rPr>
              <w:t>固化</w:t>
            </w:r>
            <w:r>
              <w:rPr>
                <w:rFonts w:eastAsia="宋体" w:cs="Times New Roman"/>
                <w:color w:val="auto"/>
                <w:sz w:val="24"/>
                <w:szCs w:val="24"/>
                <w:lang w:eastAsia="zh-CN"/>
              </w:rPr>
              <w:t>废气、燃烧机废气、</w:t>
            </w:r>
            <w:r>
              <w:rPr>
                <w:rFonts w:hint="eastAsia" w:eastAsia="宋体" w:cs="Times New Roman"/>
                <w:color w:val="auto"/>
                <w:sz w:val="24"/>
                <w:szCs w:val="24"/>
                <w:lang w:eastAsia="zh-CN"/>
              </w:rPr>
              <w:t>题字</w:t>
            </w:r>
            <w:r>
              <w:rPr>
                <w:rFonts w:eastAsia="宋体" w:cs="Times New Roman"/>
                <w:color w:val="auto"/>
                <w:sz w:val="24"/>
                <w:szCs w:val="24"/>
                <w:lang w:eastAsia="zh-CN"/>
              </w:rPr>
              <w:t>废气，</w:t>
            </w:r>
            <w:r>
              <w:rPr>
                <w:rFonts w:hint="eastAsia" w:eastAsia="宋体" w:cs="Times New Roman"/>
                <w:color w:val="auto"/>
                <w:sz w:val="24"/>
                <w:szCs w:val="24"/>
                <w:lang w:eastAsia="zh-CN"/>
              </w:rPr>
              <w:t>根据建设单位提供资料，项目切割、焊接工序日工作时间为8h，喷涂、固化、题字工序日工作时间约4h，厨房日使用时间3h，</w:t>
            </w:r>
            <w:r>
              <w:rPr>
                <w:rFonts w:eastAsia="宋体" w:cs="Times New Roman"/>
                <w:color w:val="auto"/>
                <w:sz w:val="24"/>
                <w:szCs w:val="24"/>
                <w:lang w:eastAsia="zh-CN"/>
              </w:rPr>
              <w:t>项目废气产排情况见下表。</w:t>
            </w:r>
          </w:p>
          <w:p w14:paraId="3CE2603E">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表4-1   废气污染物产排情况一览表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5"/>
              <w:gridCol w:w="950"/>
              <w:gridCol w:w="851"/>
              <w:gridCol w:w="1065"/>
              <w:gridCol w:w="1100"/>
              <w:gridCol w:w="712"/>
              <w:gridCol w:w="907"/>
              <w:gridCol w:w="2020"/>
              <w:gridCol w:w="583"/>
              <w:gridCol w:w="634"/>
              <w:gridCol w:w="596"/>
              <w:gridCol w:w="1077"/>
              <w:gridCol w:w="636"/>
            </w:tblGrid>
            <w:tr w14:paraId="18D28A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restart"/>
                  <w:tcBorders>
                    <w:tl2br w:val="nil"/>
                    <w:tr2bl w:val="nil"/>
                  </w:tcBorders>
                  <w:tcMar>
                    <w:left w:w="57" w:type="dxa"/>
                    <w:right w:w="57" w:type="dxa"/>
                  </w:tcMar>
                  <w:vAlign w:val="center"/>
                </w:tcPr>
                <w:p w14:paraId="7ABD9644">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污染源</w:t>
                  </w:r>
                </w:p>
              </w:tc>
              <w:tc>
                <w:tcPr>
                  <w:tcW w:w="544" w:type="pct"/>
                  <w:vMerge w:val="restart"/>
                  <w:tcBorders>
                    <w:tl2br w:val="nil"/>
                    <w:tr2bl w:val="nil"/>
                  </w:tcBorders>
                  <w:tcMar>
                    <w:left w:w="57" w:type="dxa"/>
                    <w:right w:w="57" w:type="dxa"/>
                  </w:tcMar>
                  <w:vAlign w:val="center"/>
                </w:tcPr>
                <w:p w14:paraId="7079A676">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污染物</w:t>
                  </w:r>
                </w:p>
                <w:p w14:paraId="1B0CB3F7">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名称</w:t>
                  </w:r>
                </w:p>
              </w:tc>
              <w:tc>
                <w:tcPr>
                  <w:tcW w:w="673" w:type="pct"/>
                  <w:gridSpan w:val="2"/>
                  <w:tcBorders>
                    <w:tl2br w:val="nil"/>
                    <w:tr2bl w:val="nil"/>
                  </w:tcBorders>
                  <w:tcMar>
                    <w:left w:w="57" w:type="dxa"/>
                    <w:right w:w="57" w:type="dxa"/>
                  </w:tcMar>
                  <w:vAlign w:val="center"/>
                </w:tcPr>
                <w:p w14:paraId="046D37E2">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产生情况</w:t>
                  </w:r>
                </w:p>
              </w:tc>
              <w:tc>
                <w:tcPr>
                  <w:tcW w:w="398" w:type="pct"/>
                  <w:vMerge w:val="restart"/>
                  <w:tcBorders>
                    <w:tl2br w:val="nil"/>
                    <w:tr2bl w:val="nil"/>
                  </w:tcBorders>
                  <w:tcMar>
                    <w:left w:w="57" w:type="dxa"/>
                    <w:right w:w="57" w:type="dxa"/>
                  </w:tcMar>
                  <w:vAlign w:val="center"/>
                </w:tcPr>
                <w:p w14:paraId="14817A86">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排放</w:t>
                  </w:r>
                </w:p>
                <w:p w14:paraId="5B13A7EE">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形式</w:t>
                  </w:r>
                </w:p>
              </w:tc>
              <w:tc>
                <w:tcPr>
                  <w:tcW w:w="1016" w:type="pct"/>
                  <w:gridSpan w:val="3"/>
                  <w:tcBorders>
                    <w:tl2br w:val="nil"/>
                    <w:tr2bl w:val="nil"/>
                  </w:tcBorders>
                  <w:tcMar>
                    <w:left w:w="57" w:type="dxa"/>
                    <w:right w:w="57" w:type="dxa"/>
                  </w:tcMar>
                  <w:vAlign w:val="center"/>
                </w:tcPr>
                <w:p w14:paraId="344B3040">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lang w:eastAsia="zh-CN"/>
                    </w:rPr>
                    <w:t>排放情况</w:t>
                  </w:r>
                </w:p>
              </w:tc>
              <w:tc>
                <w:tcPr>
                  <w:tcW w:w="755" w:type="pct"/>
                  <w:vMerge w:val="restart"/>
                  <w:tcBorders>
                    <w:tl2br w:val="nil"/>
                    <w:tr2bl w:val="nil"/>
                  </w:tcBorders>
                  <w:tcMar>
                    <w:left w:w="57" w:type="dxa"/>
                    <w:right w:w="57" w:type="dxa"/>
                  </w:tcMar>
                  <w:vAlign w:val="center"/>
                </w:tcPr>
                <w:p w14:paraId="2C6FFCDC">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处理措施</w:t>
                  </w:r>
                </w:p>
              </w:tc>
              <w:tc>
                <w:tcPr>
                  <w:tcW w:w="218" w:type="pct"/>
                  <w:vMerge w:val="restart"/>
                  <w:tcBorders>
                    <w:tl2br w:val="nil"/>
                    <w:tr2bl w:val="nil"/>
                  </w:tcBorders>
                  <w:tcMar>
                    <w:left w:w="57" w:type="dxa"/>
                    <w:right w:w="57" w:type="dxa"/>
                  </w:tcMar>
                  <w:vAlign w:val="center"/>
                </w:tcPr>
                <w:p w14:paraId="3F367B1B">
                  <w:pPr>
                    <w:snapToGrid w:val="0"/>
                    <w:spacing w:line="240" w:lineRule="auto"/>
                    <w:ind w:left="0" w:leftChars="0" w:right="0" w:rightChars="0" w:firstLine="0" w:firstLineChars="0"/>
                    <w:jc w:val="center"/>
                    <w:rPr>
                      <w:rFonts w:cs="Times New Roman"/>
                      <w:b/>
                      <w:bCs/>
                      <w:color w:val="auto"/>
                      <w:szCs w:val="21"/>
                      <w:lang w:eastAsia="zh-CN"/>
                    </w:rPr>
                  </w:pPr>
                  <w:r>
                    <w:rPr>
                      <w:rFonts w:hint="eastAsia" w:cs="Times New Roman"/>
                      <w:b/>
                      <w:bCs/>
                      <w:color w:val="auto"/>
                      <w:szCs w:val="21"/>
                      <w:lang w:eastAsia="zh-CN"/>
                    </w:rPr>
                    <w:t>收集效率</w:t>
                  </w:r>
                </w:p>
                <w:p w14:paraId="57EA27AC">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w:t>
                  </w:r>
                </w:p>
              </w:tc>
              <w:tc>
                <w:tcPr>
                  <w:tcW w:w="237" w:type="pct"/>
                  <w:vMerge w:val="restart"/>
                  <w:tcBorders>
                    <w:tl2br w:val="nil"/>
                    <w:tr2bl w:val="nil"/>
                  </w:tcBorders>
                  <w:tcMar>
                    <w:left w:w="57" w:type="dxa"/>
                    <w:right w:w="57" w:type="dxa"/>
                  </w:tcMar>
                  <w:vAlign w:val="center"/>
                </w:tcPr>
                <w:p w14:paraId="021761D6">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处理</w:t>
                  </w:r>
                </w:p>
                <w:p w14:paraId="2E234E98">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效率</w:t>
                  </w:r>
                </w:p>
                <w:p w14:paraId="26010F85">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w:t>
                  </w:r>
                </w:p>
              </w:tc>
              <w:tc>
                <w:tcPr>
                  <w:tcW w:w="625" w:type="pct"/>
                  <w:gridSpan w:val="2"/>
                  <w:vMerge w:val="restart"/>
                  <w:tcBorders>
                    <w:tl2br w:val="nil"/>
                    <w:tr2bl w:val="nil"/>
                  </w:tcBorders>
                  <w:tcMar>
                    <w:left w:w="57" w:type="dxa"/>
                    <w:right w:w="57" w:type="dxa"/>
                  </w:tcMar>
                  <w:vAlign w:val="center"/>
                </w:tcPr>
                <w:p w14:paraId="73A923E4">
                  <w:pPr>
                    <w:snapToGrid w:val="0"/>
                    <w:spacing w:line="240" w:lineRule="auto"/>
                    <w:ind w:left="0" w:leftChars="0" w:right="0" w:rightChars="0" w:firstLine="0" w:firstLineChars="0"/>
                    <w:jc w:val="center"/>
                    <w:rPr>
                      <w:rFonts w:cs="Times New Roman"/>
                      <w:b/>
                      <w:bCs/>
                      <w:color w:val="auto"/>
                      <w:szCs w:val="21"/>
                      <w:lang w:eastAsia="zh-CN"/>
                    </w:rPr>
                  </w:pPr>
                  <w:r>
                    <w:rPr>
                      <w:rFonts w:hint="eastAsia" w:cs="Times New Roman"/>
                      <w:b/>
                      <w:bCs/>
                      <w:color w:val="auto"/>
                      <w:szCs w:val="21"/>
                      <w:lang w:eastAsia="zh-CN"/>
                    </w:rPr>
                    <w:t>排放标准</w:t>
                  </w:r>
                </w:p>
              </w:tc>
              <w:tc>
                <w:tcPr>
                  <w:tcW w:w="237" w:type="pct"/>
                  <w:vMerge w:val="restart"/>
                  <w:tcBorders>
                    <w:tl2br w:val="nil"/>
                    <w:tr2bl w:val="nil"/>
                  </w:tcBorders>
                  <w:tcMar>
                    <w:left w:w="57" w:type="dxa"/>
                    <w:right w:w="57" w:type="dxa"/>
                  </w:tcMar>
                  <w:vAlign w:val="center"/>
                </w:tcPr>
                <w:p w14:paraId="7AB50167">
                  <w:pPr>
                    <w:snapToGrid w:val="0"/>
                    <w:spacing w:line="240" w:lineRule="auto"/>
                    <w:ind w:left="0" w:leftChars="0" w:right="0" w:rightChars="0" w:firstLine="0" w:firstLineChars="0"/>
                    <w:jc w:val="center"/>
                    <w:rPr>
                      <w:rFonts w:eastAsia="宋体" w:cs="Times New Roman"/>
                      <w:b/>
                      <w:bCs/>
                      <w:color w:val="auto"/>
                      <w:szCs w:val="21"/>
                      <w:lang w:eastAsia="zh-CN"/>
                    </w:rPr>
                  </w:pPr>
                  <w:r>
                    <w:rPr>
                      <w:rFonts w:cs="Times New Roman"/>
                      <w:b/>
                      <w:bCs/>
                      <w:color w:val="auto"/>
                      <w:szCs w:val="21"/>
                      <w:lang w:eastAsia="zh-CN"/>
                    </w:rPr>
                    <w:t>达标分析</w:t>
                  </w:r>
                </w:p>
              </w:tc>
            </w:tr>
            <w:tr w14:paraId="2490FC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tcMar>
                    <w:left w:w="57" w:type="dxa"/>
                    <w:right w:w="57" w:type="dxa"/>
                  </w:tcMar>
                  <w:vAlign w:val="center"/>
                </w:tcPr>
                <w:p w14:paraId="62E0D411">
                  <w:pPr>
                    <w:snapToGrid w:val="0"/>
                    <w:spacing w:line="240" w:lineRule="auto"/>
                    <w:ind w:left="0" w:leftChars="0" w:right="0" w:rightChars="0" w:firstLine="0" w:firstLineChars="0"/>
                    <w:jc w:val="center"/>
                    <w:rPr>
                      <w:rFonts w:cs="Times New Roman"/>
                      <w:color w:val="auto"/>
                      <w:szCs w:val="21"/>
                    </w:rPr>
                  </w:pPr>
                </w:p>
              </w:tc>
              <w:tc>
                <w:tcPr>
                  <w:tcW w:w="544" w:type="pct"/>
                  <w:vMerge w:val="continue"/>
                  <w:tcBorders>
                    <w:tl2br w:val="nil"/>
                    <w:tr2bl w:val="nil"/>
                  </w:tcBorders>
                  <w:tcMar>
                    <w:left w:w="57" w:type="dxa"/>
                    <w:right w:w="57" w:type="dxa"/>
                  </w:tcMar>
                  <w:vAlign w:val="center"/>
                </w:tcPr>
                <w:p w14:paraId="630FD1DA">
                  <w:pPr>
                    <w:snapToGrid w:val="0"/>
                    <w:spacing w:line="240" w:lineRule="auto"/>
                    <w:ind w:left="0" w:leftChars="0" w:right="0" w:rightChars="0" w:firstLine="0" w:firstLineChars="0"/>
                    <w:jc w:val="center"/>
                    <w:rPr>
                      <w:rFonts w:cs="Times New Roman"/>
                      <w:color w:val="auto"/>
                      <w:szCs w:val="21"/>
                    </w:rPr>
                  </w:pPr>
                </w:p>
              </w:tc>
              <w:tc>
                <w:tcPr>
                  <w:tcW w:w="355" w:type="pct"/>
                  <w:tcBorders>
                    <w:tl2br w:val="nil"/>
                    <w:tr2bl w:val="nil"/>
                  </w:tcBorders>
                  <w:tcMar>
                    <w:left w:w="57" w:type="dxa"/>
                    <w:right w:w="57" w:type="dxa"/>
                  </w:tcMar>
                  <w:vAlign w:val="center"/>
                </w:tcPr>
                <w:p w14:paraId="356AC863">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产生量</w:t>
                  </w:r>
                </w:p>
                <w:p w14:paraId="1BFB3ECD">
                  <w:pPr>
                    <w:snapToGrid w:val="0"/>
                    <w:spacing w:line="240" w:lineRule="auto"/>
                    <w:ind w:left="0" w:leftChars="0" w:right="0" w:rightChars="0" w:firstLine="0" w:firstLineChars="0"/>
                    <w:jc w:val="center"/>
                    <w:rPr>
                      <w:rFonts w:eastAsia="宋体" w:cs="Times New Roman"/>
                      <w:b/>
                      <w:bCs/>
                      <w:color w:val="auto"/>
                      <w:szCs w:val="21"/>
                      <w:lang w:eastAsia="zh-CN"/>
                    </w:rPr>
                  </w:pPr>
                  <w:r>
                    <w:rPr>
                      <w:rFonts w:cs="Times New Roman"/>
                      <w:b/>
                      <w:bCs/>
                      <w:color w:val="auto"/>
                      <w:szCs w:val="21"/>
                      <w:lang w:eastAsia="zh-CN"/>
                    </w:rPr>
                    <w:t>t/a</w:t>
                  </w:r>
                </w:p>
              </w:tc>
              <w:tc>
                <w:tcPr>
                  <w:tcW w:w="318" w:type="pct"/>
                  <w:tcBorders>
                    <w:tl2br w:val="nil"/>
                    <w:tr2bl w:val="nil"/>
                  </w:tcBorders>
                  <w:tcMar>
                    <w:left w:w="57" w:type="dxa"/>
                    <w:right w:w="57" w:type="dxa"/>
                  </w:tcMar>
                  <w:vAlign w:val="center"/>
                </w:tcPr>
                <w:p w14:paraId="43D36B40">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产生</w:t>
                  </w:r>
                </w:p>
                <w:p w14:paraId="1C49CFC9">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浓度</w:t>
                  </w:r>
                  <w:r>
                    <w:rPr>
                      <w:rFonts w:cs="Times New Roman"/>
                      <w:b/>
                      <w:bCs/>
                      <w:color w:val="auto"/>
                      <w:szCs w:val="21"/>
                    </w:rPr>
                    <w:t>mg/m</w:t>
                  </w:r>
                  <w:r>
                    <w:rPr>
                      <w:rFonts w:cs="Times New Roman"/>
                      <w:b/>
                      <w:bCs/>
                      <w:color w:val="auto"/>
                      <w:szCs w:val="21"/>
                      <w:vertAlign w:val="superscript"/>
                    </w:rPr>
                    <w:t>3</w:t>
                  </w:r>
                </w:p>
              </w:tc>
              <w:tc>
                <w:tcPr>
                  <w:tcW w:w="398" w:type="pct"/>
                  <w:vMerge w:val="continue"/>
                  <w:tcBorders>
                    <w:tl2br w:val="nil"/>
                    <w:tr2bl w:val="nil"/>
                  </w:tcBorders>
                  <w:tcMar>
                    <w:left w:w="57" w:type="dxa"/>
                    <w:right w:w="57" w:type="dxa"/>
                  </w:tcMar>
                  <w:vAlign w:val="center"/>
                </w:tcPr>
                <w:p w14:paraId="7EFF09CA">
                  <w:pPr>
                    <w:snapToGrid w:val="0"/>
                    <w:spacing w:line="240" w:lineRule="auto"/>
                    <w:ind w:left="0" w:leftChars="0" w:right="0" w:rightChars="0" w:firstLine="0" w:firstLineChars="0"/>
                    <w:jc w:val="center"/>
                    <w:rPr>
                      <w:rFonts w:cs="Times New Roman"/>
                      <w:b/>
                      <w:bCs/>
                      <w:color w:val="auto"/>
                      <w:szCs w:val="21"/>
                    </w:rPr>
                  </w:pPr>
                </w:p>
              </w:tc>
              <w:tc>
                <w:tcPr>
                  <w:tcW w:w="411" w:type="pct"/>
                  <w:tcBorders>
                    <w:tl2br w:val="nil"/>
                    <w:tr2bl w:val="nil"/>
                  </w:tcBorders>
                  <w:tcMar>
                    <w:left w:w="57" w:type="dxa"/>
                    <w:right w:w="57" w:type="dxa"/>
                  </w:tcMar>
                  <w:vAlign w:val="center"/>
                </w:tcPr>
                <w:p w14:paraId="5616AC73">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排放量</w:t>
                  </w:r>
                </w:p>
                <w:p w14:paraId="0D647D09">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t/a</w:t>
                  </w:r>
                </w:p>
              </w:tc>
              <w:tc>
                <w:tcPr>
                  <w:tcW w:w="266" w:type="pct"/>
                  <w:tcBorders>
                    <w:tl2br w:val="nil"/>
                    <w:tr2bl w:val="nil"/>
                  </w:tcBorders>
                  <w:tcMar>
                    <w:left w:w="57" w:type="dxa"/>
                    <w:right w:w="57" w:type="dxa"/>
                  </w:tcMar>
                  <w:vAlign w:val="center"/>
                </w:tcPr>
                <w:p w14:paraId="2DBE0D74">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排放速率</w:t>
                  </w:r>
                </w:p>
                <w:p w14:paraId="54B1D0AF">
                  <w:pPr>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kg/h</w:t>
                  </w:r>
                </w:p>
              </w:tc>
              <w:tc>
                <w:tcPr>
                  <w:tcW w:w="339" w:type="pct"/>
                  <w:tcBorders>
                    <w:tl2br w:val="nil"/>
                    <w:tr2bl w:val="nil"/>
                  </w:tcBorders>
                  <w:tcMar>
                    <w:left w:w="57" w:type="dxa"/>
                    <w:right w:w="57" w:type="dxa"/>
                  </w:tcMar>
                  <w:vAlign w:val="center"/>
                </w:tcPr>
                <w:p w14:paraId="6F1967E9">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排放</w:t>
                  </w:r>
                </w:p>
                <w:p w14:paraId="585782DE">
                  <w:pPr>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浓度</w:t>
                  </w:r>
                  <w:r>
                    <w:rPr>
                      <w:rFonts w:cs="Times New Roman"/>
                      <w:b/>
                      <w:bCs/>
                      <w:color w:val="auto"/>
                      <w:szCs w:val="21"/>
                    </w:rPr>
                    <w:t>mg/m</w:t>
                  </w:r>
                  <w:r>
                    <w:rPr>
                      <w:rFonts w:cs="Times New Roman"/>
                      <w:b/>
                      <w:bCs/>
                      <w:color w:val="auto"/>
                      <w:szCs w:val="21"/>
                      <w:vertAlign w:val="superscript"/>
                    </w:rPr>
                    <w:t>3</w:t>
                  </w:r>
                </w:p>
              </w:tc>
              <w:tc>
                <w:tcPr>
                  <w:tcW w:w="755" w:type="pct"/>
                  <w:vMerge w:val="continue"/>
                  <w:tcBorders>
                    <w:tl2br w:val="nil"/>
                    <w:tr2bl w:val="nil"/>
                  </w:tcBorders>
                  <w:tcMar>
                    <w:left w:w="57" w:type="dxa"/>
                    <w:right w:w="57" w:type="dxa"/>
                  </w:tcMar>
                  <w:vAlign w:val="center"/>
                </w:tcPr>
                <w:p w14:paraId="7EFD0CE9">
                  <w:pPr>
                    <w:snapToGrid w:val="0"/>
                    <w:spacing w:line="240" w:lineRule="auto"/>
                    <w:ind w:left="0" w:leftChars="0" w:right="0" w:rightChars="0" w:firstLine="0" w:firstLineChars="0"/>
                    <w:jc w:val="center"/>
                    <w:rPr>
                      <w:rFonts w:cs="Times New Roman"/>
                      <w:color w:val="auto"/>
                      <w:szCs w:val="21"/>
                      <w:lang w:eastAsia="zh-CN"/>
                    </w:rPr>
                  </w:pPr>
                </w:p>
              </w:tc>
              <w:tc>
                <w:tcPr>
                  <w:tcW w:w="218" w:type="pct"/>
                  <w:vMerge w:val="continue"/>
                  <w:tcBorders>
                    <w:tl2br w:val="nil"/>
                    <w:tr2bl w:val="nil"/>
                  </w:tcBorders>
                  <w:tcMar>
                    <w:left w:w="57" w:type="dxa"/>
                    <w:right w:w="57" w:type="dxa"/>
                  </w:tcMar>
                  <w:vAlign w:val="center"/>
                </w:tcPr>
                <w:p w14:paraId="2D2034FC">
                  <w:pPr>
                    <w:snapToGrid w:val="0"/>
                    <w:spacing w:line="240" w:lineRule="auto"/>
                    <w:ind w:left="0" w:leftChars="0" w:right="0" w:rightChars="0" w:firstLine="0" w:firstLineChars="0"/>
                    <w:jc w:val="center"/>
                    <w:rPr>
                      <w:rFonts w:cs="Times New Roman"/>
                      <w:color w:val="auto"/>
                      <w:szCs w:val="21"/>
                      <w:lang w:eastAsia="zh-CN"/>
                    </w:rPr>
                  </w:pPr>
                </w:p>
              </w:tc>
              <w:tc>
                <w:tcPr>
                  <w:tcW w:w="237" w:type="pct"/>
                  <w:vMerge w:val="continue"/>
                  <w:tcBorders>
                    <w:tl2br w:val="nil"/>
                    <w:tr2bl w:val="nil"/>
                  </w:tcBorders>
                  <w:tcMar>
                    <w:left w:w="57" w:type="dxa"/>
                    <w:right w:w="57" w:type="dxa"/>
                  </w:tcMar>
                  <w:vAlign w:val="center"/>
                </w:tcPr>
                <w:p w14:paraId="7DBAFB96">
                  <w:pPr>
                    <w:snapToGrid w:val="0"/>
                    <w:spacing w:line="240" w:lineRule="auto"/>
                    <w:ind w:left="0" w:leftChars="0" w:right="0" w:rightChars="0" w:firstLine="0" w:firstLineChars="0"/>
                    <w:jc w:val="center"/>
                    <w:rPr>
                      <w:rFonts w:cs="Times New Roman"/>
                      <w:color w:val="auto"/>
                      <w:szCs w:val="21"/>
                      <w:lang w:eastAsia="zh-CN"/>
                    </w:rPr>
                  </w:pPr>
                </w:p>
              </w:tc>
              <w:tc>
                <w:tcPr>
                  <w:tcW w:w="625" w:type="pct"/>
                  <w:gridSpan w:val="2"/>
                  <w:vMerge w:val="continue"/>
                  <w:tcBorders>
                    <w:tl2br w:val="nil"/>
                    <w:tr2bl w:val="nil"/>
                  </w:tcBorders>
                  <w:tcMar>
                    <w:left w:w="57" w:type="dxa"/>
                    <w:right w:w="57" w:type="dxa"/>
                  </w:tcMar>
                  <w:vAlign w:val="center"/>
                </w:tcPr>
                <w:p w14:paraId="02EC46DF">
                  <w:pPr>
                    <w:snapToGrid w:val="0"/>
                    <w:spacing w:line="240" w:lineRule="auto"/>
                    <w:ind w:left="0" w:leftChars="0" w:right="0" w:rightChars="0" w:firstLine="0" w:firstLineChars="0"/>
                    <w:jc w:val="center"/>
                    <w:rPr>
                      <w:rFonts w:cs="Times New Roman"/>
                      <w:color w:val="auto"/>
                      <w:szCs w:val="21"/>
                      <w:lang w:eastAsia="zh-CN"/>
                    </w:rPr>
                  </w:pPr>
                </w:p>
              </w:tc>
              <w:tc>
                <w:tcPr>
                  <w:tcW w:w="237" w:type="pct"/>
                  <w:vMerge w:val="continue"/>
                  <w:tcBorders>
                    <w:tl2br w:val="nil"/>
                    <w:tr2bl w:val="nil"/>
                  </w:tcBorders>
                  <w:tcMar>
                    <w:left w:w="57" w:type="dxa"/>
                    <w:right w:w="57" w:type="dxa"/>
                  </w:tcMar>
                  <w:vAlign w:val="center"/>
                </w:tcPr>
                <w:p w14:paraId="3EAD106D">
                  <w:pPr>
                    <w:snapToGrid w:val="0"/>
                    <w:spacing w:line="240" w:lineRule="auto"/>
                    <w:ind w:left="0" w:leftChars="0" w:right="0" w:rightChars="0" w:firstLine="0" w:firstLineChars="0"/>
                    <w:jc w:val="center"/>
                    <w:rPr>
                      <w:rFonts w:cs="Times New Roman"/>
                      <w:color w:val="auto"/>
                      <w:szCs w:val="21"/>
                      <w:lang w:eastAsia="zh-CN"/>
                    </w:rPr>
                  </w:pPr>
                </w:p>
              </w:tc>
            </w:tr>
            <w:tr w14:paraId="7340B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restart"/>
                  <w:tcBorders>
                    <w:tl2br w:val="nil"/>
                    <w:tr2bl w:val="nil"/>
                  </w:tcBorders>
                  <w:shd w:val="clear" w:color="auto" w:fill="auto"/>
                  <w:tcMar>
                    <w:left w:w="57" w:type="dxa"/>
                    <w:right w:w="57" w:type="dxa"/>
                  </w:tcMar>
                  <w:vAlign w:val="center"/>
                </w:tcPr>
                <w:p w14:paraId="2DAC5DEE">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切割</w:t>
                  </w:r>
                </w:p>
              </w:tc>
              <w:tc>
                <w:tcPr>
                  <w:tcW w:w="544" w:type="pct"/>
                  <w:vMerge w:val="restart"/>
                  <w:tcBorders>
                    <w:tl2br w:val="nil"/>
                    <w:tr2bl w:val="nil"/>
                  </w:tcBorders>
                  <w:shd w:val="clear" w:color="auto" w:fill="auto"/>
                  <w:tcMar>
                    <w:left w:w="57" w:type="dxa"/>
                    <w:right w:w="57" w:type="dxa"/>
                  </w:tcMar>
                  <w:vAlign w:val="center"/>
                </w:tcPr>
                <w:p w14:paraId="065EAE85">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颗粒物</w:t>
                  </w:r>
                </w:p>
              </w:tc>
              <w:tc>
                <w:tcPr>
                  <w:tcW w:w="355" w:type="pct"/>
                  <w:vMerge w:val="restart"/>
                  <w:tcBorders>
                    <w:tl2br w:val="nil"/>
                    <w:tr2bl w:val="nil"/>
                  </w:tcBorders>
                  <w:shd w:val="clear" w:color="auto" w:fill="auto"/>
                  <w:tcMar>
                    <w:left w:w="57" w:type="dxa"/>
                    <w:right w:w="57" w:type="dxa"/>
                  </w:tcMar>
                  <w:vAlign w:val="center"/>
                </w:tcPr>
                <w:p w14:paraId="209C7409">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0.55</w:t>
                  </w:r>
                </w:p>
              </w:tc>
              <w:tc>
                <w:tcPr>
                  <w:tcW w:w="318" w:type="pct"/>
                  <w:vMerge w:val="restart"/>
                  <w:tcBorders>
                    <w:tl2br w:val="nil"/>
                    <w:tr2bl w:val="nil"/>
                  </w:tcBorders>
                  <w:shd w:val="clear" w:color="auto" w:fill="auto"/>
                  <w:tcMar>
                    <w:left w:w="57" w:type="dxa"/>
                    <w:right w:w="57" w:type="dxa"/>
                  </w:tcMar>
                  <w:vAlign w:val="center"/>
                </w:tcPr>
                <w:p w14:paraId="4EA08843">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103.1</w:t>
                  </w:r>
                </w:p>
              </w:tc>
              <w:tc>
                <w:tcPr>
                  <w:tcW w:w="398" w:type="pct"/>
                  <w:vMerge w:val="restart"/>
                  <w:tcBorders>
                    <w:tl2br w:val="nil"/>
                    <w:tr2bl w:val="nil"/>
                  </w:tcBorders>
                  <w:shd w:val="clear" w:color="auto" w:fill="auto"/>
                  <w:tcMar>
                    <w:left w:w="57" w:type="dxa"/>
                    <w:right w:w="57" w:type="dxa"/>
                  </w:tcMar>
                  <w:vAlign w:val="center"/>
                </w:tcPr>
                <w:p w14:paraId="45307279">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有</w:t>
                  </w:r>
                  <w:r>
                    <w:rPr>
                      <w:rFonts w:eastAsia="宋体" w:cs="Times New Roman"/>
                      <w:color w:val="auto"/>
                      <w:kern w:val="2"/>
                      <w:szCs w:val="21"/>
                      <w:lang w:eastAsia="zh-CN"/>
                    </w:rPr>
                    <w:t>组织</w:t>
                  </w:r>
                </w:p>
              </w:tc>
              <w:tc>
                <w:tcPr>
                  <w:tcW w:w="411" w:type="pct"/>
                  <w:vMerge w:val="restart"/>
                  <w:tcBorders>
                    <w:tl2br w:val="nil"/>
                    <w:tr2bl w:val="nil"/>
                  </w:tcBorders>
                  <w:shd w:val="clear" w:color="auto" w:fill="auto"/>
                  <w:tcMar>
                    <w:left w:w="57" w:type="dxa"/>
                    <w:right w:w="57" w:type="dxa"/>
                  </w:tcMar>
                  <w:vAlign w:val="center"/>
                </w:tcPr>
                <w:p w14:paraId="33D4B409">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0.025</w:t>
                  </w:r>
                </w:p>
              </w:tc>
              <w:tc>
                <w:tcPr>
                  <w:tcW w:w="266" w:type="pct"/>
                  <w:vMerge w:val="restart"/>
                  <w:tcBorders>
                    <w:tl2br w:val="nil"/>
                    <w:tr2bl w:val="nil"/>
                  </w:tcBorders>
                  <w:shd w:val="clear" w:color="auto" w:fill="auto"/>
                  <w:tcMar>
                    <w:left w:w="57" w:type="dxa"/>
                    <w:right w:w="57" w:type="dxa"/>
                  </w:tcMar>
                  <w:vAlign w:val="center"/>
                </w:tcPr>
                <w:p w14:paraId="631BD63F">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hint="eastAsia" w:eastAsia="宋体" w:cs="Times New Roman"/>
                      <w:color w:val="auto"/>
                      <w:kern w:val="2"/>
                      <w:szCs w:val="21"/>
                      <w:lang w:eastAsia="zh-CN"/>
                    </w:rPr>
                    <w:t>0.01</w:t>
                  </w:r>
                </w:p>
              </w:tc>
              <w:tc>
                <w:tcPr>
                  <w:tcW w:w="339" w:type="pct"/>
                  <w:vMerge w:val="restart"/>
                  <w:tcBorders>
                    <w:tl2br w:val="nil"/>
                    <w:tr2bl w:val="nil"/>
                  </w:tcBorders>
                  <w:shd w:val="clear" w:color="auto" w:fill="auto"/>
                  <w:tcMar>
                    <w:left w:w="57" w:type="dxa"/>
                    <w:right w:w="57" w:type="dxa"/>
                  </w:tcMar>
                  <w:vAlign w:val="center"/>
                </w:tcPr>
                <w:p w14:paraId="52188D45">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5.16</w:t>
                  </w:r>
                </w:p>
              </w:tc>
              <w:tc>
                <w:tcPr>
                  <w:tcW w:w="755" w:type="pct"/>
                  <w:vMerge w:val="restart"/>
                  <w:tcBorders>
                    <w:tl2br w:val="nil"/>
                    <w:tr2bl w:val="nil"/>
                  </w:tcBorders>
                  <w:shd w:val="clear" w:color="auto" w:fill="auto"/>
                  <w:tcMar>
                    <w:left w:w="57" w:type="dxa"/>
                    <w:right w:w="57" w:type="dxa"/>
                  </w:tcMar>
                  <w:vAlign w:val="center"/>
                </w:tcPr>
                <w:p w14:paraId="256E14D9">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szCs w:val="21"/>
                      <w:lang w:eastAsia="zh-CN"/>
                    </w:rPr>
                    <w:t>滤筒除尘器</w:t>
                  </w:r>
                </w:p>
              </w:tc>
              <w:tc>
                <w:tcPr>
                  <w:tcW w:w="218" w:type="pct"/>
                  <w:vMerge w:val="restart"/>
                  <w:tcBorders>
                    <w:tl2br w:val="nil"/>
                    <w:tr2bl w:val="nil"/>
                  </w:tcBorders>
                  <w:shd w:val="clear" w:color="auto" w:fill="auto"/>
                  <w:tcMar>
                    <w:left w:w="57" w:type="dxa"/>
                    <w:right w:w="57" w:type="dxa"/>
                  </w:tcMar>
                  <w:vAlign w:val="center"/>
                </w:tcPr>
                <w:p w14:paraId="6AC550FA">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90</w:t>
                  </w:r>
                </w:p>
              </w:tc>
              <w:tc>
                <w:tcPr>
                  <w:tcW w:w="237" w:type="pct"/>
                  <w:vMerge w:val="restart"/>
                  <w:tcBorders>
                    <w:tl2br w:val="nil"/>
                    <w:tr2bl w:val="nil"/>
                  </w:tcBorders>
                  <w:shd w:val="clear" w:color="auto" w:fill="auto"/>
                  <w:tcMar>
                    <w:left w:w="57" w:type="dxa"/>
                    <w:right w:w="57" w:type="dxa"/>
                  </w:tcMar>
                  <w:vAlign w:val="center"/>
                </w:tcPr>
                <w:p w14:paraId="4879855A">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95</w:t>
                  </w:r>
                </w:p>
              </w:tc>
              <w:tc>
                <w:tcPr>
                  <w:tcW w:w="222" w:type="pct"/>
                  <w:tcBorders>
                    <w:tl2br w:val="nil"/>
                    <w:tr2bl w:val="nil"/>
                  </w:tcBorders>
                  <w:tcMar>
                    <w:left w:w="57" w:type="dxa"/>
                    <w:right w:w="57" w:type="dxa"/>
                  </w:tcMar>
                  <w:vAlign w:val="center"/>
                </w:tcPr>
                <w:p w14:paraId="408146C3">
                  <w:pPr>
                    <w:adjustRightInd w:val="0"/>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szCs w:val="21"/>
                      <w:lang w:eastAsia="zh-CN"/>
                    </w:rPr>
                    <w:t>浓度</w:t>
                  </w:r>
                </w:p>
              </w:tc>
              <w:tc>
                <w:tcPr>
                  <w:tcW w:w="402" w:type="pct"/>
                  <w:tcBorders>
                    <w:tl2br w:val="nil"/>
                    <w:tr2bl w:val="nil"/>
                  </w:tcBorders>
                  <w:tcMar>
                    <w:left w:w="57" w:type="dxa"/>
                    <w:right w:w="57" w:type="dxa"/>
                  </w:tcMar>
                  <w:vAlign w:val="center"/>
                </w:tcPr>
                <w:p w14:paraId="530EDDC9">
                  <w:pPr>
                    <w:adjustRightInd w:val="0"/>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szCs w:val="21"/>
                      <w:lang w:eastAsia="zh-CN"/>
                    </w:rPr>
                    <w:t>120</w:t>
                  </w:r>
                  <w:r>
                    <w:rPr>
                      <w:rFonts w:eastAsia="宋体" w:cs="Times New Roman"/>
                      <w:color w:val="auto"/>
                      <w:szCs w:val="21"/>
                    </w:rPr>
                    <w:t>mg/m</w:t>
                  </w:r>
                  <w:r>
                    <w:rPr>
                      <w:rFonts w:eastAsia="宋体" w:cs="Times New Roman"/>
                      <w:color w:val="auto"/>
                      <w:szCs w:val="21"/>
                      <w:vertAlign w:val="superscript"/>
                    </w:rPr>
                    <w:t>3</w:t>
                  </w:r>
                </w:p>
              </w:tc>
              <w:tc>
                <w:tcPr>
                  <w:tcW w:w="237" w:type="pct"/>
                  <w:vMerge w:val="restart"/>
                  <w:tcBorders>
                    <w:tl2br w:val="nil"/>
                    <w:tr2bl w:val="nil"/>
                  </w:tcBorders>
                  <w:tcMar>
                    <w:left w:w="57" w:type="dxa"/>
                    <w:right w:w="57" w:type="dxa"/>
                  </w:tcMar>
                  <w:vAlign w:val="center"/>
                </w:tcPr>
                <w:p w14:paraId="2162B624">
                  <w:pPr>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达标</w:t>
                  </w:r>
                </w:p>
              </w:tc>
            </w:tr>
            <w:tr w14:paraId="7642EF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shd w:val="clear" w:color="auto" w:fill="auto"/>
                  <w:tcMar>
                    <w:left w:w="57" w:type="dxa"/>
                    <w:right w:w="57" w:type="dxa"/>
                  </w:tcMar>
                  <w:vAlign w:val="center"/>
                </w:tcPr>
                <w:p w14:paraId="21B6EA0C">
                  <w:pPr>
                    <w:snapToGrid w:val="0"/>
                    <w:spacing w:line="240" w:lineRule="auto"/>
                    <w:ind w:left="0" w:leftChars="0" w:right="0" w:rightChars="0" w:firstLine="0" w:firstLineChars="0"/>
                    <w:jc w:val="center"/>
                    <w:rPr>
                      <w:color w:val="auto"/>
                    </w:rPr>
                  </w:pPr>
                </w:p>
              </w:tc>
              <w:tc>
                <w:tcPr>
                  <w:tcW w:w="544" w:type="pct"/>
                  <w:vMerge w:val="continue"/>
                  <w:tcBorders>
                    <w:tl2br w:val="nil"/>
                    <w:tr2bl w:val="nil"/>
                  </w:tcBorders>
                  <w:shd w:val="clear" w:color="auto" w:fill="auto"/>
                  <w:tcMar>
                    <w:left w:w="57" w:type="dxa"/>
                    <w:right w:w="57" w:type="dxa"/>
                  </w:tcMar>
                  <w:vAlign w:val="center"/>
                </w:tcPr>
                <w:p w14:paraId="0DED7F81">
                  <w:pPr>
                    <w:snapToGrid w:val="0"/>
                    <w:spacing w:line="240" w:lineRule="auto"/>
                    <w:ind w:left="0" w:leftChars="0" w:right="0" w:rightChars="0" w:firstLine="0" w:firstLineChars="0"/>
                    <w:jc w:val="center"/>
                    <w:rPr>
                      <w:color w:val="auto"/>
                    </w:rPr>
                  </w:pPr>
                </w:p>
              </w:tc>
              <w:tc>
                <w:tcPr>
                  <w:tcW w:w="355" w:type="pct"/>
                  <w:vMerge w:val="continue"/>
                  <w:tcBorders>
                    <w:tl2br w:val="nil"/>
                    <w:tr2bl w:val="nil"/>
                  </w:tcBorders>
                  <w:shd w:val="clear" w:color="auto" w:fill="auto"/>
                  <w:tcMar>
                    <w:left w:w="57" w:type="dxa"/>
                    <w:right w:w="57" w:type="dxa"/>
                  </w:tcMar>
                  <w:vAlign w:val="center"/>
                </w:tcPr>
                <w:p w14:paraId="08F47CB2">
                  <w:pPr>
                    <w:snapToGrid w:val="0"/>
                    <w:spacing w:line="240" w:lineRule="auto"/>
                    <w:ind w:left="0" w:leftChars="0" w:right="0" w:rightChars="0" w:firstLine="0" w:firstLineChars="0"/>
                    <w:jc w:val="center"/>
                    <w:rPr>
                      <w:color w:val="auto"/>
                    </w:rPr>
                  </w:pPr>
                </w:p>
              </w:tc>
              <w:tc>
                <w:tcPr>
                  <w:tcW w:w="318" w:type="pct"/>
                  <w:vMerge w:val="continue"/>
                  <w:tcBorders>
                    <w:tl2br w:val="nil"/>
                    <w:tr2bl w:val="nil"/>
                  </w:tcBorders>
                  <w:shd w:val="clear" w:color="auto" w:fill="auto"/>
                  <w:tcMar>
                    <w:left w:w="57" w:type="dxa"/>
                    <w:right w:w="57" w:type="dxa"/>
                  </w:tcMar>
                  <w:vAlign w:val="center"/>
                </w:tcPr>
                <w:p w14:paraId="5D1136CC">
                  <w:pPr>
                    <w:snapToGrid w:val="0"/>
                    <w:spacing w:line="240" w:lineRule="auto"/>
                    <w:ind w:left="0" w:leftChars="0" w:right="0" w:rightChars="0" w:firstLine="0" w:firstLineChars="0"/>
                    <w:jc w:val="center"/>
                    <w:rPr>
                      <w:color w:val="auto"/>
                    </w:rPr>
                  </w:pPr>
                </w:p>
              </w:tc>
              <w:tc>
                <w:tcPr>
                  <w:tcW w:w="398" w:type="pct"/>
                  <w:vMerge w:val="continue"/>
                  <w:tcBorders>
                    <w:tl2br w:val="nil"/>
                    <w:tr2bl w:val="nil"/>
                  </w:tcBorders>
                  <w:shd w:val="clear" w:color="auto" w:fill="auto"/>
                  <w:tcMar>
                    <w:left w:w="57" w:type="dxa"/>
                    <w:right w:w="57" w:type="dxa"/>
                  </w:tcMar>
                  <w:vAlign w:val="center"/>
                </w:tcPr>
                <w:p w14:paraId="050706F9">
                  <w:pPr>
                    <w:snapToGrid w:val="0"/>
                    <w:spacing w:line="240" w:lineRule="auto"/>
                    <w:ind w:left="0" w:leftChars="0" w:right="0" w:rightChars="0" w:firstLine="0" w:firstLineChars="0"/>
                    <w:jc w:val="center"/>
                    <w:rPr>
                      <w:color w:val="auto"/>
                    </w:rPr>
                  </w:pPr>
                </w:p>
              </w:tc>
              <w:tc>
                <w:tcPr>
                  <w:tcW w:w="411" w:type="pct"/>
                  <w:vMerge w:val="continue"/>
                  <w:tcBorders>
                    <w:tl2br w:val="nil"/>
                    <w:tr2bl w:val="nil"/>
                  </w:tcBorders>
                  <w:shd w:val="clear" w:color="auto" w:fill="auto"/>
                  <w:tcMar>
                    <w:left w:w="57" w:type="dxa"/>
                    <w:right w:w="57" w:type="dxa"/>
                  </w:tcMar>
                  <w:vAlign w:val="center"/>
                </w:tcPr>
                <w:p w14:paraId="6BF30EB2">
                  <w:pPr>
                    <w:snapToGrid w:val="0"/>
                    <w:spacing w:line="240" w:lineRule="auto"/>
                    <w:ind w:left="0" w:leftChars="0" w:right="0" w:rightChars="0" w:firstLine="0" w:firstLineChars="0"/>
                    <w:jc w:val="center"/>
                    <w:rPr>
                      <w:color w:val="auto"/>
                    </w:rPr>
                  </w:pPr>
                </w:p>
              </w:tc>
              <w:tc>
                <w:tcPr>
                  <w:tcW w:w="266" w:type="pct"/>
                  <w:vMerge w:val="continue"/>
                  <w:tcBorders>
                    <w:tl2br w:val="nil"/>
                    <w:tr2bl w:val="nil"/>
                  </w:tcBorders>
                  <w:shd w:val="clear" w:color="auto" w:fill="auto"/>
                  <w:tcMar>
                    <w:left w:w="57" w:type="dxa"/>
                    <w:right w:w="57" w:type="dxa"/>
                  </w:tcMar>
                  <w:vAlign w:val="center"/>
                </w:tcPr>
                <w:p w14:paraId="2BD1CC04">
                  <w:pPr>
                    <w:snapToGrid w:val="0"/>
                    <w:spacing w:line="240" w:lineRule="auto"/>
                    <w:ind w:left="0" w:leftChars="0" w:right="0" w:rightChars="0" w:firstLine="0" w:firstLineChars="0"/>
                    <w:jc w:val="center"/>
                    <w:rPr>
                      <w:color w:val="auto"/>
                    </w:rPr>
                  </w:pPr>
                </w:p>
              </w:tc>
              <w:tc>
                <w:tcPr>
                  <w:tcW w:w="339" w:type="pct"/>
                  <w:vMerge w:val="continue"/>
                  <w:tcBorders>
                    <w:tl2br w:val="nil"/>
                    <w:tr2bl w:val="nil"/>
                  </w:tcBorders>
                  <w:shd w:val="clear" w:color="auto" w:fill="auto"/>
                  <w:tcMar>
                    <w:left w:w="57" w:type="dxa"/>
                    <w:right w:w="57" w:type="dxa"/>
                  </w:tcMar>
                  <w:vAlign w:val="center"/>
                </w:tcPr>
                <w:p w14:paraId="4DA20E27">
                  <w:pPr>
                    <w:snapToGrid w:val="0"/>
                    <w:spacing w:line="240" w:lineRule="auto"/>
                    <w:ind w:left="0" w:leftChars="0" w:right="0" w:rightChars="0" w:firstLine="0" w:firstLineChars="0"/>
                    <w:jc w:val="center"/>
                    <w:rPr>
                      <w:color w:val="auto"/>
                    </w:rPr>
                  </w:pPr>
                </w:p>
              </w:tc>
              <w:tc>
                <w:tcPr>
                  <w:tcW w:w="755" w:type="pct"/>
                  <w:vMerge w:val="continue"/>
                  <w:tcBorders>
                    <w:tl2br w:val="nil"/>
                    <w:tr2bl w:val="nil"/>
                  </w:tcBorders>
                  <w:shd w:val="clear" w:color="auto" w:fill="auto"/>
                  <w:tcMar>
                    <w:left w:w="57" w:type="dxa"/>
                    <w:right w:w="57" w:type="dxa"/>
                  </w:tcMar>
                  <w:vAlign w:val="center"/>
                </w:tcPr>
                <w:p w14:paraId="1DA305D7">
                  <w:pPr>
                    <w:snapToGrid w:val="0"/>
                    <w:spacing w:line="240" w:lineRule="auto"/>
                    <w:ind w:left="0" w:leftChars="0" w:right="0" w:rightChars="0" w:firstLine="0" w:firstLineChars="0"/>
                    <w:jc w:val="center"/>
                    <w:rPr>
                      <w:color w:val="auto"/>
                    </w:rPr>
                  </w:pPr>
                </w:p>
              </w:tc>
              <w:tc>
                <w:tcPr>
                  <w:tcW w:w="218" w:type="pct"/>
                  <w:vMerge w:val="continue"/>
                  <w:tcBorders>
                    <w:tl2br w:val="nil"/>
                    <w:tr2bl w:val="nil"/>
                  </w:tcBorders>
                  <w:shd w:val="clear" w:color="auto" w:fill="auto"/>
                  <w:tcMar>
                    <w:left w:w="57" w:type="dxa"/>
                    <w:right w:w="57" w:type="dxa"/>
                  </w:tcMar>
                  <w:vAlign w:val="center"/>
                </w:tcPr>
                <w:p w14:paraId="4E70F76B">
                  <w:pPr>
                    <w:snapToGrid w:val="0"/>
                    <w:spacing w:line="240" w:lineRule="auto"/>
                    <w:ind w:left="0" w:leftChars="0" w:right="0" w:rightChars="0" w:firstLine="0" w:firstLineChars="0"/>
                    <w:jc w:val="center"/>
                    <w:rPr>
                      <w:color w:val="auto"/>
                    </w:rPr>
                  </w:pPr>
                </w:p>
              </w:tc>
              <w:tc>
                <w:tcPr>
                  <w:tcW w:w="237" w:type="pct"/>
                  <w:vMerge w:val="continue"/>
                  <w:tcBorders>
                    <w:tl2br w:val="nil"/>
                    <w:tr2bl w:val="nil"/>
                  </w:tcBorders>
                  <w:shd w:val="clear" w:color="auto" w:fill="auto"/>
                  <w:tcMar>
                    <w:left w:w="57" w:type="dxa"/>
                    <w:right w:w="57" w:type="dxa"/>
                  </w:tcMar>
                  <w:vAlign w:val="center"/>
                </w:tcPr>
                <w:p w14:paraId="5E73630E">
                  <w:pPr>
                    <w:snapToGrid w:val="0"/>
                    <w:spacing w:line="240" w:lineRule="auto"/>
                    <w:ind w:left="0" w:leftChars="0" w:right="0" w:rightChars="0" w:firstLine="0" w:firstLineChars="0"/>
                    <w:jc w:val="center"/>
                    <w:rPr>
                      <w:color w:val="auto"/>
                    </w:rPr>
                  </w:pPr>
                </w:p>
              </w:tc>
              <w:tc>
                <w:tcPr>
                  <w:tcW w:w="222" w:type="pct"/>
                  <w:tcBorders>
                    <w:tl2br w:val="nil"/>
                    <w:tr2bl w:val="nil"/>
                  </w:tcBorders>
                  <w:tcMar>
                    <w:left w:w="57" w:type="dxa"/>
                    <w:right w:w="57" w:type="dxa"/>
                  </w:tcMar>
                  <w:vAlign w:val="center"/>
                </w:tcPr>
                <w:p w14:paraId="60F4F2FF">
                  <w:pPr>
                    <w:adjustRightInd w:val="0"/>
                    <w:snapToGrid w:val="0"/>
                    <w:spacing w:line="240" w:lineRule="auto"/>
                    <w:ind w:left="0" w:leftChars="0" w:right="0" w:rightChars="0" w:firstLine="0" w:firstLineChars="0"/>
                    <w:jc w:val="center"/>
                    <w:rPr>
                      <w:color w:val="auto"/>
                    </w:rPr>
                  </w:pPr>
                  <w:r>
                    <w:rPr>
                      <w:rFonts w:eastAsia="宋体" w:cs="Times New Roman"/>
                      <w:color w:val="auto"/>
                      <w:szCs w:val="21"/>
                      <w:lang w:eastAsia="zh-CN"/>
                    </w:rPr>
                    <w:t>速率</w:t>
                  </w:r>
                </w:p>
              </w:tc>
              <w:tc>
                <w:tcPr>
                  <w:tcW w:w="402" w:type="pct"/>
                  <w:tcBorders>
                    <w:tl2br w:val="nil"/>
                    <w:tr2bl w:val="nil"/>
                  </w:tcBorders>
                  <w:tcMar>
                    <w:left w:w="57" w:type="dxa"/>
                    <w:right w:w="57" w:type="dxa"/>
                  </w:tcMar>
                  <w:vAlign w:val="center"/>
                </w:tcPr>
                <w:p w14:paraId="68116E6C">
                  <w:pPr>
                    <w:adjustRightInd w:val="0"/>
                    <w:snapToGrid w:val="0"/>
                    <w:spacing w:line="240" w:lineRule="auto"/>
                    <w:ind w:left="0" w:leftChars="0" w:right="0" w:rightChars="0" w:firstLine="0" w:firstLineChars="0"/>
                    <w:jc w:val="center"/>
                    <w:rPr>
                      <w:color w:val="auto"/>
                    </w:rPr>
                  </w:pPr>
                  <w:r>
                    <w:rPr>
                      <w:rFonts w:eastAsia="宋体" w:cs="Times New Roman"/>
                      <w:color w:val="auto"/>
                      <w:kern w:val="2"/>
                      <w:szCs w:val="21"/>
                      <w:lang w:eastAsia="zh-CN"/>
                    </w:rPr>
                    <w:t>3.5kg/h</w:t>
                  </w:r>
                </w:p>
              </w:tc>
              <w:tc>
                <w:tcPr>
                  <w:tcW w:w="237" w:type="pct"/>
                  <w:vMerge w:val="continue"/>
                  <w:tcBorders>
                    <w:tl2br w:val="nil"/>
                    <w:tr2bl w:val="nil"/>
                  </w:tcBorders>
                  <w:tcMar>
                    <w:left w:w="57" w:type="dxa"/>
                    <w:right w:w="57" w:type="dxa"/>
                  </w:tcMar>
                  <w:vAlign w:val="center"/>
                </w:tcPr>
                <w:p w14:paraId="6E413E63">
                  <w:pPr>
                    <w:snapToGrid w:val="0"/>
                    <w:spacing w:line="240" w:lineRule="auto"/>
                    <w:ind w:left="0" w:leftChars="0" w:right="0" w:rightChars="0" w:firstLine="0" w:firstLineChars="0"/>
                    <w:jc w:val="center"/>
                    <w:rPr>
                      <w:color w:val="auto"/>
                    </w:rPr>
                  </w:pPr>
                </w:p>
              </w:tc>
            </w:tr>
            <w:tr w14:paraId="3F4516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shd w:val="clear" w:color="auto" w:fill="auto"/>
                  <w:tcMar>
                    <w:left w:w="57" w:type="dxa"/>
                    <w:right w:w="57" w:type="dxa"/>
                  </w:tcMar>
                  <w:vAlign w:val="center"/>
                </w:tcPr>
                <w:p w14:paraId="706643F1">
                  <w:pPr>
                    <w:snapToGrid w:val="0"/>
                    <w:spacing w:line="240" w:lineRule="auto"/>
                    <w:ind w:left="0" w:leftChars="0" w:right="0" w:rightChars="0" w:firstLine="0" w:firstLineChars="0"/>
                    <w:jc w:val="center"/>
                    <w:rPr>
                      <w:color w:val="auto"/>
                    </w:rPr>
                  </w:pPr>
                </w:p>
              </w:tc>
              <w:tc>
                <w:tcPr>
                  <w:tcW w:w="544" w:type="pct"/>
                  <w:vMerge w:val="continue"/>
                  <w:tcBorders>
                    <w:tl2br w:val="nil"/>
                    <w:tr2bl w:val="nil"/>
                  </w:tcBorders>
                  <w:shd w:val="clear" w:color="auto" w:fill="auto"/>
                  <w:tcMar>
                    <w:left w:w="57" w:type="dxa"/>
                    <w:right w:w="57" w:type="dxa"/>
                  </w:tcMar>
                  <w:vAlign w:val="center"/>
                </w:tcPr>
                <w:p w14:paraId="17F1884F">
                  <w:pPr>
                    <w:snapToGrid w:val="0"/>
                    <w:spacing w:line="240" w:lineRule="auto"/>
                    <w:ind w:left="0" w:leftChars="0" w:right="0" w:rightChars="0" w:firstLine="0" w:firstLineChars="0"/>
                    <w:jc w:val="center"/>
                    <w:rPr>
                      <w:color w:val="auto"/>
                    </w:rPr>
                  </w:pPr>
                </w:p>
              </w:tc>
              <w:tc>
                <w:tcPr>
                  <w:tcW w:w="355" w:type="pct"/>
                  <w:vMerge w:val="continue"/>
                  <w:tcBorders>
                    <w:tl2br w:val="nil"/>
                    <w:tr2bl w:val="nil"/>
                  </w:tcBorders>
                  <w:shd w:val="clear" w:color="auto" w:fill="auto"/>
                  <w:tcMar>
                    <w:left w:w="57" w:type="dxa"/>
                    <w:right w:w="57" w:type="dxa"/>
                  </w:tcMar>
                  <w:vAlign w:val="center"/>
                </w:tcPr>
                <w:p w14:paraId="42155C4E">
                  <w:pPr>
                    <w:snapToGrid w:val="0"/>
                    <w:spacing w:line="240" w:lineRule="auto"/>
                    <w:ind w:left="0" w:leftChars="0" w:right="0" w:rightChars="0" w:firstLine="0" w:firstLineChars="0"/>
                    <w:jc w:val="center"/>
                    <w:rPr>
                      <w:color w:val="auto"/>
                    </w:rPr>
                  </w:pPr>
                </w:p>
              </w:tc>
              <w:tc>
                <w:tcPr>
                  <w:tcW w:w="318" w:type="pct"/>
                  <w:tcBorders>
                    <w:tl2br w:val="nil"/>
                    <w:tr2bl w:val="nil"/>
                  </w:tcBorders>
                  <w:shd w:val="clear" w:color="auto" w:fill="auto"/>
                  <w:tcMar>
                    <w:left w:w="57" w:type="dxa"/>
                    <w:right w:w="57" w:type="dxa"/>
                  </w:tcMar>
                  <w:vAlign w:val="center"/>
                </w:tcPr>
                <w:p w14:paraId="3541D7D4">
                  <w:pPr>
                    <w:snapToGrid w:val="0"/>
                    <w:spacing w:line="240" w:lineRule="auto"/>
                    <w:ind w:left="0" w:leftChars="0" w:right="0" w:rightChars="0" w:firstLine="0" w:firstLineChars="0"/>
                    <w:jc w:val="center"/>
                    <w:rPr>
                      <w:color w:val="auto"/>
                      <w:lang w:eastAsia="zh-CN"/>
                    </w:rPr>
                  </w:pPr>
                  <w:r>
                    <w:rPr>
                      <w:rFonts w:hint="eastAsia"/>
                      <w:color w:val="auto"/>
                      <w:lang w:eastAsia="zh-CN"/>
                    </w:rPr>
                    <w:t>/</w:t>
                  </w:r>
                </w:p>
              </w:tc>
              <w:tc>
                <w:tcPr>
                  <w:tcW w:w="398" w:type="pct"/>
                  <w:tcBorders>
                    <w:tl2br w:val="nil"/>
                    <w:tr2bl w:val="nil"/>
                  </w:tcBorders>
                  <w:shd w:val="clear" w:color="auto" w:fill="auto"/>
                  <w:tcMar>
                    <w:left w:w="57" w:type="dxa"/>
                    <w:right w:w="57" w:type="dxa"/>
                  </w:tcMar>
                  <w:vAlign w:val="center"/>
                </w:tcPr>
                <w:p w14:paraId="505C8A69">
                  <w:pPr>
                    <w:snapToGrid w:val="0"/>
                    <w:spacing w:line="240" w:lineRule="auto"/>
                    <w:ind w:left="0" w:leftChars="0" w:right="0" w:rightChars="0" w:firstLine="0" w:firstLineChars="0"/>
                    <w:jc w:val="center"/>
                    <w:rPr>
                      <w:color w:val="auto"/>
                      <w:lang w:eastAsia="zh-CN"/>
                    </w:rPr>
                  </w:pPr>
                  <w:r>
                    <w:rPr>
                      <w:rFonts w:hint="eastAsia"/>
                      <w:color w:val="auto"/>
                      <w:lang w:eastAsia="zh-CN"/>
                    </w:rPr>
                    <w:t>无组织</w:t>
                  </w:r>
                </w:p>
              </w:tc>
              <w:tc>
                <w:tcPr>
                  <w:tcW w:w="411" w:type="pct"/>
                  <w:tcBorders>
                    <w:tl2br w:val="nil"/>
                    <w:tr2bl w:val="nil"/>
                  </w:tcBorders>
                  <w:shd w:val="clear" w:color="auto" w:fill="auto"/>
                  <w:tcMar>
                    <w:left w:w="57" w:type="dxa"/>
                    <w:right w:w="57" w:type="dxa"/>
                  </w:tcMar>
                  <w:vAlign w:val="center"/>
                </w:tcPr>
                <w:p w14:paraId="66F1DA30">
                  <w:pPr>
                    <w:snapToGrid w:val="0"/>
                    <w:spacing w:line="240" w:lineRule="auto"/>
                    <w:ind w:left="0" w:leftChars="0" w:right="0" w:rightChars="0" w:firstLine="0" w:firstLineChars="0"/>
                    <w:jc w:val="center"/>
                    <w:rPr>
                      <w:color w:val="auto"/>
                      <w:lang w:eastAsia="zh-CN"/>
                    </w:rPr>
                  </w:pPr>
                  <w:r>
                    <w:rPr>
                      <w:rFonts w:hint="eastAsia"/>
                      <w:color w:val="auto"/>
                      <w:lang w:eastAsia="zh-CN"/>
                    </w:rPr>
                    <w:t>0.055</w:t>
                  </w:r>
                </w:p>
              </w:tc>
              <w:tc>
                <w:tcPr>
                  <w:tcW w:w="266" w:type="pct"/>
                  <w:tcBorders>
                    <w:tl2br w:val="nil"/>
                    <w:tr2bl w:val="nil"/>
                  </w:tcBorders>
                  <w:shd w:val="clear" w:color="auto" w:fill="auto"/>
                  <w:tcMar>
                    <w:left w:w="57" w:type="dxa"/>
                    <w:right w:w="57" w:type="dxa"/>
                  </w:tcMar>
                  <w:vAlign w:val="center"/>
                </w:tcPr>
                <w:p w14:paraId="1D51F069">
                  <w:pPr>
                    <w:snapToGrid w:val="0"/>
                    <w:spacing w:line="240" w:lineRule="auto"/>
                    <w:ind w:left="0" w:leftChars="0" w:right="0" w:rightChars="0" w:firstLine="0" w:firstLineChars="0"/>
                    <w:jc w:val="center"/>
                    <w:rPr>
                      <w:color w:val="auto"/>
                      <w:lang w:eastAsia="zh-CN"/>
                    </w:rPr>
                  </w:pPr>
                  <w:r>
                    <w:rPr>
                      <w:rFonts w:hint="eastAsia"/>
                      <w:color w:val="auto"/>
                      <w:lang w:eastAsia="zh-CN"/>
                    </w:rPr>
                    <w:t>0.023</w:t>
                  </w:r>
                </w:p>
              </w:tc>
              <w:tc>
                <w:tcPr>
                  <w:tcW w:w="339" w:type="pct"/>
                  <w:tcBorders>
                    <w:tl2br w:val="nil"/>
                    <w:tr2bl w:val="nil"/>
                  </w:tcBorders>
                  <w:shd w:val="clear" w:color="auto" w:fill="auto"/>
                  <w:tcMar>
                    <w:left w:w="57" w:type="dxa"/>
                    <w:right w:w="57" w:type="dxa"/>
                  </w:tcMar>
                  <w:vAlign w:val="center"/>
                </w:tcPr>
                <w:p w14:paraId="3537AC0B">
                  <w:pPr>
                    <w:snapToGrid w:val="0"/>
                    <w:spacing w:line="240" w:lineRule="auto"/>
                    <w:ind w:left="0" w:leftChars="0" w:right="0" w:rightChars="0" w:firstLine="0" w:firstLineChars="0"/>
                    <w:jc w:val="center"/>
                    <w:rPr>
                      <w:color w:val="auto"/>
                      <w:lang w:eastAsia="zh-CN"/>
                    </w:rPr>
                  </w:pPr>
                  <w:r>
                    <w:rPr>
                      <w:rFonts w:hint="eastAsia"/>
                      <w:color w:val="auto"/>
                      <w:lang w:eastAsia="zh-CN"/>
                    </w:rPr>
                    <w:t>/</w:t>
                  </w:r>
                </w:p>
              </w:tc>
              <w:tc>
                <w:tcPr>
                  <w:tcW w:w="755" w:type="pct"/>
                  <w:vMerge w:val="continue"/>
                  <w:tcBorders>
                    <w:tl2br w:val="nil"/>
                    <w:tr2bl w:val="nil"/>
                  </w:tcBorders>
                  <w:shd w:val="clear" w:color="auto" w:fill="auto"/>
                  <w:tcMar>
                    <w:left w:w="57" w:type="dxa"/>
                    <w:right w:w="57" w:type="dxa"/>
                  </w:tcMar>
                  <w:vAlign w:val="center"/>
                </w:tcPr>
                <w:p w14:paraId="70718165">
                  <w:pPr>
                    <w:snapToGrid w:val="0"/>
                    <w:spacing w:line="240" w:lineRule="auto"/>
                    <w:ind w:left="0" w:leftChars="0" w:right="0" w:rightChars="0" w:firstLine="0" w:firstLineChars="0"/>
                    <w:jc w:val="center"/>
                    <w:rPr>
                      <w:color w:val="auto"/>
                    </w:rPr>
                  </w:pPr>
                </w:p>
              </w:tc>
              <w:tc>
                <w:tcPr>
                  <w:tcW w:w="218" w:type="pct"/>
                  <w:tcBorders>
                    <w:tl2br w:val="nil"/>
                    <w:tr2bl w:val="nil"/>
                  </w:tcBorders>
                  <w:shd w:val="clear" w:color="auto" w:fill="auto"/>
                  <w:tcMar>
                    <w:left w:w="57" w:type="dxa"/>
                    <w:right w:w="57" w:type="dxa"/>
                  </w:tcMar>
                  <w:vAlign w:val="center"/>
                </w:tcPr>
                <w:p w14:paraId="7CF38697">
                  <w:pPr>
                    <w:snapToGrid w:val="0"/>
                    <w:spacing w:line="240" w:lineRule="auto"/>
                    <w:ind w:left="0" w:leftChars="0" w:right="0" w:rightChars="0" w:firstLine="0" w:firstLineChars="0"/>
                    <w:jc w:val="center"/>
                    <w:rPr>
                      <w:rFonts w:hint="eastAsia" w:eastAsiaTheme="minorEastAsia"/>
                      <w:color w:val="auto"/>
                      <w:lang w:val="en-US" w:eastAsia="zh-CN"/>
                    </w:rPr>
                  </w:pPr>
                  <w:r>
                    <w:rPr>
                      <w:rFonts w:hint="eastAsia"/>
                      <w:color w:val="auto"/>
                      <w:lang w:val="en-US" w:eastAsia="zh-CN"/>
                    </w:rPr>
                    <w:t>/</w:t>
                  </w:r>
                </w:p>
              </w:tc>
              <w:tc>
                <w:tcPr>
                  <w:tcW w:w="237" w:type="pct"/>
                  <w:tcBorders>
                    <w:tl2br w:val="nil"/>
                    <w:tr2bl w:val="nil"/>
                  </w:tcBorders>
                  <w:shd w:val="clear" w:color="auto" w:fill="auto"/>
                  <w:tcMar>
                    <w:left w:w="57" w:type="dxa"/>
                    <w:right w:w="57" w:type="dxa"/>
                  </w:tcMar>
                  <w:vAlign w:val="center"/>
                </w:tcPr>
                <w:p w14:paraId="050D4AD4">
                  <w:pPr>
                    <w:snapToGrid w:val="0"/>
                    <w:spacing w:line="240" w:lineRule="auto"/>
                    <w:ind w:left="0" w:leftChars="0" w:right="0" w:rightChars="0" w:firstLine="0" w:firstLineChars="0"/>
                    <w:jc w:val="center"/>
                    <w:rPr>
                      <w:rFonts w:hint="eastAsia" w:eastAsiaTheme="minorEastAsia"/>
                      <w:color w:val="auto"/>
                      <w:lang w:val="en-US" w:eastAsia="zh-CN"/>
                    </w:rPr>
                  </w:pPr>
                  <w:r>
                    <w:rPr>
                      <w:rFonts w:hint="eastAsia"/>
                      <w:color w:val="auto"/>
                      <w:lang w:val="en-US" w:eastAsia="zh-CN"/>
                    </w:rPr>
                    <w:t>/</w:t>
                  </w:r>
                </w:p>
              </w:tc>
              <w:tc>
                <w:tcPr>
                  <w:tcW w:w="222" w:type="pct"/>
                  <w:tcBorders>
                    <w:tl2br w:val="nil"/>
                    <w:tr2bl w:val="nil"/>
                  </w:tcBorders>
                  <w:tcMar>
                    <w:left w:w="57" w:type="dxa"/>
                    <w:right w:w="57" w:type="dxa"/>
                  </w:tcMar>
                  <w:vAlign w:val="center"/>
                </w:tcPr>
                <w:p w14:paraId="3C09FE6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浓度</w:t>
                  </w:r>
                </w:p>
              </w:tc>
              <w:tc>
                <w:tcPr>
                  <w:tcW w:w="402" w:type="pct"/>
                  <w:tcBorders>
                    <w:tl2br w:val="nil"/>
                    <w:tr2bl w:val="nil"/>
                  </w:tcBorders>
                  <w:tcMar>
                    <w:left w:w="57" w:type="dxa"/>
                    <w:right w:w="57" w:type="dxa"/>
                  </w:tcMar>
                  <w:vAlign w:val="center"/>
                </w:tcPr>
                <w:p w14:paraId="15E6F614">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szCs w:val="21"/>
                    </w:rPr>
                    <w:t>1.0mg/m</w:t>
                  </w:r>
                  <w:r>
                    <w:rPr>
                      <w:rFonts w:eastAsia="宋体" w:cs="Times New Roman"/>
                      <w:color w:val="auto"/>
                      <w:szCs w:val="21"/>
                      <w:vertAlign w:val="superscript"/>
                    </w:rPr>
                    <w:t>3</w:t>
                  </w:r>
                </w:p>
              </w:tc>
              <w:tc>
                <w:tcPr>
                  <w:tcW w:w="237" w:type="pct"/>
                  <w:tcBorders>
                    <w:tl2br w:val="nil"/>
                    <w:tr2bl w:val="nil"/>
                  </w:tcBorders>
                  <w:tcMar>
                    <w:left w:w="57" w:type="dxa"/>
                    <w:right w:w="57" w:type="dxa"/>
                  </w:tcMar>
                  <w:vAlign w:val="center"/>
                </w:tcPr>
                <w:p w14:paraId="28A9AC09">
                  <w:pPr>
                    <w:snapToGrid w:val="0"/>
                    <w:spacing w:line="240" w:lineRule="auto"/>
                    <w:ind w:left="0" w:leftChars="0" w:right="0" w:rightChars="0" w:firstLine="0" w:firstLineChars="0"/>
                    <w:jc w:val="center"/>
                    <w:rPr>
                      <w:color w:val="auto"/>
                      <w:lang w:eastAsia="zh-CN"/>
                    </w:rPr>
                  </w:pPr>
                  <w:r>
                    <w:rPr>
                      <w:rFonts w:hint="eastAsia"/>
                      <w:color w:val="auto"/>
                      <w:lang w:eastAsia="zh-CN"/>
                    </w:rPr>
                    <w:t>/</w:t>
                  </w:r>
                </w:p>
              </w:tc>
            </w:tr>
            <w:tr w14:paraId="5F5A82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tcBorders>
                    <w:tl2br w:val="nil"/>
                    <w:tr2bl w:val="nil"/>
                  </w:tcBorders>
                  <w:shd w:val="clear" w:color="auto" w:fill="auto"/>
                  <w:tcMar>
                    <w:left w:w="57" w:type="dxa"/>
                    <w:right w:w="57" w:type="dxa"/>
                  </w:tcMar>
                  <w:vAlign w:val="center"/>
                </w:tcPr>
                <w:p w14:paraId="23DA269D">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焊接</w:t>
                  </w:r>
                </w:p>
              </w:tc>
              <w:tc>
                <w:tcPr>
                  <w:tcW w:w="544" w:type="pct"/>
                  <w:tcBorders>
                    <w:tl2br w:val="nil"/>
                    <w:tr2bl w:val="nil"/>
                  </w:tcBorders>
                  <w:shd w:val="clear" w:color="auto" w:fill="auto"/>
                  <w:tcMar>
                    <w:left w:w="57" w:type="dxa"/>
                    <w:right w:w="57" w:type="dxa"/>
                  </w:tcMar>
                  <w:vAlign w:val="center"/>
                </w:tcPr>
                <w:p w14:paraId="39FFE3AB">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颗粒物</w:t>
                  </w:r>
                </w:p>
              </w:tc>
              <w:tc>
                <w:tcPr>
                  <w:tcW w:w="355" w:type="pct"/>
                  <w:tcBorders>
                    <w:tl2br w:val="nil"/>
                    <w:tr2bl w:val="nil"/>
                  </w:tcBorders>
                  <w:shd w:val="clear" w:color="auto" w:fill="auto"/>
                  <w:tcMar>
                    <w:left w:w="57" w:type="dxa"/>
                    <w:right w:w="57" w:type="dxa"/>
                  </w:tcMar>
                  <w:vAlign w:val="center"/>
                </w:tcPr>
                <w:p w14:paraId="500D8986">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bidi="zh-CN"/>
                    </w:rPr>
                    <w:t>0.028</w:t>
                  </w:r>
                </w:p>
              </w:tc>
              <w:tc>
                <w:tcPr>
                  <w:tcW w:w="318" w:type="pct"/>
                  <w:tcBorders>
                    <w:tl2br w:val="nil"/>
                    <w:tr2bl w:val="nil"/>
                  </w:tcBorders>
                  <w:shd w:val="clear" w:color="auto" w:fill="auto"/>
                  <w:tcMar>
                    <w:left w:w="57" w:type="dxa"/>
                    <w:right w:w="57" w:type="dxa"/>
                  </w:tcMar>
                  <w:vAlign w:val="center"/>
                </w:tcPr>
                <w:p w14:paraId="3C3A2097">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w:t>
                  </w:r>
                </w:p>
              </w:tc>
              <w:tc>
                <w:tcPr>
                  <w:tcW w:w="398" w:type="pct"/>
                  <w:tcBorders>
                    <w:tl2br w:val="nil"/>
                    <w:tr2bl w:val="nil"/>
                  </w:tcBorders>
                  <w:shd w:val="clear" w:color="auto" w:fill="auto"/>
                  <w:tcMar>
                    <w:left w:w="57" w:type="dxa"/>
                    <w:right w:w="57" w:type="dxa"/>
                  </w:tcMar>
                  <w:vAlign w:val="center"/>
                </w:tcPr>
                <w:p w14:paraId="74483B31">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无组织</w:t>
                  </w:r>
                </w:p>
              </w:tc>
              <w:tc>
                <w:tcPr>
                  <w:tcW w:w="411" w:type="pct"/>
                  <w:tcBorders>
                    <w:tl2br w:val="nil"/>
                    <w:tr2bl w:val="nil"/>
                  </w:tcBorders>
                  <w:shd w:val="clear" w:color="auto" w:fill="auto"/>
                  <w:tcMar>
                    <w:left w:w="57" w:type="dxa"/>
                    <w:right w:w="57" w:type="dxa"/>
                  </w:tcMar>
                  <w:vAlign w:val="center"/>
                </w:tcPr>
                <w:p w14:paraId="7C7C0EBE">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bidi="zh-CN"/>
                    </w:rPr>
                    <w:t>1.4×10</w:t>
                  </w:r>
                  <w:r>
                    <w:rPr>
                      <w:rFonts w:eastAsia="宋体" w:cs="Times New Roman"/>
                      <w:color w:val="auto"/>
                      <w:kern w:val="2"/>
                      <w:szCs w:val="21"/>
                      <w:vertAlign w:val="superscript"/>
                      <w:lang w:eastAsia="zh-CN" w:bidi="zh-CN"/>
                    </w:rPr>
                    <w:t>-3</w:t>
                  </w:r>
                </w:p>
              </w:tc>
              <w:tc>
                <w:tcPr>
                  <w:tcW w:w="266" w:type="pct"/>
                  <w:tcBorders>
                    <w:tl2br w:val="nil"/>
                    <w:tr2bl w:val="nil"/>
                  </w:tcBorders>
                  <w:shd w:val="clear" w:color="auto" w:fill="auto"/>
                  <w:tcMar>
                    <w:left w:w="57" w:type="dxa"/>
                    <w:right w:w="57" w:type="dxa"/>
                  </w:tcMar>
                  <w:vAlign w:val="center"/>
                </w:tcPr>
                <w:p w14:paraId="5CF64568">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 xml:space="preserve">0.012 </w:t>
                  </w:r>
                </w:p>
              </w:tc>
              <w:tc>
                <w:tcPr>
                  <w:tcW w:w="339" w:type="pct"/>
                  <w:tcBorders>
                    <w:tl2br w:val="nil"/>
                    <w:tr2bl w:val="nil"/>
                  </w:tcBorders>
                  <w:shd w:val="clear" w:color="auto" w:fill="auto"/>
                  <w:tcMar>
                    <w:left w:w="57" w:type="dxa"/>
                    <w:right w:w="57" w:type="dxa"/>
                  </w:tcMar>
                  <w:vAlign w:val="center"/>
                </w:tcPr>
                <w:p w14:paraId="453ECD95">
                  <w:pPr>
                    <w:snapToGrid w:val="0"/>
                    <w:spacing w:line="240" w:lineRule="auto"/>
                    <w:ind w:left="0" w:leftChars="0" w:right="0" w:rightChars="0" w:firstLine="0" w:firstLineChars="0"/>
                    <w:jc w:val="center"/>
                    <w:rPr>
                      <w:rFonts w:cs="Times New Roman"/>
                      <w:color w:val="auto"/>
                      <w:kern w:val="2"/>
                      <w:szCs w:val="21"/>
                      <w:lang w:eastAsia="zh-CN"/>
                    </w:rPr>
                  </w:pPr>
                  <w:r>
                    <w:rPr>
                      <w:rFonts w:cs="Times New Roman"/>
                      <w:color w:val="auto"/>
                      <w:kern w:val="2"/>
                      <w:szCs w:val="21"/>
                      <w:lang w:eastAsia="zh-CN"/>
                    </w:rPr>
                    <w:t>/</w:t>
                  </w:r>
                </w:p>
              </w:tc>
              <w:tc>
                <w:tcPr>
                  <w:tcW w:w="755" w:type="pct"/>
                  <w:tcBorders>
                    <w:tl2br w:val="nil"/>
                    <w:tr2bl w:val="nil"/>
                  </w:tcBorders>
                  <w:shd w:val="clear" w:color="auto" w:fill="auto"/>
                  <w:tcMar>
                    <w:left w:w="57" w:type="dxa"/>
                    <w:right w:w="57" w:type="dxa"/>
                  </w:tcMar>
                  <w:vAlign w:val="center"/>
                </w:tcPr>
                <w:p w14:paraId="65FAAADA">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szCs w:val="21"/>
                      <w:lang w:eastAsia="zh-CN"/>
                    </w:rPr>
                    <w:t>滤筒式烟尘净化器</w:t>
                  </w:r>
                </w:p>
              </w:tc>
              <w:tc>
                <w:tcPr>
                  <w:tcW w:w="218" w:type="pct"/>
                  <w:tcBorders>
                    <w:tl2br w:val="nil"/>
                    <w:tr2bl w:val="nil"/>
                  </w:tcBorders>
                  <w:shd w:val="clear" w:color="auto" w:fill="auto"/>
                  <w:tcMar>
                    <w:left w:w="57" w:type="dxa"/>
                    <w:right w:w="57" w:type="dxa"/>
                  </w:tcMar>
                  <w:vAlign w:val="center"/>
                </w:tcPr>
                <w:p w14:paraId="7D456346">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w:t>
                  </w:r>
                </w:p>
              </w:tc>
              <w:tc>
                <w:tcPr>
                  <w:tcW w:w="237" w:type="pct"/>
                  <w:tcBorders>
                    <w:tl2br w:val="nil"/>
                    <w:tr2bl w:val="nil"/>
                  </w:tcBorders>
                  <w:shd w:val="clear" w:color="auto" w:fill="auto"/>
                  <w:tcMar>
                    <w:left w:w="57" w:type="dxa"/>
                    <w:right w:w="57" w:type="dxa"/>
                  </w:tcMar>
                  <w:vAlign w:val="center"/>
                </w:tcPr>
                <w:p w14:paraId="15850EA7">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95</w:t>
                  </w:r>
                </w:p>
              </w:tc>
              <w:tc>
                <w:tcPr>
                  <w:tcW w:w="625" w:type="pct"/>
                  <w:gridSpan w:val="2"/>
                  <w:tcBorders>
                    <w:tl2br w:val="nil"/>
                    <w:tr2bl w:val="nil"/>
                  </w:tcBorders>
                  <w:tcMar>
                    <w:left w:w="57" w:type="dxa"/>
                    <w:right w:w="57" w:type="dxa"/>
                  </w:tcMar>
                  <w:vAlign w:val="center"/>
                </w:tcPr>
                <w:p w14:paraId="6AC64EB6">
                  <w:pPr>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szCs w:val="21"/>
                    </w:rPr>
                    <w:t>1.0mg/m</w:t>
                  </w:r>
                  <w:r>
                    <w:rPr>
                      <w:rFonts w:eastAsia="宋体" w:cs="Times New Roman"/>
                      <w:color w:val="auto"/>
                      <w:szCs w:val="21"/>
                      <w:vertAlign w:val="superscript"/>
                    </w:rPr>
                    <w:t>3</w:t>
                  </w:r>
                </w:p>
              </w:tc>
              <w:tc>
                <w:tcPr>
                  <w:tcW w:w="237" w:type="pct"/>
                  <w:tcBorders>
                    <w:tl2br w:val="nil"/>
                    <w:tr2bl w:val="nil"/>
                  </w:tcBorders>
                  <w:tcMar>
                    <w:left w:w="57" w:type="dxa"/>
                    <w:right w:w="57" w:type="dxa"/>
                  </w:tcMar>
                  <w:vAlign w:val="center"/>
                </w:tcPr>
                <w:p w14:paraId="5C82143D">
                  <w:pPr>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达标</w:t>
                  </w:r>
                </w:p>
              </w:tc>
            </w:tr>
            <w:tr w14:paraId="604EEF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restart"/>
                  <w:tcBorders>
                    <w:tl2br w:val="nil"/>
                    <w:tr2bl w:val="nil"/>
                  </w:tcBorders>
                  <w:shd w:val="clear" w:color="auto" w:fill="auto"/>
                  <w:tcMar>
                    <w:left w:w="57" w:type="dxa"/>
                    <w:right w:w="57" w:type="dxa"/>
                  </w:tcMar>
                  <w:vAlign w:val="center"/>
                </w:tcPr>
                <w:p w14:paraId="695CDE1C">
                  <w:pPr>
                    <w:snapToGrid w:val="0"/>
                    <w:spacing w:line="240" w:lineRule="auto"/>
                    <w:ind w:left="0" w:leftChars="0" w:right="0" w:rightChars="0" w:firstLine="0" w:firstLineChars="0"/>
                    <w:jc w:val="center"/>
                    <w:rPr>
                      <w:rFonts w:eastAsia="宋体" w:cs="Times New Roman"/>
                      <w:color w:val="0000FF"/>
                      <w:kern w:val="2"/>
                      <w:szCs w:val="21"/>
                      <w:lang w:eastAsia="zh-CN"/>
                    </w:rPr>
                  </w:pPr>
                  <w:r>
                    <w:rPr>
                      <w:rFonts w:hint="eastAsia" w:eastAsia="宋体" w:cs="Times New Roman"/>
                      <w:color w:val="0000FF"/>
                      <w:kern w:val="2"/>
                      <w:szCs w:val="21"/>
                      <w:lang w:eastAsia="zh-CN"/>
                    </w:rPr>
                    <w:t>喷涂</w:t>
                  </w:r>
                </w:p>
              </w:tc>
              <w:tc>
                <w:tcPr>
                  <w:tcW w:w="544" w:type="pct"/>
                  <w:vMerge w:val="restart"/>
                  <w:tcBorders>
                    <w:tl2br w:val="nil"/>
                    <w:tr2bl w:val="nil"/>
                  </w:tcBorders>
                  <w:shd w:val="clear" w:color="auto" w:fill="auto"/>
                  <w:tcMar>
                    <w:left w:w="57" w:type="dxa"/>
                    <w:right w:w="57" w:type="dxa"/>
                  </w:tcMar>
                  <w:vAlign w:val="center"/>
                </w:tcPr>
                <w:p w14:paraId="6F1CFF75">
                  <w:pPr>
                    <w:snapToGrid w:val="0"/>
                    <w:spacing w:line="240" w:lineRule="auto"/>
                    <w:ind w:left="0" w:leftChars="0" w:right="0" w:rightChars="0" w:firstLine="0" w:firstLineChars="0"/>
                    <w:jc w:val="center"/>
                    <w:rPr>
                      <w:rFonts w:eastAsia="宋体" w:cs="Times New Roman"/>
                      <w:color w:val="0000FF"/>
                      <w:kern w:val="2"/>
                      <w:szCs w:val="21"/>
                      <w:lang w:eastAsia="zh-CN"/>
                    </w:rPr>
                  </w:pPr>
                  <w:r>
                    <w:rPr>
                      <w:rFonts w:eastAsia="宋体" w:cs="Times New Roman"/>
                      <w:color w:val="0000FF"/>
                      <w:kern w:val="2"/>
                      <w:szCs w:val="21"/>
                      <w:lang w:eastAsia="zh-CN"/>
                    </w:rPr>
                    <w:t>颗粒物</w:t>
                  </w:r>
                </w:p>
              </w:tc>
              <w:tc>
                <w:tcPr>
                  <w:tcW w:w="355" w:type="pct"/>
                  <w:vMerge w:val="restart"/>
                  <w:tcBorders>
                    <w:tl2br w:val="nil"/>
                    <w:tr2bl w:val="nil"/>
                  </w:tcBorders>
                  <w:shd w:val="clear" w:color="auto" w:fill="auto"/>
                  <w:tcMar>
                    <w:left w:w="57" w:type="dxa"/>
                    <w:right w:w="57" w:type="dxa"/>
                  </w:tcMar>
                  <w:vAlign w:val="center"/>
                </w:tcPr>
                <w:p w14:paraId="46123B04">
                  <w:pPr>
                    <w:snapToGrid w:val="0"/>
                    <w:spacing w:line="240" w:lineRule="auto"/>
                    <w:ind w:left="0" w:leftChars="0" w:right="0" w:rightChars="0" w:firstLine="0" w:firstLineChars="0"/>
                    <w:jc w:val="center"/>
                    <w:rPr>
                      <w:rFonts w:eastAsia="宋体" w:cs="Times New Roman"/>
                      <w:color w:val="0000FF"/>
                      <w:kern w:val="2"/>
                      <w:szCs w:val="21"/>
                      <w:lang w:eastAsia="zh-CN"/>
                    </w:rPr>
                  </w:pPr>
                  <w:r>
                    <w:rPr>
                      <w:rFonts w:eastAsia="宋体" w:cs="Times New Roman"/>
                      <w:color w:val="0000FF"/>
                      <w:kern w:val="2"/>
                      <w:szCs w:val="21"/>
                      <w:lang w:eastAsia="zh-CN"/>
                    </w:rPr>
                    <w:t>18</w:t>
                  </w:r>
                </w:p>
              </w:tc>
              <w:tc>
                <w:tcPr>
                  <w:tcW w:w="318" w:type="pct"/>
                  <w:vMerge w:val="restart"/>
                  <w:tcBorders>
                    <w:tl2br w:val="nil"/>
                    <w:tr2bl w:val="nil"/>
                  </w:tcBorders>
                  <w:shd w:val="clear" w:color="auto" w:fill="auto"/>
                  <w:tcMar>
                    <w:left w:w="57" w:type="dxa"/>
                    <w:right w:w="57" w:type="dxa"/>
                  </w:tcMar>
                  <w:vAlign w:val="center"/>
                </w:tcPr>
                <w:p w14:paraId="30A17316">
                  <w:pPr>
                    <w:snapToGrid w:val="0"/>
                    <w:spacing w:line="240" w:lineRule="auto"/>
                    <w:ind w:left="0" w:leftChars="0" w:right="0" w:rightChars="0" w:firstLine="0" w:firstLineChars="0"/>
                    <w:jc w:val="center"/>
                    <w:rPr>
                      <w:rFonts w:hint="default" w:eastAsia="宋体" w:cs="Times New Roman"/>
                      <w:color w:val="0000FF"/>
                      <w:kern w:val="2"/>
                      <w:szCs w:val="21"/>
                      <w:lang w:val="en-US" w:eastAsia="zh-CN"/>
                    </w:rPr>
                  </w:pPr>
                  <w:r>
                    <w:rPr>
                      <w:rFonts w:hint="eastAsia" w:eastAsia="宋体" w:cs="Times New Roman"/>
                      <w:color w:val="0000FF"/>
                      <w:kern w:val="2"/>
                      <w:szCs w:val="21"/>
                      <w:lang w:val="en-US" w:eastAsia="zh-CN"/>
                    </w:rPr>
                    <w:t>900</w:t>
                  </w:r>
                </w:p>
              </w:tc>
              <w:tc>
                <w:tcPr>
                  <w:tcW w:w="398" w:type="pct"/>
                  <w:vMerge w:val="restart"/>
                  <w:tcBorders>
                    <w:tl2br w:val="nil"/>
                    <w:tr2bl w:val="nil"/>
                  </w:tcBorders>
                  <w:shd w:val="clear" w:color="auto" w:fill="auto"/>
                  <w:tcMar>
                    <w:left w:w="57" w:type="dxa"/>
                    <w:right w:w="57" w:type="dxa"/>
                  </w:tcMar>
                  <w:vAlign w:val="center"/>
                </w:tcPr>
                <w:p w14:paraId="7C3AE812">
                  <w:pPr>
                    <w:snapToGrid w:val="0"/>
                    <w:spacing w:line="240" w:lineRule="auto"/>
                    <w:ind w:left="0" w:leftChars="0" w:right="0" w:rightChars="0" w:firstLine="0" w:firstLineChars="0"/>
                    <w:jc w:val="center"/>
                    <w:rPr>
                      <w:rFonts w:eastAsia="宋体" w:cs="Times New Roman"/>
                      <w:color w:val="0000FF"/>
                      <w:kern w:val="2"/>
                      <w:szCs w:val="21"/>
                      <w:lang w:eastAsia="zh-CN"/>
                    </w:rPr>
                  </w:pPr>
                  <w:r>
                    <w:rPr>
                      <w:rFonts w:eastAsia="宋体" w:cs="Times New Roman"/>
                      <w:color w:val="0000FF"/>
                      <w:kern w:val="2"/>
                      <w:szCs w:val="21"/>
                      <w:lang w:eastAsia="zh-CN"/>
                    </w:rPr>
                    <w:t>有组织</w:t>
                  </w:r>
                </w:p>
              </w:tc>
              <w:tc>
                <w:tcPr>
                  <w:tcW w:w="411" w:type="pct"/>
                  <w:vMerge w:val="restart"/>
                  <w:tcBorders>
                    <w:tl2br w:val="nil"/>
                    <w:tr2bl w:val="nil"/>
                  </w:tcBorders>
                  <w:shd w:val="clear" w:color="auto" w:fill="auto"/>
                  <w:tcMar>
                    <w:left w:w="57" w:type="dxa"/>
                    <w:right w:w="57" w:type="dxa"/>
                  </w:tcMar>
                  <w:vAlign w:val="center"/>
                </w:tcPr>
                <w:p w14:paraId="3EF668EB">
                  <w:pPr>
                    <w:snapToGrid w:val="0"/>
                    <w:spacing w:line="240" w:lineRule="auto"/>
                    <w:ind w:left="0" w:leftChars="0" w:right="0" w:rightChars="0" w:firstLine="0" w:firstLineChars="0"/>
                    <w:jc w:val="center"/>
                    <w:rPr>
                      <w:rFonts w:hint="default" w:eastAsia="宋体" w:cs="Times New Roman"/>
                      <w:color w:val="0000FF"/>
                      <w:kern w:val="2"/>
                      <w:szCs w:val="21"/>
                      <w:lang w:val="en-US" w:eastAsia="zh-CN"/>
                    </w:rPr>
                  </w:pPr>
                  <w:r>
                    <w:rPr>
                      <w:rFonts w:hint="eastAsia" w:eastAsia="宋体" w:cs="Times New Roman"/>
                      <w:color w:val="0000FF"/>
                      <w:kern w:val="2"/>
                      <w:szCs w:val="21"/>
                      <w:lang w:val="en-US" w:eastAsia="zh-CN"/>
                    </w:rPr>
                    <w:t>0.0518</w:t>
                  </w:r>
                </w:p>
              </w:tc>
              <w:tc>
                <w:tcPr>
                  <w:tcW w:w="266" w:type="pct"/>
                  <w:vMerge w:val="restart"/>
                  <w:tcBorders>
                    <w:tl2br w:val="nil"/>
                    <w:tr2bl w:val="nil"/>
                  </w:tcBorders>
                  <w:shd w:val="clear" w:color="auto" w:fill="auto"/>
                  <w:tcMar>
                    <w:left w:w="57" w:type="dxa"/>
                    <w:right w:w="57" w:type="dxa"/>
                  </w:tcMar>
                  <w:vAlign w:val="center"/>
                </w:tcPr>
                <w:p w14:paraId="3EE69F62">
                  <w:pPr>
                    <w:snapToGrid w:val="0"/>
                    <w:spacing w:line="240" w:lineRule="auto"/>
                    <w:ind w:left="0" w:leftChars="0" w:right="0" w:rightChars="0" w:firstLine="0" w:firstLineChars="0"/>
                    <w:jc w:val="center"/>
                    <w:rPr>
                      <w:rFonts w:hint="default" w:eastAsia="宋体" w:cs="Times New Roman"/>
                      <w:color w:val="0000FF"/>
                      <w:kern w:val="2"/>
                      <w:szCs w:val="21"/>
                      <w:lang w:val="en-US" w:eastAsia="zh-CN"/>
                    </w:rPr>
                  </w:pPr>
                  <w:r>
                    <w:rPr>
                      <w:rFonts w:hint="eastAsia" w:eastAsia="宋体" w:cs="Times New Roman"/>
                      <w:color w:val="0000FF"/>
                      <w:kern w:val="2"/>
                      <w:szCs w:val="21"/>
                      <w:lang w:val="en-US" w:eastAsia="zh-CN"/>
                    </w:rPr>
                    <w:t>3.6</w:t>
                  </w:r>
                </w:p>
              </w:tc>
              <w:tc>
                <w:tcPr>
                  <w:tcW w:w="339" w:type="pct"/>
                  <w:vMerge w:val="restart"/>
                  <w:tcBorders>
                    <w:tl2br w:val="nil"/>
                    <w:tr2bl w:val="nil"/>
                  </w:tcBorders>
                  <w:shd w:val="clear" w:color="auto" w:fill="auto"/>
                  <w:tcMar>
                    <w:left w:w="57" w:type="dxa"/>
                    <w:right w:w="57" w:type="dxa"/>
                  </w:tcMar>
                  <w:vAlign w:val="center"/>
                </w:tcPr>
                <w:p w14:paraId="6A46389C">
                  <w:pPr>
                    <w:snapToGrid w:val="0"/>
                    <w:spacing w:line="240" w:lineRule="auto"/>
                    <w:ind w:left="0" w:leftChars="0" w:right="0" w:rightChars="0" w:firstLine="0" w:firstLineChars="0"/>
                    <w:jc w:val="center"/>
                    <w:rPr>
                      <w:rFonts w:hint="default" w:cs="Times New Roman"/>
                      <w:color w:val="0000FF"/>
                      <w:kern w:val="2"/>
                      <w:szCs w:val="21"/>
                      <w:lang w:val="en-US" w:eastAsia="zh-CN"/>
                    </w:rPr>
                  </w:pPr>
                </w:p>
              </w:tc>
              <w:tc>
                <w:tcPr>
                  <w:tcW w:w="755" w:type="pct"/>
                  <w:vMerge w:val="restart"/>
                  <w:tcBorders>
                    <w:tl2br w:val="nil"/>
                    <w:tr2bl w:val="nil"/>
                  </w:tcBorders>
                  <w:shd w:val="clear" w:color="auto" w:fill="auto"/>
                  <w:tcMar>
                    <w:left w:w="57" w:type="dxa"/>
                    <w:right w:w="57" w:type="dxa"/>
                  </w:tcMar>
                  <w:vAlign w:val="center"/>
                </w:tcPr>
                <w:p w14:paraId="5B43E592">
                  <w:pPr>
                    <w:snapToGrid w:val="0"/>
                    <w:spacing w:line="240" w:lineRule="auto"/>
                    <w:ind w:left="0" w:leftChars="0" w:right="0" w:rightChars="0" w:firstLine="0" w:firstLineChars="0"/>
                    <w:jc w:val="center"/>
                    <w:rPr>
                      <w:rFonts w:eastAsia="宋体" w:cs="Times New Roman"/>
                      <w:bCs/>
                      <w:color w:val="0000FF"/>
                      <w:kern w:val="2"/>
                      <w:szCs w:val="21"/>
                      <w:lang w:eastAsia="zh-CN"/>
                    </w:rPr>
                  </w:pPr>
                  <w:r>
                    <w:rPr>
                      <w:rFonts w:eastAsia="宋体" w:cs="Times New Roman"/>
                      <w:bCs/>
                      <w:color w:val="0000FF"/>
                      <w:kern w:val="2"/>
                      <w:szCs w:val="21"/>
                      <w:lang w:eastAsia="zh-CN"/>
                    </w:rPr>
                    <w:t>旋风回收装置+</w:t>
                  </w:r>
                </w:p>
                <w:p w14:paraId="1168D09B">
                  <w:pPr>
                    <w:snapToGrid w:val="0"/>
                    <w:spacing w:line="240" w:lineRule="auto"/>
                    <w:ind w:left="0" w:leftChars="0" w:right="0" w:rightChars="0" w:firstLine="0" w:firstLineChars="0"/>
                    <w:jc w:val="center"/>
                    <w:rPr>
                      <w:rFonts w:eastAsia="宋体" w:cs="Times New Roman"/>
                      <w:color w:val="0000FF"/>
                      <w:kern w:val="2"/>
                      <w:szCs w:val="21"/>
                      <w:lang w:eastAsia="zh-CN"/>
                    </w:rPr>
                  </w:pPr>
                  <w:r>
                    <w:rPr>
                      <w:rFonts w:hint="eastAsia" w:eastAsia="宋体" w:cs="Times New Roman"/>
                      <w:bCs/>
                      <w:color w:val="0000FF"/>
                      <w:kern w:val="2"/>
                      <w:szCs w:val="21"/>
                      <w:lang w:eastAsia="zh-CN"/>
                    </w:rPr>
                    <w:t>脉冲布袋除尘器</w:t>
                  </w:r>
                </w:p>
              </w:tc>
              <w:tc>
                <w:tcPr>
                  <w:tcW w:w="218" w:type="pct"/>
                  <w:vMerge w:val="restart"/>
                  <w:tcBorders>
                    <w:tl2br w:val="nil"/>
                    <w:tr2bl w:val="nil"/>
                  </w:tcBorders>
                  <w:shd w:val="clear" w:color="auto" w:fill="auto"/>
                  <w:tcMar>
                    <w:left w:w="57" w:type="dxa"/>
                    <w:right w:w="57" w:type="dxa"/>
                  </w:tcMar>
                  <w:vAlign w:val="center"/>
                </w:tcPr>
                <w:p w14:paraId="565D90CF">
                  <w:pPr>
                    <w:snapToGrid w:val="0"/>
                    <w:spacing w:line="240" w:lineRule="auto"/>
                    <w:ind w:left="0" w:leftChars="0" w:right="0" w:rightChars="0" w:firstLine="0" w:firstLineChars="0"/>
                    <w:jc w:val="center"/>
                    <w:rPr>
                      <w:rFonts w:hint="default" w:eastAsia="宋体" w:cs="Times New Roman"/>
                      <w:color w:val="0000FF"/>
                      <w:kern w:val="2"/>
                      <w:szCs w:val="21"/>
                      <w:lang w:val="en-US" w:eastAsia="zh-CN"/>
                    </w:rPr>
                  </w:pPr>
                  <w:r>
                    <w:rPr>
                      <w:rFonts w:hint="eastAsia" w:eastAsia="宋体" w:cs="Times New Roman"/>
                      <w:color w:val="0000FF"/>
                      <w:kern w:val="2"/>
                      <w:szCs w:val="21"/>
                      <w:lang w:val="en-US" w:eastAsia="zh-CN"/>
                    </w:rPr>
                    <w:t>80</w:t>
                  </w:r>
                </w:p>
              </w:tc>
              <w:tc>
                <w:tcPr>
                  <w:tcW w:w="237" w:type="pct"/>
                  <w:vMerge w:val="restart"/>
                  <w:tcBorders>
                    <w:tl2br w:val="nil"/>
                    <w:tr2bl w:val="nil"/>
                  </w:tcBorders>
                  <w:shd w:val="clear" w:color="auto" w:fill="auto"/>
                  <w:tcMar>
                    <w:left w:w="57" w:type="dxa"/>
                    <w:right w:w="57" w:type="dxa"/>
                  </w:tcMar>
                  <w:vAlign w:val="center"/>
                </w:tcPr>
                <w:p w14:paraId="0AC69436">
                  <w:pPr>
                    <w:snapToGrid w:val="0"/>
                    <w:spacing w:line="240" w:lineRule="auto"/>
                    <w:ind w:left="0" w:leftChars="0" w:right="0" w:rightChars="0" w:firstLine="0" w:firstLineChars="0"/>
                    <w:jc w:val="center"/>
                    <w:rPr>
                      <w:rFonts w:eastAsia="宋体" w:cs="Times New Roman"/>
                      <w:color w:val="0000FF"/>
                      <w:kern w:val="2"/>
                      <w:szCs w:val="21"/>
                      <w:lang w:eastAsia="zh-CN"/>
                    </w:rPr>
                  </w:pPr>
                  <w:r>
                    <w:rPr>
                      <w:rFonts w:hint="eastAsia" w:eastAsia="宋体" w:cs="Times New Roman"/>
                      <w:color w:val="0000FF"/>
                      <w:kern w:val="2"/>
                      <w:szCs w:val="21"/>
                      <w:lang w:eastAsia="zh-CN"/>
                    </w:rPr>
                    <w:t>99</w:t>
                  </w:r>
                </w:p>
              </w:tc>
              <w:tc>
                <w:tcPr>
                  <w:tcW w:w="222" w:type="pct"/>
                  <w:tcBorders>
                    <w:tl2br w:val="nil"/>
                    <w:tr2bl w:val="nil"/>
                  </w:tcBorders>
                  <w:tcMar>
                    <w:left w:w="57" w:type="dxa"/>
                    <w:right w:w="57" w:type="dxa"/>
                  </w:tcMar>
                  <w:vAlign w:val="center"/>
                </w:tcPr>
                <w:p w14:paraId="29CB81F7">
                  <w:pPr>
                    <w:adjustRightInd w:val="0"/>
                    <w:snapToGrid w:val="0"/>
                    <w:spacing w:line="240" w:lineRule="auto"/>
                    <w:ind w:left="0" w:leftChars="0" w:right="0" w:rightChars="0" w:firstLine="0" w:firstLineChars="0"/>
                    <w:jc w:val="center"/>
                    <w:rPr>
                      <w:rFonts w:cs="Times New Roman"/>
                      <w:color w:val="0000FF"/>
                      <w:szCs w:val="21"/>
                      <w:lang w:eastAsia="zh-CN"/>
                    </w:rPr>
                  </w:pPr>
                  <w:r>
                    <w:rPr>
                      <w:rFonts w:eastAsia="宋体" w:cs="Times New Roman"/>
                      <w:color w:val="0000FF"/>
                      <w:szCs w:val="21"/>
                      <w:lang w:eastAsia="zh-CN"/>
                    </w:rPr>
                    <w:t>浓度</w:t>
                  </w:r>
                </w:p>
              </w:tc>
              <w:tc>
                <w:tcPr>
                  <w:tcW w:w="402" w:type="pct"/>
                  <w:tcBorders>
                    <w:tl2br w:val="nil"/>
                    <w:tr2bl w:val="nil"/>
                  </w:tcBorders>
                  <w:tcMar>
                    <w:left w:w="57" w:type="dxa"/>
                    <w:right w:w="57" w:type="dxa"/>
                  </w:tcMar>
                  <w:vAlign w:val="center"/>
                </w:tcPr>
                <w:p w14:paraId="5C55F722">
                  <w:pPr>
                    <w:adjustRightInd w:val="0"/>
                    <w:snapToGrid w:val="0"/>
                    <w:spacing w:line="240" w:lineRule="auto"/>
                    <w:ind w:left="0" w:leftChars="0" w:right="0" w:rightChars="0" w:firstLine="0" w:firstLineChars="0"/>
                    <w:jc w:val="center"/>
                    <w:rPr>
                      <w:rFonts w:cs="Times New Roman"/>
                      <w:color w:val="0000FF"/>
                      <w:szCs w:val="21"/>
                      <w:lang w:eastAsia="zh-CN"/>
                    </w:rPr>
                  </w:pPr>
                  <w:r>
                    <w:rPr>
                      <w:rFonts w:eastAsia="宋体" w:cs="Times New Roman"/>
                      <w:color w:val="0000FF"/>
                      <w:szCs w:val="21"/>
                      <w:lang w:eastAsia="zh-CN"/>
                    </w:rPr>
                    <w:t>120</w:t>
                  </w:r>
                  <w:r>
                    <w:rPr>
                      <w:rFonts w:eastAsia="宋体" w:cs="Times New Roman"/>
                      <w:color w:val="0000FF"/>
                      <w:szCs w:val="21"/>
                    </w:rPr>
                    <w:t>mg/m</w:t>
                  </w:r>
                  <w:r>
                    <w:rPr>
                      <w:rFonts w:eastAsia="宋体" w:cs="Times New Roman"/>
                      <w:color w:val="0000FF"/>
                      <w:szCs w:val="21"/>
                      <w:vertAlign w:val="superscript"/>
                    </w:rPr>
                    <w:t>3</w:t>
                  </w:r>
                </w:p>
              </w:tc>
              <w:tc>
                <w:tcPr>
                  <w:tcW w:w="237" w:type="pct"/>
                  <w:vMerge w:val="restart"/>
                  <w:tcBorders>
                    <w:tl2br w:val="nil"/>
                    <w:tr2bl w:val="nil"/>
                  </w:tcBorders>
                  <w:tcMar>
                    <w:left w:w="57" w:type="dxa"/>
                    <w:right w:w="57" w:type="dxa"/>
                  </w:tcMar>
                  <w:vAlign w:val="center"/>
                </w:tcPr>
                <w:p w14:paraId="426D83A9">
                  <w:pPr>
                    <w:snapToGrid w:val="0"/>
                    <w:spacing w:line="240" w:lineRule="auto"/>
                    <w:ind w:left="0" w:leftChars="0" w:right="0" w:rightChars="0" w:firstLine="0" w:firstLineChars="0"/>
                    <w:jc w:val="center"/>
                    <w:rPr>
                      <w:rFonts w:cs="Times New Roman"/>
                      <w:color w:val="0000FF"/>
                      <w:szCs w:val="21"/>
                      <w:lang w:eastAsia="zh-CN"/>
                    </w:rPr>
                  </w:pPr>
                  <w:r>
                    <w:rPr>
                      <w:rFonts w:cs="Times New Roman"/>
                      <w:color w:val="0000FF"/>
                      <w:szCs w:val="21"/>
                      <w:lang w:eastAsia="zh-CN"/>
                    </w:rPr>
                    <w:t>达标</w:t>
                  </w:r>
                </w:p>
              </w:tc>
            </w:tr>
            <w:tr w14:paraId="5AD47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shd w:val="clear" w:color="auto" w:fill="auto"/>
                  <w:tcMar>
                    <w:left w:w="57" w:type="dxa"/>
                    <w:right w:w="57" w:type="dxa"/>
                  </w:tcMar>
                  <w:vAlign w:val="center"/>
                </w:tcPr>
                <w:p w14:paraId="5129F798">
                  <w:pPr>
                    <w:snapToGrid w:val="0"/>
                    <w:spacing w:line="240" w:lineRule="auto"/>
                    <w:ind w:left="0" w:leftChars="0" w:right="0" w:rightChars="0" w:firstLine="0" w:firstLineChars="0"/>
                    <w:jc w:val="center"/>
                    <w:rPr>
                      <w:color w:val="0000FF"/>
                    </w:rPr>
                  </w:pPr>
                </w:p>
              </w:tc>
              <w:tc>
                <w:tcPr>
                  <w:tcW w:w="544" w:type="pct"/>
                  <w:vMerge w:val="continue"/>
                  <w:tcBorders>
                    <w:tl2br w:val="nil"/>
                    <w:tr2bl w:val="nil"/>
                  </w:tcBorders>
                  <w:shd w:val="clear" w:color="auto" w:fill="auto"/>
                  <w:tcMar>
                    <w:left w:w="57" w:type="dxa"/>
                    <w:right w:w="57" w:type="dxa"/>
                  </w:tcMar>
                  <w:vAlign w:val="center"/>
                </w:tcPr>
                <w:p w14:paraId="4989464D">
                  <w:pPr>
                    <w:snapToGrid w:val="0"/>
                    <w:spacing w:line="240" w:lineRule="auto"/>
                    <w:ind w:left="0" w:leftChars="0" w:right="0" w:rightChars="0" w:firstLine="0" w:firstLineChars="0"/>
                    <w:jc w:val="center"/>
                    <w:rPr>
                      <w:color w:val="0000FF"/>
                    </w:rPr>
                  </w:pPr>
                </w:p>
              </w:tc>
              <w:tc>
                <w:tcPr>
                  <w:tcW w:w="355" w:type="pct"/>
                  <w:vMerge w:val="continue"/>
                  <w:tcBorders>
                    <w:tl2br w:val="nil"/>
                    <w:tr2bl w:val="nil"/>
                  </w:tcBorders>
                  <w:shd w:val="clear" w:color="auto" w:fill="auto"/>
                  <w:tcMar>
                    <w:left w:w="57" w:type="dxa"/>
                    <w:right w:w="57" w:type="dxa"/>
                  </w:tcMar>
                  <w:vAlign w:val="center"/>
                </w:tcPr>
                <w:p w14:paraId="4BF85641">
                  <w:pPr>
                    <w:snapToGrid w:val="0"/>
                    <w:spacing w:line="240" w:lineRule="auto"/>
                    <w:ind w:left="0" w:leftChars="0" w:right="0" w:rightChars="0" w:firstLine="0" w:firstLineChars="0"/>
                    <w:jc w:val="center"/>
                    <w:rPr>
                      <w:color w:val="0000FF"/>
                    </w:rPr>
                  </w:pPr>
                </w:p>
              </w:tc>
              <w:tc>
                <w:tcPr>
                  <w:tcW w:w="318" w:type="pct"/>
                  <w:vMerge w:val="continue"/>
                  <w:tcBorders>
                    <w:tl2br w:val="nil"/>
                    <w:tr2bl w:val="nil"/>
                  </w:tcBorders>
                  <w:shd w:val="clear" w:color="auto" w:fill="auto"/>
                  <w:tcMar>
                    <w:left w:w="57" w:type="dxa"/>
                    <w:right w:w="57" w:type="dxa"/>
                  </w:tcMar>
                  <w:vAlign w:val="center"/>
                </w:tcPr>
                <w:p w14:paraId="31359DFD">
                  <w:pPr>
                    <w:snapToGrid w:val="0"/>
                    <w:spacing w:line="240" w:lineRule="auto"/>
                    <w:ind w:left="0" w:leftChars="0" w:right="0" w:rightChars="0" w:firstLine="0" w:firstLineChars="0"/>
                    <w:jc w:val="center"/>
                    <w:rPr>
                      <w:color w:val="0000FF"/>
                    </w:rPr>
                  </w:pPr>
                </w:p>
              </w:tc>
              <w:tc>
                <w:tcPr>
                  <w:tcW w:w="398" w:type="pct"/>
                  <w:vMerge w:val="continue"/>
                  <w:tcBorders>
                    <w:tl2br w:val="nil"/>
                    <w:tr2bl w:val="nil"/>
                  </w:tcBorders>
                  <w:shd w:val="clear" w:color="auto" w:fill="auto"/>
                  <w:tcMar>
                    <w:left w:w="57" w:type="dxa"/>
                    <w:right w:w="57" w:type="dxa"/>
                  </w:tcMar>
                  <w:vAlign w:val="center"/>
                </w:tcPr>
                <w:p w14:paraId="58841207">
                  <w:pPr>
                    <w:snapToGrid w:val="0"/>
                    <w:spacing w:line="240" w:lineRule="auto"/>
                    <w:ind w:left="0" w:leftChars="0" w:right="0" w:rightChars="0" w:firstLine="0" w:firstLineChars="0"/>
                    <w:jc w:val="center"/>
                    <w:rPr>
                      <w:color w:val="0000FF"/>
                    </w:rPr>
                  </w:pPr>
                </w:p>
              </w:tc>
              <w:tc>
                <w:tcPr>
                  <w:tcW w:w="411" w:type="pct"/>
                  <w:vMerge w:val="continue"/>
                  <w:tcBorders>
                    <w:tl2br w:val="nil"/>
                    <w:tr2bl w:val="nil"/>
                  </w:tcBorders>
                  <w:shd w:val="clear" w:color="auto" w:fill="auto"/>
                  <w:tcMar>
                    <w:left w:w="57" w:type="dxa"/>
                    <w:right w:w="57" w:type="dxa"/>
                  </w:tcMar>
                  <w:vAlign w:val="center"/>
                </w:tcPr>
                <w:p w14:paraId="5EE3BCEF">
                  <w:pPr>
                    <w:snapToGrid w:val="0"/>
                    <w:spacing w:line="240" w:lineRule="auto"/>
                    <w:ind w:left="0" w:leftChars="0" w:right="0" w:rightChars="0" w:firstLine="0" w:firstLineChars="0"/>
                    <w:jc w:val="center"/>
                    <w:rPr>
                      <w:color w:val="0000FF"/>
                    </w:rPr>
                  </w:pPr>
                </w:p>
              </w:tc>
              <w:tc>
                <w:tcPr>
                  <w:tcW w:w="266" w:type="pct"/>
                  <w:vMerge w:val="continue"/>
                  <w:tcBorders>
                    <w:tl2br w:val="nil"/>
                    <w:tr2bl w:val="nil"/>
                  </w:tcBorders>
                  <w:shd w:val="clear" w:color="auto" w:fill="auto"/>
                  <w:tcMar>
                    <w:left w:w="57" w:type="dxa"/>
                    <w:right w:w="57" w:type="dxa"/>
                  </w:tcMar>
                  <w:vAlign w:val="center"/>
                </w:tcPr>
                <w:p w14:paraId="22A52755">
                  <w:pPr>
                    <w:snapToGrid w:val="0"/>
                    <w:spacing w:line="240" w:lineRule="auto"/>
                    <w:ind w:left="0" w:leftChars="0" w:right="0" w:rightChars="0" w:firstLine="0" w:firstLineChars="0"/>
                    <w:jc w:val="center"/>
                    <w:rPr>
                      <w:color w:val="0000FF"/>
                    </w:rPr>
                  </w:pPr>
                </w:p>
              </w:tc>
              <w:tc>
                <w:tcPr>
                  <w:tcW w:w="339" w:type="pct"/>
                  <w:vMerge w:val="continue"/>
                  <w:tcBorders>
                    <w:tl2br w:val="nil"/>
                    <w:tr2bl w:val="nil"/>
                  </w:tcBorders>
                  <w:shd w:val="clear" w:color="auto" w:fill="auto"/>
                  <w:tcMar>
                    <w:left w:w="57" w:type="dxa"/>
                    <w:right w:w="57" w:type="dxa"/>
                  </w:tcMar>
                  <w:vAlign w:val="center"/>
                </w:tcPr>
                <w:p w14:paraId="2660D8E1">
                  <w:pPr>
                    <w:snapToGrid w:val="0"/>
                    <w:spacing w:line="240" w:lineRule="auto"/>
                    <w:ind w:left="0" w:leftChars="0" w:right="0" w:rightChars="0" w:firstLine="0" w:firstLineChars="0"/>
                    <w:jc w:val="center"/>
                    <w:rPr>
                      <w:color w:val="0000FF"/>
                    </w:rPr>
                  </w:pPr>
                </w:p>
              </w:tc>
              <w:tc>
                <w:tcPr>
                  <w:tcW w:w="755" w:type="pct"/>
                  <w:vMerge w:val="continue"/>
                  <w:tcBorders>
                    <w:tl2br w:val="nil"/>
                    <w:tr2bl w:val="nil"/>
                  </w:tcBorders>
                  <w:shd w:val="clear" w:color="auto" w:fill="auto"/>
                  <w:tcMar>
                    <w:left w:w="57" w:type="dxa"/>
                    <w:right w:w="57" w:type="dxa"/>
                  </w:tcMar>
                  <w:vAlign w:val="center"/>
                </w:tcPr>
                <w:p w14:paraId="74B12821">
                  <w:pPr>
                    <w:snapToGrid w:val="0"/>
                    <w:spacing w:line="240" w:lineRule="auto"/>
                    <w:ind w:left="0" w:leftChars="0" w:right="0" w:rightChars="0" w:firstLine="0" w:firstLineChars="0"/>
                    <w:jc w:val="center"/>
                    <w:rPr>
                      <w:color w:val="0000FF"/>
                    </w:rPr>
                  </w:pPr>
                </w:p>
              </w:tc>
              <w:tc>
                <w:tcPr>
                  <w:tcW w:w="218" w:type="pct"/>
                  <w:vMerge w:val="continue"/>
                  <w:tcBorders>
                    <w:tl2br w:val="nil"/>
                    <w:tr2bl w:val="nil"/>
                  </w:tcBorders>
                  <w:shd w:val="clear" w:color="auto" w:fill="auto"/>
                  <w:tcMar>
                    <w:left w:w="57" w:type="dxa"/>
                    <w:right w:w="57" w:type="dxa"/>
                  </w:tcMar>
                  <w:vAlign w:val="center"/>
                </w:tcPr>
                <w:p w14:paraId="069F1ECF">
                  <w:pPr>
                    <w:snapToGrid w:val="0"/>
                    <w:spacing w:line="240" w:lineRule="auto"/>
                    <w:ind w:left="0" w:leftChars="0" w:right="0" w:rightChars="0" w:firstLine="0" w:firstLineChars="0"/>
                    <w:jc w:val="center"/>
                    <w:rPr>
                      <w:color w:val="0000FF"/>
                    </w:rPr>
                  </w:pPr>
                </w:p>
              </w:tc>
              <w:tc>
                <w:tcPr>
                  <w:tcW w:w="237" w:type="pct"/>
                  <w:vMerge w:val="continue"/>
                  <w:tcBorders>
                    <w:tl2br w:val="nil"/>
                    <w:tr2bl w:val="nil"/>
                  </w:tcBorders>
                  <w:shd w:val="clear" w:color="auto" w:fill="auto"/>
                  <w:tcMar>
                    <w:left w:w="57" w:type="dxa"/>
                    <w:right w:w="57" w:type="dxa"/>
                  </w:tcMar>
                  <w:vAlign w:val="center"/>
                </w:tcPr>
                <w:p w14:paraId="2238ED82">
                  <w:pPr>
                    <w:snapToGrid w:val="0"/>
                    <w:spacing w:line="240" w:lineRule="auto"/>
                    <w:ind w:left="0" w:leftChars="0" w:right="0" w:rightChars="0" w:firstLine="0" w:firstLineChars="0"/>
                    <w:jc w:val="center"/>
                    <w:rPr>
                      <w:color w:val="0000FF"/>
                    </w:rPr>
                  </w:pPr>
                </w:p>
              </w:tc>
              <w:tc>
                <w:tcPr>
                  <w:tcW w:w="222" w:type="pct"/>
                  <w:tcBorders>
                    <w:tl2br w:val="nil"/>
                    <w:tr2bl w:val="nil"/>
                  </w:tcBorders>
                  <w:tcMar>
                    <w:left w:w="57" w:type="dxa"/>
                    <w:right w:w="57" w:type="dxa"/>
                  </w:tcMar>
                  <w:vAlign w:val="center"/>
                </w:tcPr>
                <w:p w14:paraId="6AEF742A">
                  <w:pPr>
                    <w:adjustRightInd w:val="0"/>
                    <w:snapToGrid w:val="0"/>
                    <w:spacing w:line="240" w:lineRule="auto"/>
                    <w:ind w:left="0" w:leftChars="0" w:right="0" w:rightChars="0" w:firstLine="0" w:firstLineChars="0"/>
                    <w:jc w:val="center"/>
                    <w:rPr>
                      <w:color w:val="0000FF"/>
                    </w:rPr>
                  </w:pPr>
                  <w:r>
                    <w:rPr>
                      <w:rFonts w:eastAsia="宋体" w:cs="Times New Roman"/>
                      <w:color w:val="0000FF"/>
                      <w:szCs w:val="21"/>
                      <w:lang w:eastAsia="zh-CN"/>
                    </w:rPr>
                    <w:t>速率</w:t>
                  </w:r>
                </w:p>
              </w:tc>
              <w:tc>
                <w:tcPr>
                  <w:tcW w:w="402" w:type="pct"/>
                  <w:tcBorders>
                    <w:tl2br w:val="nil"/>
                    <w:tr2bl w:val="nil"/>
                  </w:tcBorders>
                  <w:tcMar>
                    <w:left w:w="57" w:type="dxa"/>
                    <w:right w:w="57" w:type="dxa"/>
                  </w:tcMar>
                  <w:vAlign w:val="center"/>
                </w:tcPr>
                <w:p w14:paraId="366B7935">
                  <w:pPr>
                    <w:adjustRightInd w:val="0"/>
                    <w:snapToGrid w:val="0"/>
                    <w:spacing w:line="240" w:lineRule="auto"/>
                    <w:ind w:left="0" w:leftChars="0" w:right="0" w:rightChars="0" w:firstLine="0" w:firstLineChars="0"/>
                    <w:jc w:val="center"/>
                    <w:rPr>
                      <w:color w:val="0000FF"/>
                    </w:rPr>
                  </w:pPr>
                  <w:r>
                    <w:rPr>
                      <w:rFonts w:eastAsia="宋体" w:cs="Times New Roman"/>
                      <w:color w:val="0000FF"/>
                      <w:kern w:val="2"/>
                      <w:szCs w:val="21"/>
                      <w:lang w:eastAsia="zh-CN"/>
                    </w:rPr>
                    <w:t>3.5kg/h</w:t>
                  </w:r>
                </w:p>
              </w:tc>
              <w:tc>
                <w:tcPr>
                  <w:tcW w:w="237" w:type="pct"/>
                  <w:vMerge w:val="continue"/>
                  <w:tcBorders>
                    <w:tl2br w:val="nil"/>
                    <w:tr2bl w:val="nil"/>
                  </w:tcBorders>
                  <w:tcMar>
                    <w:left w:w="57" w:type="dxa"/>
                    <w:right w:w="57" w:type="dxa"/>
                  </w:tcMar>
                  <w:vAlign w:val="center"/>
                </w:tcPr>
                <w:p w14:paraId="57182FB4">
                  <w:pPr>
                    <w:snapToGrid w:val="0"/>
                    <w:spacing w:line="240" w:lineRule="auto"/>
                    <w:ind w:left="0" w:leftChars="0" w:right="0" w:rightChars="0" w:firstLine="0" w:firstLineChars="0"/>
                    <w:jc w:val="center"/>
                    <w:rPr>
                      <w:color w:val="0000FF"/>
                    </w:rPr>
                  </w:pPr>
                </w:p>
              </w:tc>
            </w:tr>
            <w:tr w14:paraId="2C4A7A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shd w:val="clear" w:color="auto" w:fill="auto"/>
                  <w:tcMar>
                    <w:left w:w="57" w:type="dxa"/>
                    <w:right w:w="57" w:type="dxa"/>
                  </w:tcMar>
                  <w:vAlign w:val="center"/>
                </w:tcPr>
                <w:p w14:paraId="124F9FEA">
                  <w:pPr>
                    <w:snapToGrid w:val="0"/>
                    <w:spacing w:line="240" w:lineRule="auto"/>
                    <w:ind w:left="0" w:leftChars="0" w:right="0" w:rightChars="0" w:firstLine="0" w:firstLineChars="0"/>
                    <w:jc w:val="center"/>
                    <w:rPr>
                      <w:color w:val="0000FF"/>
                    </w:rPr>
                  </w:pPr>
                </w:p>
              </w:tc>
              <w:tc>
                <w:tcPr>
                  <w:tcW w:w="544" w:type="pct"/>
                  <w:vMerge w:val="continue"/>
                  <w:tcBorders>
                    <w:tl2br w:val="nil"/>
                    <w:tr2bl w:val="nil"/>
                  </w:tcBorders>
                  <w:shd w:val="clear" w:color="auto" w:fill="auto"/>
                  <w:tcMar>
                    <w:left w:w="57" w:type="dxa"/>
                    <w:right w:w="57" w:type="dxa"/>
                  </w:tcMar>
                  <w:vAlign w:val="center"/>
                </w:tcPr>
                <w:p w14:paraId="42C8E625">
                  <w:pPr>
                    <w:snapToGrid w:val="0"/>
                    <w:spacing w:line="240" w:lineRule="auto"/>
                    <w:ind w:left="0" w:leftChars="0" w:right="0" w:rightChars="0" w:firstLine="0" w:firstLineChars="0"/>
                    <w:jc w:val="center"/>
                    <w:rPr>
                      <w:color w:val="0000FF"/>
                    </w:rPr>
                  </w:pPr>
                </w:p>
              </w:tc>
              <w:tc>
                <w:tcPr>
                  <w:tcW w:w="355" w:type="pct"/>
                  <w:vMerge w:val="continue"/>
                  <w:tcBorders>
                    <w:tl2br w:val="nil"/>
                    <w:tr2bl w:val="nil"/>
                  </w:tcBorders>
                  <w:shd w:val="clear" w:color="auto" w:fill="auto"/>
                  <w:tcMar>
                    <w:left w:w="57" w:type="dxa"/>
                    <w:right w:w="57" w:type="dxa"/>
                  </w:tcMar>
                  <w:vAlign w:val="center"/>
                </w:tcPr>
                <w:p w14:paraId="1D08D3E6">
                  <w:pPr>
                    <w:snapToGrid w:val="0"/>
                    <w:spacing w:line="240" w:lineRule="auto"/>
                    <w:ind w:left="0" w:leftChars="0" w:right="0" w:rightChars="0" w:firstLine="0" w:firstLineChars="0"/>
                    <w:jc w:val="center"/>
                    <w:rPr>
                      <w:color w:val="0000FF"/>
                    </w:rPr>
                  </w:pPr>
                </w:p>
              </w:tc>
              <w:tc>
                <w:tcPr>
                  <w:tcW w:w="318" w:type="pct"/>
                  <w:tcBorders>
                    <w:tl2br w:val="nil"/>
                    <w:tr2bl w:val="nil"/>
                  </w:tcBorders>
                  <w:shd w:val="clear" w:color="auto" w:fill="auto"/>
                  <w:tcMar>
                    <w:left w:w="57" w:type="dxa"/>
                    <w:right w:w="57" w:type="dxa"/>
                  </w:tcMar>
                  <w:vAlign w:val="center"/>
                </w:tcPr>
                <w:p w14:paraId="7EEFE1C8">
                  <w:pPr>
                    <w:snapToGrid w:val="0"/>
                    <w:spacing w:line="240" w:lineRule="auto"/>
                    <w:ind w:left="0" w:leftChars="0" w:right="0" w:rightChars="0" w:firstLine="0" w:firstLineChars="0"/>
                    <w:jc w:val="center"/>
                    <w:rPr>
                      <w:color w:val="0000FF"/>
                      <w:lang w:eastAsia="zh-CN"/>
                    </w:rPr>
                  </w:pPr>
                  <w:r>
                    <w:rPr>
                      <w:rFonts w:hint="eastAsia"/>
                      <w:color w:val="0000FF"/>
                      <w:lang w:eastAsia="zh-CN"/>
                    </w:rPr>
                    <w:t>/</w:t>
                  </w:r>
                </w:p>
              </w:tc>
              <w:tc>
                <w:tcPr>
                  <w:tcW w:w="398" w:type="pct"/>
                  <w:tcBorders>
                    <w:tl2br w:val="nil"/>
                    <w:tr2bl w:val="nil"/>
                  </w:tcBorders>
                  <w:shd w:val="clear" w:color="auto" w:fill="auto"/>
                  <w:tcMar>
                    <w:left w:w="57" w:type="dxa"/>
                    <w:right w:w="57" w:type="dxa"/>
                  </w:tcMar>
                  <w:vAlign w:val="center"/>
                </w:tcPr>
                <w:p w14:paraId="7B4040C3">
                  <w:pPr>
                    <w:snapToGrid w:val="0"/>
                    <w:spacing w:line="240" w:lineRule="auto"/>
                    <w:ind w:left="0" w:leftChars="0" w:right="0" w:rightChars="0" w:firstLine="0" w:firstLineChars="0"/>
                    <w:jc w:val="center"/>
                    <w:rPr>
                      <w:color w:val="0000FF"/>
                      <w:lang w:eastAsia="zh-CN"/>
                    </w:rPr>
                  </w:pPr>
                  <w:r>
                    <w:rPr>
                      <w:rFonts w:hint="eastAsia"/>
                      <w:color w:val="0000FF"/>
                      <w:lang w:eastAsia="zh-CN"/>
                    </w:rPr>
                    <w:t>无组织</w:t>
                  </w:r>
                </w:p>
              </w:tc>
              <w:tc>
                <w:tcPr>
                  <w:tcW w:w="411" w:type="pct"/>
                  <w:tcBorders>
                    <w:tl2br w:val="nil"/>
                    <w:tr2bl w:val="nil"/>
                  </w:tcBorders>
                  <w:shd w:val="clear" w:color="auto" w:fill="auto"/>
                  <w:tcMar>
                    <w:left w:w="57" w:type="dxa"/>
                    <w:right w:w="57" w:type="dxa"/>
                  </w:tcMar>
                  <w:vAlign w:val="center"/>
                </w:tcPr>
                <w:p w14:paraId="5ADE2A85">
                  <w:pPr>
                    <w:snapToGrid w:val="0"/>
                    <w:spacing w:line="240" w:lineRule="auto"/>
                    <w:ind w:left="0" w:leftChars="0" w:right="0" w:rightChars="0" w:firstLine="0" w:firstLineChars="0"/>
                    <w:jc w:val="center"/>
                    <w:rPr>
                      <w:color w:val="0000FF"/>
                      <w:lang w:eastAsia="zh-CN"/>
                    </w:rPr>
                  </w:pPr>
                  <w:r>
                    <w:rPr>
                      <w:rFonts w:hint="eastAsia"/>
                      <w:color w:val="0000FF"/>
                      <w:lang w:eastAsia="zh-CN"/>
                    </w:rPr>
                    <w:t>3.6</w:t>
                  </w:r>
                </w:p>
              </w:tc>
              <w:tc>
                <w:tcPr>
                  <w:tcW w:w="266" w:type="pct"/>
                  <w:tcBorders>
                    <w:tl2br w:val="nil"/>
                    <w:tr2bl w:val="nil"/>
                  </w:tcBorders>
                  <w:shd w:val="clear" w:color="auto" w:fill="auto"/>
                  <w:tcMar>
                    <w:left w:w="57" w:type="dxa"/>
                    <w:right w:w="57" w:type="dxa"/>
                  </w:tcMar>
                  <w:vAlign w:val="center"/>
                </w:tcPr>
                <w:p w14:paraId="0E51A1CA">
                  <w:pPr>
                    <w:snapToGrid w:val="0"/>
                    <w:spacing w:line="240" w:lineRule="auto"/>
                    <w:ind w:left="0" w:leftChars="0" w:right="0" w:rightChars="0" w:firstLine="0" w:firstLineChars="0"/>
                    <w:jc w:val="center"/>
                    <w:rPr>
                      <w:color w:val="0000FF"/>
                      <w:lang w:eastAsia="zh-CN"/>
                    </w:rPr>
                  </w:pPr>
                  <w:r>
                    <w:rPr>
                      <w:rFonts w:hint="eastAsia"/>
                      <w:color w:val="0000FF"/>
                      <w:lang w:eastAsia="zh-CN"/>
                    </w:rPr>
                    <w:t>1.5</w:t>
                  </w:r>
                </w:p>
              </w:tc>
              <w:tc>
                <w:tcPr>
                  <w:tcW w:w="339" w:type="pct"/>
                  <w:tcBorders>
                    <w:tl2br w:val="nil"/>
                    <w:tr2bl w:val="nil"/>
                  </w:tcBorders>
                  <w:shd w:val="clear" w:color="auto" w:fill="auto"/>
                  <w:tcMar>
                    <w:left w:w="57" w:type="dxa"/>
                    <w:right w:w="57" w:type="dxa"/>
                  </w:tcMar>
                  <w:vAlign w:val="center"/>
                </w:tcPr>
                <w:p w14:paraId="4B64AB27">
                  <w:pPr>
                    <w:snapToGrid w:val="0"/>
                    <w:spacing w:line="240" w:lineRule="auto"/>
                    <w:ind w:left="0" w:leftChars="0" w:right="0" w:rightChars="0" w:firstLine="0" w:firstLineChars="0"/>
                    <w:jc w:val="center"/>
                    <w:rPr>
                      <w:color w:val="0000FF"/>
                      <w:lang w:eastAsia="zh-CN"/>
                    </w:rPr>
                  </w:pPr>
                  <w:r>
                    <w:rPr>
                      <w:rFonts w:hint="eastAsia"/>
                      <w:color w:val="0000FF"/>
                      <w:lang w:eastAsia="zh-CN"/>
                    </w:rPr>
                    <w:t>/</w:t>
                  </w:r>
                </w:p>
              </w:tc>
              <w:tc>
                <w:tcPr>
                  <w:tcW w:w="755" w:type="pct"/>
                  <w:vMerge w:val="continue"/>
                  <w:tcBorders>
                    <w:tl2br w:val="nil"/>
                    <w:tr2bl w:val="nil"/>
                  </w:tcBorders>
                  <w:shd w:val="clear" w:color="auto" w:fill="auto"/>
                  <w:tcMar>
                    <w:left w:w="57" w:type="dxa"/>
                    <w:right w:w="57" w:type="dxa"/>
                  </w:tcMar>
                  <w:vAlign w:val="center"/>
                </w:tcPr>
                <w:p w14:paraId="4A577E2C">
                  <w:pPr>
                    <w:snapToGrid w:val="0"/>
                    <w:spacing w:line="240" w:lineRule="auto"/>
                    <w:ind w:left="0" w:leftChars="0" w:right="0" w:rightChars="0" w:firstLine="0" w:firstLineChars="0"/>
                    <w:jc w:val="center"/>
                    <w:rPr>
                      <w:color w:val="0000FF"/>
                    </w:rPr>
                  </w:pPr>
                </w:p>
              </w:tc>
              <w:tc>
                <w:tcPr>
                  <w:tcW w:w="218" w:type="pct"/>
                  <w:tcBorders>
                    <w:tl2br w:val="nil"/>
                    <w:tr2bl w:val="nil"/>
                  </w:tcBorders>
                  <w:shd w:val="clear" w:color="auto" w:fill="auto"/>
                  <w:tcMar>
                    <w:left w:w="57" w:type="dxa"/>
                    <w:right w:w="57" w:type="dxa"/>
                  </w:tcMar>
                  <w:vAlign w:val="center"/>
                </w:tcPr>
                <w:p w14:paraId="1AFB8EAD">
                  <w:pPr>
                    <w:snapToGrid w:val="0"/>
                    <w:spacing w:line="240" w:lineRule="auto"/>
                    <w:ind w:left="0" w:leftChars="0" w:right="0" w:rightChars="0" w:firstLine="0" w:firstLineChars="0"/>
                    <w:jc w:val="center"/>
                    <w:rPr>
                      <w:rFonts w:hint="eastAsia" w:eastAsiaTheme="minorEastAsia"/>
                      <w:color w:val="0000FF"/>
                      <w:lang w:val="en-US" w:eastAsia="zh-CN"/>
                    </w:rPr>
                  </w:pPr>
                  <w:r>
                    <w:rPr>
                      <w:rFonts w:hint="eastAsia"/>
                      <w:color w:val="0000FF"/>
                      <w:lang w:val="en-US" w:eastAsia="zh-CN"/>
                    </w:rPr>
                    <w:t>/</w:t>
                  </w:r>
                </w:p>
              </w:tc>
              <w:tc>
                <w:tcPr>
                  <w:tcW w:w="237" w:type="pct"/>
                  <w:tcBorders>
                    <w:tl2br w:val="nil"/>
                    <w:tr2bl w:val="nil"/>
                  </w:tcBorders>
                  <w:shd w:val="clear" w:color="auto" w:fill="auto"/>
                  <w:tcMar>
                    <w:left w:w="57" w:type="dxa"/>
                    <w:right w:w="57" w:type="dxa"/>
                  </w:tcMar>
                  <w:vAlign w:val="center"/>
                </w:tcPr>
                <w:p w14:paraId="660E39A8">
                  <w:pPr>
                    <w:snapToGrid w:val="0"/>
                    <w:spacing w:line="240" w:lineRule="auto"/>
                    <w:ind w:left="0" w:leftChars="0" w:right="0" w:rightChars="0" w:firstLine="0" w:firstLineChars="0"/>
                    <w:jc w:val="center"/>
                    <w:rPr>
                      <w:rFonts w:hint="eastAsia" w:eastAsiaTheme="minorEastAsia"/>
                      <w:color w:val="0000FF"/>
                      <w:lang w:val="en-US" w:eastAsia="zh-CN"/>
                    </w:rPr>
                  </w:pPr>
                  <w:r>
                    <w:rPr>
                      <w:rFonts w:hint="eastAsia"/>
                      <w:color w:val="0000FF"/>
                      <w:lang w:val="en-US" w:eastAsia="zh-CN"/>
                    </w:rPr>
                    <w:t>/</w:t>
                  </w:r>
                </w:p>
              </w:tc>
              <w:tc>
                <w:tcPr>
                  <w:tcW w:w="625" w:type="pct"/>
                  <w:gridSpan w:val="2"/>
                  <w:tcBorders>
                    <w:tl2br w:val="nil"/>
                    <w:tr2bl w:val="nil"/>
                  </w:tcBorders>
                  <w:tcMar>
                    <w:left w:w="57" w:type="dxa"/>
                    <w:right w:w="57" w:type="dxa"/>
                  </w:tcMar>
                  <w:vAlign w:val="center"/>
                </w:tcPr>
                <w:p w14:paraId="4DA29685">
                  <w:pPr>
                    <w:adjustRightInd w:val="0"/>
                    <w:snapToGrid w:val="0"/>
                    <w:spacing w:line="240" w:lineRule="auto"/>
                    <w:ind w:left="0" w:leftChars="0" w:right="0" w:rightChars="0" w:firstLine="0" w:firstLineChars="0"/>
                    <w:jc w:val="center"/>
                    <w:rPr>
                      <w:rFonts w:eastAsia="宋体" w:cs="Times New Roman"/>
                      <w:color w:val="0000FF"/>
                      <w:kern w:val="2"/>
                      <w:szCs w:val="21"/>
                      <w:lang w:eastAsia="zh-CN"/>
                    </w:rPr>
                  </w:pPr>
                  <w:r>
                    <w:rPr>
                      <w:rFonts w:eastAsia="宋体" w:cs="Times New Roman"/>
                      <w:color w:val="0000FF"/>
                      <w:szCs w:val="21"/>
                    </w:rPr>
                    <w:t>1.0mg/m</w:t>
                  </w:r>
                  <w:r>
                    <w:rPr>
                      <w:rFonts w:eastAsia="宋体" w:cs="Times New Roman"/>
                      <w:color w:val="0000FF"/>
                      <w:szCs w:val="21"/>
                      <w:vertAlign w:val="superscript"/>
                    </w:rPr>
                    <w:t>3</w:t>
                  </w:r>
                </w:p>
              </w:tc>
              <w:tc>
                <w:tcPr>
                  <w:tcW w:w="237" w:type="pct"/>
                  <w:tcBorders>
                    <w:tl2br w:val="nil"/>
                    <w:tr2bl w:val="nil"/>
                  </w:tcBorders>
                  <w:tcMar>
                    <w:left w:w="57" w:type="dxa"/>
                    <w:right w:w="57" w:type="dxa"/>
                  </w:tcMar>
                  <w:vAlign w:val="center"/>
                </w:tcPr>
                <w:p w14:paraId="11E63907">
                  <w:pPr>
                    <w:snapToGrid w:val="0"/>
                    <w:spacing w:line="240" w:lineRule="auto"/>
                    <w:ind w:left="0" w:leftChars="0" w:right="0" w:rightChars="0" w:firstLine="0" w:firstLineChars="0"/>
                    <w:jc w:val="center"/>
                    <w:rPr>
                      <w:color w:val="0000FF"/>
                      <w:lang w:eastAsia="zh-CN"/>
                    </w:rPr>
                  </w:pPr>
                  <w:r>
                    <w:rPr>
                      <w:rFonts w:hint="eastAsia"/>
                      <w:color w:val="0000FF"/>
                      <w:lang w:eastAsia="zh-CN"/>
                    </w:rPr>
                    <w:t>/</w:t>
                  </w:r>
                </w:p>
              </w:tc>
            </w:tr>
            <w:tr w14:paraId="615F7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restart"/>
                  <w:tcBorders>
                    <w:tl2br w:val="nil"/>
                    <w:tr2bl w:val="nil"/>
                  </w:tcBorders>
                  <w:shd w:val="clear" w:color="auto" w:fill="auto"/>
                  <w:tcMar>
                    <w:left w:w="57" w:type="dxa"/>
                    <w:right w:w="57" w:type="dxa"/>
                  </w:tcMar>
                  <w:vAlign w:val="center"/>
                </w:tcPr>
                <w:p w14:paraId="54F24BD3">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固化</w:t>
                  </w:r>
                </w:p>
              </w:tc>
              <w:tc>
                <w:tcPr>
                  <w:tcW w:w="544" w:type="pct"/>
                  <w:vMerge w:val="restart"/>
                  <w:tcBorders>
                    <w:tl2br w:val="nil"/>
                    <w:tr2bl w:val="nil"/>
                  </w:tcBorders>
                  <w:shd w:val="clear" w:color="auto" w:fill="auto"/>
                  <w:tcMar>
                    <w:left w:w="57" w:type="dxa"/>
                    <w:right w:w="57" w:type="dxa"/>
                  </w:tcMar>
                  <w:vAlign w:val="center"/>
                </w:tcPr>
                <w:p w14:paraId="789AB637">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非甲烷总烃</w:t>
                  </w:r>
                </w:p>
              </w:tc>
              <w:tc>
                <w:tcPr>
                  <w:tcW w:w="355" w:type="pct"/>
                  <w:vMerge w:val="restart"/>
                  <w:tcBorders>
                    <w:tl2br w:val="nil"/>
                    <w:tr2bl w:val="nil"/>
                  </w:tcBorders>
                  <w:shd w:val="clear" w:color="auto" w:fill="auto"/>
                  <w:tcMar>
                    <w:left w:w="57" w:type="dxa"/>
                    <w:right w:w="57" w:type="dxa"/>
                  </w:tcMar>
                  <w:vAlign w:val="center"/>
                </w:tcPr>
                <w:p w14:paraId="1C841DEA">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0.072</w:t>
                  </w:r>
                </w:p>
              </w:tc>
              <w:tc>
                <w:tcPr>
                  <w:tcW w:w="318" w:type="pct"/>
                  <w:tcBorders>
                    <w:tl2br w:val="nil"/>
                    <w:tr2bl w:val="nil"/>
                  </w:tcBorders>
                  <w:shd w:val="clear" w:color="auto" w:fill="auto"/>
                  <w:tcMar>
                    <w:left w:w="57" w:type="dxa"/>
                    <w:right w:w="57" w:type="dxa"/>
                  </w:tcMar>
                  <w:vAlign w:val="center"/>
                </w:tcPr>
                <w:p w14:paraId="69A481C6">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hint="eastAsia" w:eastAsia="宋体" w:cs="Times New Roman"/>
                      <w:color w:val="auto"/>
                      <w:kern w:val="2"/>
                      <w:szCs w:val="21"/>
                      <w:lang w:eastAsia="zh-CN"/>
                    </w:rPr>
                    <w:t>9.6</w:t>
                  </w:r>
                </w:p>
              </w:tc>
              <w:tc>
                <w:tcPr>
                  <w:tcW w:w="398" w:type="pct"/>
                  <w:tcBorders>
                    <w:tl2br w:val="nil"/>
                    <w:tr2bl w:val="nil"/>
                  </w:tcBorders>
                  <w:shd w:val="clear" w:color="auto" w:fill="auto"/>
                  <w:tcMar>
                    <w:left w:w="57" w:type="dxa"/>
                    <w:right w:w="57" w:type="dxa"/>
                  </w:tcMar>
                  <w:vAlign w:val="center"/>
                </w:tcPr>
                <w:p w14:paraId="05410059">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有组织</w:t>
                  </w:r>
                </w:p>
              </w:tc>
              <w:tc>
                <w:tcPr>
                  <w:tcW w:w="411" w:type="pct"/>
                  <w:tcBorders>
                    <w:tl2br w:val="nil"/>
                    <w:tr2bl w:val="nil"/>
                  </w:tcBorders>
                  <w:shd w:val="clear" w:color="auto" w:fill="auto"/>
                  <w:tcMar>
                    <w:left w:w="57" w:type="dxa"/>
                    <w:right w:w="57" w:type="dxa"/>
                  </w:tcMar>
                  <w:vAlign w:val="center"/>
                </w:tcPr>
                <w:p w14:paraId="423A72A1">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0.00</w:t>
                  </w:r>
                  <w:r>
                    <w:rPr>
                      <w:rFonts w:hint="eastAsia" w:eastAsia="宋体" w:cs="Times New Roman"/>
                      <w:color w:val="auto"/>
                      <w:szCs w:val="21"/>
                      <w:lang w:eastAsia="zh-CN" w:bidi="ar"/>
                    </w:rPr>
                    <w:t>86</w:t>
                  </w:r>
                </w:p>
              </w:tc>
              <w:tc>
                <w:tcPr>
                  <w:tcW w:w="266" w:type="pct"/>
                  <w:tcBorders>
                    <w:tl2br w:val="nil"/>
                    <w:tr2bl w:val="nil"/>
                  </w:tcBorders>
                  <w:shd w:val="clear" w:color="auto" w:fill="auto"/>
                  <w:tcMar>
                    <w:left w:w="57" w:type="dxa"/>
                    <w:right w:w="57" w:type="dxa"/>
                  </w:tcMar>
                  <w:vAlign w:val="center"/>
                </w:tcPr>
                <w:p w14:paraId="63E12E16">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0.00</w:t>
                  </w:r>
                  <w:r>
                    <w:rPr>
                      <w:rFonts w:hint="eastAsia" w:eastAsia="宋体" w:cs="Times New Roman"/>
                      <w:color w:val="auto"/>
                      <w:szCs w:val="21"/>
                      <w:lang w:eastAsia="zh-CN" w:bidi="ar"/>
                    </w:rPr>
                    <w:t>7</w:t>
                  </w:r>
                  <w:r>
                    <w:rPr>
                      <w:rFonts w:eastAsia="宋体" w:cs="Times New Roman"/>
                      <w:color w:val="auto"/>
                      <w:szCs w:val="21"/>
                      <w:lang w:eastAsia="zh-CN" w:bidi="ar"/>
                    </w:rPr>
                    <w:t xml:space="preserve"> </w:t>
                  </w:r>
                </w:p>
              </w:tc>
              <w:tc>
                <w:tcPr>
                  <w:tcW w:w="339" w:type="pct"/>
                  <w:tcBorders>
                    <w:tl2br w:val="nil"/>
                    <w:tr2bl w:val="nil"/>
                  </w:tcBorders>
                  <w:shd w:val="clear" w:color="auto" w:fill="auto"/>
                  <w:tcMar>
                    <w:left w:w="57" w:type="dxa"/>
                    <w:right w:w="57" w:type="dxa"/>
                  </w:tcMar>
                  <w:vAlign w:val="center"/>
                </w:tcPr>
                <w:p w14:paraId="27FCE1EB">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hint="eastAsia" w:eastAsia="宋体" w:cs="Times New Roman"/>
                      <w:color w:val="auto"/>
                      <w:szCs w:val="21"/>
                      <w:lang w:eastAsia="zh-CN" w:bidi="ar"/>
                    </w:rPr>
                    <w:t>1.44</w:t>
                  </w:r>
                </w:p>
              </w:tc>
              <w:tc>
                <w:tcPr>
                  <w:tcW w:w="755" w:type="pct"/>
                  <w:vMerge w:val="restart"/>
                  <w:tcBorders>
                    <w:tl2br w:val="nil"/>
                    <w:tr2bl w:val="nil"/>
                  </w:tcBorders>
                  <w:shd w:val="clear" w:color="auto" w:fill="auto"/>
                  <w:tcMar>
                    <w:left w:w="57" w:type="dxa"/>
                    <w:right w:w="57" w:type="dxa"/>
                  </w:tcMar>
                  <w:vAlign w:val="center"/>
                </w:tcPr>
                <w:p w14:paraId="3AF6F5A1">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二级活性炭吸附</w:t>
                  </w:r>
                </w:p>
              </w:tc>
              <w:tc>
                <w:tcPr>
                  <w:tcW w:w="218" w:type="pct"/>
                  <w:tcBorders>
                    <w:tl2br w:val="nil"/>
                    <w:tr2bl w:val="nil"/>
                  </w:tcBorders>
                  <w:shd w:val="clear" w:color="auto" w:fill="auto"/>
                  <w:tcMar>
                    <w:left w:w="57" w:type="dxa"/>
                    <w:right w:w="57" w:type="dxa"/>
                  </w:tcMar>
                  <w:vAlign w:val="center"/>
                </w:tcPr>
                <w:p w14:paraId="01C85207">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80</w:t>
                  </w:r>
                </w:p>
              </w:tc>
              <w:tc>
                <w:tcPr>
                  <w:tcW w:w="237" w:type="pct"/>
                  <w:tcBorders>
                    <w:tl2br w:val="nil"/>
                    <w:tr2bl w:val="nil"/>
                  </w:tcBorders>
                  <w:shd w:val="clear" w:color="auto" w:fill="auto"/>
                  <w:tcMar>
                    <w:left w:w="57" w:type="dxa"/>
                    <w:right w:w="57" w:type="dxa"/>
                  </w:tcMar>
                  <w:vAlign w:val="center"/>
                </w:tcPr>
                <w:p w14:paraId="543A4C01">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85</w:t>
                  </w:r>
                </w:p>
              </w:tc>
              <w:tc>
                <w:tcPr>
                  <w:tcW w:w="625" w:type="pct"/>
                  <w:gridSpan w:val="2"/>
                  <w:tcBorders>
                    <w:tl2br w:val="nil"/>
                    <w:tr2bl w:val="nil"/>
                  </w:tcBorders>
                  <w:tcMar>
                    <w:left w:w="57" w:type="dxa"/>
                    <w:right w:w="57" w:type="dxa"/>
                  </w:tcMar>
                  <w:vAlign w:val="center"/>
                </w:tcPr>
                <w:p w14:paraId="6C4034BE">
                  <w:pPr>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kern w:val="2"/>
                      <w:szCs w:val="21"/>
                      <w:lang w:eastAsia="zh-CN"/>
                    </w:rPr>
                    <w:t>50</w:t>
                  </w:r>
                  <w:r>
                    <w:rPr>
                      <w:rFonts w:eastAsia="宋体" w:cs="Times New Roman"/>
                      <w:color w:val="auto"/>
                      <w:szCs w:val="21"/>
                    </w:rPr>
                    <w:t>mg/m</w:t>
                  </w:r>
                  <w:r>
                    <w:rPr>
                      <w:rFonts w:eastAsia="宋体" w:cs="Times New Roman"/>
                      <w:color w:val="auto"/>
                      <w:szCs w:val="21"/>
                      <w:vertAlign w:val="superscript"/>
                    </w:rPr>
                    <w:t>3</w:t>
                  </w:r>
                </w:p>
              </w:tc>
              <w:tc>
                <w:tcPr>
                  <w:tcW w:w="237" w:type="pct"/>
                  <w:tcBorders>
                    <w:tl2br w:val="nil"/>
                    <w:tr2bl w:val="nil"/>
                  </w:tcBorders>
                  <w:tcMar>
                    <w:left w:w="57" w:type="dxa"/>
                    <w:right w:w="57" w:type="dxa"/>
                  </w:tcMar>
                  <w:vAlign w:val="center"/>
                </w:tcPr>
                <w:p w14:paraId="08817FCB">
                  <w:pPr>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达标</w:t>
                  </w:r>
                </w:p>
              </w:tc>
            </w:tr>
            <w:tr w14:paraId="29280F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shd w:val="clear" w:color="auto" w:fill="auto"/>
                  <w:tcMar>
                    <w:left w:w="57" w:type="dxa"/>
                    <w:right w:w="57" w:type="dxa"/>
                  </w:tcMar>
                  <w:vAlign w:val="center"/>
                </w:tcPr>
                <w:p w14:paraId="0B9CCE6C">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544" w:type="pct"/>
                  <w:vMerge w:val="continue"/>
                  <w:tcBorders>
                    <w:tl2br w:val="nil"/>
                    <w:tr2bl w:val="nil"/>
                  </w:tcBorders>
                  <w:shd w:val="clear" w:color="auto" w:fill="auto"/>
                  <w:tcMar>
                    <w:left w:w="57" w:type="dxa"/>
                    <w:right w:w="57" w:type="dxa"/>
                  </w:tcMar>
                  <w:vAlign w:val="center"/>
                </w:tcPr>
                <w:p w14:paraId="70378DF9">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355" w:type="pct"/>
                  <w:vMerge w:val="continue"/>
                  <w:tcBorders>
                    <w:tl2br w:val="nil"/>
                    <w:tr2bl w:val="nil"/>
                  </w:tcBorders>
                  <w:shd w:val="clear" w:color="auto" w:fill="auto"/>
                  <w:tcMar>
                    <w:left w:w="57" w:type="dxa"/>
                    <w:right w:w="57" w:type="dxa"/>
                  </w:tcMar>
                  <w:vAlign w:val="center"/>
                </w:tcPr>
                <w:p w14:paraId="228DD319">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p>
              </w:tc>
              <w:tc>
                <w:tcPr>
                  <w:tcW w:w="318" w:type="pct"/>
                  <w:tcBorders>
                    <w:tl2br w:val="nil"/>
                    <w:tr2bl w:val="nil"/>
                  </w:tcBorders>
                  <w:shd w:val="clear" w:color="auto" w:fill="auto"/>
                  <w:tcMar>
                    <w:left w:w="57" w:type="dxa"/>
                    <w:right w:w="57" w:type="dxa"/>
                  </w:tcMar>
                  <w:vAlign w:val="center"/>
                </w:tcPr>
                <w:p w14:paraId="7A0A33FE">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hint="eastAsia" w:eastAsia="宋体" w:cs="Times New Roman"/>
                      <w:color w:val="auto"/>
                      <w:kern w:val="2"/>
                      <w:szCs w:val="21"/>
                      <w:lang w:eastAsia="zh-CN"/>
                    </w:rPr>
                    <w:t>/</w:t>
                  </w:r>
                </w:p>
              </w:tc>
              <w:tc>
                <w:tcPr>
                  <w:tcW w:w="398" w:type="pct"/>
                  <w:tcBorders>
                    <w:tl2br w:val="nil"/>
                    <w:tr2bl w:val="nil"/>
                  </w:tcBorders>
                  <w:shd w:val="clear" w:color="auto" w:fill="auto"/>
                  <w:tcMar>
                    <w:left w:w="57" w:type="dxa"/>
                    <w:right w:w="57" w:type="dxa"/>
                  </w:tcMar>
                  <w:vAlign w:val="center"/>
                </w:tcPr>
                <w:p w14:paraId="30E2B4C4">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无组织</w:t>
                  </w:r>
                </w:p>
              </w:tc>
              <w:tc>
                <w:tcPr>
                  <w:tcW w:w="411" w:type="pct"/>
                  <w:tcBorders>
                    <w:tl2br w:val="nil"/>
                    <w:tr2bl w:val="nil"/>
                  </w:tcBorders>
                  <w:shd w:val="clear" w:color="auto" w:fill="auto"/>
                  <w:tcMar>
                    <w:left w:w="57" w:type="dxa"/>
                    <w:right w:w="57" w:type="dxa"/>
                  </w:tcMar>
                  <w:vAlign w:val="center"/>
                </w:tcPr>
                <w:p w14:paraId="50418D65">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0.0144</w:t>
                  </w:r>
                </w:p>
              </w:tc>
              <w:tc>
                <w:tcPr>
                  <w:tcW w:w="266" w:type="pct"/>
                  <w:tcBorders>
                    <w:tl2br w:val="nil"/>
                    <w:tr2bl w:val="nil"/>
                  </w:tcBorders>
                  <w:shd w:val="clear" w:color="auto" w:fill="auto"/>
                  <w:tcMar>
                    <w:left w:w="57" w:type="dxa"/>
                    <w:right w:w="57" w:type="dxa"/>
                  </w:tcMar>
                  <w:vAlign w:val="center"/>
                </w:tcPr>
                <w:p w14:paraId="5CF2B718">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0.012</w:t>
                  </w:r>
                </w:p>
              </w:tc>
              <w:tc>
                <w:tcPr>
                  <w:tcW w:w="339" w:type="pct"/>
                  <w:tcBorders>
                    <w:tl2br w:val="nil"/>
                    <w:tr2bl w:val="nil"/>
                  </w:tcBorders>
                  <w:shd w:val="clear" w:color="auto" w:fill="auto"/>
                  <w:tcMar>
                    <w:left w:w="57" w:type="dxa"/>
                    <w:right w:w="57" w:type="dxa"/>
                  </w:tcMar>
                  <w:vAlign w:val="center"/>
                </w:tcPr>
                <w:p w14:paraId="04ABB56C">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w:t>
                  </w:r>
                </w:p>
              </w:tc>
              <w:tc>
                <w:tcPr>
                  <w:tcW w:w="755" w:type="pct"/>
                  <w:vMerge w:val="continue"/>
                  <w:tcBorders>
                    <w:tl2br w:val="nil"/>
                    <w:tr2bl w:val="nil"/>
                  </w:tcBorders>
                  <w:shd w:val="clear" w:color="auto" w:fill="auto"/>
                  <w:tcMar>
                    <w:left w:w="57" w:type="dxa"/>
                    <w:right w:w="57" w:type="dxa"/>
                  </w:tcMar>
                  <w:vAlign w:val="center"/>
                </w:tcPr>
                <w:p w14:paraId="3C776D38">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218" w:type="pct"/>
                  <w:tcBorders>
                    <w:tl2br w:val="nil"/>
                    <w:tr2bl w:val="nil"/>
                  </w:tcBorders>
                  <w:shd w:val="clear" w:color="auto" w:fill="auto"/>
                  <w:tcMar>
                    <w:left w:w="57" w:type="dxa"/>
                    <w:right w:w="57" w:type="dxa"/>
                  </w:tcMar>
                  <w:vAlign w:val="center"/>
                </w:tcPr>
                <w:p w14:paraId="62C0792E">
                  <w:pPr>
                    <w:snapToGrid w:val="0"/>
                    <w:spacing w:line="240" w:lineRule="auto"/>
                    <w:ind w:left="0" w:leftChars="0" w:right="0" w:rightChars="0" w:firstLine="0" w:firstLineChars="0"/>
                    <w:jc w:val="center"/>
                    <w:rPr>
                      <w:rFonts w:hint="default" w:eastAsia="宋体" w:cs="Times New Roman"/>
                      <w:color w:val="auto"/>
                      <w:kern w:val="2"/>
                      <w:szCs w:val="21"/>
                      <w:lang w:val="en-US" w:eastAsia="zh-CN"/>
                    </w:rPr>
                  </w:pPr>
                  <w:r>
                    <w:rPr>
                      <w:rFonts w:hint="eastAsia" w:eastAsia="宋体" w:cs="Times New Roman"/>
                      <w:color w:val="auto"/>
                      <w:kern w:val="2"/>
                      <w:szCs w:val="21"/>
                      <w:lang w:val="en-US" w:eastAsia="zh-CN"/>
                    </w:rPr>
                    <w:t>/</w:t>
                  </w:r>
                </w:p>
              </w:tc>
              <w:tc>
                <w:tcPr>
                  <w:tcW w:w="237" w:type="pct"/>
                  <w:tcBorders>
                    <w:tl2br w:val="nil"/>
                    <w:tr2bl w:val="nil"/>
                  </w:tcBorders>
                  <w:shd w:val="clear" w:color="auto" w:fill="auto"/>
                  <w:tcMar>
                    <w:left w:w="57" w:type="dxa"/>
                    <w:right w:w="57" w:type="dxa"/>
                  </w:tcMar>
                  <w:vAlign w:val="center"/>
                </w:tcPr>
                <w:p w14:paraId="001A2A9B">
                  <w:pPr>
                    <w:snapToGrid w:val="0"/>
                    <w:spacing w:line="240" w:lineRule="auto"/>
                    <w:ind w:left="0" w:leftChars="0" w:right="0" w:rightChars="0" w:firstLine="0" w:firstLineChars="0"/>
                    <w:jc w:val="center"/>
                    <w:rPr>
                      <w:rFonts w:hint="default" w:eastAsia="宋体" w:cs="Times New Roman"/>
                      <w:color w:val="auto"/>
                      <w:kern w:val="2"/>
                      <w:szCs w:val="21"/>
                      <w:lang w:val="en-US" w:eastAsia="zh-CN"/>
                    </w:rPr>
                  </w:pPr>
                  <w:r>
                    <w:rPr>
                      <w:rFonts w:hint="eastAsia" w:eastAsia="宋体" w:cs="Times New Roman"/>
                      <w:color w:val="auto"/>
                      <w:kern w:val="2"/>
                      <w:szCs w:val="21"/>
                      <w:lang w:val="en-US" w:eastAsia="zh-CN"/>
                    </w:rPr>
                    <w:t>/</w:t>
                  </w:r>
                </w:p>
              </w:tc>
              <w:tc>
                <w:tcPr>
                  <w:tcW w:w="625" w:type="pct"/>
                  <w:gridSpan w:val="2"/>
                  <w:tcBorders>
                    <w:tl2br w:val="nil"/>
                    <w:tr2bl w:val="nil"/>
                  </w:tcBorders>
                  <w:tcMar>
                    <w:left w:w="57" w:type="dxa"/>
                    <w:right w:w="57" w:type="dxa"/>
                  </w:tcMar>
                  <w:vAlign w:val="center"/>
                </w:tcPr>
                <w:p w14:paraId="47A897E0">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3</w:t>
                  </w:r>
                  <w:r>
                    <w:rPr>
                      <w:rFonts w:eastAsia="宋体" w:cs="Times New Roman"/>
                      <w:color w:val="auto"/>
                      <w:szCs w:val="21"/>
                    </w:rPr>
                    <w:t>mg/m</w:t>
                  </w:r>
                  <w:r>
                    <w:rPr>
                      <w:rFonts w:eastAsia="宋体" w:cs="Times New Roman"/>
                      <w:color w:val="auto"/>
                      <w:szCs w:val="21"/>
                      <w:vertAlign w:val="superscript"/>
                    </w:rPr>
                    <w:t>3</w:t>
                  </w:r>
                </w:p>
              </w:tc>
              <w:tc>
                <w:tcPr>
                  <w:tcW w:w="237" w:type="pct"/>
                  <w:tcBorders>
                    <w:tl2br w:val="nil"/>
                    <w:tr2bl w:val="nil"/>
                  </w:tcBorders>
                  <w:tcMar>
                    <w:left w:w="57" w:type="dxa"/>
                    <w:right w:w="57" w:type="dxa"/>
                  </w:tcMar>
                  <w:vAlign w:val="center"/>
                </w:tcPr>
                <w:p w14:paraId="0DE4E830">
                  <w:pPr>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w:t>
                  </w:r>
                </w:p>
              </w:tc>
            </w:tr>
            <w:tr w14:paraId="794180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restart"/>
                  <w:tcBorders>
                    <w:tl2br w:val="nil"/>
                    <w:tr2bl w:val="nil"/>
                  </w:tcBorders>
                  <w:shd w:val="clear" w:color="auto" w:fill="auto"/>
                  <w:tcMar>
                    <w:left w:w="57" w:type="dxa"/>
                    <w:right w:w="57" w:type="dxa"/>
                  </w:tcMar>
                  <w:vAlign w:val="center"/>
                </w:tcPr>
                <w:p w14:paraId="7CF12AA1">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燃烧机</w:t>
                  </w:r>
                </w:p>
              </w:tc>
              <w:tc>
                <w:tcPr>
                  <w:tcW w:w="544" w:type="pct"/>
                  <w:tcBorders>
                    <w:tl2br w:val="nil"/>
                    <w:tr2bl w:val="nil"/>
                  </w:tcBorders>
                  <w:shd w:val="clear" w:color="auto" w:fill="auto"/>
                  <w:tcMar>
                    <w:left w:w="57" w:type="dxa"/>
                    <w:right w:w="57" w:type="dxa"/>
                  </w:tcMar>
                  <w:vAlign w:val="center"/>
                </w:tcPr>
                <w:p w14:paraId="5C5296BC">
                  <w:pPr>
                    <w:widowControl/>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szCs w:val="21"/>
                      <w:lang w:eastAsia="zh-CN" w:bidi="ar"/>
                    </w:rPr>
                    <w:t>颗粒物</w:t>
                  </w:r>
                </w:p>
              </w:tc>
              <w:tc>
                <w:tcPr>
                  <w:tcW w:w="355" w:type="pct"/>
                  <w:tcBorders>
                    <w:tl2br w:val="nil"/>
                    <w:tr2bl w:val="nil"/>
                  </w:tcBorders>
                  <w:shd w:val="clear" w:color="auto" w:fill="auto"/>
                  <w:tcMar>
                    <w:left w:w="57" w:type="dxa"/>
                    <w:right w:w="57" w:type="dxa"/>
                  </w:tcMar>
                  <w:vAlign w:val="center"/>
                </w:tcPr>
                <w:p w14:paraId="3C5C20BA">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2.1</w:t>
                  </w:r>
                  <w:r>
                    <w:rPr>
                      <w:rFonts w:eastAsia="宋体" w:cs="Times New Roman"/>
                      <w:color w:val="auto"/>
                      <w:kern w:val="2"/>
                      <w:szCs w:val="21"/>
                      <w:lang w:eastAsia="zh-CN" w:bidi="zh-CN"/>
                    </w:rPr>
                    <w:t>×10</w:t>
                  </w:r>
                  <w:r>
                    <w:rPr>
                      <w:rFonts w:eastAsia="宋体" w:cs="Times New Roman"/>
                      <w:color w:val="auto"/>
                      <w:kern w:val="2"/>
                      <w:szCs w:val="21"/>
                      <w:vertAlign w:val="superscript"/>
                      <w:lang w:eastAsia="zh-CN" w:bidi="zh-CN"/>
                    </w:rPr>
                    <w:t>-3</w:t>
                  </w:r>
                </w:p>
              </w:tc>
              <w:tc>
                <w:tcPr>
                  <w:tcW w:w="318" w:type="pct"/>
                  <w:tcBorders>
                    <w:tl2br w:val="nil"/>
                    <w:tr2bl w:val="nil"/>
                  </w:tcBorders>
                  <w:shd w:val="clear" w:color="auto" w:fill="auto"/>
                  <w:tcMar>
                    <w:left w:w="57" w:type="dxa"/>
                    <w:right w:w="57" w:type="dxa"/>
                  </w:tcMar>
                  <w:vAlign w:val="center"/>
                </w:tcPr>
                <w:p w14:paraId="0A1C3D70">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3.9</w:t>
                  </w:r>
                </w:p>
              </w:tc>
              <w:tc>
                <w:tcPr>
                  <w:tcW w:w="398" w:type="pct"/>
                  <w:vMerge w:val="restart"/>
                  <w:tcBorders>
                    <w:tl2br w:val="nil"/>
                    <w:tr2bl w:val="nil"/>
                  </w:tcBorders>
                  <w:shd w:val="clear" w:color="auto" w:fill="auto"/>
                  <w:tcMar>
                    <w:left w:w="57" w:type="dxa"/>
                    <w:right w:w="57" w:type="dxa"/>
                  </w:tcMar>
                  <w:vAlign w:val="center"/>
                </w:tcPr>
                <w:p w14:paraId="1FE10B9E">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有组织</w:t>
                  </w:r>
                </w:p>
              </w:tc>
              <w:tc>
                <w:tcPr>
                  <w:tcW w:w="411" w:type="pct"/>
                  <w:tcBorders>
                    <w:tl2br w:val="nil"/>
                    <w:tr2bl w:val="nil"/>
                  </w:tcBorders>
                  <w:shd w:val="clear" w:color="auto" w:fill="auto"/>
                  <w:tcMar>
                    <w:left w:w="57" w:type="dxa"/>
                    <w:right w:w="57" w:type="dxa"/>
                  </w:tcMar>
                  <w:vAlign w:val="center"/>
                </w:tcPr>
                <w:p w14:paraId="23917C64">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2.1</w:t>
                  </w:r>
                  <w:r>
                    <w:rPr>
                      <w:rFonts w:eastAsia="宋体" w:cs="Times New Roman"/>
                      <w:color w:val="auto"/>
                      <w:kern w:val="2"/>
                      <w:szCs w:val="21"/>
                      <w:lang w:eastAsia="zh-CN" w:bidi="zh-CN"/>
                    </w:rPr>
                    <w:t>×10</w:t>
                  </w:r>
                  <w:r>
                    <w:rPr>
                      <w:rFonts w:eastAsia="宋体" w:cs="Times New Roman"/>
                      <w:color w:val="auto"/>
                      <w:kern w:val="2"/>
                      <w:szCs w:val="21"/>
                      <w:vertAlign w:val="superscript"/>
                      <w:lang w:eastAsia="zh-CN" w:bidi="zh-CN"/>
                    </w:rPr>
                    <w:t>-3</w:t>
                  </w:r>
                </w:p>
              </w:tc>
              <w:tc>
                <w:tcPr>
                  <w:tcW w:w="266" w:type="pct"/>
                  <w:tcBorders>
                    <w:tl2br w:val="nil"/>
                    <w:tr2bl w:val="nil"/>
                  </w:tcBorders>
                  <w:shd w:val="clear" w:color="auto" w:fill="auto"/>
                  <w:tcMar>
                    <w:left w:w="57" w:type="dxa"/>
                    <w:right w:w="57" w:type="dxa"/>
                  </w:tcMar>
                  <w:vAlign w:val="center"/>
                </w:tcPr>
                <w:p w14:paraId="3F8C1DB8">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1.75</w:t>
                  </w:r>
                  <w:r>
                    <w:rPr>
                      <w:rFonts w:eastAsia="宋体" w:cs="Times New Roman"/>
                      <w:color w:val="auto"/>
                      <w:kern w:val="2"/>
                      <w:szCs w:val="21"/>
                      <w:lang w:eastAsia="zh-CN" w:bidi="zh-CN"/>
                    </w:rPr>
                    <w:t>×10</w:t>
                  </w:r>
                  <w:r>
                    <w:rPr>
                      <w:rFonts w:eastAsia="宋体" w:cs="Times New Roman"/>
                      <w:color w:val="auto"/>
                      <w:kern w:val="2"/>
                      <w:szCs w:val="21"/>
                      <w:vertAlign w:val="superscript"/>
                      <w:lang w:eastAsia="zh-CN" w:bidi="zh-CN"/>
                    </w:rPr>
                    <w:t>-3</w:t>
                  </w:r>
                </w:p>
              </w:tc>
              <w:tc>
                <w:tcPr>
                  <w:tcW w:w="339" w:type="pct"/>
                  <w:tcBorders>
                    <w:tl2br w:val="nil"/>
                    <w:tr2bl w:val="nil"/>
                  </w:tcBorders>
                  <w:shd w:val="clear" w:color="auto" w:fill="auto"/>
                  <w:tcMar>
                    <w:left w:w="57" w:type="dxa"/>
                    <w:right w:w="57" w:type="dxa"/>
                  </w:tcMar>
                  <w:vAlign w:val="center"/>
                </w:tcPr>
                <w:p w14:paraId="60CD0FC9">
                  <w:pPr>
                    <w:snapToGrid w:val="0"/>
                    <w:spacing w:line="240" w:lineRule="auto"/>
                    <w:ind w:left="0" w:leftChars="0" w:right="0" w:rightChars="0" w:firstLine="0" w:firstLineChars="0"/>
                    <w:jc w:val="center"/>
                    <w:rPr>
                      <w:rFonts w:cs="Times New Roman"/>
                      <w:color w:val="auto"/>
                      <w:kern w:val="2"/>
                      <w:szCs w:val="21"/>
                      <w:lang w:eastAsia="zh-CN"/>
                    </w:rPr>
                  </w:pPr>
                  <w:r>
                    <w:rPr>
                      <w:rFonts w:eastAsia="宋体" w:cs="Times New Roman"/>
                      <w:color w:val="auto"/>
                      <w:kern w:val="2"/>
                      <w:szCs w:val="21"/>
                      <w:lang w:eastAsia="zh-CN"/>
                    </w:rPr>
                    <w:t>3.9</w:t>
                  </w:r>
                </w:p>
              </w:tc>
              <w:tc>
                <w:tcPr>
                  <w:tcW w:w="755" w:type="pct"/>
                  <w:vMerge w:val="restart"/>
                  <w:tcBorders>
                    <w:tl2br w:val="nil"/>
                    <w:tr2bl w:val="nil"/>
                  </w:tcBorders>
                  <w:shd w:val="clear" w:color="auto" w:fill="auto"/>
                  <w:tcMar>
                    <w:left w:w="57" w:type="dxa"/>
                    <w:right w:w="57" w:type="dxa"/>
                  </w:tcMar>
                  <w:vAlign w:val="center"/>
                </w:tcPr>
                <w:p w14:paraId="640D96EB">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低氮燃烧</w:t>
                  </w:r>
                </w:p>
              </w:tc>
              <w:tc>
                <w:tcPr>
                  <w:tcW w:w="218" w:type="pct"/>
                  <w:tcBorders>
                    <w:tl2br w:val="nil"/>
                    <w:tr2bl w:val="nil"/>
                  </w:tcBorders>
                  <w:shd w:val="clear" w:color="auto" w:fill="auto"/>
                  <w:tcMar>
                    <w:left w:w="57" w:type="dxa"/>
                    <w:right w:w="57" w:type="dxa"/>
                  </w:tcMar>
                  <w:vAlign w:val="center"/>
                </w:tcPr>
                <w:p w14:paraId="671B90AF">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w:t>
                  </w:r>
                </w:p>
              </w:tc>
              <w:tc>
                <w:tcPr>
                  <w:tcW w:w="237" w:type="pct"/>
                  <w:tcBorders>
                    <w:tl2br w:val="nil"/>
                    <w:tr2bl w:val="nil"/>
                  </w:tcBorders>
                  <w:shd w:val="clear" w:color="auto" w:fill="auto"/>
                  <w:tcMar>
                    <w:left w:w="57" w:type="dxa"/>
                    <w:right w:w="57" w:type="dxa"/>
                  </w:tcMar>
                  <w:vAlign w:val="center"/>
                </w:tcPr>
                <w:p w14:paraId="69F1A429">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w:t>
                  </w:r>
                </w:p>
              </w:tc>
              <w:tc>
                <w:tcPr>
                  <w:tcW w:w="625" w:type="pct"/>
                  <w:gridSpan w:val="2"/>
                  <w:tcBorders>
                    <w:tl2br w:val="nil"/>
                    <w:tr2bl w:val="nil"/>
                  </w:tcBorders>
                  <w:tcMar>
                    <w:left w:w="57" w:type="dxa"/>
                    <w:right w:w="57" w:type="dxa"/>
                  </w:tcMar>
                  <w:vAlign w:val="center"/>
                </w:tcPr>
                <w:p w14:paraId="76723134">
                  <w:pPr>
                    <w:adjustRightInd w:val="0"/>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kern w:val="2"/>
                      <w:szCs w:val="21"/>
                      <w:lang w:eastAsia="zh-CN"/>
                    </w:rPr>
                    <w:t>30</w:t>
                  </w:r>
                  <w:r>
                    <w:rPr>
                      <w:rFonts w:eastAsia="宋体" w:cs="Times New Roman"/>
                      <w:color w:val="auto"/>
                      <w:szCs w:val="21"/>
                    </w:rPr>
                    <w:t>mg/m</w:t>
                  </w:r>
                  <w:r>
                    <w:rPr>
                      <w:rFonts w:eastAsia="宋体" w:cs="Times New Roman"/>
                      <w:color w:val="auto"/>
                      <w:szCs w:val="21"/>
                      <w:vertAlign w:val="superscript"/>
                    </w:rPr>
                    <w:t>3</w:t>
                  </w:r>
                </w:p>
              </w:tc>
              <w:tc>
                <w:tcPr>
                  <w:tcW w:w="237" w:type="pct"/>
                  <w:vMerge w:val="restart"/>
                  <w:tcBorders>
                    <w:tl2br w:val="nil"/>
                    <w:tr2bl w:val="nil"/>
                  </w:tcBorders>
                  <w:tcMar>
                    <w:left w:w="57" w:type="dxa"/>
                    <w:right w:w="57" w:type="dxa"/>
                  </w:tcMar>
                  <w:vAlign w:val="center"/>
                </w:tcPr>
                <w:p w14:paraId="5874DCD5">
                  <w:pPr>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达标</w:t>
                  </w:r>
                </w:p>
              </w:tc>
            </w:tr>
            <w:tr w14:paraId="033E4B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shd w:val="clear" w:color="auto" w:fill="auto"/>
                  <w:tcMar>
                    <w:left w:w="57" w:type="dxa"/>
                    <w:right w:w="57" w:type="dxa"/>
                  </w:tcMar>
                  <w:vAlign w:val="center"/>
                </w:tcPr>
                <w:p w14:paraId="18B555AE">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544" w:type="pct"/>
                  <w:tcBorders>
                    <w:tl2br w:val="nil"/>
                    <w:tr2bl w:val="nil"/>
                  </w:tcBorders>
                  <w:shd w:val="clear" w:color="auto" w:fill="auto"/>
                  <w:tcMar>
                    <w:left w:w="57" w:type="dxa"/>
                    <w:right w:w="57" w:type="dxa"/>
                  </w:tcMar>
                  <w:vAlign w:val="center"/>
                </w:tcPr>
                <w:p w14:paraId="00DD19E4">
                  <w:pPr>
                    <w:widowControl/>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szCs w:val="21"/>
                      <w:lang w:eastAsia="zh-CN" w:bidi="ar"/>
                    </w:rPr>
                    <w:t>SO</w:t>
                  </w:r>
                  <w:r>
                    <w:rPr>
                      <w:rFonts w:eastAsia="宋体" w:cs="Times New Roman"/>
                      <w:color w:val="auto"/>
                      <w:szCs w:val="21"/>
                      <w:vertAlign w:val="subscript"/>
                      <w:lang w:eastAsia="zh-CN" w:bidi="ar"/>
                    </w:rPr>
                    <w:t>2</w:t>
                  </w:r>
                </w:p>
              </w:tc>
              <w:tc>
                <w:tcPr>
                  <w:tcW w:w="355" w:type="pct"/>
                  <w:tcBorders>
                    <w:tl2br w:val="nil"/>
                    <w:tr2bl w:val="nil"/>
                  </w:tcBorders>
                  <w:shd w:val="clear" w:color="auto" w:fill="auto"/>
                  <w:tcMar>
                    <w:left w:w="57" w:type="dxa"/>
                    <w:right w:w="57" w:type="dxa"/>
                  </w:tcMar>
                  <w:vAlign w:val="center"/>
                </w:tcPr>
                <w:p w14:paraId="7B1E4AD2">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3.8</w:t>
                  </w:r>
                  <w:r>
                    <w:rPr>
                      <w:rFonts w:eastAsia="宋体" w:cs="Times New Roman"/>
                      <w:color w:val="auto"/>
                      <w:kern w:val="2"/>
                      <w:szCs w:val="21"/>
                      <w:lang w:eastAsia="zh-CN" w:bidi="zh-CN"/>
                    </w:rPr>
                    <w:t>×10</w:t>
                  </w:r>
                  <w:r>
                    <w:rPr>
                      <w:rFonts w:eastAsia="宋体" w:cs="Times New Roman"/>
                      <w:color w:val="auto"/>
                      <w:kern w:val="2"/>
                      <w:szCs w:val="21"/>
                      <w:vertAlign w:val="superscript"/>
                      <w:lang w:eastAsia="zh-CN" w:bidi="zh-CN"/>
                    </w:rPr>
                    <w:t>-3</w:t>
                  </w:r>
                </w:p>
              </w:tc>
              <w:tc>
                <w:tcPr>
                  <w:tcW w:w="318" w:type="pct"/>
                  <w:tcBorders>
                    <w:tl2br w:val="nil"/>
                    <w:tr2bl w:val="nil"/>
                  </w:tcBorders>
                  <w:shd w:val="clear" w:color="auto" w:fill="auto"/>
                  <w:tcMar>
                    <w:left w:w="57" w:type="dxa"/>
                    <w:right w:w="57" w:type="dxa"/>
                  </w:tcMar>
                  <w:vAlign w:val="center"/>
                </w:tcPr>
                <w:p w14:paraId="6B113093">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7</w:t>
                  </w:r>
                </w:p>
              </w:tc>
              <w:tc>
                <w:tcPr>
                  <w:tcW w:w="398" w:type="pct"/>
                  <w:vMerge w:val="continue"/>
                  <w:tcBorders>
                    <w:tl2br w:val="nil"/>
                    <w:tr2bl w:val="nil"/>
                  </w:tcBorders>
                  <w:shd w:val="clear" w:color="auto" w:fill="auto"/>
                  <w:tcMar>
                    <w:left w:w="57" w:type="dxa"/>
                    <w:right w:w="57" w:type="dxa"/>
                  </w:tcMar>
                  <w:vAlign w:val="center"/>
                </w:tcPr>
                <w:p w14:paraId="21E8D4B9">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411" w:type="pct"/>
                  <w:tcBorders>
                    <w:tl2br w:val="nil"/>
                    <w:tr2bl w:val="nil"/>
                  </w:tcBorders>
                  <w:shd w:val="clear" w:color="auto" w:fill="auto"/>
                  <w:tcMar>
                    <w:left w:w="57" w:type="dxa"/>
                    <w:right w:w="57" w:type="dxa"/>
                  </w:tcMar>
                  <w:vAlign w:val="center"/>
                </w:tcPr>
                <w:p w14:paraId="6701EF60">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3.8</w:t>
                  </w:r>
                  <w:r>
                    <w:rPr>
                      <w:rFonts w:eastAsia="宋体" w:cs="Times New Roman"/>
                      <w:color w:val="auto"/>
                      <w:kern w:val="2"/>
                      <w:szCs w:val="21"/>
                      <w:lang w:eastAsia="zh-CN" w:bidi="zh-CN"/>
                    </w:rPr>
                    <w:t>×10</w:t>
                  </w:r>
                  <w:r>
                    <w:rPr>
                      <w:rFonts w:eastAsia="宋体" w:cs="Times New Roman"/>
                      <w:color w:val="auto"/>
                      <w:kern w:val="2"/>
                      <w:szCs w:val="21"/>
                      <w:vertAlign w:val="superscript"/>
                      <w:lang w:eastAsia="zh-CN" w:bidi="zh-CN"/>
                    </w:rPr>
                    <w:t>-3</w:t>
                  </w:r>
                </w:p>
              </w:tc>
              <w:tc>
                <w:tcPr>
                  <w:tcW w:w="266" w:type="pct"/>
                  <w:tcBorders>
                    <w:tl2br w:val="nil"/>
                    <w:tr2bl w:val="nil"/>
                  </w:tcBorders>
                  <w:shd w:val="clear" w:color="auto" w:fill="auto"/>
                  <w:tcMar>
                    <w:left w:w="57" w:type="dxa"/>
                    <w:right w:w="57" w:type="dxa"/>
                  </w:tcMar>
                  <w:vAlign w:val="center"/>
                </w:tcPr>
                <w:p w14:paraId="415F0141">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bidi="zh-CN"/>
                    </w:rPr>
                    <w:t>3.17×10</w:t>
                  </w:r>
                  <w:r>
                    <w:rPr>
                      <w:rFonts w:eastAsia="宋体" w:cs="Times New Roman"/>
                      <w:color w:val="auto"/>
                      <w:kern w:val="2"/>
                      <w:szCs w:val="21"/>
                      <w:vertAlign w:val="superscript"/>
                      <w:lang w:eastAsia="zh-CN" w:bidi="zh-CN"/>
                    </w:rPr>
                    <w:t>-3</w:t>
                  </w:r>
                </w:p>
              </w:tc>
              <w:tc>
                <w:tcPr>
                  <w:tcW w:w="339" w:type="pct"/>
                  <w:tcBorders>
                    <w:tl2br w:val="nil"/>
                    <w:tr2bl w:val="nil"/>
                  </w:tcBorders>
                  <w:shd w:val="clear" w:color="auto" w:fill="auto"/>
                  <w:tcMar>
                    <w:left w:w="57" w:type="dxa"/>
                    <w:right w:w="57" w:type="dxa"/>
                  </w:tcMar>
                  <w:vAlign w:val="center"/>
                </w:tcPr>
                <w:p w14:paraId="7339EF17">
                  <w:pPr>
                    <w:snapToGrid w:val="0"/>
                    <w:spacing w:line="240" w:lineRule="auto"/>
                    <w:ind w:left="0" w:leftChars="0" w:right="0" w:rightChars="0" w:firstLine="0" w:firstLineChars="0"/>
                    <w:jc w:val="center"/>
                    <w:rPr>
                      <w:rFonts w:cs="Times New Roman"/>
                      <w:color w:val="auto"/>
                      <w:kern w:val="2"/>
                      <w:szCs w:val="21"/>
                      <w:lang w:eastAsia="zh-CN"/>
                    </w:rPr>
                  </w:pPr>
                  <w:r>
                    <w:rPr>
                      <w:rFonts w:eastAsia="宋体" w:cs="Times New Roman"/>
                      <w:color w:val="auto"/>
                      <w:kern w:val="2"/>
                      <w:szCs w:val="21"/>
                      <w:lang w:eastAsia="zh-CN"/>
                    </w:rPr>
                    <w:t>7</w:t>
                  </w:r>
                </w:p>
              </w:tc>
              <w:tc>
                <w:tcPr>
                  <w:tcW w:w="755" w:type="pct"/>
                  <w:vMerge w:val="continue"/>
                  <w:tcBorders>
                    <w:tl2br w:val="nil"/>
                    <w:tr2bl w:val="nil"/>
                  </w:tcBorders>
                  <w:shd w:val="clear" w:color="auto" w:fill="auto"/>
                  <w:tcMar>
                    <w:left w:w="57" w:type="dxa"/>
                    <w:right w:w="57" w:type="dxa"/>
                  </w:tcMar>
                  <w:vAlign w:val="center"/>
                </w:tcPr>
                <w:p w14:paraId="56FCDA44">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218" w:type="pct"/>
                  <w:tcBorders>
                    <w:tl2br w:val="nil"/>
                    <w:tr2bl w:val="nil"/>
                  </w:tcBorders>
                  <w:shd w:val="clear" w:color="auto" w:fill="auto"/>
                  <w:tcMar>
                    <w:left w:w="57" w:type="dxa"/>
                    <w:right w:w="57" w:type="dxa"/>
                  </w:tcMar>
                  <w:vAlign w:val="center"/>
                </w:tcPr>
                <w:p w14:paraId="32576729">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w:t>
                  </w:r>
                </w:p>
              </w:tc>
              <w:tc>
                <w:tcPr>
                  <w:tcW w:w="237" w:type="pct"/>
                  <w:tcBorders>
                    <w:tl2br w:val="nil"/>
                    <w:tr2bl w:val="nil"/>
                  </w:tcBorders>
                  <w:shd w:val="clear" w:color="auto" w:fill="auto"/>
                  <w:tcMar>
                    <w:left w:w="57" w:type="dxa"/>
                    <w:right w:w="57" w:type="dxa"/>
                  </w:tcMar>
                  <w:vAlign w:val="center"/>
                </w:tcPr>
                <w:p w14:paraId="24BB98A5">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w:t>
                  </w:r>
                </w:p>
              </w:tc>
              <w:tc>
                <w:tcPr>
                  <w:tcW w:w="625" w:type="pct"/>
                  <w:gridSpan w:val="2"/>
                  <w:tcBorders>
                    <w:tl2br w:val="nil"/>
                    <w:tr2bl w:val="nil"/>
                  </w:tcBorders>
                  <w:tcMar>
                    <w:left w:w="57" w:type="dxa"/>
                    <w:right w:w="57" w:type="dxa"/>
                  </w:tcMar>
                  <w:vAlign w:val="center"/>
                </w:tcPr>
                <w:p w14:paraId="691513D2">
                  <w:pPr>
                    <w:adjustRightInd w:val="0"/>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kern w:val="2"/>
                      <w:szCs w:val="21"/>
                      <w:lang w:eastAsia="zh-CN"/>
                    </w:rPr>
                    <w:t>200</w:t>
                  </w:r>
                  <w:r>
                    <w:rPr>
                      <w:rFonts w:eastAsia="宋体" w:cs="Times New Roman"/>
                      <w:color w:val="auto"/>
                      <w:szCs w:val="21"/>
                    </w:rPr>
                    <w:t>mg/m</w:t>
                  </w:r>
                  <w:r>
                    <w:rPr>
                      <w:rFonts w:eastAsia="宋体" w:cs="Times New Roman"/>
                      <w:color w:val="auto"/>
                      <w:szCs w:val="21"/>
                      <w:vertAlign w:val="superscript"/>
                    </w:rPr>
                    <w:t>3</w:t>
                  </w:r>
                </w:p>
              </w:tc>
              <w:tc>
                <w:tcPr>
                  <w:tcW w:w="237" w:type="pct"/>
                  <w:vMerge w:val="continue"/>
                  <w:tcBorders>
                    <w:tl2br w:val="nil"/>
                    <w:tr2bl w:val="nil"/>
                  </w:tcBorders>
                  <w:tcMar>
                    <w:left w:w="57" w:type="dxa"/>
                    <w:right w:w="57" w:type="dxa"/>
                  </w:tcMar>
                  <w:vAlign w:val="center"/>
                </w:tcPr>
                <w:p w14:paraId="2151A79B">
                  <w:pPr>
                    <w:snapToGrid w:val="0"/>
                    <w:spacing w:line="240" w:lineRule="auto"/>
                    <w:ind w:left="0" w:leftChars="0" w:right="0" w:rightChars="0" w:firstLine="0" w:firstLineChars="0"/>
                    <w:jc w:val="center"/>
                    <w:rPr>
                      <w:rFonts w:cs="Times New Roman"/>
                      <w:color w:val="auto"/>
                      <w:szCs w:val="21"/>
                      <w:lang w:eastAsia="zh-CN"/>
                    </w:rPr>
                  </w:pPr>
                </w:p>
              </w:tc>
            </w:tr>
            <w:tr w14:paraId="7ED791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shd w:val="clear" w:color="auto" w:fill="auto"/>
                  <w:tcMar>
                    <w:left w:w="57" w:type="dxa"/>
                    <w:right w:w="57" w:type="dxa"/>
                  </w:tcMar>
                  <w:vAlign w:val="center"/>
                </w:tcPr>
                <w:p w14:paraId="7C8BD0F2">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544" w:type="pct"/>
                  <w:tcBorders>
                    <w:tl2br w:val="nil"/>
                    <w:tr2bl w:val="nil"/>
                  </w:tcBorders>
                  <w:shd w:val="clear" w:color="auto" w:fill="auto"/>
                  <w:tcMar>
                    <w:left w:w="57" w:type="dxa"/>
                    <w:right w:w="57" w:type="dxa"/>
                  </w:tcMar>
                  <w:vAlign w:val="center"/>
                </w:tcPr>
                <w:p w14:paraId="2465B45C">
                  <w:pPr>
                    <w:widowControl/>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szCs w:val="21"/>
                      <w:lang w:eastAsia="zh-CN" w:bidi="ar"/>
                    </w:rPr>
                    <w:t>NO</w:t>
                  </w:r>
                  <w:r>
                    <w:rPr>
                      <w:rFonts w:eastAsia="宋体" w:cs="Times New Roman"/>
                      <w:color w:val="auto"/>
                      <w:szCs w:val="21"/>
                      <w:vertAlign w:val="subscript"/>
                      <w:lang w:eastAsia="zh-CN" w:bidi="ar"/>
                    </w:rPr>
                    <w:t>X</w:t>
                  </w:r>
                </w:p>
              </w:tc>
              <w:tc>
                <w:tcPr>
                  <w:tcW w:w="355" w:type="pct"/>
                  <w:tcBorders>
                    <w:tl2br w:val="nil"/>
                    <w:tr2bl w:val="nil"/>
                  </w:tcBorders>
                  <w:shd w:val="clear" w:color="auto" w:fill="auto"/>
                  <w:tcMar>
                    <w:left w:w="57" w:type="dxa"/>
                    <w:right w:w="57" w:type="dxa"/>
                  </w:tcMar>
                  <w:vAlign w:val="center"/>
                </w:tcPr>
                <w:p w14:paraId="57ADF228">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0.008</w:t>
                  </w:r>
                </w:p>
              </w:tc>
              <w:tc>
                <w:tcPr>
                  <w:tcW w:w="318" w:type="pct"/>
                  <w:tcBorders>
                    <w:tl2br w:val="nil"/>
                    <w:tr2bl w:val="nil"/>
                  </w:tcBorders>
                  <w:shd w:val="clear" w:color="auto" w:fill="auto"/>
                  <w:tcMar>
                    <w:left w:w="57" w:type="dxa"/>
                    <w:right w:w="57" w:type="dxa"/>
                  </w:tcMar>
                  <w:vAlign w:val="center"/>
                </w:tcPr>
                <w:p w14:paraId="2AD1B5C6">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14</w:t>
                  </w:r>
                </w:p>
              </w:tc>
              <w:tc>
                <w:tcPr>
                  <w:tcW w:w="398" w:type="pct"/>
                  <w:vMerge w:val="continue"/>
                  <w:tcBorders>
                    <w:tl2br w:val="nil"/>
                    <w:tr2bl w:val="nil"/>
                  </w:tcBorders>
                  <w:shd w:val="clear" w:color="auto" w:fill="auto"/>
                  <w:tcMar>
                    <w:left w:w="57" w:type="dxa"/>
                    <w:right w:w="57" w:type="dxa"/>
                  </w:tcMar>
                  <w:vAlign w:val="center"/>
                </w:tcPr>
                <w:p w14:paraId="31FBB3AF">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411" w:type="pct"/>
                  <w:tcBorders>
                    <w:tl2br w:val="nil"/>
                    <w:tr2bl w:val="nil"/>
                  </w:tcBorders>
                  <w:shd w:val="clear" w:color="auto" w:fill="auto"/>
                  <w:tcMar>
                    <w:left w:w="57" w:type="dxa"/>
                    <w:right w:w="57" w:type="dxa"/>
                  </w:tcMar>
                  <w:vAlign w:val="center"/>
                </w:tcPr>
                <w:p w14:paraId="1F38426C">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0.008</w:t>
                  </w:r>
                </w:p>
              </w:tc>
              <w:tc>
                <w:tcPr>
                  <w:tcW w:w="266" w:type="pct"/>
                  <w:tcBorders>
                    <w:tl2br w:val="nil"/>
                    <w:tr2bl w:val="nil"/>
                  </w:tcBorders>
                  <w:shd w:val="clear" w:color="auto" w:fill="auto"/>
                  <w:tcMar>
                    <w:left w:w="57" w:type="dxa"/>
                    <w:right w:w="57" w:type="dxa"/>
                  </w:tcMar>
                  <w:vAlign w:val="center"/>
                </w:tcPr>
                <w:p w14:paraId="1BC403C0">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bidi="zh-CN"/>
                    </w:rPr>
                    <w:t>0.067</w:t>
                  </w:r>
                </w:p>
              </w:tc>
              <w:tc>
                <w:tcPr>
                  <w:tcW w:w="339" w:type="pct"/>
                  <w:tcBorders>
                    <w:tl2br w:val="nil"/>
                    <w:tr2bl w:val="nil"/>
                  </w:tcBorders>
                  <w:shd w:val="clear" w:color="auto" w:fill="auto"/>
                  <w:tcMar>
                    <w:left w:w="57" w:type="dxa"/>
                    <w:right w:w="57" w:type="dxa"/>
                  </w:tcMar>
                  <w:vAlign w:val="center"/>
                </w:tcPr>
                <w:p w14:paraId="22249493">
                  <w:pPr>
                    <w:snapToGrid w:val="0"/>
                    <w:spacing w:line="240" w:lineRule="auto"/>
                    <w:ind w:left="0" w:leftChars="0" w:right="0" w:rightChars="0" w:firstLine="0" w:firstLineChars="0"/>
                    <w:jc w:val="center"/>
                    <w:rPr>
                      <w:rFonts w:cs="Times New Roman"/>
                      <w:color w:val="auto"/>
                      <w:kern w:val="2"/>
                      <w:szCs w:val="21"/>
                      <w:lang w:eastAsia="zh-CN"/>
                    </w:rPr>
                  </w:pPr>
                  <w:r>
                    <w:rPr>
                      <w:rFonts w:eastAsia="宋体" w:cs="Times New Roman"/>
                      <w:color w:val="auto"/>
                      <w:kern w:val="2"/>
                      <w:szCs w:val="21"/>
                      <w:lang w:eastAsia="zh-CN"/>
                    </w:rPr>
                    <w:t>14</w:t>
                  </w:r>
                </w:p>
              </w:tc>
              <w:tc>
                <w:tcPr>
                  <w:tcW w:w="755" w:type="pct"/>
                  <w:vMerge w:val="continue"/>
                  <w:tcBorders>
                    <w:tl2br w:val="nil"/>
                    <w:tr2bl w:val="nil"/>
                  </w:tcBorders>
                  <w:shd w:val="clear" w:color="auto" w:fill="auto"/>
                  <w:tcMar>
                    <w:left w:w="57" w:type="dxa"/>
                    <w:right w:w="57" w:type="dxa"/>
                  </w:tcMar>
                  <w:vAlign w:val="center"/>
                </w:tcPr>
                <w:p w14:paraId="66BEA5C2">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218" w:type="pct"/>
                  <w:tcBorders>
                    <w:tl2br w:val="nil"/>
                    <w:tr2bl w:val="nil"/>
                  </w:tcBorders>
                  <w:shd w:val="clear" w:color="auto" w:fill="auto"/>
                  <w:tcMar>
                    <w:left w:w="57" w:type="dxa"/>
                    <w:right w:w="57" w:type="dxa"/>
                  </w:tcMar>
                  <w:vAlign w:val="center"/>
                </w:tcPr>
                <w:p w14:paraId="2FC4D672">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w:t>
                  </w:r>
                </w:p>
              </w:tc>
              <w:tc>
                <w:tcPr>
                  <w:tcW w:w="237" w:type="pct"/>
                  <w:tcBorders>
                    <w:tl2br w:val="nil"/>
                    <w:tr2bl w:val="nil"/>
                  </w:tcBorders>
                  <w:shd w:val="clear" w:color="auto" w:fill="auto"/>
                  <w:tcMar>
                    <w:left w:w="57" w:type="dxa"/>
                    <w:right w:w="57" w:type="dxa"/>
                  </w:tcMar>
                  <w:vAlign w:val="center"/>
                </w:tcPr>
                <w:p w14:paraId="51C1B244">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w:t>
                  </w:r>
                </w:p>
              </w:tc>
              <w:tc>
                <w:tcPr>
                  <w:tcW w:w="625" w:type="pct"/>
                  <w:gridSpan w:val="2"/>
                  <w:tcBorders>
                    <w:tl2br w:val="nil"/>
                    <w:tr2bl w:val="nil"/>
                  </w:tcBorders>
                  <w:tcMar>
                    <w:left w:w="57" w:type="dxa"/>
                    <w:right w:w="57" w:type="dxa"/>
                  </w:tcMar>
                  <w:vAlign w:val="center"/>
                </w:tcPr>
                <w:p w14:paraId="1428C171">
                  <w:pPr>
                    <w:adjustRightInd w:val="0"/>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kern w:val="2"/>
                      <w:szCs w:val="21"/>
                      <w:lang w:eastAsia="zh-CN"/>
                    </w:rPr>
                    <w:t>300</w:t>
                  </w:r>
                  <w:r>
                    <w:rPr>
                      <w:rFonts w:eastAsia="宋体" w:cs="Times New Roman"/>
                      <w:color w:val="auto"/>
                      <w:szCs w:val="21"/>
                    </w:rPr>
                    <w:t>mg/m</w:t>
                  </w:r>
                  <w:r>
                    <w:rPr>
                      <w:rFonts w:eastAsia="宋体" w:cs="Times New Roman"/>
                      <w:color w:val="auto"/>
                      <w:szCs w:val="21"/>
                      <w:vertAlign w:val="superscript"/>
                    </w:rPr>
                    <w:t>3</w:t>
                  </w:r>
                </w:p>
              </w:tc>
              <w:tc>
                <w:tcPr>
                  <w:tcW w:w="237" w:type="pct"/>
                  <w:vMerge w:val="continue"/>
                  <w:tcBorders>
                    <w:tl2br w:val="nil"/>
                    <w:tr2bl w:val="nil"/>
                  </w:tcBorders>
                  <w:tcMar>
                    <w:left w:w="57" w:type="dxa"/>
                    <w:right w:w="57" w:type="dxa"/>
                  </w:tcMar>
                  <w:vAlign w:val="center"/>
                </w:tcPr>
                <w:p w14:paraId="4A1CF8D6">
                  <w:pPr>
                    <w:snapToGrid w:val="0"/>
                    <w:spacing w:line="240" w:lineRule="auto"/>
                    <w:ind w:left="0" w:leftChars="0" w:right="0" w:rightChars="0" w:firstLine="0" w:firstLineChars="0"/>
                    <w:jc w:val="center"/>
                    <w:rPr>
                      <w:rFonts w:cs="Times New Roman"/>
                      <w:color w:val="auto"/>
                      <w:szCs w:val="21"/>
                      <w:lang w:eastAsia="zh-CN"/>
                    </w:rPr>
                  </w:pPr>
                </w:p>
              </w:tc>
            </w:tr>
            <w:tr w14:paraId="15E855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restart"/>
                  <w:tcBorders>
                    <w:tl2br w:val="nil"/>
                    <w:tr2bl w:val="nil"/>
                  </w:tcBorders>
                  <w:shd w:val="clear" w:color="auto" w:fill="auto"/>
                  <w:tcMar>
                    <w:left w:w="57" w:type="dxa"/>
                    <w:right w:w="57" w:type="dxa"/>
                  </w:tcMar>
                  <w:vAlign w:val="center"/>
                </w:tcPr>
                <w:p w14:paraId="47B3CD29">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题字</w:t>
                  </w:r>
                </w:p>
              </w:tc>
              <w:tc>
                <w:tcPr>
                  <w:tcW w:w="544" w:type="pct"/>
                  <w:vMerge w:val="restart"/>
                  <w:tcBorders>
                    <w:tl2br w:val="nil"/>
                    <w:tr2bl w:val="nil"/>
                  </w:tcBorders>
                  <w:shd w:val="clear" w:color="auto" w:fill="auto"/>
                  <w:tcMar>
                    <w:left w:w="57" w:type="dxa"/>
                    <w:right w:w="57" w:type="dxa"/>
                  </w:tcMar>
                  <w:vAlign w:val="center"/>
                </w:tcPr>
                <w:p w14:paraId="73909E0B">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非甲烷总烃</w:t>
                  </w:r>
                </w:p>
              </w:tc>
              <w:tc>
                <w:tcPr>
                  <w:tcW w:w="355" w:type="pct"/>
                  <w:vMerge w:val="restart"/>
                  <w:tcBorders>
                    <w:tl2br w:val="nil"/>
                    <w:tr2bl w:val="nil"/>
                  </w:tcBorders>
                  <w:shd w:val="clear" w:color="auto" w:fill="auto"/>
                  <w:tcMar>
                    <w:left w:w="57" w:type="dxa"/>
                    <w:right w:w="57" w:type="dxa"/>
                  </w:tcMar>
                  <w:vAlign w:val="center"/>
                </w:tcPr>
                <w:p w14:paraId="686BF7AF">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 xml:space="preserve">0.037 </w:t>
                  </w:r>
                </w:p>
              </w:tc>
              <w:tc>
                <w:tcPr>
                  <w:tcW w:w="318" w:type="pct"/>
                  <w:tcBorders>
                    <w:tl2br w:val="nil"/>
                    <w:tr2bl w:val="nil"/>
                  </w:tcBorders>
                  <w:shd w:val="clear" w:color="auto" w:fill="auto"/>
                  <w:tcMar>
                    <w:left w:w="57" w:type="dxa"/>
                    <w:right w:w="57" w:type="dxa"/>
                  </w:tcMar>
                  <w:vAlign w:val="center"/>
                </w:tcPr>
                <w:p w14:paraId="30C52405">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hint="eastAsia" w:eastAsia="宋体" w:cs="Times New Roman"/>
                      <w:color w:val="auto"/>
                      <w:kern w:val="2"/>
                      <w:szCs w:val="21"/>
                      <w:lang w:eastAsia="zh-CN"/>
                    </w:rPr>
                    <w:t>5.2</w:t>
                  </w:r>
                </w:p>
              </w:tc>
              <w:tc>
                <w:tcPr>
                  <w:tcW w:w="398" w:type="pct"/>
                  <w:tcBorders>
                    <w:tl2br w:val="nil"/>
                    <w:tr2bl w:val="nil"/>
                  </w:tcBorders>
                  <w:shd w:val="clear" w:color="auto" w:fill="auto"/>
                  <w:tcMar>
                    <w:left w:w="57" w:type="dxa"/>
                    <w:right w:w="57" w:type="dxa"/>
                  </w:tcMar>
                  <w:vAlign w:val="center"/>
                </w:tcPr>
                <w:p w14:paraId="24A3BE5D">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有组织</w:t>
                  </w:r>
                </w:p>
              </w:tc>
              <w:tc>
                <w:tcPr>
                  <w:tcW w:w="411" w:type="pct"/>
                  <w:tcBorders>
                    <w:tl2br w:val="nil"/>
                    <w:tr2bl w:val="nil"/>
                  </w:tcBorders>
                  <w:shd w:val="clear" w:color="auto" w:fill="auto"/>
                  <w:tcMar>
                    <w:left w:w="57" w:type="dxa"/>
                    <w:right w:w="57" w:type="dxa"/>
                  </w:tcMar>
                  <w:vAlign w:val="center"/>
                </w:tcPr>
                <w:p w14:paraId="097A7637">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 xml:space="preserve">0.0024 </w:t>
                  </w:r>
                </w:p>
              </w:tc>
              <w:tc>
                <w:tcPr>
                  <w:tcW w:w="266" w:type="pct"/>
                  <w:tcBorders>
                    <w:tl2br w:val="nil"/>
                    <w:tr2bl w:val="nil"/>
                  </w:tcBorders>
                  <w:shd w:val="clear" w:color="auto" w:fill="auto"/>
                  <w:tcMar>
                    <w:left w:w="57" w:type="dxa"/>
                    <w:right w:w="57" w:type="dxa"/>
                  </w:tcMar>
                  <w:vAlign w:val="center"/>
                </w:tcPr>
                <w:p w14:paraId="43CAEF1B">
                  <w:pPr>
                    <w:widowControl/>
                    <w:spacing w:line="240" w:lineRule="auto"/>
                    <w:ind w:left="0" w:leftChars="0" w:right="0" w:rightChars="0" w:firstLine="0" w:firstLineChars="0"/>
                    <w:jc w:val="center"/>
                    <w:textAlignment w:val="center"/>
                    <w:rPr>
                      <w:rFonts w:eastAsia="宋体" w:cs="Times New Roman"/>
                      <w:color w:val="auto"/>
                      <w:kern w:val="2"/>
                      <w:szCs w:val="21"/>
                      <w:lang w:eastAsia="zh-CN"/>
                    </w:rPr>
                  </w:pPr>
                  <w:r>
                    <w:rPr>
                      <w:rFonts w:eastAsia="宋体" w:cs="Times New Roman"/>
                      <w:color w:val="auto"/>
                      <w:szCs w:val="21"/>
                      <w:lang w:eastAsia="zh-CN" w:bidi="ar"/>
                    </w:rPr>
                    <w:t>0.002</w:t>
                  </w:r>
                </w:p>
              </w:tc>
              <w:tc>
                <w:tcPr>
                  <w:tcW w:w="339" w:type="pct"/>
                  <w:tcBorders>
                    <w:tl2br w:val="nil"/>
                    <w:tr2bl w:val="nil"/>
                  </w:tcBorders>
                  <w:shd w:val="clear" w:color="auto" w:fill="auto"/>
                  <w:tcMar>
                    <w:left w:w="57" w:type="dxa"/>
                    <w:right w:w="57" w:type="dxa"/>
                  </w:tcMar>
                  <w:vAlign w:val="center"/>
                </w:tcPr>
                <w:p w14:paraId="1091477A">
                  <w:pPr>
                    <w:widowControl/>
                    <w:spacing w:line="240" w:lineRule="auto"/>
                    <w:ind w:left="0" w:leftChars="0" w:right="0" w:rightChars="0" w:firstLine="0" w:firstLineChars="0"/>
                    <w:jc w:val="center"/>
                    <w:textAlignment w:val="center"/>
                    <w:rPr>
                      <w:rFonts w:cs="Times New Roman"/>
                      <w:color w:val="auto"/>
                      <w:kern w:val="2"/>
                      <w:szCs w:val="21"/>
                      <w:lang w:eastAsia="zh-CN"/>
                    </w:rPr>
                  </w:pPr>
                  <w:r>
                    <w:rPr>
                      <w:rFonts w:eastAsia="宋体" w:cs="Times New Roman"/>
                      <w:color w:val="auto"/>
                      <w:szCs w:val="21"/>
                      <w:lang w:eastAsia="zh-CN" w:bidi="ar"/>
                    </w:rPr>
                    <w:t xml:space="preserve">0.392 </w:t>
                  </w:r>
                </w:p>
              </w:tc>
              <w:tc>
                <w:tcPr>
                  <w:tcW w:w="755" w:type="pct"/>
                  <w:vMerge w:val="restart"/>
                  <w:tcBorders>
                    <w:tl2br w:val="nil"/>
                    <w:tr2bl w:val="nil"/>
                  </w:tcBorders>
                  <w:shd w:val="clear" w:color="auto" w:fill="auto"/>
                  <w:tcMar>
                    <w:left w:w="57" w:type="dxa"/>
                    <w:right w:w="57" w:type="dxa"/>
                  </w:tcMar>
                  <w:vAlign w:val="center"/>
                </w:tcPr>
                <w:p w14:paraId="21C2A3E3">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二级活性炭吸附</w:t>
                  </w:r>
                </w:p>
              </w:tc>
              <w:tc>
                <w:tcPr>
                  <w:tcW w:w="218" w:type="pct"/>
                  <w:tcBorders>
                    <w:tl2br w:val="nil"/>
                    <w:tr2bl w:val="nil"/>
                  </w:tcBorders>
                  <w:shd w:val="clear" w:color="auto" w:fill="auto"/>
                  <w:tcMar>
                    <w:left w:w="57" w:type="dxa"/>
                    <w:right w:w="57" w:type="dxa"/>
                  </w:tcMar>
                  <w:vAlign w:val="center"/>
                </w:tcPr>
                <w:p w14:paraId="1D86F6AB">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80</w:t>
                  </w:r>
                </w:p>
              </w:tc>
              <w:tc>
                <w:tcPr>
                  <w:tcW w:w="237" w:type="pct"/>
                  <w:tcBorders>
                    <w:tl2br w:val="nil"/>
                    <w:tr2bl w:val="nil"/>
                  </w:tcBorders>
                  <w:shd w:val="clear" w:color="auto" w:fill="auto"/>
                  <w:tcMar>
                    <w:left w:w="57" w:type="dxa"/>
                    <w:right w:w="57" w:type="dxa"/>
                  </w:tcMar>
                  <w:vAlign w:val="center"/>
                </w:tcPr>
                <w:p w14:paraId="01C45BD0">
                  <w:pPr>
                    <w:snapToGrid w:val="0"/>
                    <w:spacing w:line="240" w:lineRule="auto"/>
                    <w:ind w:left="0" w:leftChars="0" w:right="0" w:rightChars="0" w:firstLine="0" w:firstLineChars="0"/>
                    <w:jc w:val="center"/>
                    <w:rPr>
                      <w:rFonts w:hint="default" w:eastAsia="宋体" w:cs="Times New Roman"/>
                      <w:color w:val="auto"/>
                      <w:kern w:val="2"/>
                      <w:szCs w:val="21"/>
                      <w:lang w:val="en-US" w:eastAsia="zh-CN"/>
                    </w:rPr>
                  </w:pPr>
                  <w:r>
                    <w:rPr>
                      <w:rFonts w:hint="eastAsia" w:eastAsia="宋体" w:cs="Times New Roman"/>
                      <w:color w:val="auto"/>
                      <w:kern w:val="2"/>
                      <w:szCs w:val="21"/>
                      <w:lang w:eastAsia="zh-CN"/>
                    </w:rPr>
                    <w:t>85</w:t>
                  </w:r>
                </w:p>
              </w:tc>
              <w:tc>
                <w:tcPr>
                  <w:tcW w:w="625" w:type="pct"/>
                  <w:gridSpan w:val="2"/>
                  <w:tcBorders>
                    <w:tl2br w:val="nil"/>
                    <w:tr2bl w:val="nil"/>
                  </w:tcBorders>
                  <w:tcMar>
                    <w:left w:w="57" w:type="dxa"/>
                    <w:right w:w="57" w:type="dxa"/>
                  </w:tcMar>
                  <w:vAlign w:val="center"/>
                </w:tcPr>
                <w:p w14:paraId="651D5CFA">
                  <w:pPr>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kern w:val="2"/>
                      <w:szCs w:val="21"/>
                      <w:lang w:eastAsia="zh-CN"/>
                    </w:rPr>
                    <w:t>50</w:t>
                  </w:r>
                  <w:r>
                    <w:rPr>
                      <w:rFonts w:eastAsia="宋体" w:cs="Times New Roman"/>
                      <w:color w:val="auto"/>
                      <w:szCs w:val="21"/>
                    </w:rPr>
                    <w:t>mg/m</w:t>
                  </w:r>
                  <w:r>
                    <w:rPr>
                      <w:rFonts w:eastAsia="宋体" w:cs="Times New Roman"/>
                      <w:color w:val="auto"/>
                      <w:szCs w:val="21"/>
                      <w:vertAlign w:val="superscript"/>
                    </w:rPr>
                    <w:t>3</w:t>
                  </w:r>
                </w:p>
              </w:tc>
              <w:tc>
                <w:tcPr>
                  <w:tcW w:w="237" w:type="pct"/>
                  <w:vMerge w:val="restart"/>
                  <w:tcBorders>
                    <w:tl2br w:val="nil"/>
                    <w:tr2bl w:val="nil"/>
                  </w:tcBorders>
                  <w:tcMar>
                    <w:left w:w="57" w:type="dxa"/>
                    <w:right w:w="57" w:type="dxa"/>
                  </w:tcMar>
                  <w:vAlign w:val="center"/>
                </w:tcPr>
                <w:p w14:paraId="258D61DD">
                  <w:pPr>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达标</w:t>
                  </w:r>
                </w:p>
              </w:tc>
            </w:tr>
            <w:tr w14:paraId="2F1120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vMerge w:val="continue"/>
                  <w:tcBorders>
                    <w:tl2br w:val="nil"/>
                    <w:tr2bl w:val="nil"/>
                  </w:tcBorders>
                  <w:shd w:val="clear" w:color="auto" w:fill="auto"/>
                  <w:tcMar>
                    <w:left w:w="57" w:type="dxa"/>
                    <w:right w:w="57" w:type="dxa"/>
                  </w:tcMar>
                  <w:vAlign w:val="center"/>
                </w:tcPr>
                <w:p w14:paraId="55FEBF68">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544" w:type="pct"/>
                  <w:vMerge w:val="continue"/>
                  <w:tcBorders>
                    <w:tl2br w:val="nil"/>
                    <w:tr2bl w:val="nil"/>
                  </w:tcBorders>
                  <w:shd w:val="clear" w:color="auto" w:fill="auto"/>
                  <w:tcMar>
                    <w:left w:w="57" w:type="dxa"/>
                    <w:right w:w="57" w:type="dxa"/>
                  </w:tcMar>
                  <w:vAlign w:val="center"/>
                </w:tcPr>
                <w:p w14:paraId="08137F2E">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355" w:type="pct"/>
                  <w:vMerge w:val="continue"/>
                  <w:tcBorders>
                    <w:tl2br w:val="nil"/>
                    <w:tr2bl w:val="nil"/>
                  </w:tcBorders>
                  <w:shd w:val="clear" w:color="auto" w:fill="auto"/>
                  <w:tcMar>
                    <w:left w:w="57" w:type="dxa"/>
                    <w:right w:w="57" w:type="dxa"/>
                  </w:tcMar>
                  <w:vAlign w:val="center"/>
                </w:tcPr>
                <w:p w14:paraId="58683609">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p>
              </w:tc>
              <w:tc>
                <w:tcPr>
                  <w:tcW w:w="318" w:type="pct"/>
                  <w:tcBorders>
                    <w:tl2br w:val="nil"/>
                    <w:tr2bl w:val="nil"/>
                  </w:tcBorders>
                  <w:shd w:val="clear" w:color="auto" w:fill="auto"/>
                  <w:tcMar>
                    <w:left w:w="57" w:type="dxa"/>
                    <w:right w:w="57" w:type="dxa"/>
                  </w:tcMar>
                  <w:vAlign w:val="center"/>
                </w:tcPr>
                <w:p w14:paraId="3CDE351D">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w:t>
                  </w:r>
                </w:p>
              </w:tc>
              <w:tc>
                <w:tcPr>
                  <w:tcW w:w="398" w:type="pct"/>
                  <w:tcBorders>
                    <w:tl2br w:val="nil"/>
                    <w:tr2bl w:val="nil"/>
                  </w:tcBorders>
                  <w:shd w:val="clear" w:color="auto" w:fill="auto"/>
                  <w:tcMar>
                    <w:left w:w="57" w:type="dxa"/>
                    <w:right w:w="57" w:type="dxa"/>
                  </w:tcMar>
                  <w:vAlign w:val="center"/>
                </w:tcPr>
                <w:p w14:paraId="4AA09026">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无组织</w:t>
                  </w:r>
                </w:p>
              </w:tc>
              <w:tc>
                <w:tcPr>
                  <w:tcW w:w="411" w:type="pct"/>
                  <w:tcBorders>
                    <w:tl2br w:val="nil"/>
                    <w:tr2bl w:val="nil"/>
                  </w:tcBorders>
                  <w:shd w:val="clear" w:color="auto" w:fill="auto"/>
                  <w:tcMar>
                    <w:left w:w="57" w:type="dxa"/>
                    <w:right w:w="57" w:type="dxa"/>
                  </w:tcMar>
                  <w:vAlign w:val="center"/>
                </w:tcPr>
                <w:p w14:paraId="6B313B94">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0.0055</w:t>
                  </w:r>
                </w:p>
              </w:tc>
              <w:tc>
                <w:tcPr>
                  <w:tcW w:w="266" w:type="pct"/>
                  <w:tcBorders>
                    <w:tl2br w:val="nil"/>
                    <w:tr2bl w:val="nil"/>
                  </w:tcBorders>
                  <w:shd w:val="clear" w:color="auto" w:fill="auto"/>
                  <w:tcMar>
                    <w:left w:w="57" w:type="dxa"/>
                    <w:right w:w="57" w:type="dxa"/>
                  </w:tcMar>
                  <w:vAlign w:val="center"/>
                </w:tcPr>
                <w:p w14:paraId="4CBCCFC5">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0.0046</w:t>
                  </w:r>
                </w:p>
              </w:tc>
              <w:tc>
                <w:tcPr>
                  <w:tcW w:w="339" w:type="pct"/>
                  <w:tcBorders>
                    <w:tl2br w:val="nil"/>
                    <w:tr2bl w:val="nil"/>
                  </w:tcBorders>
                  <w:shd w:val="clear" w:color="auto" w:fill="auto"/>
                  <w:tcMar>
                    <w:left w:w="57" w:type="dxa"/>
                    <w:right w:w="57" w:type="dxa"/>
                  </w:tcMar>
                  <w:vAlign w:val="center"/>
                </w:tcPr>
                <w:p w14:paraId="2C541C8E">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w:t>
                  </w:r>
                </w:p>
              </w:tc>
              <w:tc>
                <w:tcPr>
                  <w:tcW w:w="755" w:type="pct"/>
                  <w:vMerge w:val="continue"/>
                  <w:tcBorders>
                    <w:tl2br w:val="nil"/>
                    <w:tr2bl w:val="nil"/>
                  </w:tcBorders>
                  <w:shd w:val="clear" w:color="auto" w:fill="auto"/>
                  <w:tcMar>
                    <w:left w:w="57" w:type="dxa"/>
                    <w:right w:w="57" w:type="dxa"/>
                  </w:tcMar>
                  <w:vAlign w:val="center"/>
                </w:tcPr>
                <w:p w14:paraId="6489D32C">
                  <w:pPr>
                    <w:snapToGrid w:val="0"/>
                    <w:spacing w:line="240" w:lineRule="auto"/>
                    <w:ind w:left="0" w:leftChars="0" w:right="0" w:rightChars="0" w:firstLine="0" w:firstLineChars="0"/>
                    <w:jc w:val="center"/>
                    <w:rPr>
                      <w:rFonts w:eastAsia="宋体" w:cs="Times New Roman"/>
                      <w:color w:val="auto"/>
                      <w:kern w:val="2"/>
                      <w:szCs w:val="21"/>
                      <w:lang w:eastAsia="zh-CN"/>
                    </w:rPr>
                  </w:pPr>
                </w:p>
              </w:tc>
              <w:tc>
                <w:tcPr>
                  <w:tcW w:w="218" w:type="pct"/>
                  <w:tcBorders>
                    <w:tl2br w:val="nil"/>
                    <w:tr2bl w:val="nil"/>
                  </w:tcBorders>
                  <w:shd w:val="clear" w:color="auto" w:fill="auto"/>
                  <w:tcMar>
                    <w:left w:w="57" w:type="dxa"/>
                    <w:right w:w="57" w:type="dxa"/>
                  </w:tcMar>
                  <w:vAlign w:val="center"/>
                </w:tcPr>
                <w:p w14:paraId="180C82FD">
                  <w:pPr>
                    <w:snapToGrid w:val="0"/>
                    <w:spacing w:line="240" w:lineRule="auto"/>
                    <w:ind w:left="0" w:leftChars="0" w:right="0" w:rightChars="0" w:firstLine="0" w:firstLineChars="0"/>
                    <w:jc w:val="center"/>
                    <w:rPr>
                      <w:rFonts w:hint="default" w:eastAsia="宋体" w:cs="Times New Roman"/>
                      <w:color w:val="auto"/>
                      <w:kern w:val="2"/>
                      <w:szCs w:val="21"/>
                      <w:lang w:val="en-US" w:eastAsia="zh-CN"/>
                    </w:rPr>
                  </w:pPr>
                  <w:r>
                    <w:rPr>
                      <w:rFonts w:hint="eastAsia" w:eastAsia="宋体" w:cs="Times New Roman"/>
                      <w:color w:val="auto"/>
                      <w:kern w:val="2"/>
                      <w:szCs w:val="21"/>
                      <w:lang w:val="en-US" w:eastAsia="zh-CN"/>
                    </w:rPr>
                    <w:t>/</w:t>
                  </w:r>
                </w:p>
              </w:tc>
              <w:tc>
                <w:tcPr>
                  <w:tcW w:w="237" w:type="pct"/>
                  <w:tcBorders>
                    <w:tl2br w:val="nil"/>
                    <w:tr2bl w:val="nil"/>
                  </w:tcBorders>
                  <w:shd w:val="clear" w:color="auto" w:fill="auto"/>
                  <w:tcMar>
                    <w:left w:w="57" w:type="dxa"/>
                    <w:right w:w="57" w:type="dxa"/>
                  </w:tcMar>
                  <w:vAlign w:val="center"/>
                </w:tcPr>
                <w:p w14:paraId="27F4217D">
                  <w:pPr>
                    <w:snapToGrid w:val="0"/>
                    <w:spacing w:line="240" w:lineRule="auto"/>
                    <w:ind w:left="0" w:leftChars="0" w:right="0" w:rightChars="0" w:firstLine="0" w:firstLineChars="0"/>
                    <w:jc w:val="center"/>
                    <w:rPr>
                      <w:rFonts w:hint="default" w:eastAsia="宋体" w:cs="Times New Roman"/>
                      <w:color w:val="auto"/>
                      <w:kern w:val="2"/>
                      <w:szCs w:val="21"/>
                      <w:lang w:val="en-US" w:eastAsia="zh-CN"/>
                    </w:rPr>
                  </w:pPr>
                  <w:r>
                    <w:rPr>
                      <w:rFonts w:hint="eastAsia" w:eastAsia="宋体" w:cs="Times New Roman"/>
                      <w:color w:val="auto"/>
                      <w:kern w:val="2"/>
                      <w:szCs w:val="21"/>
                      <w:lang w:val="en-US" w:eastAsia="zh-CN"/>
                    </w:rPr>
                    <w:t>/</w:t>
                  </w:r>
                </w:p>
              </w:tc>
              <w:tc>
                <w:tcPr>
                  <w:tcW w:w="625" w:type="pct"/>
                  <w:gridSpan w:val="2"/>
                  <w:tcBorders>
                    <w:tl2br w:val="nil"/>
                    <w:tr2bl w:val="nil"/>
                  </w:tcBorders>
                  <w:tcMar>
                    <w:left w:w="57" w:type="dxa"/>
                    <w:right w:w="57" w:type="dxa"/>
                  </w:tcMar>
                  <w:vAlign w:val="center"/>
                </w:tcPr>
                <w:p w14:paraId="4CDEFD13">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3</w:t>
                  </w:r>
                  <w:r>
                    <w:rPr>
                      <w:rFonts w:eastAsia="宋体" w:cs="Times New Roman"/>
                      <w:color w:val="auto"/>
                      <w:szCs w:val="21"/>
                    </w:rPr>
                    <w:t>mg/m</w:t>
                  </w:r>
                  <w:r>
                    <w:rPr>
                      <w:rFonts w:eastAsia="宋体" w:cs="Times New Roman"/>
                      <w:color w:val="auto"/>
                      <w:szCs w:val="21"/>
                      <w:vertAlign w:val="superscript"/>
                    </w:rPr>
                    <w:t>3</w:t>
                  </w:r>
                </w:p>
              </w:tc>
              <w:tc>
                <w:tcPr>
                  <w:tcW w:w="237" w:type="pct"/>
                  <w:vMerge w:val="continue"/>
                  <w:tcBorders>
                    <w:tl2br w:val="nil"/>
                    <w:tr2bl w:val="nil"/>
                  </w:tcBorders>
                  <w:tcMar>
                    <w:left w:w="57" w:type="dxa"/>
                    <w:right w:w="57" w:type="dxa"/>
                  </w:tcMar>
                  <w:vAlign w:val="center"/>
                </w:tcPr>
                <w:p w14:paraId="4181FD98">
                  <w:pPr>
                    <w:snapToGrid w:val="0"/>
                    <w:spacing w:line="240" w:lineRule="auto"/>
                    <w:ind w:left="0" w:leftChars="0" w:right="0" w:rightChars="0" w:firstLine="0" w:firstLineChars="0"/>
                    <w:jc w:val="center"/>
                    <w:rPr>
                      <w:rFonts w:cs="Times New Roman"/>
                      <w:color w:val="auto"/>
                      <w:szCs w:val="21"/>
                      <w:lang w:eastAsia="zh-CN"/>
                    </w:rPr>
                  </w:pPr>
                </w:p>
              </w:tc>
            </w:tr>
            <w:tr w14:paraId="42B62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2" w:type="pct"/>
                  <w:tcBorders>
                    <w:tl2br w:val="nil"/>
                    <w:tr2bl w:val="nil"/>
                  </w:tcBorders>
                  <w:shd w:val="clear" w:color="auto" w:fill="auto"/>
                  <w:tcMar>
                    <w:left w:w="57" w:type="dxa"/>
                    <w:right w:w="57" w:type="dxa"/>
                  </w:tcMar>
                  <w:vAlign w:val="center"/>
                </w:tcPr>
                <w:p w14:paraId="2E5E8F7F">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食堂</w:t>
                  </w:r>
                </w:p>
              </w:tc>
              <w:tc>
                <w:tcPr>
                  <w:tcW w:w="544" w:type="pct"/>
                  <w:tcBorders>
                    <w:tl2br w:val="nil"/>
                    <w:tr2bl w:val="nil"/>
                  </w:tcBorders>
                  <w:shd w:val="clear" w:color="auto" w:fill="auto"/>
                  <w:tcMar>
                    <w:left w:w="57" w:type="dxa"/>
                    <w:right w:w="57" w:type="dxa"/>
                  </w:tcMar>
                  <w:vAlign w:val="center"/>
                </w:tcPr>
                <w:p w14:paraId="3C6A8850">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油烟</w:t>
                  </w:r>
                </w:p>
              </w:tc>
              <w:tc>
                <w:tcPr>
                  <w:tcW w:w="355" w:type="pct"/>
                  <w:tcBorders>
                    <w:tl2br w:val="nil"/>
                    <w:tr2bl w:val="nil"/>
                  </w:tcBorders>
                  <w:shd w:val="clear" w:color="auto" w:fill="auto"/>
                  <w:tcMar>
                    <w:left w:w="57" w:type="dxa"/>
                    <w:right w:w="57" w:type="dxa"/>
                  </w:tcMar>
                  <w:vAlign w:val="center"/>
                </w:tcPr>
                <w:p w14:paraId="0CFC253B">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cs="Times New Roman"/>
                      <w:color w:val="auto"/>
                      <w:szCs w:val="21"/>
                      <w:lang w:eastAsia="zh-CN"/>
                    </w:rPr>
                    <w:t>3.9</w:t>
                  </w:r>
                  <w:r>
                    <w:rPr>
                      <w:rFonts w:eastAsia="宋体" w:cs="Times New Roman"/>
                      <w:color w:val="auto"/>
                      <w:kern w:val="2"/>
                      <w:szCs w:val="21"/>
                      <w:lang w:eastAsia="zh-CN" w:bidi="zh-CN"/>
                    </w:rPr>
                    <w:t>×10</w:t>
                  </w:r>
                  <w:r>
                    <w:rPr>
                      <w:rFonts w:eastAsia="宋体" w:cs="Times New Roman"/>
                      <w:color w:val="auto"/>
                      <w:kern w:val="2"/>
                      <w:szCs w:val="21"/>
                      <w:vertAlign w:val="superscript"/>
                      <w:lang w:eastAsia="zh-CN" w:bidi="zh-CN"/>
                    </w:rPr>
                    <w:t>-3</w:t>
                  </w:r>
                </w:p>
              </w:tc>
              <w:tc>
                <w:tcPr>
                  <w:tcW w:w="318" w:type="pct"/>
                  <w:tcBorders>
                    <w:tl2br w:val="nil"/>
                    <w:tr2bl w:val="nil"/>
                  </w:tcBorders>
                  <w:shd w:val="clear" w:color="auto" w:fill="auto"/>
                  <w:tcMar>
                    <w:left w:w="57" w:type="dxa"/>
                    <w:right w:w="57" w:type="dxa"/>
                  </w:tcMar>
                  <w:vAlign w:val="center"/>
                </w:tcPr>
                <w:p w14:paraId="6879C428">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2.17</w:t>
                  </w:r>
                </w:p>
              </w:tc>
              <w:tc>
                <w:tcPr>
                  <w:tcW w:w="398" w:type="pct"/>
                  <w:tcBorders>
                    <w:tl2br w:val="nil"/>
                    <w:tr2bl w:val="nil"/>
                  </w:tcBorders>
                  <w:shd w:val="clear" w:color="auto" w:fill="auto"/>
                  <w:tcMar>
                    <w:left w:w="57" w:type="dxa"/>
                    <w:right w:w="57" w:type="dxa"/>
                  </w:tcMar>
                  <w:vAlign w:val="center"/>
                </w:tcPr>
                <w:p w14:paraId="49458F83">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有组织</w:t>
                  </w:r>
                </w:p>
              </w:tc>
              <w:tc>
                <w:tcPr>
                  <w:tcW w:w="411" w:type="pct"/>
                  <w:tcBorders>
                    <w:tl2br w:val="nil"/>
                    <w:tr2bl w:val="nil"/>
                  </w:tcBorders>
                  <w:shd w:val="clear" w:color="auto" w:fill="auto"/>
                  <w:tcMar>
                    <w:left w:w="57" w:type="dxa"/>
                    <w:right w:w="57" w:type="dxa"/>
                  </w:tcMar>
                  <w:vAlign w:val="center"/>
                </w:tcPr>
                <w:p w14:paraId="25D43596">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cs="Times New Roman"/>
                      <w:color w:val="auto"/>
                      <w:szCs w:val="21"/>
                      <w:lang w:eastAsia="zh-CN"/>
                    </w:rPr>
                    <w:t>1.56</w:t>
                  </w:r>
                  <w:r>
                    <w:rPr>
                      <w:rFonts w:eastAsia="宋体" w:cs="Times New Roman"/>
                      <w:color w:val="auto"/>
                      <w:kern w:val="2"/>
                      <w:szCs w:val="21"/>
                      <w:lang w:eastAsia="zh-CN" w:bidi="zh-CN"/>
                    </w:rPr>
                    <w:t>×10</w:t>
                  </w:r>
                  <w:r>
                    <w:rPr>
                      <w:rFonts w:eastAsia="宋体" w:cs="Times New Roman"/>
                      <w:color w:val="auto"/>
                      <w:kern w:val="2"/>
                      <w:szCs w:val="21"/>
                      <w:vertAlign w:val="superscript"/>
                      <w:lang w:eastAsia="zh-CN" w:bidi="zh-CN"/>
                    </w:rPr>
                    <w:t>-3</w:t>
                  </w:r>
                </w:p>
              </w:tc>
              <w:tc>
                <w:tcPr>
                  <w:tcW w:w="266" w:type="pct"/>
                  <w:tcBorders>
                    <w:tl2br w:val="nil"/>
                    <w:tr2bl w:val="nil"/>
                  </w:tcBorders>
                  <w:shd w:val="clear" w:color="auto" w:fill="auto"/>
                  <w:tcMar>
                    <w:left w:w="57" w:type="dxa"/>
                    <w:right w:w="57" w:type="dxa"/>
                  </w:tcMar>
                  <w:vAlign w:val="center"/>
                </w:tcPr>
                <w:p w14:paraId="3355B650">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1.73</w:t>
                  </w:r>
                  <w:r>
                    <w:rPr>
                      <w:rFonts w:eastAsia="宋体" w:cs="Times New Roman"/>
                      <w:color w:val="auto"/>
                      <w:kern w:val="2"/>
                      <w:szCs w:val="21"/>
                      <w:lang w:eastAsia="zh-CN" w:bidi="zh-CN"/>
                    </w:rPr>
                    <w:t>×10</w:t>
                  </w:r>
                  <w:r>
                    <w:rPr>
                      <w:rFonts w:eastAsia="宋体" w:cs="Times New Roman"/>
                      <w:color w:val="auto"/>
                      <w:kern w:val="2"/>
                      <w:szCs w:val="21"/>
                      <w:vertAlign w:val="superscript"/>
                      <w:lang w:eastAsia="zh-CN" w:bidi="zh-CN"/>
                    </w:rPr>
                    <w:t>-3</w:t>
                  </w:r>
                </w:p>
              </w:tc>
              <w:tc>
                <w:tcPr>
                  <w:tcW w:w="339" w:type="pct"/>
                  <w:tcBorders>
                    <w:tl2br w:val="nil"/>
                    <w:tr2bl w:val="nil"/>
                  </w:tcBorders>
                  <w:shd w:val="clear" w:color="auto" w:fill="auto"/>
                  <w:tcMar>
                    <w:left w:w="57" w:type="dxa"/>
                    <w:right w:w="57" w:type="dxa"/>
                  </w:tcMar>
                  <w:vAlign w:val="center"/>
                </w:tcPr>
                <w:p w14:paraId="138EB9B1">
                  <w:pPr>
                    <w:snapToGrid w:val="0"/>
                    <w:spacing w:line="240" w:lineRule="auto"/>
                    <w:ind w:left="0" w:leftChars="0" w:right="0" w:rightChars="0" w:firstLine="0" w:firstLineChars="0"/>
                    <w:jc w:val="center"/>
                    <w:rPr>
                      <w:rFonts w:cs="Times New Roman"/>
                      <w:color w:val="auto"/>
                      <w:kern w:val="2"/>
                      <w:szCs w:val="21"/>
                      <w:lang w:eastAsia="zh-CN"/>
                    </w:rPr>
                  </w:pPr>
                  <w:r>
                    <w:rPr>
                      <w:rFonts w:cs="Times New Roman"/>
                      <w:color w:val="auto"/>
                      <w:kern w:val="2"/>
                      <w:szCs w:val="21"/>
                      <w:lang w:eastAsia="zh-CN"/>
                    </w:rPr>
                    <w:t>0.868</w:t>
                  </w:r>
                </w:p>
              </w:tc>
              <w:tc>
                <w:tcPr>
                  <w:tcW w:w="755" w:type="pct"/>
                  <w:tcBorders>
                    <w:tl2br w:val="nil"/>
                    <w:tr2bl w:val="nil"/>
                  </w:tcBorders>
                  <w:shd w:val="clear" w:color="auto" w:fill="auto"/>
                  <w:tcMar>
                    <w:left w:w="57" w:type="dxa"/>
                    <w:right w:w="57" w:type="dxa"/>
                  </w:tcMar>
                  <w:vAlign w:val="center"/>
                </w:tcPr>
                <w:p w14:paraId="0AB118FD">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油烟净化器</w:t>
                  </w:r>
                </w:p>
              </w:tc>
              <w:tc>
                <w:tcPr>
                  <w:tcW w:w="218" w:type="pct"/>
                  <w:tcBorders>
                    <w:tl2br w:val="nil"/>
                    <w:tr2bl w:val="nil"/>
                  </w:tcBorders>
                  <w:shd w:val="clear" w:color="auto" w:fill="auto"/>
                  <w:tcMar>
                    <w:left w:w="57" w:type="dxa"/>
                    <w:right w:w="57" w:type="dxa"/>
                  </w:tcMar>
                  <w:vAlign w:val="center"/>
                </w:tcPr>
                <w:p w14:paraId="149801D3">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hint="eastAsia" w:eastAsia="宋体" w:cs="Times New Roman"/>
                      <w:color w:val="auto"/>
                      <w:kern w:val="2"/>
                      <w:szCs w:val="21"/>
                      <w:lang w:eastAsia="zh-CN"/>
                    </w:rPr>
                    <w:t>/</w:t>
                  </w:r>
                </w:p>
              </w:tc>
              <w:tc>
                <w:tcPr>
                  <w:tcW w:w="237" w:type="pct"/>
                  <w:tcBorders>
                    <w:tl2br w:val="nil"/>
                    <w:tr2bl w:val="nil"/>
                  </w:tcBorders>
                  <w:shd w:val="clear" w:color="auto" w:fill="auto"/>
                  <w:tcMar>
                    <w:left w:w="57" w:type="dxa"/>
                    <w:right w:w="57" w:type="dxa"/>
                  </w:tcMar>
                  <w:vAlign w:val="center"/>
                </w:tcPr>
                <w:p w14:paraId="7FA63873">
                  <w:pPr>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60</w:t>
                  </w:r>
                </w:p>
              </w:tc>
              <w:tc>
                <w:tcPr>
                  <w:tcW w:w="625" w:type="pct"/>
                  <w:gridSpan w:val="2"/>
                  <w:tcBorders>
                    <w:tl2br w:val="nil"/>
                    <w:tr2bl w:val="nil"/>
                  </w:tcBorders>
                  <w:tcMar>
                    <w:left w:w="57" w:type="dxa"/>
                    <w:right w:w="57" w:type="dxa"/>
                  </w:tcMar>
                  <w:vAlign w:val="center"/>
                </w:tcPr>
                <w:p w14:paraId="22F31E07">
                  <w:pPr>
                    <w:adjustRightInd w:val="0"/>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szCs w:val="21"/>
                    </w:rPr>
                    <w:t>2.0mg/m</w:t>
                  </w:r>
                  <w:r>
                    <w:rPr>
                      <w:rFonts w:eastAsia="宋体" w:cs="Times New Roman"/>
                      <w:color w:val="auto"/>
                      <w:szCs w:val="21"/>
                      <w:vertAlign w:val="superscript"/>
                    </w:rPr>
                    <w:t>3</w:t>
                  </w:r>
                </w:p>
              </w:tc>
              <w:tc>
                <w:tcPr>
                  <w:tcW w:w="237" w:type="pct"/>
                  <w:vMerge w:val="continue"/>
                  <w:tcBorders>
                    <w:tl2br w:val="nil"/>
                    <w:tr2bl w:val="nil"/>
                  </w:tcBorders>
                  <w:tcMar>
                    <w:left w:w="57" w:type="dxa"/>
                    <w:right w:w="57" w:type="dxa"/>
                  </w:tcMar>
                  <w:vAlign w:val="center"/>
                </w:tcPr>
                <w:p w14:paraId="4EA067B9">
                  <w:pPr>
                    <w:snapToGrid w:val="0"/>
                    <w:spacing w:line="240" w:lineRule="auto"/>
                    <w:ind w:left="0" w:leftChars="0" w:right="0" w:rightChars="0" w:firstLine="0" w:firstLineChars="0"/>
                    <w:jc w:val="center"/>
                    <w:rPr>
                      <w:rFonts w:cs="Times New Roman"/>
                      <w:color w:val="auto"/>
                      <w:szCs w:val="21"/>
                      <w:lang w:eastAsia="zh-CN"/>
                    </w:rPr>
                  </w:pPr>
                </w:p>
              </w:tc>
            </w:tr>
          </w:tbl>
          <w:p w14:paraId="6257106A">
            <w:pPr>
              <w:ind w:left="0" w:leftChars="0" w:right="0" w:rightChars="0" w:firstLine="0" w:firstLineChars="0"/>
              <w:jc w:val="both"/>
              <w:rPr>
                <w:color w:val="auto"/>
                <w:sz w:val="24"/>
                <w:szCs w:val="32"/>
                <w:lang w:eastAsia="zh-CN"/>
              </w:rPr>
            </w:pPr>
          </w:p>
        </w:tc>
      </w:tr>
    </w:tbl>
    <w:p w14:paraId="13F3AADD">
      <w:pPr>
        <w:ind w:firstLine="420"/>
        <w:rPr>
          <w:color w:val="auto"/>
        </w:rPr>
        <w:sectPr>
          <w:pgSz w:w="16838" w:h="11910" w:orient="landscape"/>
          <w:pgMar w:top="1417" w:right="1417" w:bottom="1417" w:left="1417" w:header="720" w:footer="1043" w:gutter="0"/>
          <w:cols w:space="0" w:num="1"/>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6"/>
      </w:tblGrid>
      <w:tr w14:paraId="1ADE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7" w:hRule="atLeast"/>
        </w:trPr>
        <w:tc>
          <w:tcPr>
            <w:tcW w:w="332" w:type="pct"/>
            <w:vAlign w:val="center"/>
          </w:tcPr>
          <w:p w14:paraId="6F85F531">
            <w:pPr>
              <w:pStyle w:val="38"/>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b/>
                <w:bCs/>
                <w:color w:val="auto"/>
                <w:sz w:val="24"/>
                <w:szCs w:val="24"/>
                <w:lang w:eastAsia="zh-CN"/>
              </w:rPr>
              <w:t>运营期环境影响和保护措施</w:t>
            </w:r>
          </w:p>
        </w:tc>
        <w:tc>
          <w:tcPr>
            <w:tcW w:w="4667" w:type="pct"/>
          </w:tcPr>
          <w:p w14:paraId="6D600D55">
            <w:pPr>
              <w:adjustRightInd w:val="0"/>
              <w:snapToGrid w:val="0"/>
              <w:ind w:left="0" w:leftChars="0" w:right="0" w:rightChars="0" w:firstLine="482"/>
              <w:jc w:val="both"/>
              <w:rPr>
                <w:rFonts w:eastAsia="宋体" w:cs="Times New Roman"/>
                <w:b/>
                <w:bCs/>
                <w:color w:val="auto"/>
                <w:sz w:val="24"/>
                <w:szCs w:val="24"/>
                <w:lang w:eastAsia="zh-CN"/>
              </w:rPr>
            </w:pPr>
            <w:r>
              <w:rPr>
                <w:rFonts w:hint="eastAsia" w:eastAsia="宋体" w:cs="Times New Roman"/>
                <w:b/>
                <w:bCs/>
                <w:color w:val="auto"/>
                <w:sz w:val="24"/>
                <w:szCs w:val="24"/>
                <w:lang w:eastAsia="zh-CN"/>
              </w:rPr>
              <w:t>1.1</w:t>
            </w:r>
            <w:r>
              <w:rPr>
                <w:rFonts w:eastAsia="宋体" w:cs="Times New Roman"/>
                <w:b/>
                <w:bCs/>
                <w:color w:val="auto"/>
                <w:sz w:val="24"/>
                <w:szCs w:val="24"/>
                <w:lang w:eastAsia="zh-CN"/>
              </w:rPr>
              <w:t>污染物源强核算</w:t>
            </w:r>
          </w:p>
          <w:p w14:paraId="7F393BFD">
            <w:pPr>
              <w:numPr>
                <w:ilvl w:val="0"/>
                <w:numId w:val="6"/>
              </w:numPr>
              <w:adjustRightInd w:val="0"/>
              <w:snapToGrid w:val="0"/>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rPr>
              <w:t>切割</w:t>
            </w:r>
            <w:r>
              <w:rPr>
                <w:rFonts w:hint="eastAsia" w:eastAsia="宋体" w:cs="Times New Roman"/>
                <w:color w:val="auto"/>
                <w:sz w:val="24"/>
                <w:szCs w:val="24"/>
                <w:lang w:eastAsia="zh-CN"/>
              </w:rPr>
              <w:t>废气</w:t>
            </w:r>
          </w:p>
          <w:p w14:paraId="5AA32C60">
            <w:pPr>
              <w:ind w:firstLine="480"/>
              <w:jc w:val="both"/>
              <w:rPr>
                <w:rFonts w:eastAsia="宋体"/>
                <w:color w:val="auto"/>
                <w:sz w:val="24"/>
                <w:lang w:eastAsia="zh-CN"/>
              </w:rPr>
            </w:pPr>
            <w:r>
              <w:rPr>
                <w:rFonts w:eastAsia="宋体" w:cs="Times New Roman"/>
                <w:color w:val="auto"/>
                <w:kern w:val="2"/>
                <w:sz w:val="24"/>
                <w:szCs w:val="24"/>
                <w:lang w:eastAsia="zh-CN" w:bidi="zh-CN"/>
              </w:rPr>
              <w:t>根据生态环境部发布《排放源统计调查产排污核算方法和系数手册》的公告（公告2021年第24号）中</w:t>
            </w:r>
            <w:r>
              <w:rPr>
                <w:rFonts w:hint="eastAsia" w:cs="Times New Roman"/>
                <w:color w:val="auto"/>
                <w:kern w:val="2"/>
                <w:sz w:val="24"/>
                <w:szCs w:val="24"/>
                <w:lang w:eastAsia="zh-CN" w:bidi="zh-CN"/>
              </w:rPr>
              <w:t>“</w:t>
            </w:r>
            <w:r>
              <w:rPr>
                <w:rFonts w:hint="eastAsia" w:eastAsia="宋体" w:cs="Times New Roman"/>
                <w:color w:val="auto"/>
                <w:kern w:val="2"/>
                <w:sz w:val="24"/>
                <w:szCs w:val="24"/>
                <w:lang w:eastAsia="zh-CN" w:bidi="zh-CN"/>
              </w:rPr>
              <w:t>33-37，431-434机械行业系数手册-33金属制品业</w:t>
            </w:r>
            <w:r>
              <w:rPr>
                <w:rFonts w:hint="eastAsia" w:cs="Times New Roman"/>
                <w:color w:val="auto"/>
                <w:kern w:val="2"/>
                <w:sz w:val="24"/>
                <w:szCs w:val="24"/>
                <w:lang w:eastAsia="zh-CN" w:bidi="zh-CN"/>
              </w:rPr>
              <w:t>”</w:t>
            </w:r>
            <w:r>
              <w:rPr>
                <w:rFonts w:eastAsia="宋体" w:cs="Times New Roman"/>
                <w:color w:val="auto"/>
                <w:kern w:val="2"/>
                <w:sz w:val="24"/>
                <w:szCs w:val="24"/>
                <w:lang w:eastAsia="zh-CN" w:bidi="zh-CN"/>
              </w:rPr>
              <w:t>，</w:t>
            </w:r>
            <w:r>
              <w:rPr>
                <w:rFonts w:hint="eastAsia" w:cs="Times New Roman"/>
                <w:color w:val="auto"/>
                <w:kern w:val="2"/>
                <w:sz w:val="24"/>
                <w:szCs w:val="24"/>
                <w:lang w:eastAsia="zh-CN" w:bidi="zh-CN"/>
              </w:rPr>
              <w:t>切割工序</w:t>
            </w:r>
            <w:r>
              <w:rPr>
                <w:rFonts w:eastAsia="宋体" w:cs="Times New Roman"/>
                <w:color w:val="auto"/>
                <w:kern w:val="2"/>
                <w:sz w:val="24"/>
                <w:szCs w:val="24"/>
                <w:lang w:eastAsia="zh-CN" w:bidi="zh-CN"/>
              </w:rPr>
              <w:t>产排污系数</w:t>
            </w:r>
            <w:r>
              <w:rPr>
                <w:rFonts w:hint="eastAsia" w:cs="Times New Roman"/>
                <w:color w:val="auto"/>
                <w:kern w:val="2"/>
                <w:sz w:val="24"/>
                <w:szCs w:val="24"/>
                <w:lang w:eastAsia="zh-CN" w:bidi="zh-CN"/>
              </w:rPr>
              <w:t>1.10</w:t>
            </w:r>
            <w:r>
              <w:rPr>
                <w:rFonts w:eastAsia="宋体" w:cs="Times New Roman"/>
                <w:color w:val="auto"/>
                <w:kern w:val="2"/>
                <w:sz w:val="24"/>
                <w:szCs w:val="24"/>
                <w:lang w:eastAsia="zh-CN" w:bidi="zh-CN"/>
              </w:rPr>
              <w:t>千克/吨-原料，</w:t>
            </w:r>
            <w:r>
              <w:rPr>
                <w:rFonts w:hint="eastAsia" w:cs="Times New Roman"/>
                <w:color w:val="auto"/>
                <w:kern w:val="2"/>
                <w:sz w:val="24"/>
                <w:szCs w:val="24"/>
                <w:lang w:eastAsia="zh-CN" w:bidi="zh-CN"/>
              </w:rPr>
              <w:t>切割工序产生的颗粒物经设备自带滤筒除尘器处理，收集效率以90%计，处理效率95%。</w:t>
            </w:r>
            <w:r>
              <w:rPr>
                <w:color w:val="auto"/>
                <w:sz w:val="24"/>
                <w:lang w:eastAsia="zh-CN"/>
              </w:rPr>
              <w:t>项目年工作</w:t>
            </w:r>
            <w:r>
              <w:rPr>
                <w:rFonts w:hint="eastAsia"/>
                <w:color w:val="auto"/>
                <w:sz w:val="24"/>
                <w:lang w:eastAsia="zh-CN"/>
              </w:rPr>
              <w:t>300</w:t>
            </w:r>
            <w:r>
              <w:rPr>
                <w:color w:val="auto"/>
                <w:sz w:val="24"/>
                <w:lang w:eastAsia="zh-CN"/>
              </w:rPr>
              <w:t>d，</w:t>
            </w:r>
            <w:r>
              <w:rPr>
                <w:rFonts w:hint="eastAsia"/>
                <w:color w:val="auto"/>
                <w:sz w:val="24"/>
                <w:lang w:eastAsia="zh-CN"/>
              </w:rPr>
              <w:t>切割工序日</w:t>
            </w:r>
            <w:r>
              <w:rPr>
                <w:color w:val="auto"/>
                <w:sz w:val="24"/>
                <w:lang w:eastAsia="zh-CN"/>
              </w:rPr>
              <w:t>工作时间</w:t>
            </w:r>
            <w:r>
              <w:rPr>
                <w:rFonts w:hint="eastAsia"/>
                <w:color w:val="auto"/>
                <w:sz w:val="24"/>
                <w:lang w:eastAsia="zh-CN"/>
              </w:rPr>
              <w:t>8</w:t>
            </w:r>
            <w:r>
              <w:rPr>
                <w:color w:val="auto"/>
                <w:sz w:val="24"/>
                <w:lang w:eastAsia="zh-CN"/>
              </w:rPr>
              <w:t>h</w:t>
            </w:r>
            <w:r>
              <w:rPr>
                <w:rFonts w:hint="eastAsia"/>
                <w:color w:val="auto"/>
                <w:sz w:val="24"/>
                <w:lang w:eastAsia="zh-CN"/>
              </w:rPr>
              <w:t>，</w:t>
            </w:r>
            <w:r>
              <w:rPr>
                <w:rFonts w:hint="eastAsia" w:cs="Times New Roman"/>
                <w:color w:val="auto"/>
                <w:kern w:val="2"/>
                <w:sz w:val="24"/>
                <w:szCs w:val="24"/>
                <w:lang w:eastAsia="zh-CN" w:bidi="zh-CN"/>
              </w:rPr>
              <w:t>风机风量为</w:t>
            </w:r>
            <w:r>
              <w:rPr>
                <w:rFonts w:hint="eastAsia" w:eastAsia="宋体" w:cs="Times New Roman"/>
                <w:color w:val="auto"/>
                <w:sz w:val="24"/>
                <w:szCs w:val="24"/>
                <w:lang w:eastAsia="zh-CN" w:bidi="ar"/>
              </w:rPr>
              <w:t>2</w:t>
            </w:r>
            <w:r>
              <w:rPr>
                <w:rFonts w:eastAsia="宋体" w:cs="Times New Roman"/>
                <w:color w:val="auto"/>
                <w:sz w:val="24"/>
                <w:szCs w:val="24"/>
                <w:lang w:eastAsia="zh-CN" w:bidi="ar"/>
              </w:rPr>
              <w:t>000m</w:t>
            </w:r>
            <w:r>
              <w:rPr>
                <w:rFonts w:eastAsia="宋体" w:cs="Times New Roman"/>
                <w:color w:val="auto"/>
                <w:sz w:val="24"/>
                <w:szCs w:val="24"/>
                <w:vertAlign w:val="superscript"/>
                <w:lang w:eastAsia="zh-CN" w:bidi="ar"/>
              </w:rPr>
              <w:t>3</w:t>
            </w:r>
            <w:r>
              <w:rPr>
                <w:rFonts w:eastAsia="宋体" w:cs="Times New Roman"/>
                <w:color w:val="auto"/>
                <w:sz w:val="24"/>
                <w:szCs w:val="24"/>
                <w:lang w:eastAsia="zh-CN" w:bidi="ar"/>
              </w:rPr>
              <w:t>/h</w:t>
            </w:r>
            <w:r>
              <w:rPr>
                <w:rFonts w:hint="eastAsia" w:eastAsia="宋体"/>
                <w:color w:val="auto"/>
                <w:sz w:val="24"/>
                <w:lang w:eastAsia="zh-CN"/>
              </w:rPr>
              <w:t>，</w:t>
            </w:r>
            <w:r>
              <w:rPr>
                <w:rFonts w:hint="eastAsia" w:eastAsia="宋体" w:cs="Times New Roman"/>
                <w:color w:val="auto"/>
                <w:kern w:val="2"/>
                <w:sz w:val="24"/>
                <w:szCs w:val="24"/>
                <w:lang w:eastAsia="zh-CN" w:bidi="zh-CN"/>
              </w:rPr>
              <w:t>切割废气经处理后，依托现有15m高排气筒（DA001）排放。</w:t>
            </w:r>
          </w:p>
          <w:p w14:paraId="5063C305">
            <w:pPr>
              <w:ind w:firstLine="480"/>
              <w:jc w:val="both"/>
              <w:rPr>
                <w:color w:val="auto"/>
                <w:sz w:val="24"/>
                <w:lang w:eastAsia="zh-CN"/>
              </w:rPr>
            </w:pPr>
            <w:r>
              <w:rPr>
                <w:color w:val="auto"/>
                <w:sz w:val="24"/>
                <w:lang w:eastAsia="zh-CN"/>
              </w:rPr>
              <w:t>经核算，</w:t>
            </w:r>
            <w:r>
              <w:rPr>
                <w:rFonts w:hint="eastAsia"/>
                <w:color w:val="auto"/>
                <w:sz w:val="24"/>
                <w:lang w:eastAsia="zh-CN"/>
              </w:rPr>
              <w:t>切割废气颗粒物</w:t>
            </w:r>
            <w:r>
              <w:rPr>
                <w:color w:val="auto"/>
                <w:sz w:val="24"/>
                <w:lang w:eastAsia="zh-CN"/>
              </w:rPr>
              <w:t>产生量为</w:t>
            </w:r>
            <w:r>
              <w:rPr>
                <w:rFonts w:hint="eastAsia"/>
                <w:color w:val="auto"/>
                <w:sz w:val="24"/>
                <w:lang w:eastAsia="zh-CN"/>
              </w:rPr>
              <w:t>0.55</w:t>
            </w:r>
            <w:r>
              <w:rPr>
                <w:color w:val="auto"/>
                <w:sz w:val="24"/>
                <w:lang w:eastAsia="zh-CN"/>
              </w:rPr>
              <w:t>t/a，</w:t>
            </w:r>
            <w:r>
              <w:rPr>
                <w:rFonts w:hint="eastAsia"/>
                <w:color w:val="auto"/>
                <w:sz w:val="24"/>
                <w:lang w:eastAsia="zh-CN"/>
              </w:rPr>
              <w:t>收集量为0.495</w:t>
            </w:r>
            <w:r>
              <w:rPr>
                <w:color w:val="auto"/>
                <w:sz w:val="24"/>
                <w:lang w:eastAsia="zh-CN"/>
              </w:rPr>
              <w:t>t/a，</w:t>
            </w:r>
            <w:r>
              <w:rPr>
                <w:rFonts w:hint="eastAsia"/>
                <w:color w:val="auto"/>
                <w:sz w:val="24"/>
                <w:lang w:eastAsia="zh-CN"/>
              </w:rPr>
              <w:t>0.206</w:t>
            </w:r>
            <w:r>
              <w:rPr>
                <w:color w:val="auto"/>
                <w:sz w:val="24"/>
                <w:lang w:eastAsia="zh-CN"/>
              </w:rPr>
              <w:t>kg/h；未</w:t>
            </w:r>
            <w:r>
              <w:rPr>
                <w:rFonts w:hint="eastAsia"/>
                <w:color w:val="auto"/>
                <w:sz w:val="24"/>
                <w:lang w:eastAsia="zh-CN"/>
              </w:rPr>
              <w:t>经</w:t>
            </w:r>
            <w:r>
              <w:rPr>
                <w:color w:val="auto"/>
                <w:sz w:val="24"/>
                <w:lang w:eastAsia="zh-CN"/>
              </w:rPr>
              <w:t>收集的</w:t>
            </w:r>
            <w:r>
              <w:rPr>
                <w:rFonts w:hint="eastAsia"/>
                <w:color w:val="auto"/>
                <w:sz w:val="24"/>
                <w:lang w:eastAsia="zh-CN"/>
              </w:rPr>
              <w:t>颗粒物0.055</w:t>
            </w:r>
            <w:r>
              <w:rPr>
                <w:color w:val="auto"/>
                <w:sz w:val="24"/>
                <w:lang w:eastAsia="zh-CN"/>
              </w:rPr>
              <w:t>t/a，</w:t>
            </w:r>
            <w:r>
              <w:rPr>
                <w:rFonts w:hint="eastAsia"/>
                <w:color w:val="auto"/>
                <w:sz w:val="24"/>
                <w:lang w:eastAsia="zh-CN"/>
              </w:rPr>
              <w:t>0.023</w:t>
            </w:r>
            <w:r>
              <w:rPr>
                <w:color w:val="auto"/>
                <w:sz w:val="24"/>
                <w:lang w:eastAsia="zh-CN"/>
              </w:rPr>
              <w:t>kg/h，以无组织形式排放。</w:t>
            </w:r>
          </w:p>
          <w:p w14:paraId="3A1900DF">
            <w:pPr>
              <w:spacing w:line="240" w:lineRule="auto"/>
              <w:ind w:firstLine="422"/>
              <w:jc w:val="center"/>
              <w:rPr>
                <w:rFonts w:eastAsia="宋体" w:cs="Times New Roman"/>
                <w:b/>
                <w:bCs/>
                <w:color w:val="auto"/>
                <w:kern w:val="2"/>
                <w:szCs w:val="21"/>
                <w:lang w:eastAsia="zh-CN" w:bidi="zh-CN"/>
              </w:rPr>
            </w:pPr>
            <w:r>
              <w:rPr>
                <w:rFonts w:hint="eastAsia" w:eastAsia="宋体" w:cs="Times New Roman"/>
                <w:b/>
                <w:bCs/>
                <w:color w:val="auto"/>
                <w:kern w:val="2"/>
                <w:szCs w:val="21"/>
                <w:lang w:eastAsia="zh-CN" w:bidi="zh-CN"/>
              </w:rPr>
              <w:t>表4-</w:t>
            </w:r>
            <w:r>
              <w:rPr>
                <w:rFonts w:hint="eastAsia" w:cs="Times New Roman"/>
                <w:b/>
                <w:bCs/>
                <w:color w:val="auto"/>
                <w:kern w:val="2"/>
                <w:szCs w:val="21"/>
                <w:lang w:eastAsia="zh-CN" w:bidi="zh-CN"/>
              </w:rPr>
              <w:t>2   切割废气产排量一览表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1224"/>
              <w:gridCol w:w="971"/>
              <w:gridCol w:w="1705"/>
              <w:gridCol w:w="1116"/>
              <w:gridCol w:w="1535"/>
            </w:tblGrid>
            <w:tr w14:paraId="59D715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8" w:type="pct"/>
                  <w:tcBorders>
                    <w:tl2br w:val="nil"/>
                    <w:tr2bl w:val="nil"/>
                  </w:tcBorders>
                  <w:vAlign w:val="center"/>
                </w:tcPr>
                <w:p w14:paraId="1A90F20A">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hint="eastAsia" w:eastAsia="宋体" w:cs="Times New Roman"/>
                      <w:b/>
                      <w:bCs/>
                      <w:color w:val="auto"/>
                      <w:kern w:val="2"/>
                      <w:szCs w:val="21"/>
                      <w:lang w:eastAsia="zh-CN" w:bidi="zh-CN"/>
                    </w:rPr>
                    <w:t>工艺名称</w:t>
                  </w:r>
                </w:p>
              </w:tc>
              <w:tc>
                <w:tcPr>
                  <w:tcW w:w="710" w:type="pct"/>
                  <w:tcBorders>
                    <w:tl2br w:val="nil"/>
                    <w:tr2bl w:val="nil"/>
                  </w:tcBorders>
                  <w:vAlign w:val="center"/>
                </w:tcPr>
                <w:p w14:paraId="7024CEA9">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hint="eastAsia" w:eastAsia="宋体" w:cs="Times New Roman"/>
                      <w:b/>
                      <w:bCs/>
                      <w:color w:val="auto"/>
                      <w:kern w:val="2"/>
                      <w:szCs w:val="21"/>
                      <w:lang w:eastAsia="zh-CN" w:bidi="zh-CN"/>
                    </w:rPr>
                    <w:t>污染物</w:t>
                  </w:r>
                </w:p>
              </w:tc>
              <w:tc>
                <w:tcPr>
                  <w:tcW w:w="563" w:type="pct"/>
                  <w:tcBorders>
                    <w:tl2br w:val="nil"/>
                    <w:tr2bl w:val="nil"/>
                  </w:tcBorders>
                  <w:vAlign w:val="center"/>
                </w:tcPr>
                <w:p w14:paraId="710325A4">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hint="eastAsia" w:cs="Times New Roman"/>
                      <w:b/>
                      <w:bCs/>
                      <w:color w:val="auto"/>
                      <w:kern w:val="2"/>
                      <w:szCs w:val="21"/>
                      <w:lang w:eastAsia="zh-CN" w:bidi="zh-CN"/>
                    </w:rPr>
                    <w:t>原料</w:t>
                  </w:r>
                </w:p>
              </w:tc>
              <w:tc>
                <w:tcPr>
                  <w:tcW w:w="989" w:type="pct"/>
                  <w:tcBorders>
                    <w:tl2br w:val="nil"/>
                    <w:tr2bl w:val="nil"/>
                  </w:tcBorders>
                  <w:vAlign w:val="center"/>
                </w:tcPr>
                <w:p w14:paraId="0FBC0B18">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hint="eastAsia" w:eastAsia="宋体" w:cs="Times New Roman"/>
                      <w:b/>
                      <w:bCs/>
                      <w:color w:val="auto"/>
                      <w:kern w:val="2"/>
                      <w:szCs w:val="21"/>
                      <w:lang w:eastAsia="zh-CN" w:bidi="zh-CN"/>
                    </w:rPr>
                    <w:t>单位</w:t>
                  </w:r>
                </w:p>
              </w:tc>
              <w:tc>
                <w:tcPr>
                  <w:tcW w:w="647" w:type="pct"/>
                  <w:tcBorders>
                    <w:tl2br w:val="nil"/>
                    <w:tr2bl w:val="nil"/>
                  </w:tcBorders>
                  <w:vAlign w:val="center"/>
                </w:tcPr>
                <w:p w14:paraId="19F4666E">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hint="eastAsia" w:eastAsia="宋体" w:cs="Times New Roman"/>
                      <w:b/>
                      <w:bCs/>
                      <w:color w:val="auto"/>
                      <w:kern w:val="2"/>
                      <w:szCs w:val="21"/>
                      <w:lang w:eastAsia="zh-CN" w:bidi="zh-CN"/>
                    </w:rPr>
                    <w:t>产污系数</w:t>
                  </w:r>
                </w:p>
              </w:tc>
              <w:tc>
                <w:tcPr>
                  <w:tcW w:w="890" w:type="pct"/>
                  <w:tcBorders>
                    <w:tl2br w:val="nil"/>
                    <w:tr2bl w:val="nil"/>
                  </w:tcBorders>
                  <w:vAlign w:val="center"/>
                </w:tcPr>
                <w:p w14:paraId="09551CB8">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hint="eastAsia" w:cs="Times New Roman"/>
                      <w:b/>
                      <w:bCs/>
                      <w:color w:val="auto"/>
                      <w:kern w:val="2"/>
                      <w:szCs w:val="21"/>
                      <w:lang w:eastAsia="zh-CN" w:bidi="zh-CN"/>
                    </w:rPr>
                    <w:t>产生量（</w:t>
                  </w:r>
                  <w:r>
                    <w:rPr>
                      <w:rFonts w:eastAsia="宋体" w:cs="Times New Roman"/>
                      <w:color w:val="auto"/>
                      <w:kern w:val="2"/>
                      <w:sz w:val="24"/>
                      <w:szCs w:val="24"/>
                      <w:lang w:eastAsia="zh-CN" w:bidi="zh-CN"/>
                    </w:rPr>
                    <w:t>t/a</w:t>
                  </w:r>
                  <w:r>
                    <w:rPr>
                      <w:rFonts w:hint="eastAsia" w:cs="Times New Roman"/>
                      <w:b/>
                      <w:bCs/>
                      <w:color w:val="auto"/>
                      <w:kern w:val="2"/>
                      <w:szCs w:val="21"/>
                      <w:lang w:eastAsia="zh-CN" w:bidi="zh-CN"/>
                    </w:rPr>
                    <w:t>）</w:t>
                  </w:r>
                </w:p>
              </w:tc>
            </w:tr>
            <w:tr w14:paraId="1FA26A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8" w:type="pct"/>
                  <w:tcBorders>
                    <w:tl2br w:val="nil"/>
                    <w:tr2bl w:val="nil"/>
                  </w:tcBorders>
                  <w:vAlign w:val="center"/>
                </w:tcPr>
                <w:p w14:paraId="7D6EB153">
                  <w:pPr>
                    <w:spacing w:line="240" w:lineRule="auto"/>
                    <w:ind w:left="0" w:leftChars="0" w:right="0" w:rightChars="0" w:firstLine="0" w:firstLineChars="0"/>
                    <w:jc w:val="center"/>
                    <w:rPr>
                      <w:rFonts w:eastAsia="宋体" w:cs="Times New Roman"/>
                      <w:color w:val="auto"/>
                      <w:kern w:val="2"/>
                      <w:szCs w:val="21"/>
                      <w:lang w:eastAsia="zh-CN" w:bidi="zh-CN"/>
                    </w:rPr>
                  </w:pPr>
                  <w:r>
                    <w:rPr>
                      <w:rFonts w:hint="eastAsia" w:eastAsia="宋体" w:cs="Times New Roman"/>
                      <w:color w:val="auto"/>
                      <w:kern w:val="2"/>
                      <w:szCs w:val="21"/>
                      <w:lang w:eastAsia="zh-CN" w:bidi="zh-CN"/>
                    </w:rPr>
                    <w:t>光纤激光切割机</w:t>
                  </w:r>
                </w:p>
              </w:tc>
              <w:tc>
                <w:tcPr>
                  <w:tcW w:w="710" w:type="pct"/>
                  <w:tcBorders>
                    <w:tl2br w:val="nil"/>
                    <w:tr2bl w:val="nil"/>
                  </w:tcBorders>
                  <w:vAlign w:val="center"/>
                </w:tcPr>
                <w:p w14:paraId="6C5DE08B">
                  <w:pPr>
                    <w:spacing w:line="240" w:lineRule="auto"/>
                    <w:ind w:left="0" w:leftChars="0" w:right="0" w:rightChars="0" w:firstLine="0" w:firstLineChars="0"/>
                    <w:jc w:val="center"/>
                    <w:rPr>
                      <w:rFonts w:eastAsia="宋体" w:cs="Times New Roman"/>
                      <w:color w:val="auto"/>
                      <w:kern w:val="2"/>
                      <w:szCs w:val="21"/>
                      <w:lang w:eastAsia="zh-CN" w:bidi="zh-CN"/>
                    </w:rPr>
                  </w:pPr>
                  <w:r>
                    <w:rPr>
                      <w:rFonts w:hint="eastAsia" w:eastAsia="宋体" w:cs="Times New Roman"/>
                      <w:color w:val="auto"/>
                      <w:kern w:val="2"/>
                      <w:szCs w:val="21"/>
                      <w:lang w:eastAsia="zh-CN" w:bidi="zh-CN"/>
                    </w:rPr>
                    <w:t>颗粒物</w:t>
                  </w:r>
                </w:p>
              </w:tc>
              <w:tc>
                <w:tcPr>
                  <w:tcW w:w="563" w:type="pct"/>
                  <w:tcBorders>
                    <w:tl2br w:val="nil"/>
                    <w:tr2bl w:val="nil"/>
                  </w:tcBorders>
                  <w:vAlign w:val="center"/>
                </w:tcPr>
                <w:p w14:paraId="4A49FDED">
                  <w:pPr>
                    <w:spacing w:line="240" w:lineRule="auto"/>
                    <w:ind w:left="0" w:leftChars="0" w:right="0" w:rightChars="0" w:firstLine="0" w:firstLineChars="0"/>
                    <w:jc w:val="center"/>
                    <w:rPr>
                      <w:rFonts w:eastAsia="宋体" w:cs="Times New Roman"/>
                      <w:color w:val="auto"/>
                      <w:kern w:val="2"/>
                      <w:szCs w:val="21"/>
                      <w:lang w:eastAsia="zh-CN" w:bidi="zh-CN"/>
                    </w:rPr>
                  </w:pPr>
                  <w:r>
                    <w:rPr>
                      <w:rFonts w:hint="eastAsia" w:cs="Times New Roman"/>
                      <w:color w:val="auto"/>
                      <w:kern w:val="2"/>
                      <w:szCs w:val="21"/>
                      <w:lang w:eastAsia="zh-CN" w:bidi="zh-CN"/>
                    </w:rPr>
                    <w:t>500t/a</w:t>
                  </w:r>
                </w:p>
              </w:tc>
              <w:tc>
                <w:tcPr>
                  <w:tcW w:w="989" w:type="pct"/>
                  <w:tcBorders>
                    <w:tl2br w:val="nil"/>
                    <w:tr2bl w:val="nil"/>
                  </w:tcBorders>
                  <w:vAlign w:val="center"/>
                </w:tcPr>
                <w:p w14:paraId="0EEB40DC">
                  <w:pPr>
                    <w:spacing w:line="240" w:lineRule="auto"/>
                    <w:ind w:left="0" w:leftChars="0" w:right="0" w:rightChars="0" w:firstLine="0" w:firstLineChars="0"/>
                    <w:jc w:val="center"/>
                    <w:rPr>
                      <w:rFonts w:eastAsia="宋体" w:cs="Times New Roman"/>
                      <w:color w:val="auto"/>
                      <w:kern w:val="2"/>
                      <w:szCs w:val="21"/>
                      <w:lang w:eastAsia="zh-CN" w:bidi="zh-CN"/>
                    </w:rPr>
                  </w:pPr>
                  <w:r>
                    <w:rPr>
                      <w:rFonts w:hint="eastAsia" w:eastAsia="宋体" w:cs="Times New Roman"/>
                      <w:color w:val="auto"/>
                      <w:kern w:val="2"/>
                      <w:szCs w:val="21"/>
                      <w:lang w:eastAsia="zh-CN" w:bidi="zh-CN"/>
                    </w:rPr>
                    <w:t>千克/吨-原料</w:t>
                  </w:r>
                </w:p>
              </w:tc>
              <w:tc>
                <w:tcPr>
                  <w:tcW w:w="647" w:type="pct"/>
                  <w:tcBorders>
                    <w:tl2br w:val="nil"/>
                    <w:tr2bl w:val="nil"/>
                  </w:tcBorders>
                  <w:vAlign w:val="center"/>
                </w:tcPr>
                <w:p w14:paraId="05E8333E">
                  <w:pPr>
                    <w:spacing w:line="240" w:lineRule="auto"/>
                    <w:ind w:left="0" w:leftChars="0" w:right="0" w:rightChars="0" w:firstLine="0" w:firstLineChars="0"/>
                    <w:jc w:val="center"/>
                    <w:rPr>
                      <w:rFonts w:eastAsia="宋体" w:cs="Times New Roman"/>
                      <w:color w:val="auto"/>
                      <w:kern w:val="2"/>
                      <w:szCs w:val="21"/>
                      <w:lang w:eastAsia="zh-CN" w:bidi="zh-CN"/>
                    </w:rPr>
                  </w:pPr>
                  <w:r>
                    <w:rPr>
                      <w:rFonts w:hint="eastAsia" w:cs="Times New Roman"/>
                      <w:color w:val="auto"/>
                      <w:kern w:val="2"/>
                      <w:szCs w:val="21"/>
                      <w:lang w:eastAsia="zh-CN" w:bidi="zh-CN"/>
                    </w:rPr>
                    <w:t>1.10</w:t>
                  </w:r>
                </w:p>
              </w:tc>
              <w:tc>
                <w:tcPr>
                  <w:tcW w:w="890" w:type="pct"/>
                  <w:tcBorders>
                    <w:tl2br w:val="nil"/>
                    <w:tr2bl w:val="nil"/>
                  </w:tcBorders>
                  <w:vAlign w:val="center"/>
                </w:tcPr>
                <w:p w14:paraId="6810C950">
                  <w:pPr>
                    <w:spacing w:line="240" w:lineRule="auto"/>
                    <w:ind w:left="0" w:leftChars="0" w:right="0" w:rightChars="0" w:firstLine="0" w:firstLineChars="0"/>
                    <w:jc w:val="center"/>
                    <w:rPr>
                      <w:rFonts w:eastAsia="宋体" w:cs="Times New Roman"/>
                      <w:color w:val="auto"/>
                      <w:kern w:val="2"/>
                      <w:szCs w:val="21"/>
                      <w:lang w:eastAsia="zh-CN" w:bidi="zh-CN"/>
                    </w:rPr>
                  </w:pPr>
                  <w:r>
                    <w:rPr>
                      <w:rFonts w:hint="eastAsia" w:cs="Times New Roman"/>
                      <w:color w:val="auto"/>
                      <w:kern w:val="2"/>
                      <w:szCs w:val="21"/>
                      <w:lang w:eastAsia="zh-CN" w:bidi="zh-CN"/>
                    </w:rPr>
                    <w:t>0.55</w:t>
                  </w:r>
                </w:p>
              </w:tc>
            </w:tr>
          </w:tbl>
          <w:p w14:paraId="71AE1040">
            <w:pPr>
              <w:pStyle w:val="2"/>
              <w:numPr>
                <w:ilvl w:val="0"/>
                <w:numId w:val="6"/>
              </w:numPr>
              <w:ind w:left="0" w:leftChars="0" w:right="0" w:rightChars="0" w:firstLine="480"/>
              <w:jc w:val="both"/>
              <w:outlineLvl w:val="1"/>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焊接烟尘</w:t>
            </w:r>
          </w:p>
          <w:p w14:paraId="5038F54F">
            <w:pPr>
              <w:ind w:firstLine="480"/>
              <w:jc w:val="both"/>
              <w:rPr>
                <w:rFonts w:eastAsia="宋体" w:cs="Times New Roman"/>
                <w:color w:val="auto"/>
                <w:kern w:val="2"/>
                <w:sz w:val="24"/>
                <w:szCs w:val="24"/>
                <w:lang w:eastAsia="zh-CN" w:bidi="zh-CN"/>
              </w:rPr>
            </w:pPr>
            <w:r>
              <w:rPr>
                <w:rFonts w:hint="eastAsia" w:eastAsia="宋体" w:cs="Times New Roman"/>
                <w:color w:val="auto"/>
                <w:kern w:val="2"/>
                <w:sz w:val="24"/>
                <w:szCs w:val="24"/>
                <w:lang w:eastAsia="zh-CN" w:bidi="zh-CN"/>
              </w:rPr>
              <w:t>根据生态环境部发布《排放源统计调查产排污核算方法和系数手册》的公告（公告2021年第24号）中</w:t>
            </w:r>
            <w:r>
              <w:rPr>
                <w:rFonts w:hint="eastAsia" w:cs="Times New Roman"/>
                <w:color w:val="auto"/>
                <w:kern w:val="2"/>
                <w:sz w:val="24"/>
                <w:szCs w:val="24"/>
                <w:lang w:eastAsia="zh-CN" w:bidi="zh-CN"/>
              </w:rPr>
              <w:t>“</w:t>
            </w:r>
            <w:r>
              <w:rPr>
                <w:rFonts w:hint="eastAsia" w:eastAsia="宋体" w:cs="Times New Roman"/>
                <w:color w:val="auto"/>
                <w:kern w:val="2"/>
                <w:sz w:val="24"/>
                <w:szCs w:val="24"/>
                <w:lang w:eastAsia="zh-CN" w:bidi="zh-CN"/>
              </w:rPr>
              <w:t>33-37，431-434机械行业系数手册-33金属制品业</w:t>
            </w:r>
            <w:r>
              <w:rPr>
                <w:rFonts w:hint="eastAsia" w:cs="Times New Roman"/>
                <w:color w:val="auto"/>
                <w:kern w:val="2"/>
                <w:sz w:val="24"/>
                <w:szCs w:val="24"/>
                <w:lang w:eastAsia="zh-CN" w:bidi="zh-CN"/>
              </w:rPr>
              <w:t>”</w:t>
            </w:r>
            <w:r>
              <w:rPr>
                <w:rFonts w:hint="eastAsia" w:eastAsia="宋体" w:cs="Times New Roman"/>
                <w:color w:val="auto"/>
                <w:kern w:val="2"/>
                <w:sz w:val="24"/>
                <w:szCs w:val="24"/>
                <w:lang w:eastAsia="zh-CN" w:bidi="zh-CN"/>
              </w:rPr>
              <w:t>，焊接工序-</w:t>
            </w:r>
            <w:r>
              <w:rPr>
                <w:rFonts w:hint="eastAsia" w:cs="Times New Roman"/>
                <w:color w:val="auto"/>
                <w:kern w:val="2"/>
                <w:sz w:val="24"/>
                <w:szCs w:val="24"/>
                <w:lang w:eastAsia="zh-CN" w:bidi="zh-CN"/>
              </w:rPr>
              <w:t>二氧化碳保护焊、</w:t>
            </w:r>
            <w:r>
              <w:rPr>
                <w:rFonts w:hint="eastAsia" w:eastAsia="宋体" w:cs="Times New Roman"/>
                <w:color w:val="auto"/>
                <w:kern w:val="2"/>
                <w:sz w:val="24"/>
                <w:szCs w:val="24"/>
                <w:lang w:eastAsia="zh-CN" w:bidi="zh-CN"/>
              </w:rPr>
              <w:t>氩弧焊产排污系数9.19千克/吨-原料，项目使用</w:t>
            </w:r>
            <w:r>
              <w:rPr>
                <w:rFonts w:hint="eastAsia" w:cs="Times New Roman"/>
                <w:color w:val="auto"/>
                <w:kern w:val="2"/>
                <w:sz w:val="24"/>
                <w:szCs w:val="24"/>
                <w:lang w:eastAsia="zh-CN" w:bidi="zh-CN"/>
              </w:rPr>
              <w:t>实芯焊丝</w:t>
            </w:r>
            <w:r>
              <w:rPr>
                <w:rFonts w:hint="eastAsia" w:eastAsia="宋体" w:cs="Times New Roman"/>
                <w:color w:val="auto"/>
                <w:kern w:val="2"/>
                <w:sz w:val="24"/>
                <w:szCs w:val="24"/>
                <w:lang w:eastAsia="zh-CN" w:bidi="zh-CN"/>
              </w:rPr>
              <w:t>共</w:t>
            </w:r>
            <w:r>
              <w:rPr>
                <w:rFonts w:hint="eastAsia" w:cs="Times New Roman"/>
                <w:color w:val="auto"/>
                <w:kern w:val="2"/>
                <w:sz w:val="24"/>
                <w:szCs w:val="24"/>
                <w:lang w:eastAsia="zh-CN" w:bidi="zh-CN"/>
              </w:rPr>
              <w:t>3000kg</w:t>
            </w:r>
            <w:r>
              <w:rPr>
                <w:rFonts w:hint="eastAsia" w:eastAsia="宋体" w:cs="Times New Roman"/>
                <w:color w:val="auto"/>
                <w:kern w:val="2"/>
                <w:sz w:val="24"/>
                <w:szCs w:val="24"/>
                <w:lang w:eastAsia="zh-CN" w:bidi="zh-CN"/>
              </w:rPr>
              <w:t>/a，产生的焊接烟尘经</w:t>
            </w:r>
            <w:r>
              <w:rPr>
                <w:rFonts w:hint="eastAsia" w:cs="Times New Roman"/>
                <w:color w:val="auto"/>
                <w:kern w:val="2"/>
                <w:sz w:val="24"/>
                <w:szCs w:val="24"/>
                <w:lang w:eastAsia="zh-CN" w:bidi="zh-CN"/>
              </w:rPr>
              <w:t>滤筒式</w:t>
            </w:r>
            <w:r>
              <w:rPr>
                <w:rFonts w:hint="eastAsia" w:eastAsia="宋体" w:cs="Times New Roman"/>
                <w:color w:val="auto"/>
                <w:kern w:val="2"/>
                <w:sz w:val="24"/>
                <w:szCs w:val="24"/>
                <w:lang w:eastAsia="zh-CN" w:bidi="zh-CN"/>
              </w:rPr>
              <w:t>烟尘净化器处理，处理效率95%，未被收集及处理后的废气</w:t>
            </w:r>
            <w:r>
              <w:rPr>
                <w:rFonts w:eastAsia="宋体" w:cs="Times New Roman"/>
                <w:color w:val="auto"/>
                <w:kern w:val="2"/>
                <w:sz w:val="24"/>
                <w:szCs w:val="24"/>
                <w:lang w:eastAsia="zh-CN" w:bidi="zh-CN"/>
              </w:rPr>
              <w:t>1.4×10</w:t>
            </w:r>
            <w:r>
              <w:rPr>
                <w:rFonts w:eastAsia="宋体" w:cs="Times New Roman"/>
                <w:color w:val="auto"/>
                <w:kern w:val="2"/>
                <w:sz w:val="24"/>
                <w:szCs w:val="24"/>
                <w:vertAlign w:val="superscript"/>
                <w:lang w:eastAsia="zh-CN" w:bidi="zh-CN"/>
              </w:rPr>
              <w:t>-3</w:t>
            </w:r>
            <w:r>
              <w:rPr>
                <w:rFonts w:eastAsia="宋体" w:cs="Times New Roman"/>
                <w:color w:val="auto"/>
                <w:kern w:val="2"/>
                <w:sz w:val="24"/>
                <w:szCs w:val="24"/>
                <w:lang w:eastAsia="zh-CN" w:bidi="zh-CN"/>
              </w:rPr>
              <w:t>t/a</w:t>
            </w:r>
            <w:r>
              <w:rPr>
                <w:rFonts w:hint="eastAsia" w:eastAsia="宋体" w:cs="Times New Roman"/>
                <w:color w:val="auto"/>
                <w:kern w:val="2"/>
                <w:sz w:val="24"/>
                <w:szCs w:val="24"/>
                <w:lang w:eastAsia="zh-CN" w:bidi="zh-CN"/>
              </w:rPr>
              <w:t>，无组织排放。</w:t>
            </w:r>
          </w:p>
          <w:p w14:paraId="177F5587">
            <w:pPr>
              <w:spacing w:line="240" w:lineRule="auto"/>
              <w:ind w:firstLine="422"/>
              <w:jc w:val="center"/>
              <w:rPr>
                <w:rFonts w:eastAsia="宋体" w:cs="Times New Roman"/>
                <w:b/>
                <w:bCs/>
                <w:color w:val="auto"/>
                <w:kern w:val="2"/>
                <w:szCs w:val="21"/>
                <w:lang w:eastAsia="zh-CN" w:bidi="zh-CN"/>
              </w:rPr>
            </w:pPr>
            <w:r>
              <w:rPr>
                <w:rFonts w:hint="eastAsia" w:eastAsia="宋体" w:cs="Times New Roman"/>
                <w:b/>
                <w:bCs/>
                <w:color w:val="auto"/>
                <w:kern w:val="2"/>
                <w:szCs w:val="21"/>
                <w:lang w:eastAsia="zh-CN" w:bidi="zh-CN"/>
              </w:rPr>
              <w:t>表4</w:t>
            </w:r>
            <w:r>
              <w:rPr>
                <w:rFonts w:hint="eastAsia" w:cs="Times New Roman"/>
                <w:b/>
                <w:bCs/>
                <w:color w:val="auto"/>
                <w:kern w:val="2"/>
                <w:szCs w:val="21"/>
                <w:lang w:eastAsia="zh-CN" w:bidi="zh-CN"/>
              </w:rPr>
              <w:t>-3</w:t>
            </w:r>
            <w:r>
              <w:rPr>
                <w:rFonts w:hint="eastAsia" w:eastAsia="宋体" w:cs="Times New Roman"/>
                <w:b/>
                <w:bCs/>
                <w:color w:val="auto"/>
                <w:kern w:val="2"/>
                <w:szCs w:val="21"/>
                <w:lang w:eastAsia="zh-CN" w:bidi="zh-CN"/>
              </w:rPr>
              <w:t xml:space="preserve">   </w:t>
            </w:r>
            <w:r>
              <w:rPr>
                <w:rFonts w:hint="eastAsia" w:cs="Times New Roman"/>
                <w:b/>
                <w:bCs/>
                <w:color w:val="auto"/>
                <w:kern w:val="2"/>
                <w:szCs w:val="21"/>
                <w:lang w:eastAsia="zh-CN" w:bidi="zh-CN"/>
              </w:rPr>
              <w:t>焊接废气</w:t>
            </w:r>
            <w:r>
              <w:rPr>
                <w:rFonts w:hint="eastAsia" w:eastAsia="宋体" w:cs="Times New Roman"/>
                <w:b/>
                <w:bCs/>
                <w:color w:val="auto"/>
                <w:kern w:val="2"/>
                <w:szCs w:val="21"/>
                <w:lang w:eastAsia="zh-CN" w:bidi="zh-CN"/>
              </w:rPr>
              <w:t>产排</w:t>
            </w:r>
            <w:r>
              <w:rPr>
                <w:rFonts w:hint="eastAsia" w:cs="Times New Roman"/>
                <w:b/>
                <w:bCs/>
                <w:color w:val="auto"/>
                <w:kern w:val="2"/>
                <w:szCs w:val="21"/>
                <w:lang w:eastAsia="zh-CN" w:bidi="zh-CN"/>
              </w:rPr>
              <w:t>量一览</w:t>
            </w:r>
            <w:r>
              <w:rPr>
                <w:rFonts w:hint="eastAsia" w:eastAsia="宋体" w:cs="Times New Roman"/>
                <w:b/>
                <w:bCs/>
                <w:color w:val="auto"/>
                <w:kern w:val="2"/>
                <w:szCs w:val="21"/>
                <w:lang w:eastAsia="zh-CN" w:bidi="zh-CN"/>
              </w:rPr>
              <w:t>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329"/>
              <w:gridCol w:w="1814"/>
              <w:gridCol w:w="1938"/>
              <w:gridCol w:w="2021"/>
            </w:tblGrid>
            <w:tr w14:paraId="48E1AC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tcBorders>
                    <w:tl2br w:val="nil"/>
                    <w:tr2bl w:val="nil"/>
                  </w:tcBorders>
                  <w:vAlign w:val="center"/>
                </w:tcPr>
                <w:p w14:paraId="32032BD0">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eastAsia="宋体" w:cs="Times New Roman"/>
                      <w:b/>
                      <w:bCs/>
                      <w:color w:val="auto"/>
                      <w:kern w:val="2"/>
                      <w:szCs w:val="21"/>
                      <w:lang w:eastAsia="zh-CN" w:bidi="zh-CN"/>
                    </w:rPr>
                    <w:t>工艺名称</w:t>
                  </w:r>
                </w:p>
              </w:tc>
              <w:tc>
                <w:tcPr>
                  <w:tcW w:w="771" w:type="pct"/>
                  <w:tcBorders>
                    <w:tl2br w:val="nil"/>
                    <w:tr2bl w:val="nil"/>
                  </w:tcBorders>
                  <w:vAlign w:val="center"/>
                </w:tcPr>
                <w:p w14:paraId="16B74FA9">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eastAsia="宋体" w:cs="Times New Roman"/>
                      <w:b/>
                      <w:bCs/>
                      <w:color w:val="auto"/>
                      <w:kern w:val="2"/>
                      <w:szCs w:val="21"/>
                      <w:lang w:eastAsia="zh-CN" w:bidi="zh-CN"/>
                    </w:rPr>
                    <w:t>污染物</w:t>
                  </w:r>
                </w:p>
              </w:tc>
              <w:tc>
                <w:tcPr>
                  <w:tcW w:w="1052" w:type="pct"/>
                  <w:tcBorders>
                    <w:tl2br w:val="nil"/>
                    <w:tr2bl w:val="nil"/>
                  </w:tcBorders>
                  <w:vAlign w:val="center"/>
                </w:tcPr>
                <w:p w14:paraId="569ABC52">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eastAsia="宋体" w:cs="Times New Roman"/>
                      <w:b/>
                      <w:bCs/>
                      <w:color w:val="auto"/>
                      <w:kern w:val="2"/>
                      <w:szCs w:val="21"/>
                      <w:lang w:eastAsia="zh-CN" w:bidi="zh-CN"/>
                    </w:rPr>
                    <w:t>单位</w:t>
                  </w:r>
                </w:p>
              </w:tc>
              <w:tc>
                <w:tcPr>
                  <w:tcW w:w="1124" w:type="pct"/>
                  <w:tcBorders>
                    <w:tl2br w:val="nil"/>
                    <w:tr2bl w:val="nil"/>
                  </w:tcBorders>
                  <w:vAlign w:val="center"/>
                </w:tcPr>
                <w:p w14:paraId="55E17F52">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eastAsia="宋体" w:cs="Times New Roman"/>
                      <w:b/>
                      <w:bCs/>
                      <w:color w:val="auto"/>
                      <w:kern w:val="2"/>
                      <w:szCs w:val="21"/>
                      <w:lang w:eastAsia="zh-CN" w:bidi="zh-CN"/>
                    </w:rPr>
                    <w:t>产污系数</w:t>
                  </w:r>
                </w:p>
              </w:tc>
              <w:tc>
                <w:tcPr>
                  <w:tcW w:w="1172" w:type="pct"/>
                  <w:tcBorders>
                    <w:tl2br w:val="nil"/>
                    <w:tr2bl w:val="nil"/>
                  </w:tcBorders>
                  <w:vAlign w:val="center"/>
                </w:tcPr>
                <w:p w14:paraId="02B5C62E">
                  <w:pPr>
                    <w:spacing w:line="240" w:lineRule="auto"/>
                    <w:ind w:left="0" w:leftChars="0" w:right="0" w:rightChars="0" w:firstLine="0" w:firstLineChars="0"/>
                    <w:jc w:val="center"/>
                    <w:rPr>
                      <w:rFonts w:eastAsia="宋体" w:cs="Times New Roman"/>
                      <w:b/>
                      <w:bCs/>
                      <w:color w:val="auto"/>
                      <w:kern w:val="2"/>
                      <w:szCs w:val="21"/>
                      <w:lang w:eastAsia="zh-CN" w:bidi="zh-CN"/>
                    </w:rPr>
                  </w:pPr>
                  <w:r>
                    <w:rPr>
                      <w:rFonts w:hint="eastAsia" w:eastAsia="宋体" w:cs="Times New Roman"/>
                      <w:b/>
                      <w:bCs/>
                      <w:color w:val="auto"/>
                      <w:kern w:val="2"/>
                      <w:szCs w:val="21"/>
                      <w:lang w:eastAsia="zh-CN" w:bidi="zh-CN"/>
                    </w:rPr>
                    <w:t>产生量</w:t>
                  </w:r>
                </w:p>
              </w:tc>
            </w:tr>
            <w:tr w14:paraId="75F39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tcBorders>
                    <w:tl2br w:val="nil"/>
                    <w:tr2bl w:val="nil"/>
                  </w:tcBorders>
                  <w:vAlign w:val="center"/>
                </w:tcPr>
                <w:p w14:paraId="2E9EB1E0">
                  <w:pPr>
                    <w:spacing w:line="240" w:lineRule="auto"/>
                    <w:ind w:left="0" w:leftChars="0" w:right="0" w:rightChars="0" w:firstLine="0" w:firstLineChars="0"/>
                    <w:jc w:val="center"/>
                    <w:rPr>
                      <w:rFonts w:eastAsia="宋体" w:cs="Times New Roman"/>
                      <w:color w:val="auto"/>
                      <w:kern w:val="2"/>
                      <w:szCs w:val="21"/>
                      <w:lang w:eastAsia="zh-CN" w:bidi="zh-CN"/>
                    </w:rPr>
                  </w:pPr>
                  <w:r>
                    <w:rPr>
                      <w:rFonts w:eastAsia="宋体" w:cs="Times New Roman"/>
                      <w:color w:val="auto"/>
                      <w:kern w:val="2"/>
                      <w:szCs w:val="21"/>
                      <w:lang w:eastAsia="zh-CN" w:bidi="zh-CN"/>
                    </w:rPr>
                    <w:t>焊接</w:t>
                  </w:r>
                </w:p>
              </w:tc>
              <w:tc>
                <w:tcPr>
                  <w:tcW w:w="771" w:type="pct"/>
                  <w:tcBorders>
                    <w:tl2br w:val="nil"/>
                    <w:tr2bl w:val="nil"/>
                  </w:tcBorders>
                  <w:vAlign w:val="center"/>
                </w:tcPr>
                <w:p w14:paraId="4A36B563">
                  <w:pPr>
                    <w:spacing w:line="240" w:lineRule="auto"/>
                    <w:ind w:left="0" w:leftChars="0" w:right="0" w:rightChars="0" w:firstLine="0" w:firstLineChars="0"/>
                    <w:jc w:val="center"/>
                    <w:rPr>
                      <w:rFonts w:eastAsia="宋体" w:cs="Times New Roman"/>
                      <w:color w:val="auto"/>
                      <w:kern w:val="2"/>
                      <w:szCs w:val="21"/>
                      <w:lang w:eastAsia="zh-CN" w:bidi="zh-CN"/>
                    </w:rPr>
                  </w:pPr>
                  <w:r>
                    <w:rPr>
                      <w:rFonts w:eastAsia="宋体" w:cs="Times New Roman"/>
                      <w:color w:val="auto"/>
                      <w:kern w:val="2"/>
                      <w:szCs w:val="21"/>
                      <w:lang w:eastAsia="zh-CN" w:bidi="zh-CN"/>
                    </w:rPr>
                    <w:t>颗粒物</w:t>
                  </w:r>
                </w:p>
              </w:tc>
              <w:tc>
                <w:tcPr>
                  <w:tcW w:w="1052" w:type="pct"/>
                  <w:tcBorders>
                    <w:tl2br w:val="nil"/>
                    <w:tr2bl w:val="nil"/>
                  </w:tcBorders>
                  <w:vAlign w:val="center"/>
                </w:tcPr>
                <w:p w14:paraId="3FEF4EB2">
                  <w:pPr>
                    <w:spacing w:line="240" w:lineRule="auto"/>
                    <w:ind w:left="0" w:leftChars="0" w:right="0" w:rightChars="0" w:firstLine="0" w:firstLineChars="0"/>
                    <w:jc w:val="center"/>
                    <w:rPr>
                      <w:rFonts w:eastAsia="宋体" w:cs="Times New Roman"/>
                      <w:color w:val="auto"/>
                      <w:kern w:val="2"/>
                      <w:szCs w:val="21"/>
                      <w:lang w:eastAsia="zh-CN" w:bidi="zh-CN"/>
                    </w:rPr>
                  </w:pPr>
                  <w:r>
                    <w:rPr>
                      <w:rFonts w:eastAsia="宋体" w:cs="Times New Roman"/>
                      <w:color w:val="auto"/>
                      <w:kern w:val="2"/>
                      <w:szCs w:val="21"/>
                      <w:lang w:eastAsia="zh-CN" w:bidi="zh-CN"/>
                    </w:rPr>
                    <w:t>千克/吨-原料</w:t>
                  </w:r>
                </w:p>
              </w:tc>
              <w:tc>
                <w:tcPr>
                  <w:tcW w:w="1124" w:type="pct"/>
                  <w:tcBorders>
                    <w:tl2br w:val="nil"/>
                    <w:tr2bl w:val="nil"/>
                  </w:tcBorders>
                  <w:vAlign w:val="center"/>
                </w:tcPr>
                <w:p w14:paraId="06FD8F3F">
                  <w:pPr>
                    <w:spacing w:line="240" w:lineRule="auto"/>
                    <w:ind w:left="0" w:leftChars="0" w:right="0" w:rightChars="0" w:firstLine="0" w:firstLineChars="0"/>
                    <w:jc w:val="center"/>
                    <w:rPr>
                      <w:rFonts w:eastAsia="宋体" w:cs="Times New Roman"/>
                      <w:color w:val="auto"/>
                      <w:kern w:val="2"/>
                      <w:szCs w:val="21"/>
                      <w:lang w:eastAsia="zh-CN" w:bidi="zh-CN"/>
                    </w:rPr>
                  </w:pPr>
                  <w:r>
                    <w:rPr>
                      <w:rFonts w:eastAsia="宋体" w:cs="Times New Roman"/>
                      <w:color w:val="auto"/>
                      <w:kern w:val="2"/>
                      <w:szCs w:val="21"/>
                      <w:lang w:eastAsia="zh-CN" w:bidi="zh-CN"/>
                    </w:rPr>
                    <w:t>9.19</w:t>
                  </w:r>
                </w:p>
              </w:tc>
              <w:tc>
                <w:tcPr>
                  <w:tcW w:w="1172" w:type="pct"/>
                  <w:tcBorders>
                    <w:tl2br w:val="nil"/>
                    <w:tr2bl w:val="nil"/>
                  </w:tcBorders>
                  <w:vAlign w:val="center"/>
                </w:tcPr>
                <w:p w14:paraId="66981930">
                  <w:pPr>
                    <w:spacing w:line="240" w:lineRule="auto"/>
                    <w:ind w:left="0" w:leftChars="0" w:right="0" w:rightChars="0" w:firstLine="0" w:firstLineChars="0"/>
                    <w:jc w:val="center"/>
                    <w:rPr>
                      <w:rFonts w:eastAsia="宋体" w:cs="Times New Roman"/>
                      <w:color w:val="auto"/>
                      <w:kern w:val="2"/>
                      <w:szCs w:val="21"/>
                      <w:lang w:eastAsia="zh-CN" w:bidi="zh-CN"/>
                    </w:rPr>
                  </w:pPr>
                  <w:r>
                    <w:rPr>
                      <w:rFonts w:hint="eastAsia" w:eastAsia="宋体" w:cs="Times New Roman"/>
                      <w:color w:val="auto"/>
                      <w:kern w:val="2"/>
                      <w:szCs w:val="21"/>
                      <w:lang w:eastAsia="zh-CN" w:bidi="zh-CN"/>
                    </w:rPr>
                    <w:t>0.028t/a</w:t>
                  </w:r>
                </w:p>
              </w:tc>
            </w:tr>
          </w:tbl>
          <w:p w14:paraId="272713E2">
            <w:pPr>
              <w:pStyle w:val="2"/>
              <w:numPr>
                <w:ilvl w:val="0"/>
                <w:numId w:val="6"/>
              </w:numPr>
              <w:ind w:left="0" w:leftChars="0" w:right="0" w:rightChars="0" w:firstLine="480"/>
              <w:jc w:val="both"/>
              <w:outlineLvl w:val="1"/>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喷涂</w:t>
            </w:r>
            <w:r>
              <w:rPr>
                <w:rFonts w:ascii="Times New Roman" w:hAnsi="Times New Roman" w:eastAsia="宋体" w:cs="Times New Roman"/>
                <w:color w:val="auto"/>
                <w:sz w:val="24"/>
                <w:szCs w:val="24"/>
                <w:lang w:eastAsia="zh-CN"/>
              </w:rPr>
              <w:t>粉尘</w:t>
            </w:r>
          </w:p>
          <w:p w14:paraId="3C1C8CEC">
            <w:pPr>
              <w:widowControl/>
              <w:ind w:left="0" w:leftChars="0" w:right="0" w:rightChars="0" w:firstLine="480"/>
              <w:jc w:val="both"/>
              <w:rPr>
                <w:rFonts w:eastAsia="宋体" w:cs="Times New Roman"/>
                <w:color w:val="0000FF"/>
                <w:sz w:val="24"/>
                <w:szCs w:val="24"/>
                <w:lang w:eastAsia="zh-CN"/>
              </w:rPr>
            </w:pPr>
            <w:r>
              <w:rPr>
                <w:rFonts w:eastAsia="宋体" w:cs="Times New Roman"/>
                <w:color w:val="0000FF"/>
                <w:sz w:val="24"/>
                <w:szCs w:val="24"/>
                <w:lang w:eastAsia="zh-CN" w:bidi="ar"/>
              </w:rPr>
              <w:t>本项目</w:t>
            </w:r>
            <w:r>
              <w:rPr>
                <w:rFonts w:hint="eastAsia" w:eastAsia="宋体" w:cs="Times New Roman"/>
                <w:color w:val="0000FF"/>
                <w:sz w:val="24"/>
                <w:szCs w:val="24"/>
                <w:lang w:eastAsia="zh-CN" w:bidi="ar"/>
              </w:rPr>
              <w:t>喷涂</w:t>
            </w:r>
            <w:r>
              <w:rPr>
                <w:rFonts w:eastAsia="宋体" w:cs="Times New Roman"/>
                <w:color w:val="0000FF"/>
                <w:sz w:val="24"/>
                <w:szCs w:val="24"/>
                <w:lang w:eastAsia="zh-CN" w:bidi="ar"/>
              </w:rPr>
              <w:t>作业设置在专用喷</w:t>
            </w:r>
            <w:r>
              <w:rPr>
                <w:rFonts w:hint="eastAsia" w:eastAsia="宋体" w:cs="Times New Roman"/>
                <w:color w:val="0000FF"/>
                <w:sz w:val="24"/>
                <w:szCs w:val="24"/>
                <w:lang w:eastAsia="zh-CN" w:bidi="ar"/>
              </w:rPr>
              <w:t>粉</w:t>
            </w:r>
            <w:r>
              <w:rPr>
                <w:rFonts w:eastAsia="宋体" w:cs="Times New Roman"/>
                <w:color w:val="0000FF"/>
                <w:sz w:val="24"/>
                <w:szCs w:val="24"/>
                <w:lang w:eastAsia="zh-CN" w:bidi="ar"/>
              </w:rPr>
              <w:t>房内</w:t>
            </w:r>
            <w:r>
              <w:rPr>
                <w:rFonts w:hint="eastAsia" w:eastAsia="宋体" w:cs="Times New Roman"/>
                <w:color w:val="0000FF"/>
                <w:sz w:val="24"/>
                <w:szCs w:val="24"/>
                <w:lang w:eastAsia="zh-CN" w:bidi="ar"/>
              </w:rPr>
              <w:t>，</w:t>
            </w:r>
            <w:r>
              <w:rPr>
                <w:rFonts w:eastAsia="宋体" w:cs="Times New Roman"/>
                <w:color w:val="0000FF"/>
                <w:sz w:val="24"/>
                <w:szCs w:val="24"/>
                <w:lang w:eastAsia="zh-CN" w:bidi="ar"/>
              </w:rPr>
              <w:t>利用喷粉机对工件表面进行静电喷涂</w:t>
            </w:r>
            <w:r>
              <w:rPr>
                <w:rFonts w:hint="eastAsia" w:eastAsia="宋体" w:cs="Times New Roman"/>
                <w:color w:val="0000FF"/>
                <w:sz w:val="24"/>
                <w:szCs w:val="24"/>
                <w:lang w:eastAsia="zh-CN" w:bidi="ar"/>
              </w:rPr>
              <w:t>。喷粉房底部有配套风机，使喷粉房内成负压状态。喷涂过程中未</w:t>
            </w:r>
            <w:r>
              <w:rPr>
                <w:rFonts w:eastAsia="宋体" w:cs="Times New Roman"/>
                <w:color w:val="0000FF"/>
                <w:sz w:val="24"/>
                <w:szCs w:val="24"/>
                <w:lang w:eastAsia="zh-CN" w:bidi="ar"/>
              </w:rPr>
              <w:t>被工件吸附的粉末</w:t>
            </w:r>
            <w:r>
              <w:rPr>
                <w:rFonts w:hint="eastAsia" w:eastAsia="宋体" w:cs="Times New Roman"/>
                <w:color w:val="0000FF"/>
                <w:sz w:val="24"/>
                <w:szCs w:val="24"/>
                <w:lang w:eastAsia="zh-CN" w:bidi="ar"/>
              </w:rPr>
              <w:t>经旋风回收装置回收后</w:t>
            </w:r>
            <w:r>
              <w:rPr>
                <w:rFonts w:eastAsia="宋体" w:cs="Times New Roman"/>
                <w:color w:val="0000FF"/>
                <w:sz w:val="24"/>
                <w:szCs w:val="24"/>
                <w:lang w:eastAsia="zh-CN" w:bidi="ar"/>
              </w:rPr>
              <w:t>再送至喷枪进行喷涂，</w:t>
            </w:r>
            <w:r>
              <w:rPr>
                <w:rFonts w:hint="eastAsia" w:eastAsia="宋体" w:cs="Times New Roman"/>
                <w:color w:val="0000FF"/>
                <w:sz w:val="24"/>
                <w:szCs w:val="24"/>
                <w:lang w:eastAsia="zh-CN" w:bidi="ar"/>
              </w:rPr>
              <w:t>喷粉房配套风机</w:t>
            </w:r>
            <w:r>
              <w:rPr>
                <w:rFonts w:eastAsia="宋体" w:cs="Times New Roman"/>
                <w:color w:val="0000FF"/>
                <w:sz w:val="24"/>
                <w:szCs w:val="24"/>
                <w:lang w:eastAsia="zh-CN" w:bidi="ar"/>
              </w:rPr>
              <w:t>风量为1</w:t>
            </w:r>
            <w:r>
              <w:rPr>
                <w:rFonts w:hint="eastAsia" w:eastAsia="宋体" w:cs="Times New Roman"/>
                <w:color w:val="0000FF"/>
                <w:sz w:val="24"/>
                <w:szCs w:val="24"/>
                <w:lang w:eastAsia="zh-CN" w:bidi="ar"/>
              </w:rPr>
              <w:t>2</w:t>
            </w:r>
            <w:r>
              <w:rPr>
                <w:rFonts w:eastAsia="宋体" w:cs="Times New Roman"/>
                <w:color w:val="0000FF"/>
                <w:sz w:val="24"/>
                <w:szCs w:val="24"/>
                <w:lang w:eastAsia="zh-CN" w:bidi="ar"/>
              </w:rPr>
              <w:t>000m</w:t>
            </w:r>
            <w:r>
              <w:rPr>
                <w:rFonts w:eastAsia="宋体" w:cs="Times New Roman"/>
                <w:color w:val="0000FF"/>
                <w:sz w:val="24"/>
                <w:szCs w:val="24"/>
                <w:vertAlign w:val="superscript"/>
                <w:lang w:eastAsia="zh-CN" w:bidi="ar"/>
              </w:rPr>
              <w:t>3</w:t>
            </w:r>
            <w:r>
              <w:rPr>
                <w:rFonts w:eastAsia="宋体" w:cs="Times New Roman"/>
                <w:color w:val="0000FF"/>
                <w:sz w:val="24"/>
                <w:szCs w:val="24"/>
                <w:lang w:eastAsia="zh-CN" w:bidi="ar"/>
              </w:rPr>
              <w:t>/h，</w:t>
            </w:r>
            <w:r>
              <w:rPr>
                <w:rFonts w:hint="eastAsia" w:eastAsia="宋体" w:cs="Times New Roman"/>
                <w:color w:val="0000FF"/>
                <w:sz w:val="24"/>
                <w:szCs w:val="24"/>
                <w:lang w:eastAsia="zh-CN" w:bidi="ar"/>
              </w:rPr>
              <w:t>收集率</w:t>
            </w:r>
            <w:r>
              <w:rPr>
                <w:rFonts w:hint="eastAsia" w:eastAsia="宋体" w:cs="Times New Roman"/>
                <w:color w:val="0000FF"/>
                <w:sz w:val="24"/>
                <w:szCs w:val="24"/>
                <w:lang w:val="en-US" w:eastAsia="zh-CN" w:bidi="ar"/>
              </w:rPr>
              <w:t>80</w:t>
            </w:r>
            <w:r>
              <w:rPr>
                <w:rFonts w:hint="eastAsia" w:eastAsia="宋体" w:cs="Times New Roman"/>
                <w:color w:val="0000FF"/>
                <w:sz w:val="24"/>
                <w:szCs w:val="24"/>
                <w:lang w:eastAsia="zh-CN" w:bidi="ar"/>
              </w:rPr>
              <w:t>%（剩余10%在喷粉房内沉降、</w:t>
            </w:r>
            <w:r>
              <w:rPr>
                <w:rFonts w:hint="eastAsia" w:eastAsia="宋体" w:cs="Times New Roman"/>
                <w:color w:val="0000FF"/>
                <w:sz w:val="24"/>
                <w:szCs w:val="24"/>
                <w:lang w:val="en-US" w:eastAsia="zh-CN" w:bidi="ar"/>
              </w:rPr>
              <w:t>10%在喷粉房进出口处沉降，全部</w:t>
            </w:r>
            <w:r>
              <w:rPr>
                <w:rFonts w:hint="eastAsia" w:eastAsia="宋体" w:cs="Times New Roman"/>
                <w:color w:val="0000FF"/>
                <w:sz w:val="24"/>
                <w:szCs w:val="24"/>
                <w:lang w:eastAsia="zh-CN" w:bidi="ar"/>
              </w:rPr>
              <w:t>收集后回用）。其中旋风回收装置</w:t>
            </w:r>
            <w:r>
              <w:rPr>
                <w:rFonts w:eastAsia="宋体" w:cs="Times New Roman"/>
                <w:color w:val="0000FF"/>
                <w:sz w:val="24"/>
                <w:szCs w:val="24"/>
                <w:lang w:eastAsia="zh-CN" w:bidi="ar"/>
              </w:rPr>
              <w:t>粉尘收集效率为</w:t>
            </w:r>
            <w:r>
              <w:rPr>
                <w:rFonts w:hint="eastAsia" w:eastAsia="宋体" w:cs="Times New Roman"/>
                <w:color w:val="0000FF"/>
                <w:sz w:val="24"/>
                <w:szCs w:val="24"/>
                <w:lang w:eastAsia="zh-CN" w:bidi="ar"/>
              </w:rPr>
              <w:t>60</w:t>
            </w:r>
            <w:r>
              <w:rPr>
                <w:rFonts w:eastAsia="宋体" w:cs="Times New Roman"/>
                <w:color w:val="0000FF"/>
                <w:sz w:val="24"/>
                <w:szCs w:val="24"/>
                <w:lang w:eastAsia="zh-CN" w:bidi="ar"/>
              </w:rPr>
              <w:t>%，</w:t>
            </w:r>
            <w:r>
              <w:rPr>
                <w:rFonts w:hint="eastAsia" w:eastAsia="宋体" w:cs="Times New Roman"/>
                <w:color w:val="0000FF"/>
                <w:sz w:val="24"/>
                <w:szCs w:val="24"/>
                <w:lang w:eastAsia="zh-CN" w:bidi="ar"/>
              </w:rPr>
              <w:t>未被旋风回收装置回收的粉尘经脉冲布袋除尘器（</w:t>
            </w:r>
            <w:r>
              <w:rPr>
                <w:rFonts w:eastAsia="宋体" w:cs="Times New Roman"/>
                <w:color w:val="0000FF"/>
                <w:sz w:val="24"/>
                <w:szCs w:val="24"/>
                <w:lang w:eastAsia="zh-CN" w:bidi="ar"/>
              </w:rPr>
              <w:t>除尘效率</w:t>
            </w:r>
            <w:r>
              <w:rPr>
                <w:rFonts w:hint="eastAsia" w:eastAsia="宋体" w:cs="Times New Roman"/>
                <w:color w:val="0000FF"/>
                <w:sz w:val="24"/>
                <w:szCs w:val="24"/>
                <w:lang w:eastAsia="zh-CN" w:bidi="ar"/>
              </w:rPr>
              <w:t>以</w:t>
            </w:r>
            <w:r>
              <w:rPr>
                <w:rFonts w:eastAsia="宋体" w:cs="Times New Roman"/>
                <w:color w:val="0000FF"/>
                <w:sz w:val="24"/>
                <w:szCs w:val="24"/>
                <w:lang w:eastAsia="zh-CN" w:bidi="ar"/>
              </w:rPr>
              <w:t>9</w:t>
            </w:r>
            <w:r>
              <w:rPr>
                <w:rFonts w:hint="eastAsia" w:eastAsia="宋体" w:cs="Times New Roman"/>
                <w:color w:val="0000FF"/>
                <w:sz w:val="24"/>
                <w:szCs w:val="24"/>
                <w:lang w:eastAsia="zh-CN" w:bidi="ar"/>
              </w:rPr>
              <w:t>9</w:t>
            </w:r>
            <w:r>
              <w:rPr>
                <w:rFonts w:eastAsia="宋体" w:cs="Times New Roman"/>
                <w:color w:val="0000FF"/>
                <w:sz w:val="24"/>
                <w:szCs w:val="24"/>
                <w:lang w:eastAsia="zh-CN" w:bidi="ar"/>
              </w:rPr>
              <w:t>%</w:t>
            </w:r>
            <w:r>
              <w:rPr>
                <w:rFonts w:hint="eastAsia" w:eastAsia="宋体" w:cs="Times New Roman"/>
                <w:color w:val="0000FF"/>
                <w:sz w:val="24"/>
                <w:szCs w:val="24"/>
                <w:lang w:eastAsia="zh-CN" w:bidi="ar"/>
              </w:rPr>
              <w:t>计）处理后，</w:t>
            </w:r>
            <w:r>
              <w:rPr>
                <w:rFonts w:hint="eastAsia" w:eastAsia="宋体" w:cs="Times New Roman"/>
                <w:color w:val="0000FF"/>
                <w:kern w:val="2"/>
                <w:sz w:val="24"/>
                <w:szCs w:val="24"/>
                <w:lang w:eastAsia="zh-CN" w:bidi="zh-CN"/>
              </w:rPr>
              <w:t>依托现有</w:t>
            </w:r>
            <w:r>
              <w:rPr>
                <w:rFonts w:eastAsia="宋体" w:cs="Times New Roman"/>
                <w:color w:val="0000FF"/>
                <w:sz w:val="24"/>
                <w:szCs w:val="24"/>
                <w:lang w:eastAsia="zh-CN" w:bidi="ar"/>
              </w:rPr>
              <w:t>15m</w:t>
            </w:r>
            <w:r>
              <w:rPr>
                <w:rFonts w:hint="eastAsia" w:eastAsia="宋体" w:cs="Times New Roman"/>
                <w:color w:val="0000FF"/>
                <w:sz w:val="24"/>
                <w:szCs w:val="24"/>
                <w:lang w:eastAsia="zh-CN" w:bidi="ar"/>
              </w:rPr>
              <w:t>高</w:t>
            </w:r>
            <w:r>
              <w:rPr>
                <w:rFonts w:eastAsia="宋体" w:cs="Times New Roman"/>
                <w:color w:val="0000FF"/>
                <w:sz w:val="24"/>
                <w:szCs w:val="24"/>
                <w:lang w:eastAsia="zh-CN" w:bidi="ar"/>
              </w:rPr>
              <w:t>排气筒</w:t>
            </w:r>
            <w:r>
              <w:rPr>
                <w:rFonts w:hint="eastAsia" w:eastAsia="宋体" w:cs="Times New Roman"/>
                <w:color w:val="0000FF"/>
                <w:sz w:val="24"/>
                <w:szCs w:val="24"/>
                <w:lang w:eastAsia="zh-CN" w:bidi="ar"/>
              </w:rPr>
              <w:t>（DA002）</w:t>
            </w:r>
            <w:r>
              <w:rPr>
                <w:rFonts w:eastAsia="宋体" w:cs="Times New Roman"/>
                <w:color w:val="0000FF"/>
                <w:sz w:val="24"/>
                <w:szCs w:val="24"/>
                <w:lang w:eastAsia="zh-CN" w:bidi="ar"/>
              </w:rPr>
              <w:t>排放，</w:t>
            </w:r>
            <w:r>
              <w:rPr>
                <w:rFonts w:hint="eastAsia" w:eastAsia="宋体" w:cs="Times New Roman"/>
                <w:color w:val="0000FF"/>
                <w:sz w:val="24"/>
                <w:szCs w:val="24"/>
                <w:lang w:eastAsia="zh-CN" w:bidi="ar"/>
              </w:rPr>
              <w:t>布袋除尘器收集的粉尘及喷粉房内沉降的粉尘全部回用于喷涂工序。</w:t>
            </w:r>
          </w:p>
          <w:p w14:paraId="042303B9">
            <w:pPr>
              <w:ind w:left="0" w:leftChars="0" w:right="0" w:rightChars="0" w:firstLine="480"/>
              <w:jc w:val="both"/>
              <w:rPr>
                <w:color w:val="0000FF"/>
                <w:sz w:val="24"/>
                <w:lang w:eastAsia="zh-CN"/>
              </w:rPr>
            </w:pPr>
            <w:r>
              <w:rPr>
                <w:rFonts w:eastAsia="宋体" w:cs="Times New Roman"/>
                <w:color w:val="0000FF"/>
                <w:kern w:val="2"/>
                <w:sz w:val="24"/>
                <w:szCs w:val="24"/>
                <w:lang w:eastAsia="zh-CN" w:bidi="zh-CN"/>
              </w:rPr>
              <w:t>根据生态环境部发布《排放源统计调查产排污核算方法和系数手册》的公告（公告2021年第24号）中</w:t>
            </w:r>
            <w:r>
              <w:rPr>
                <w:rFonts w:hint="eastAsia" w:eastAsia="宋体" w:cs="Times New Roman"/>
                <w:color w:val="0000FF"/>
                <w:kern w:val="2"/>
                <w:sz w:val="24"/>
                <w:szCs w:val="24"/>
                <w:lang w:eastAsia="zh-CN" w:bidi="zh-CN"/>
              </w:rPr>
              <w:t>“</w:t>
            </w:r>
            <w:r>
              <w:rPr>
                <w:rFonts w:eastAsia="宋体" w:cs="Times New Roman"/>
                <w:color w:val="0000FF"/>
                <w:kern w:val="2"/>
                <w:sz w:val="24"/>
                <w:szCs w:val="24"/>
                <w:lang w:eastAsia="zh-CN" w:bidi="zh-CN"/>
              </w:rPr>
              <w:t>33-37，431-434机械行业系数手册-33金属制品业</w:t>
            </w:r>
            <w:r>
              <w:rPr>
                <w:rFonts w:hint="eastAsia" w:eastAsia="宋体" w:cs="Times New Roman"/>
                <w:color w:val="0000FF"/>
                <w:kern w:val="2"/>
                <w:sz w:val="24"/>
                <w:szCs w:val="24"/>
                <w:lang w:eastAsia="zh-CN" w:bidi="zh-CN"/>
              </w:rPr>
              <w:t>”</w:t>
            </w:r>
            <w:r>
              <w:rPr>
                <w:rFonts w:eastAsia="宋体" w:cs="Times New Roman"/>
                <w:color w:val="0000FF"/>
                <w:kern w:val="2"/>
                <w:sz w:val="24"/>
                <w:szCs w:val="24"/>
                <w:lang w:eastAsia="zh-CN" w:bidi="zh-CN"/>
              </w:rPr>
              <w:t>，</w:t>
            </w:r>
            <w:r>
              <w:rPr>
                <w:rFonts w:hint="eastAsia" w:eastAsia="宋体" w:cs="Times New Roman"/>
                <w:color w:val="0000FF"/>
                <w:sz w:val="24"/>
                <w:lang w:eastAsia="zh-CN"/>
              </w:rPr>
              <w:t>喷涂</w:t>
            </w:r>
            <w:r>
              <w:rPr>
                <w:rFonts w:eastAsia="宋体" w:cs="Times New Roman"/>
                <w:color w:val="0000FF"/>
                <w:sz w:val="24"/>
                <w:lang w:eastAsia="zh-CN"/>
              </w:rPr>
              <w:t>工序粉末涂料</w:t>
            </w:r>
            <w:r>
              <w:rPr>
                <w:rFonts w:hint="eastAsia" w:eastAsia="宋体" w:cs="Times New Roman"/>
                <w:color w:val="0000FF"/>
                <w:sz w:val="24"/>
                <w:lang w:eastAsia="zh-CN"/>
              </w:rPr>
              <w:t>喷涂</w:t>
            </w:r>
            <w:r>
              <w:rPr>
                <w:rFonts w:eastAsia="宋体" w:cs="Times New Roman"/>
                <w:color w:val="0000FF"/>
                <w:sz w:val="24"/>
                <w:lang w:eastAsia="zh-CN"/>
              </w:rPr>
              <w:t>过程中颗粒物产生系数为</w:t>
            </w:r>
            <w:r>
              <w:rPr>
                <w:rFonts w:eastAsia="宋体" w:cs="Times New Roman"/>
                <w:color w:val="0000FF"/>
                <w:sz w:val="24"/>
                <w:szCs w:val="24"/>
                <w:lang w:eastAsia="zh-CN"/>
              </w:rPr>
              <w:t>300</w:t>
            </w:r>
            <w:r>
              <w:rPr>
                <w:rFonts w:eastAsia="宋体" w:cs="Times New Roman"/>
                <w:color w:val="0000FF"/>
                <w:kern w:val="2"/>
                <w:sz w:val="24"/>
                <w:szCs w:val="24"/>
                <w:lang w:eastAsia="zh-CN" w:bidi="zh-CN"/>
              </w:rPr>
              <w:t>千克/吨-</w:t>
            </w:r>
            <w:r>
              <w:rPr>
                <w:rFonts w:eastAsia="宋体" w:cs="Times New Roman"/>
                <w:color w:val="0000FF"/>
                <w:sz w:val="24"/>
                <w:lang w:eastAsia="zh-CN"/>
              </w:rPr>
              <w:t>原料，本扩建项目年用塑粉60t，</w:t>
            </w:r>
            <w:r>
              <w:rPr>
                <w:color w:val="0000FF"/>
                <w:sz w:val="24"/>
                <w:lang w:eastAsia="zh-CN"/>
              </w:rPr>
              <w:t>项目年工作</w:t>
            </w:r>
            <w:r>
              <w:rPr>
                <w:rFonts w:hint="eastAsia"/>
                <w:color w:val="0000FF"/>
                <w:sz w:val="24"/>
                <w:lang w:eastAsia="zh-CN"/>
              </w:rPr>
              <w:t>300</w:t>
            </w:r>
            <w:r>
              <w:rPr>
                <w:color w:val="0000FF"/>
                <w:sz w:val="24"/>
                <w:lang w:eastAsia="zh-CN"/>
              </w:rPr>
              <w:t>d，</w:t>
            </w:r>
            <w:r>
              <w:rPr>
                <w:rFonts w:hint="eastAsia"/>
                <w:color w:val="0000FF"/>
                <w:sz w:val="24"/>
                <w:lang w:eastAsia="zh-CN"/>
              </w:rPr>
              <w:t>喷涂工序</w:t>
            </w:r>
            <w:r>
              <w:rPr>
                <w:color w:val="0000FF"/>
                <w:sz w:val="24"/>
                <w:lang w:eastAsia="zh-CN"/>
              </w:rPr>
              <w:t>每天工作时间为</w:t>
            </w:r>
            <w:r>
              <w:rPr>
                <w:rFonts w:hint="eastAsia"/>
                <w:color w:val="0000FF"/>
                <w:sz w:val="24"/>
                <w:lang w:eastAsia="zh-CN"/>
              </w:rPr>
              <w:t>4</w:t>
            </w:r>
            <w:r>
              <w:rPr>
                <w:color w:val="0000FF"/>
                <w:sz w:val="24"/>
                <w:lang w:eastAsia="zh-CN"/>
              </w:rPr>
              <w:t>h。</w:t>
            </w:r>
          </w:p>
          <w:p w14:paraId="2203F575">
            <w:pPr>
              <w:ind w:firstLine="480"/>
              <w:jc w:val="both"/>
              <w:rPr>
                <w:color w:val="0000FF"/>
                <w:sz w:val="24"/>
                <w:lang w:eastAsia="zh-CN"/>
              </w:rPr>
            </w:pPr>
            <w:r>
              <w:rPr>
                <w:color w:val="0000FF"/>
                <w:sz w:val="24"/>
                <w:lang w:eastAsia="zh-CN"/>
              </w:rPr>
              <w:t>经核算，</w:t>
            </w:r>
            <w:r>
              <w:rPr>
                <w:rFonts w:hint="eastAsia"/>
                <w:color w:val="0000FF"/>
                <w:sz w:val="24"/>
                <w:lang w:eastAsia="zh-CN"/>
              </w:rPr>
              <w:t>喷涂粉尘</w:t>
            </w:r>
            <w:r>
              <w:rPr>
                <w:color w:val="0000FF"/>
                <w:sz w:val="24"/>
                <w:lang w:eastAsia="zh-CN"/>
              </w:rPr>
              <w:t>产生量为</w:t>
            </w:r>
            <w:r>
              <w:rPr>
                <w:rFonts w:hint="eastAsia"/>
                <w:color w:val="0000FF"/>
                <w:sz w:val="24"/>
                <w:lang w:eastAsia="zh-CN"/>
              </w:rPr>
              <w:t>18</w:t>
            </w:r>
            <w:r>
              <w:rPr>
                <w:color w:val="0000FF"/>
                <w:sz w:val="24"/>
                <w:lang w:eastAsia="zh-CN"/>
              </w:rPr>
              <w:t>t/a，</w:t>
            </w:r>
            <w:r>
              <w:rPr>
                <w:rFonts w:hint="eastAsia"/>
                <w:color w:val="0000FF"/>
                <w:sz w:val="24"/>
                <w:lang w:eastAsia="zh-CN"/>
              </w:rPr>
              <w:t>收集量为14.4</w:t>
            </w:r>
            <w:r>
              <w:rPr>
                <w:color w:val="0000FF"/>
                <w:sz w:val="24"/>
                <w:lang w:eastAsia="zh-CN"/>
              </w:rPr>
              <w:t>t/a，</w:t>
            </w:r>
            <w:r>
              <w:rPr>
                <w:rFonts w:hint="eastAsia"/>
                <w:color w:val="0000FF"/>
                <w:sz w:val="24"/>
                <w:lang w:eastAsia="zh-CN"/>
              </w:rPr>
              <w:t>10.8</w:t>
            </w:r>
            <w:r>
              <w:rPr>
                <w:color w:val="0000FF"/>
                <w:sz w:val="24"/>
                <w:lang w:eastAsia="zh-CN"/>
              </w:rPr>
              <w:t>kg/h；未</w:t>
            </w:r>
            <w:r>
              <w:rPr>
                <w:rFonts w:hint="eastAsia"/>
                <w:color w:val="0000FF"/>
                <w:sz w:val="24"/>
                <w:lang w:eastAsia="zh-CN"/>
              </w:rPr>
              <w:t>经</w:t>
            </w:r>
            <w:r>
              <w:rPr>
                <w:color w:val="0000FF"/>
                <w:sz w:val="24"/>
                <w:lang w:eastAsia="zh-CN"/>
              </w:rPr>
              <w:t>收集的</w:t>
            </w:r>
            <w:r>
              <w:rPr>
                <w:rFonts w:hint="eastAsia"/>
                <w:color w:val="0000FF"/>
                <w:sz w:val="24"/>
                <w:lang w:eastAsia="zh-CN"/>
              </w:rPr>
              <w:t>粉尘3.6</w:t>
            </w:r>
            <w:r>
              <w:rPr>
                <w:color w:val="0000FF"/>
                <w:sz w:val="24"/>
                <w:lang w:eastAsia="zh-CN"/>
              </w:rPr>
              <w:t>t/a，</w:t>
            </w:r>
            <w:r>
              <w:rPr>
                <w:rFonts w:hint="eastAsia"/>
                <w:color w:val="0000FF"/>
                <w:sz w:val="24"/>
                <w:lang w:val="en-US" w:eastAsia="zh-CN"/>
              </w:rPr>
              <w:t>3</w:t>
            </w:r>
            <w:r>
              <w:rPr>
                <w:color w:val="0000FF"/>
                <w:sz w:val="24"/>
                <w:lang w:eastAsia="zh-CN"/>
              </w:rPr>
              <w:t>kg/h，</w:t>
            </w:r>
            <w:r>
              <w:rPr>
                <w:rFonts w:hint="eastAsia"/>
                <w:color w:val="0000FF"/>
                <w:sz w:val="24"/>
                <w:lang w:eastAsia="zh-CN"/>
              </w:rPr>
              <w:t>在喷粉房自然沉降后全部收集回用于喷涂工序</w:t>
            </w:r>
            <w:r>
              <w:rPr>
                <w:color w:val="0000FF"/>
                <w:sz w:val="24"/>
                <w:lang w:eastAsia="zh-CN"/>
              </w:rPr>
              <w:t>。</w:t>
            </w:r>
          </w:p>
          <w:p w14:paraId="4558873D">
            <w:pPr>
              <w:spacing w:line="240" w:lineRule="auto"/>
              <w:ind w:left="0" w:leftChars="0" w:right="0" w:rightChars="0" w:firstLine="0" w:firstLineChars="0"/>
              <w:jc w:val="center"/>
              <w:rPr>
                <w:color w:val="auto"/>
              </w:rPr>
            </w:pPr>
            <w:r>
              <w:rPr>
                <w:color w:val="auto"/>
                <w:lang w:eastAsia="zh-CN"/>
              </w:rPr>
              <w:drawing>
                <wp:inline distT="0" distB="0" distL="114300" distR="114300">
                  <wp:extent cx="5474970" cy="2583815"/>
                  <wp:effectExtent l="0" t="0" r="11430" b="698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8"/>
                          <a:stretch>
                            <a:fillRect/>
                          </a:stretch>
                        </pic:blipFill>
                        <pic:spPr>
                          <a:xfrm>
                            <a:off x="0" y="0"/>
                            <a:ext cx="5474970" cy="2583815"/>
                          </a:xfrm>
                          <a:prstGeom prst="rect">
                            <a:avLst/>
                          </a:prstGeom>
                          <a:noFill/>
                          <a:ln>
                            <a:noFill/>
                          </a:ln>
                        </pic:spPr>
                      </pic:pic>
                    </a:graphicData>
                  </a:graphic>
                </wp:inline>
              </w:drawing>
            </w:r>
          </w:p>
          <w:p w14:paraId="33FE12DE">
            <w:pPr>
              <w:ind w:left="0" w:leftChars="0" w:right="0" w:rightChars="0" w:firstLine="0" w:firstLineChars="0"/>
              <w:jc w:val="center"/>
              <w:rPr>
                <w:rFonts w:eastAsia="宋体" w:cs="Times New Roman"/>
                <w:b/>
                <w:bCs/>
                <w:color w:val="auto"/>
                <w:lang w:eastAsia="zh-CN"/>
              </w:rPr>
            </w:pPr>
            <w:r>
              <w:rPr>
                <w:rFonts w:eastAsia="宋体" w:cs="Times New Roman"/>
                <w:b/>
                <w:bCs/>
                <w:color w:val="auto"/>
                <w:lang w:eastAsia="zh-CN"/>
              </w:rPr>
              <w:t>图4-1   喷粉工艺示意图</w:t>
            </w:r>
          </w:p>
          <w:p w14:paraId="7D64BB45">
            <w:pPr>
              <w:numPr>
                <w:ilvl w:val="0"/>
                <w:numId w:val="6"/>
              </w:numPr>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rPr>
              <w:t>固化</w:t>
            </w:r>
            <w:r>
              <w:rPr>
                <w:rFonts w:eastAsia="宋体" w:cs="Times New Roman"/>
                <w:color w:val="auto"/>
                <w:sz w:val="24"/>
                <w:szCs w:val="24"/>
                <w:lang w:eastAsia="zh-CN"/>
              </w:rPr>
              <w:t>废气</w:t>
            </w:r>
          </w:p>
          <w:p w14:paraId="090EA0B5">
            <w:pPr>
              <w:adjustRightInd w:val="0"/>
              <w:snapToGrid w:val="0"/>
              <w:ind w:left="0" w:leftChars="0" w:right="0" w:rightChars="0" w:firstLine="480"/>
              <w:jc w:val="both"/>
              <w:rPr>
                <w:color w:val="auto"/>
                <w:sz w:val="24"/>
                <w:lang w:eastAsia="zh-CN"/>
              </w:rPr>
            </w:pPr>
            <w:r>
              <w:rPr>
                <w:color w:val="auto"/>
                <w:sz w:val="24"/>
                <w:lang w:eastAsia="zh-CN"/>
              </w:rPr>
              <w:t>项目使用环氧树脂类粉末涂料（不含溶剂成分），属于高分子聚合物，热分解温度在300℃以上，在</w:t>
            </w:r>
            <w:r>
              <w:rPr>
                <w:rFonts w:hint="eastAsia"/>
                <w:color w:val="auto"/>
                <w:sz w:val="24"/>
                <w:lang w:eastAsia="zh-CN"/>
              </w:rPr>
              <w:t>固化</w:t>
            </w:r>
            <w:r>
              <w:rPr>
                <w:color w:val="auto"/>
                <w:sz w:val="24"/>
                <w:lang w:eastAsia="zh-CN"/>
              </w:rPr>
              <w:t>过程中不会造成塑粉分解，但会产生少量挥发性</w:t>
            </w:r>
            <w:r>
              <w:rPr>
                <w:rFonts w:hint="eastAsia"/>
                <w:color w:val="auto"/>
                <w:sz w:val="24"/>
                <w:lang w:eastAsia="zh-CN"/>
              </w:rPr>
              <w:t>有机废气</w:t>
            </w:r>
            <w:r>
              <w:rPr>
                <w:color w:val="auto"/>
                <w:sz w:val="24"/>
                <w:lang w:eastAsia="zh-CN"/>
              </w:rPr>
              <w:t>（以非甲烷总烃计）。</w:t>
            </w:r>
          </w:p>
          <w:p w14:paraId="52E11DFC">
            <w:pPr>
              <w:adjustRightInd w:val="0"/>
              <w:snapToGrid w:val="0"/>
              <w:ind w:left="0" w:leftChars="0" w:right="0" w:rightChars="0" w:firstLine="480"/>
              <w:jc w:val="both"/>
              <w:rPr>
                <w:color w:val="auto"/>
                <w:sz w:val="24"/>
                <w:lang w:eastAsia="zh-CN"/>
              </w:rPr>
            </w:pPr>
            <w:r>
              <w:rPr>
                <w:rFonts w:hint="eastAsia" w:eastAsia="宋体" w:cs="Times New Roman"/>
                <w:color w:val="auto"/>
                <w:kern w:val="2"/>
                <w:sz w:val="24"/>
                <w:szCs w:val="24"/>
                <w:lang w:eastAsia="zh-CN" w:bidi="zh-CN"/>
              </w:rPr>
              <w:t>根据生态环境部发布《排放源统计调查产排污核算方法和系数手册》的公告（公告2021年第24号）中</w:t>
            </w:r>
            <w:r>
              <w:rPr>
                <w:rFonts w:hint="eastAsia" w:cs="Times New Roman"/>
                <w:color w:val="auto"/>
                <w:kern w:val="2"/>
                <w:sz w:val="24"/>
                <w:szCs w:val="24"/>
                <w:lang w:eastAsia="zh-CN" w:bidi="zh-CN"/>
              </w:rPr>
              <w:t>“</w:t>
            </w:r>
            <w:r>
              <w:rPr>
                <w:rFonts w:hint="eastAsia" w:eastAsia="宋体" w:cs="Times New Roman"/>
                <w:color w:val="auto"/>
                <w:kern w:val="2"/>
                <w:sz w:val="24"/>
                <w:szCs w:val="24"/>
                <w:lang w:eastAsia="zh-CN" w:bidi="zh-CN"/>
              </w:rPr>
              <w:t>33-37，431-434机械行业系数手册-33金属制品业</w:t>
            </w:r>
            <w:r>
              <w:rPr>
                <w:rFonts w:hint="eastAsia" w:cs="Times New Roman"/>
                <w:color w:val="auto"/>
                <w:kern w:val="2"/>
                <w:sz w:val="24"/>
                <w:szCs w:val="24"/>
                <w:lang w:eastAsia="zh-CN" w:bidi="zh-CN"/>
              </w:rPr>
              <w:t>”</w:t>
            </w:r>
            <w:r>
              <w:rPr>
                <w:rFonts w:hint="eastAsia" w:eastAsia="宋体" w:cs="Times New Roman"/>
                <w:color w:val="auto"/>
                <w:kern w:val="2"/>
                <w:sz w:val="24"/>
                <w:szCs w:val="24"/>
                <w:lang w:eastAsia="zh-CN" w:bidi="zh-CN"/>
              </w:rPr>
              <w:t>，</w:t>
            </w:r>
            <w:r>
              <w:rPr>
                <w:rFonts w:hint="eastAsia"/>
                <w:color w:val="auto"/>
                <w:sz w:val="24"/>
                <w:lang w:eastAsia="zh-CN"/>
              </w:rPr>
              <w:t>喷涂工序</w:t>
            </w:r>
            <w:r>
              <w:rPr>
                <w:color w:val="auto"/>
                <w:sz w:val="24"/>
                <w:lang w:eastAsia="zh-CN"/>
              </w:rPr>
              <w:t>粉末涂料</w:t>
            </w:r>
            <w:r>
              <w:rPr>
                <w:rFonts w:hint="eastAsia"/>
                <w:color w:val="auto"/>
                <w:sz w:val="24"/>
                <w:lang w:eastAsia="zh-CN"/>
              </w:rPr>
              <w:t>喷涂</w:t>
            </w:r>
            <w:r>
              <w:rPr>
                <w:color w:val="auto"/>
                <w:sz w:val="24"/>
                <w:lang w:eastAsia="zh-CN"/>
              </w:rPr>
              <w:t>后</w:t>
            </w:r>
            <w:r>
              <w:rPr>
                <w:rFonts w:hint="eastAsia"/>
                <w:color w:val="auto"/>
                <w:sz w:val="24"/>
                <w:lang w:eastAsia="zh-CN"/>
              </w:rPr>
              <w:t>固化</w:t>
            </w:r>
            <w:r>
              <w:rPr>
                <w:color w:val="auto"/>
                <w:sz w:val="24"/>
                <w:lang w:eastAsia="zh-CN"/>
              </w:rPr>
              <w:t>过程挥发性有机废气的产生系数为1.2kg/t原料</w:t>
            </w:r>
            <w:r>
              <w:rPr>
                <w:rFonts w:hint="eastAsia"/>
                <w:color w:val="auto"/>
                <w:sz w:val="24"/>
                <w:lang w:eastAsia="zh-CN"/>
              </w:rPr>
              <w:t>。</w:t>
            </w:r>
          </w:p>
          <w:p w14:paraId="3529CAAB">
            <w:pPr>
              <w:adjustRightInd w:val="0"/>
              <w:snapToGrid w:val="0"/>
              <w:ind w:left="0" w:leftChars="0" w:right="0" w:rightChars="0" w:firstLine="480"/>
              <w:jc w:val="both"/>
              <w:rPr>
                <w:color w:val="auto"/>
                <w:sz w:val="24"/>
                <w:lang w:eastAsia="zh-CN"/>
              </w:rPr>
            </w:pPr>
            <w:r>
              <w:rPr>
                <w:rFonts w:hint="eastAsia"/>
                <w:color w:val="auto"/>
                <w:sz w:val="24"/>
                <w:lang w:eastAsia="zh-CN"/>
              </w:rPr>
              <w:t>本项目固化炉出口设集气罩（风机量</w:t>
            </w:r>
            <w:r>
              <w:rPr>
                <w:color w:val="auto"/>
                <w:sz w:val="24"/>
                <w:lang w:eastAsia="zh-CN"/>
              </w:rPr>
              <w:t>5000m</w:t>
            </w:r>
            <w:r>
              <w:rPr>
                <w:color w:val="auto"/>
                <w:sz w:val="24"/>
                <w:vertAlign w:val="superscript"/>
                <w:lang w:eastAsia="zh-CN"/>
              </w:rPr>
              <w:t>3</w:t>
            </w:r>
            <w:r>
              <w:rPr>
                <w:color w:val="auto"/>
                <w:sz w:val="24"/>
                <w:lang w:eastAsia="zh-CN"/>
              </w:rPr>
              <w:t>/h</w:t>
            </w:r>
            <w:r>
              <w:rPr>
                <w:rFonts w:hint="eastAsia"/>
                <w:color w:val="auto"/>
                <w:sz w:val="24"/>
                <w:lang w:eastAsia="zh-CN"/>
              </w:rPr>
              <w:t>），</w:t>
            </w:r>
            <w:r>
              <w:rPr>
                <w:rFonts w:eastAsia="宋体" w:cs="Times New Roman"/>
                <w:color w:val="auto"/>
                <w:sz w:val="24"/>
                <w:szCs w:val="24"/>
                <w:lang w:eastAsia="zh-CN"/>
              </w:rPr>
              <w:t>按照《陕西省大气主要污染物许可排放量及实际排放量核定方法》</w:t>
            </w:r>
            <w:r>
              <w:rPr>
                <w:rFonts w:hint="eastAsia" w:eastAsia="宋体" w:cs="Times New Roman"/>
                <w:color w:val="auto"/>
                <w:sz w:val="24"/>
                <w:szCs w:val="24"/>
                <w:lang w:eastAsia="zh-CN"/>
              </w:rPr>
              <w:t>包围型集气设备敞开面控制风速不小于0.5m/s，</w:t>
            </w:r>
            <w:r>
              <w:rPr>
                <w:rFonts w:eastAsia="宋体" w:cs="Times New Roman"/>
                <w:color w:val="auto"/>
                <w:sz w:val="24"/>
                <w:szCs w:val="24"/>
                <w:lang w:eastAsia="zh-CN"/>
              </w:rPr>
              <w:t>集气效率以8</w:t>
            </w:r>
            <w:r>
              <w:rPr>
                <w:rFonts w:hint="eastAsia" w:eastAsia="宋体" w:cs="Times New Roman"/>
                <w:color w:val="auto"/>
                <w:sz w:val="24"/>
                <w:szCs w:val="24"/>
                <w:lang w:eastAsia="zh-CN"/>
              </w:rPr>
              <w:t>0</w:t>
            </w:r>
            <w:r>
              <w:rPr>
                <w:rFonts w:eastAsia="宋体" w:cs="Times New Roman"/>
                <w:color w:val="auto"/>
                <w:sz w:val="24"/>
                <w:szCs w:val="24"/>
                <w:lang w:eastAsia="zh-CN"/>
              </w:rPr>
              <w:t>%计，</w:t>
            </w:r>
            <w:r>
              <w:rPr>
                <w:color w:val="auto"/>
                <w:sz w:val="24"/>
                <w:lang w:eastAsia="zh-CN"/>
              </w:rPr>
              <w:t>参照《广东省印刷行业挥发性有机化合物废气治理技术指南》，采用吸附法处理有机废气的去除效率为50%~80%，本项目取平均值65%，则两级活性炭吸附有机废气处理效率为1-（1-65%）×（1-65%）=87.75%，本次评价取85%，</w:t>
            </w:r>
            <w:r>
              <w:rPr>
                <w:rFonts w:hint="eastAsia"/>
                <w:color w:val="auto"/>
                <w:sz w:val="24"/>
                <w:lang w:eastAsia="zh-CN"/>
              </w:rPr>
              <w:t>处理后的有机废气依托现有</w:t>
            </w:r>
            <w:r>
              <w:rPr>
                <w:rFonts w:hint="eastAsia" w:eastAsia="宋体" w:cs="Times New Roman"/>
                <w:color w:val="auto"/>
                <w:sz w:val="24"/>
                <w:szCs w:val="24"/>
                <w:lang w:eastAsia="zh-CN" w:bidi="ar"/>
              </w:rPr>
              <w:t>15m高排气筒（DA003）排放。</w:t>
            </w:r>
          </w:p>
          <w:p w14:paraId="3CB9A4C7">
            <w:pPr>
              <w:ind w:firstLine="480"/>
              <w:jc w:val="both"/>
              <w:rPr>
                <w:color w:val="auto"/>
                <w:sz w:val="24"/>
                <w:lang w:eastAsia="zh-CN"/>
              </w:rPr>
            </w:pPr>
            <w:r>
              <w:rPr>
                <w:rFonts w:hint="eastAsia"/>
                <w:color w:val="auto"/>
                <w:sz w:val="24"/>
                <w:lang w:eastAsia="zh-CN"/>
              </w:rPr>
              <w:t>本</w:t>
            </w:r>
            <w:r>
              <w:rPr>
                <w:color w:val="auto"/>
                <w:sz w:val="24"/>
                <w:lang w:eastAsia="zh-CN"/>
              </w:rPr>
              <w:t>项目年用塑粉</w:t>
            </w:r>
            <w:r>
              <w:rPr>
                <w:rFonts w:hint="eastAsia"/>
                <w:color w:val="auto"/>
                <w:sz w:val="24"/>
                <w:lang w:eastAsia="zh-CN"/>
              </w:rPr>
              <w:t>60</w:t>
            </w:r>
            <w:r>
              <w:rPr>
                <w:color w:val="auto"/>
                <w:sz w:val="24"/>
                <w:lang w:eastAsia="zh-CN"/>
              </w:rPr>
              <w:t>t，</w:t>
            </w:r>
            <w:r>
              <w:rPr>
                <w:rFonts w:hint="eastAsia"/>
                <w:color w:val="auto"/>
                <w:sz w:val="24"/>
                <w:lang w:eastAsia="zh-CN"/>
              </w:rPr>
              <w:t>固化工序年</w:t>
            </w:r>
            <w:r>
              <w:rPr>
                <w:color w:val="auto"/>
                <w:sz w:val="24"/>
                <w:lang w:eastAsia="zh-CN"/>
              </w:rPr>
              <w:t>工作</w:t>
            </w:r>
            <w:r>
              <w:rPr>
                <w:rFonts w:hint="eastAsia"/>
                <w:color w:val="auto"/>
                <w:sz w:val="24"/>
                <w:lang w:eastAsia="zh-CN"/>
              </w:rPr>
              <w:t>300</w:t>
            </w:r>
            <w:r>
              <w:rPr>
                <w:color w:val="auto"/>
                <w:sz w:val="24"/>
                <w:lang w:eastAsia="zh-CN"/>
              </w:rPr>
              <w:t>d，每天工作时间为</w:t>
            </w:r>
            <w:r>
              <w:rPr>
                <w:rFonts w:hint="eastAsia"/>
                <w:color w:val="auto"/>
                <w:sz w:val="24"/>
                <w:lang w:eastAsia="zh-CN"/>
              </w:rPr>
              <w:t>4</w:t>
            </w:r>
            <w:r>
              <w:rPr>
                <w:color w:val="auto"/>
                <w:sz w:val="24"/>
                <w:lang w:eastAsia="zh-CN"/>
              </w:rPr>
              <w:t>h</w:t>
            </w:r>
            <w:r>
              <w:rPr>
                <w:rFonts w:hint="eastAsia"/>
                <w:color w:val="auto"/>
                <w:sz w:val="24"/>
                <w:lang w:eastAsia="zh-CN"/>
              </w:rPr>
              <w:t>。</w:t>
            </w:r>
            <w:r>
              <w:rPr>
                <w:color w:val="auto"/>
                <w:sz w:val="24"/>
                <w:lang w:eastAsia="zh-CN"/>
              </w:rPr>
              <w:t>经核算，</w:t>
            </w:r>
            <w:r>
              <w:rPr>
                <w:rFonts w:hint="eastAsia"/>
                <w:color w:val="auto"/>
                <w:sz w:val="24"/>
                <w:lang w:eastAsia="zh-CN"/>
              </w:rPr>
              <w:t>固化废气非甲烷总烃</w:t>
            </w:r>
            <w:r>
              <w:rPr>
                <w:color w:val="auto"/>
                <w:sz w:val="24"/>
                <w:lang w:eastAsia="zh-CN"/>
              </w:rPr>
              <w:t>产生量为</w:t>
            </w:r>
            <w:r>
              <w:rPr>
                <w:rFonts w:hint="eastAsia"/>
                <w:color w:val="auto"/>
                <w:sz w:val="24"/>
                <w:lang w:eastAsia="zh-CN"/>
              </w:rPr>
              <w:t>0.072</w:t>
            </w:r>
            <w:r>
              <w:rPr>
                <w:color w:val="auto"/>
                <w:sz w:val="24"/>
                <w:lang w:eastAsia="zh-CN"/>
              </w:rPr>
              <w:t>t/a，</w:t>
            </w:r>
            <w:r>
              <w:rPr>
                <w:rFonts w:hint="eastAsia"/>
                <w:color w:val="auto"/>
                <w:sz w:val="24"/>
                <w:lang w:eastAsia="zh-CN"/>
              </w:rPr>
              <w:t>收集量为0.0576</w:t>
            </w:r>
            <w:r>
              <w:rPr>
                <w:color w:val="auto"/>
                <w:sz w:val="24"/>
                <w:lang w:eastAsia="zh-CN"/>
              </w:rPr>
              <w:t>t/a，</w:t>
            </w:r>
            <w:r>
              <w:rPr>
                <w:rFonts w:hint="eastAsia"/>
                <w:color w:val="auto"/>
                <w:sz w:val="24"/>
                <w:lang w:eastAsia="zh-CN"/>
              </w:rPr>
              <w:t>0.048</w:t>
            </w:r>
            <w:r>
              <w:rPr>
                <w:color w:val="auto"/>
                <w:sz w:val="24"/>
                <w:lang w:eastAsia="zh-CN"/>
              </w:rPr>
              <w:t>kg/h；</w:t>
            </w:r>
            <w:r>
              <w:rPr>
                <w:rFonts w:hint="eastAsia"/>
                <w:color w:val="auto"/>
                <w:sz w:val="24"/>
                <w:lang w:eastAsia="zh-CN"/>
              </w:rPr>
              <w:t>未经收集非甲烷总烃0.0144</w:t>
            </w:r>
            <w:r>
              <w:rPr>
                <w:color w:val="auto"/>
                <w:sz w:val="24"/>
                <w:lang w:eastAsia="zh-CN"/>
              </w:rPr>
              <w:t>t/a，</w:t>
            </w:r>
            <w:r>
              <w:rPr>
                <w:rFonts w:hint="eastAsia"/>
                <w:color w:val="auto"/>
                <w:sz w:val="24"/>
                <w:lang w:eastAsia="zh-CN"/>
              </w:rPr>
              <w:t>0.012</w:t>
            </w:r>
            <w:r>
              <w:rPr>
                <w:color w:val="auto"/>
                <w:sz w:val="24"/>
                <w:lang w:eastAsia="zh-CN"/>
              </w:rPr>
              <w:t>kg/h，以无组织形式排放。</w:t>
            </w:r>
          </w:p>
          <w:p w14:paraId="0EBDE740">
            <w:pPr>
              <w:pStyle w:val="2"/>
              <w:numPr>
                <w:ilvl w:val="0"/>
                <w:numId w:val="6"/>
              </w:numPr>
              <w:ind w:left="0" w:leftChars="0" w:right="0" w:rightChars="0" w:firstLine="480"/>
              <w:jc w:val="both"/>
              <w:outlineLvl w:val="1"/>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燃烧机废气</w:t>
            </w:r>
          </w:p>
          <w:p w14:paraId="076BB2F1">
            <w:pPr>
              <w:widowControl/>
              <w:ind w:left="0" w:leftChars="0" w:right="0" w:rightChars="0" w:firstLine="480"/>
              <w:jc w:val="both"/>
              <w:rPr>
                <w:rFonts w:eastAsia="宋体" w:cs="Times New Roman"/>
                <w:color w:val="auto"/>
                <w:kern w:val="2"/>
                <w:sz w:val="24"/>
                <w:szCs w:val="24"/>
                <w:lang w:eastAsia="zh-CN" w:bidi="zh-CN"/>
              </w:rPr>
            </w:pPr>
            <w:r>
              <w:rPr>
                <w:rFonts w:hint="eastAsia" w:eastAsia="宋体" w:cs="Times New Roman"/>
                <w:color w:val="auto"/>
                <w:kern w:val="2"/>
                <w:sz w:val="24"/>
                <w:szCs w:val="24"/>
                <w:lang w:eastAsia="zh-CN" w:bidi="zh-CN"/>
              </w:rPr>
              <w:t>根据生态环境部发布《排放源统计调查产排污核算方法和系数手册》的公告（公告2021年第24号）中</w:t>
            </w:r>
            <w:r>
              <w:rPr>
                <w:rFonts w:hint="eastAsia" w:cs="Times New Roman"/>
                <w:color w:val="auto"/>
                <w:kern w:val="2"/>
                <w:sz w:val="24"/>
                <w:szCs w:val="24"/>
                <w:lang w:eastAsia="zh-CN" w:bidi="zh-CN"/>
              </w:rPr>
              <w:t>“</w:t>
            </w:r>
            <w:r>
              <w:rPr>
                <w:rFonts w:hint="eastAsia" w:eastAsia="宋体" w:cs="Times New Roman"/>
                <w:color w:val="auto"/>
                <w:kern w:val="2"/>
                <w:sz w:val="24"/>
                <w:szCs w:val="24"/>
                <w:lang w:eastAsia="zh-CN" w:bidi="zh-CN"/>
              </w:rPr>
              <w:t>33-37，431-434机械行业系数手册-33金属制品业</w:t>
            </w:r>
            <w:r>
              <w:rPr>
                <w:rFonts w:hint="eastAsia" w:cs="Times New Roman"/>
                <w:color w:val="auto"/>
                <w:kern w:val="2"/>
                <w:sz w:val="24"/>
                <w:szCs w:val="24"/>
                <w:lang w:eastAsia="zh-CN" w:bidi="zh-CN"/>
              </w:rPr>
              <w:t>”</w:t>
            </w:r>
            <w:r>
              <w:rPr>
                <w:rFonts w:hint="eastAsia" w:eastAsia="宋体" w:cs="Times New Roman"/>
                <w:color w:val="auto"/>
                <w:kern w:val="2"/>
                <w:sz w:val="24"/>
                <w:szCs w:val="24"/>
                <w:lang w:eastAsia="zh-CN" w:bidi="zh-CN"/>
              </w:rPr>
              <w:t>，喷涂工序天然气工业废气量产污系数为13.6立方米/立方米-原料，</w:t>
            </w:r>
            <w:r>
              <w:rPr>
                <w:color w:val="auto"/>
                <w:sz w:val="24"/>
                <w:lang w:eastAsia="zh-CN"/>
              </w:rPr>
              <w:t>根据建设单位提供资料，</w:t>
            </w:r>
            <w:r>
              <w:rPr>
                <w:rFonts w:hint="eastAsia" w:eastAsia="宋体" w:cs="Times New Roman"/>
                <w:color w:val="auto"/>
                <w:kern w:val="2"/>
                <w:sz w:val="24"/>
                <w:szCs w:val="24"/>
                <w:lang w:eastAsia="zh-CN" w:bidi="zh-CN"/>
              </w:rPr>
              <w:t>本项目天然气使用量为4万立方米，则废气产生量为544000立方米，</w:t>
            </w:r>
            <w:r>
              <w:rPr>
                <w:rFonts w:hint="eastAsia" w:ascii="宋体" w:hAnsi="宋体" w:eastAsia="宋体" w:cs="宋体"/>
                <w:color w:val="auto"/>
                <w:sz w:val="24"/>
                <w:szCs w:val="24"/>
                <w:lang w:eastAsia="zh-CN" w:bidi="ar"/>
              </w:rPr>
              <w:t>燃烧废气</w:t>
            </w:r>
            <w:r>
              <w:rPr>
                <w:rFonts w:hint="eastAsia" w:eastAsia="宋体" w:cs="Times New Roman"/>
                <w:color w:val="auto"/>
                <w:kern w:val="2"/>
                <w:sz w:val="24"/>
                <w:szCs w:val="24"/>
                <w:lang w:eastAsia="zh-CN" w:bidi="zh-CN"/>
              </w:rPr>
              <w:t>依托现有</w:t>
            </w:r>
            <w:r>
              <w:rPr>
                <w:rFonts w:hint="eastAsia" w:eastAsia="宋体" w:cs="Times New Roman"/>
                <w:color w:val="auto"/>
                <w:sz w:val="24"/>
                <w:szCs w:val="24"/>
                <w:lang w:eastAsia="zh-CN" w:bidi="ar"/>
              </w:rPr>
              <w:t>15m高排气筒（DA003）排放。</w:t>
            </w:r>
          </w:p>
          <w:p w14:paraId="3580BFF2">
            <w:pPr>
              <w:widowControl/>
              <w:ind w:left="0" w:leftChars="0" w:right="0" w:rightChars="0" w:firstLine="480"/>
              <w:jc w:val="both"/>
              <w:rPr>
                <w:color w:val="auto"/>
                <w:lang w:eastAsia="zh-CN"/>
              </w:rPr>
            </w:pPr>
            <w:r>
              <w:rPr>
                <w:rFonts w:hint="eastAsia" w:eastAsia="宋体" w:cs="Times New Roman"/>
                <w:color w:val="auto"/>
                <w:kern w:val="2"/>
                <w:sz w:val="24"/>
                <w:szCs w:val="24"/>
                <w:lang w:eastAsia="zh-CN" w:bidi="zh-CN"/>
              </w:rPr>
              <w:t>由于</w:t>
            </w:r>
            <w:r>
              <w:rPr>
                <w:rFonts w:hint="eastAsia" w:ascii="宋体" w:hAnsi="宋体" w:eastAsia="宋体" w:cs="宋体"/>
                <w:color w:val="auto"/>
                <w:sz w:val="24"/>
                <w:szCs w:val="24"/>
                <w:lang w:eastAsia="zh-CN" w:bidi="ar"/>
              </w:rPr>
              <w:t>本扩建项目喷涂工艺、固化工艺、喷涂原料、燃烧机燃料、燃烧机参数均未发生变化，固本次评价燃烧机废气排放浓度直接引用现有项目自行监测数据中的最大值，见下表。</w:t>
            </w:r>
          </w:p>
          <w:p w14:paraId="26E116A3">
            <w:pPr>
              <w:widowControl/>
              <w:spacing w:line="240" w:lineRule="auto"/>
              <w:ind w:left="0" w:leftChars="0" w:right="0" w:rightChars="0" w:firstLine="0" w:firstLineChars="0"/>
              <w:jc w:val="center"/>
              <w:rPr>
                <w:rFonts w:eastAsia="宋体" w:cs="Times New Roman"/>
                <w:b/>
                <w:bCs/>
                <w:color w:val="auto"/>
                <w:szCs w:val="21"/>
                <w:lang w:eastAsia="zh-CN" w:bidi="ar"/>
              </w:rPr>
            </w:pPr>
            <w:r>
              <w:rPr>
                <w:rFonts w:eastAsia="宋体" w:cs="Times New Roman"/>
                <w:b/>
                <w:bCs/>
                <w:color w:val="auto"/>
                <w:szCs w:val="21"/>
                <w:lang w:eastAsia="zh-CN" w:bidi="ar"/>
              </w:rPr>
              <w:t>表4-</w:t>
            </w:r>
            <w:r>
              <w:rPr>
                <w:rFonts w:hint="eastAsia" w:eastAsia="宋体" w:cs="Times New Roman"/>
                <w:b/>
                <w:bCs/>
                <w:color w:val="auto"/>
                <w:szCs w:val="21"/>
                <w:lang w:eastAsia="zh-CN" w:bidi="ar"/>
              </w:rPr>
              <w:t>4</w:t>
            </w:r>
            <w:r>
              <w:rPr>
                <w:rFonts w:eastAsia="宋体" w:cs="Times New Roman"/>
                <w:b/>
                <w:bCs/>
                <w:color w:val="auto"/>
                <w:szCs w:val="21"/>
                <w:lang w:eastAsia="zh-CN" w:bidi="ar"/>
              </w:rPr>
              <w:t xml:space="preserve">  </w:t>
            </w:r>
            <w:r>
              <w:rPr>
                <w:rFonts w:hint="eastAsia" w:eastAsia="宋体" w:cs="Times New Roman"/>
                <w:b/>
                <w:bCs/>
                <w:color w:val="auto"/>
                <w:szCs w:val="21"/>
                <w:lang w:eastAsia="zh-CN" w:bidi="ar"/>
              </w:rPr>
              <w:t>燃烧机废气排放浓度一览表</w:t>
            </w:r>
          </w:p>
          <w:tbl>
            <w:tblPr>
              <w:tblStyle w:val="27"/>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122"/>
              <w:gridCol w:w="2123"/>
              <w:gridCol w:w="2123"/>
            </w:tblGrid>
            <w:tr w14:paraId="747886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l2br w:val="nil"/>
                    <w:tr2bl w:val="nil"/>
                  </w:tcBorders>
                  <w:vAlign w:val="center"/>
                </w:tcPr>
                <w:p w14:paraId="7E661851">
                  <w:pPr>
                    <w:widowControl/>
                    <w:spacing w:line="240" w:lineRule="auto"/>
                    <w:ind w:left="0" w:leftChars="0" w:right="0" w:rightChars="0" w:firstLine="0" w:firstLineChars="0"/>
                    <w:jc w:val="center"/>
                    <w:rPr>
                      <w:rFonts w:eastAsia="宋体" w:cs="Times New Roman"/>
                      <w:b/>
                      <w:bCs/>
                      <w:color w:val="auto"/>
                      <w:szCs w:val="21"/>
                      <w:lang w:eastAsia="zh-CN" w:bidi="ar"/>
                    </w:rPr>
                  </w:pPr>
                  <w:r>
                    <w:rPr>
                      <w:rFonts w:hint="eastAsia" w:eastAsia="宋体" w:cs="Times New Roman"/>
                      <w:b/>
                      <w:bCs/>
                      <w:color w:val="auto"/>
                      <w:szCs w:val="21"/>
                      <w:lang w:eastAsia="zh-CN" w:bidi="ar"/>
                    </w:rPr>
                    <w:t>污染物</w:t>
                  </w:r>
                </w:p>
              </w:tc>
              <w:tc>
                <w:tcPr>
                  <w:tcW w:w="2122" w:type="dxa"/>
                  <w:tcBorders>
                    <w:tl2br w:val="nil"/>
                    <w:tr2bl w:val="nil"/>
                  </w:tcBorders>
                  <w:vAlign w:val="center"/>
                </w:tcPr>
                <w:p w14:paraId="046F46B4">
                  <w:pPr>
                    <w:widowControl/>
                    <w:spacing w:line="240" w:lineRule="auto"/>
                    <w:ind w:left="0" w:leftChars="0" w:right="0" w:rightChars="0" w:firstLine="0" w:firstLineChars="0"/>
                    <w:jc w:val="center"/>
                    <w:rPr>
                      <w:rFonts w:eastAsia="宋体" w:cs="Times New Roman"/>
                      <w:b/>
                      <w:bCs/>
                      <w:color w:val="auto"/>
                      <w:szCs w:val="21"/>
                      <w:lang w:eastAsia="zh-CN" w:bidi="ar"/>
                    </w:rPr>
                  </w:pPr>
                  <w:r>
                    <w:rPr>
                      <w:rFonts w:hint="eastAsia" w:eastAsia="宋体" w:cs="Times New Roman"/>
                      <w:color w:val="auto"/>
                      <w:szCs w:val="21"/>
                      <w:lang w:eastAsia="zh-CN" w:bidi="ar"/>
                    </w:rPr>
                    <w:t>颗粒物</w:t>
                  </w:r>
                </w:p>
              </w:tc>
              <w:tc>
                <w:tcPr>
                  <w:tcW w:w="2123" w:type="dxa"/>
                  <w:tcBorders>
                    <w:tl2br w:val="nil"/>
                    <w:tr2bl w:val="nil"/>
                  </w:tcBorders>
                  <w:vAlign w:val="center"/>
                </w:tcPr>
                <w:p w14:paraId="1764CABD">
                  <w:pPr>
                    <w:widowControl/>
                    <w:spacing w:line="240" w:lineRule="auto"/>
                    <w:ind w:left="0" w:leftChars="0" w:right="0" w:rightChars="0" w:firstLine="0" w:firstLineChars="0"/>
                    <w:jc w:val="center"/>
                    <w:rPr>
                      <w:rFonts w:eastAsia="宋体" w:cs="Times New Roman"/>
                      <w:b/>
                      <w:bCs/>
                      <w:color w:val="auto"/>
                      <w:szCs w:val="21"/>
                      <w:lang w:eastAsia="zh-CN" w:bidi="ar"/>
                    </w:rPr>
                  </w:pPr>
                  <w:r>
                    <w:rPr>
                      <w:rFonts w:eastAsia="宋体" w:cs="Times New Roman"/>
                      <w:color w:val="auto"/>
                      <w:szCs w:val="21"/>
                      <w:lang w:eastAsia="zh-CN" w:bidi="ar"/>
                    </w:rPr>
                    <w:t>SO</w:t>
                  </w:r>
                  <w:r>
                    <w:rPr>
                      <w:rFonts w:eastAsia="宋体" w:cs="Times New Roman"/>
                      <w:color w:val="auto"/>
                      <w:szCs w:val="21"/>
                      <w:vertAlign w:val="subscript"/>
                      <w:lang w:eastAsia="zh-CN" w:bidi="ar"/>
                    </w:rPr>
                    <w:t>2</w:t>
                  </w:r>
                </w:p>
              </w:tc>
              <w:tc>
                <w:tcPr>
                  <w:tcW w:w="2123" w:type="dxa"/>
                  <w:tcBorders>
                    <w:tl2br w:val="nil"/>
                    <w:tr2bl w:val="nil"/>
                  </w:tcBorders>
                  <w:vAlign w:val="center"/>
                </w:tcPr>
                <w:p w14:paraId="1916938E">
                  <w:pPr>
                    <w:widowControl/>
                    <w:spacing w:line="240" w:lineRule="auto"/>
                    <w:ind w:left="0" w:leftChars="0" w:right="0" w:rightChars="0" w:firstLine="0" w:firstLineChars="0"/>
                    <w:jc w:val="center"/>
                    <w:rPr>
                      <w:rFonts w:eastAsia="宋体" w:cs="Times New Roman"/>
                      <w:b/>
                      <w:bCs/>
                      <w:color w:val="auto"/>
                      <w:szCs w:val="21"/>
                      <w:lang w:eastAsia="zh-CN" w:bidi="ar"/>
                    </w:rPr>
                  </w:pPr>
                  <w:r>
                    <w:rPr>
                      <w:rFonts w:eastAsia="宋体" w:cs="Times New Roman"/>
                      <w:color w:val="auto"/>
                      <w:szCs w:val="21"/>
                      <w:lang w:eastAsia="zh-CN" w:bidi="ar"/>
                    </w:rPr>
                    <w:t>NO</w:t>
                  </w:r>
                  <w:r>
                    <w:rPr>
                      <w:rFonts w:eastAsia="宋体" w:cs="Times New Roman"/>
                      <w:color w:val="auto"/>
                      <w:szCs w:val="21"/>
                      <w:vertAlign w:val="subscript"/>
                      <w:lang w:eastAsia="zh-CN" w:bidi="ar"/>
                    </w:rPr>
                    <w:t>X</w:t>
                  </w:r>
                </w:p>
              </w:tc>
            </w:tr>
            <w:tr w14:paraId="4BE4DC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l2br w:val="nil"/>
                    <w:tr2bl w:val="nil"/>
                  </w:tcBorders>
                  <w:vAlign w:val="center"/>
                </w:tcPr>
                <w:p w14:paraId="4451F182">
                  <w:pPr>
                    <w:widowControl/>
                    <w:spacing w:line="240" w:lineRule="auto"/>
                    <w:ind w:left="0" w:leftChars="0" w:right="0" w:rightChars="0" w:firstLine="0" w:firstLineChars="0"/>
                    <w:jc w:val="center"/>
                    <w:rPr>
                      <w:rFonts w:eastAsia="宋体" w:cs="Times New Roman"/>
                      <w:b/>
                      <w:bCs/>
                      <w:color w:val="auto"/>
                      <w:szCs w:val="21"/>
                      <w:lang w:eastAsia="zh-CN" w:bidi="ar"/>
                    </w:rPr>
                  </w:pPr>
                  <w:r>
                    <w:rPr>
                      <w:rFonts w:hint="eastAsia" w:eastAsia="宋体" w:cs="Times New Roman"/>
                      <w:b/>
                      <w:bCs/>
                      <w:color w:val="auto"/>
                      <w:szCs w:val="21"/>
                      <w:lang w:eastAsia="zh-CN" w:bidi="ar"/>
                    </w:rPr>
                    <w:t>浓度（mg/m</w:t>
                  </w:r>
                  <w:r>
                    <w:rPr>
                      <w:rFonts w:hint="eastAsia" w:eastAsia="宋体" w:cs="Times New Roman"/>
                      <w:b/>
                      <w:bCs/>
                      <w:color w:val="auto"/>
                      <w:szCs w:val="21"/>
                      <w:vertAlign w:val="superscript"/>
                      <w:lang w:eastAsia="zh-CN" w:bidi="ar"/>
                    </w:rPr>
                    <w:t>3</w:t>
                  </w:r>
                  <w:r>
                    <w:rPr>
                      <w:rFonts w:hint="eastAsia" w:eastAsia="宋体" w:cs="Times New Roman"/>
                      <w:b/>
                      <w:bCs/>
                      <w:color w:val="auto"/>
                      <w:szCs w:val="21"/>
                      <w:lang w:eastAsia="zh-CN" w:bidi="ar"/>
                    </w:rPr>
                    <w:t>）</w:t>
                  </w:r>
                </w:p>
              </w:tc>
              <w:tc>
                <w:tcPr>
                  <w:tcW w:w="2122" w:type="dxa"/>
                  <w:tcBorders>
                    <w:tl2br w:val="nil"/>
                    <w:tr2bl w:val="nil"/>
                  </w:tcBorders>
                  <w:vAlign w:val="center"/>
                </w:tcPr>
                <w:p w14:paraId="4A26D007">
                  <w:pPr>
                    <w:widowControl/>
                    <w:spacing w:line="240" w:lineRule="auto"/>
                    <w:ind w:left="0" w:leftChars="0" w:right="0" w:rightChars="0" w:firstLine="0" w:firstLineChars="0"/>
                    <w:jc w:val="center"/>
                    <w:rPr>
                      <w:rFonts w:eastAsia="宋体" w:cs="Times New Roman"/>
                      <w:color w:val="auto"/>
                      <w:szCs w:val="21"/>
                      <w:lang w:eastAsia="zh-CN" w:bidi="ar"/>
                    </w:rPr>
                  </w:pPr>
                  <w:r>
                    <w:rPr>
                      <w:rFonts w:hint="eastAsia" w:eastAsia="宋体" w:cs="Times New Roman"/>
                      <w:color w:val="auto"/>
                      <w:szCs w:val="21"/>
                      <w:lang w:eastAsia="zh-CN" w:bidi="ar"/>
                    </w:rPr>
                    <w:t>3.9</w:t>
                  </w:r>
                </w:p>
              </w:tc>
              <w:tc>
                <w:tcPr>
                  <w:tcW w:w="2123" w:type="dxa"/>
                  <w:tcBorders>
                    <w:tl2br w:val="nil"/>
                    <w:tr2bl w:val="nil"/>
                  </w:tcBorders>
                  <w:vAlign w:val="center"/>
                </w:tcPr>
                <w:p w14:paraId="4201AFD0">
                  <w:pPr>
                    <w:widowControl/>
                    <w:spacing w:line="240" w:lineRule="auto"/>
                    <w:ind w:left="0" w:leftChars="0" w:right="0" w:rightChars="0" w:firstLine="0" w:firstLineChars="0"/>
                    <w:jc w:val="center"/>
                    <w:rPr>
                      <w:rFonts w:eastAsia="宋体" w:cs="Times New Roman"/>
                      <w:color w:val="auto"/>
                      <w:szCs w:val="21"/>
                      <w:lang w:eastAsia="zh-CN" w:bidi="ar"/>
                    </w:rPr>
                  </w:pPr>
                  <w:r>
                    <w:rPr>
                      <w:rFonts w:hint="eastAsia" w:eastAsia="宋体" w:cs="Times New Roman"/>
                      <w:color w:val="auto"/>
                      <w:szCs w:val="21"/>
                      <w:lang w:eastAsia="zh-CN" w:bidi="ar"/>
                    </w:rPr>
                    <w:t>7</w:t>
                  </w:r>
                </w:p>
              </w:tc>
              <w:tc>
                <w:tcPr>
                  <w:tcW w:w="2123" w:type="dxa"/>
                  <w:tcBorders>
                    <w:tl2br w:val="nil"/>
                    <w:tr2bl w:val="nil"/>
                  </w:tcBorders>
                  <w:vAlign w:val="center"/>
                </w:tcPr>
                <w:p w14:paraId="7690893A">
                  <w:pPr>
                    <w:widowControl/>
                    <w:spacing w:line="240" w:lineRule="auto"/>
                    <w:ind w:left="0" w:leftChars="0" w:right="0" w:rightChars="0" w:firstLine="0" w:firstLineChars="0"/>
                    <w:jc w:val="center"/>
                    <w:rPr>
                      <w:rFonts w:eastAsia="宋体" w:cs="Times New Roman"/>
                      <w:color w:val="auto"/>
                      <w:szCs w:val="21"/>
                      <w:lang w:eastAsia="zh-CN" w:bidi="ar"/>
                    </w:rPr>
                  </w:pPr>
                  <w:r>
                    <w:rPr>
                      <w:rFonts w:hint="eastAsia" w:eastAsia="宋体" w:cs="Times New Roman"/>
                      <w:color w:val="auto"/>
                      <w:szCs w:val="21"/>
                      <w:lang w:eastAsia="zh-CN" w:bidi="ar"/>
                    </w:rPr>
                    <w:t>14</w:t>
                  </w:r>
                </w:p>
              </w:tc>
            </w:tr>
            <w:tr w14:paraId="4BDC2E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l2br w:val="nil"/>
                    <w:tr2bl w:val="nil"/>
                  </w:tcBorders>
                  <w:vAlign w:val="center"/>
                </w:tcPr>
                <w:p w14:paraId="5069813B">
                  <w:pPr>
                    <w:widowControl/>
                    <w:spacing w:line="240" w:lineRule="auto"/>
                    <w:ind w:left="0" w:leftChars="0" w:right="0" w:rightChars="0" w:firstLine="0" w:firstLineChars="0"/>
                    <w:jc w:val="center"/>
                    <w:rPr>
                      <w:rFonts w:eastAsia="宋体" w:cs="Times New Roman"/>
                      <w:b/>
                      <w:bCs/>
                      <w:color w:val="auto"/>
                      <w:szCs w:val="21"/>
                      <w:lang w:eastAsia="zh-CN" w:bidi="ar"/>
                    </w:rPr>
                  </w:pPr>
                  <w:r>
                    <w:rPr>
                      <w:rFonts w:hint="eastAsia" w:eastAsia="宋体" w:cs="Times New Roman"/>
                      <w:b/>
                      <w:bCs/>
                      <w:color w:val="auto"/>
                      <w:szCs w:val="21"/>
                      <w:lang w:eastAsia="zh-CN" w:bidi="ar"/>
                    </w:rPr>
                    <w:t>产生量（t/a）</w:t>
                  </w:r>
                </w:p>
              </w:tc>
              <w:tc>
                <w:tcPr>
                  <w:tcW w:w="2122" w:type="dxa"/>
                  <w:tcBorders>
                    <w:tl2br w:val="nil"/>
                    <w:tr2bl w:val="nil"/>
                  </w:tcBorders>
                  <w:vAlign w:val="center"/>
                </w:tcPr>
                <w:p w14:paraId="6F47B674">
                  <w:pPr>
                    <w:widowControl/>
                    <w:spacing w:line="240" w:lineRule="auto"/>
                    <w:ind w:left="0" w:leftChars="0" w:right="0" w:rightChars="0" w:firstLine="0" w:firstLineChars="0"/>
                    <w:jc w:val="center"/>
                    <w:rPr>
                      <w:rFonts w:eastAsia="宋体" w:cs="Times New Roman"/>
                      <w:color w:val="auto"/>
                      <w:szCs w:val="21"/>
                      <w:lang w:eastAsia="zh-CN" w:bidi="ar"/>
                    </w:rPr>
                  </w:pPr>
                  <w:r>
                    <w:rPr>
                      <w:rFonts w:hint="eastAsia" w:eastAsia="宋体" w:cs="Times New Roman"/>
                      <w:color w:val="auto"/>
                      <w:szCs w:val="21"/>
                      <w:lang w:eastAsia="zh-CN" w:bidi="ar"/>
                    </w:rPr>
                    <w:t>0.0021</w:t>
                  </w:r>
                </w:p>
              </w:tc>
              <w:tc>
                <w:tcPr>
                  <w:tcW w:w="2123" w:type="dxa"/>
                  <w:tcBorders>
                    <w:tl2br w:val="nil"/>
                    <w:tr2bl w:val="nil"/>
                  </w:tcBorders>
                  <w:vAlign w:val="center"/>
                </w:tcPr>
                <w:p w14:paraId="1ACAFEC9">
                  <w:pPr>
                    <w:widowControl/>
                    <w:spacing w:line="240" w:lineRule="auto"/>
                    <w:ind w:left="0" w:leftChars="0" w:right="0" w:rightChars="0" w:firstLine="0" w:firstLineChars="0"/>
                    <w:jc w:val="center"/>
                    <w:rPr>
                      <w:rFonts w:eastAsia="宋体" w:cs="Times New Roman"/>
                      <w:color w:val="auto"/>
                      <w:szCs w:val="21"/>
                      <w:lang w:eastAsia="zh-CN" w:bidi="ar"/>
                    </w:rPr>
                  </w:pPr>
                  <w:r>
                    <w:rPr>
                      <w:rFonts w:hint="eastAsia" w:eastAsia="宋体" w:cs="Times New Roman"/>
                      <w:color w:val="auto"/>
                      <w:szCs w:val="21"/>
                      <w:lang w:eastAsia="zh-CN" w:bidi="ar"/>
                    </w:rPr>
                    <w:t>0.0038</w:t>
                  </w:r>
                </w:p>
              </w:tc>
              <w:tc>
                <w:tcPr>
                  <w:tcW w:w="2123" w:type="dxa"/>
                  <w:tcBorders>
                    <w:tl2br w:val="nil"/>
                    <w:tr2bl w:val="nil"/>
                  </w:tcBorders>
                  <w:vAlign w:val="center"/>
                </w:tcPr>
                <w:p w14:paraId="6FF424C4">
                  <w:pPr>
                    <w:widowControl/>
                    <w:spacing w:line="240" w:lineRule="auto"/>
                    <w:ind w:left="0" w:leftChars="0" w:right="0" w:rightChars="0" w:firstLine="0" w:firstLineChars="0"/>
                    <w:jc w:val="center"/>
                    <w:rPr>
                      <w:rFonts w:eastAsia="宋体" w:cs="Times New Roman"/>
                      <w:color w:val="auto"/>
                      <w:szCs w:val="21"/>
                      <w:lang w:eastAsia="zh-CN" w:bidi="ar"/>
                    </w:rPr>
                  </w:pPr>
                  <w:r>
                    <w:rPr>
                      <w:rFonts w:hint="eastAsia" w:eastAsia="宋体" w:cs="Times New Roman"/>
                      <w:color w:val="auto"/>
                      <w:szCs w:val="21"/>
                      <w:lang w:eastAsia="zh-CN" w:bidi="ar"/>
                    </w:rPr>
                    <w:t>0.008</w:t>
                  </w:r>
                </w:p>
              </w:tc>
            </w:tr>
          </w:tbl>
          <w:p w14:paraId="1F0F486D">
            <w:pPr>
              <w:pStyle w:val="2"/>
              <w:numPr>
                <w:ilvl w:val="0"/>
                <w:numId w:val="6"/>
              </w:numPr>
              <w:ind w:left="0" w:leftChars="0" w:right="0" w:rightChars="0" w:firstLine="480"/>
              <w:jc w:val="both"/>
              <w:outlineLvl w:val="1"/>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题字废气</w:t>
            </w:r>
          </w:p>
          <w:p w14:paraId="58D05AD3">
            <w:pPr>
              <w:ind w:left="0" w:leftChars="0" w:right="0" w:rightChars="0" w:firstLine="480"/>
              <w:jc w:val="both"/>
              <w:rPr>
                <w:color w:val="auto"/>
                <w:sz w:val="24"/>
                <w:szCs w:val="24"/>
                <w:lang w:eastAsia="zh-CN"/>
              </w:rPr>
            </w:pPr>
            <w:r>
              <w:rPr>
                <w:rFonts w:hint="eastAsia" w:eastAsia="宋体" w:cs="Times New Roman"/>
                <w:color w:val="auto"/>
                <w:sz w:val="24"/>
                <w:szCs w:val="24"/>
                <w:lang w:eastAsia="zh-CN" w:bidi="ar"/>
              </w:rPr>
              <w:t>本项目题字工序使用油墨会产生挥发性气体（以非甲烷总烃计）。根据环保最不利原则，本工序</w:t>
            </w:r>
            <w:r>
              <w:rPr>
                <w:rFonts w:hint="eastAsia"/>
                <w:color w:val="auto"/>
                <w:sz w:val="24"/>
                <w:szCs w:val="24"/>
                <w:lang w:eastAsia="zh-CN"/>
              </w:rPr>
              <w:t>有机废气的产生量以最大挥发量核算，根据物料平衡，本项目油墨年（配比后）使用量为1</w:t>
            </w:r>
            <w:r>
              <w:rPr>
                <w:rFonts w:hint="eastAsia"/>
                <w:color w:val="auto"/>
                <w:sz w:val="24"/>
                <w:szCs w:val="24"/>
                <w:lang w:val="en-US" w:eastAsia="zh-CN"/>
              </w:rPr>
              <w:t>1</w:t>
            </w:r>
            <w:r>
              <w:rPr>
                <w:rFonts w:hint="eastAsia"/>
                <w:color w:val="auto"/>
                <w:sz w:val="24"/>
                <w:szCs w:val="24"/>
                <w:lang w:eastAsia="zh-CN"/>
              </w:rPr>
              <w:t>0kg，</w:t>
            </w:r>
            <w:r>
              <w:rPr>
                <w:rFonts w:eastAsia="宋体" w:cs="Times New Roman"/>
                <w:color w:val="auto"/>
                <w:sz w:val="24"/>
                <w:lang w:eastAsia="zh-CN"/>
              </w:rPr>
              <w:t>VOCs</w:t>
            </w:r>
            <w:r>
              <w:rPr>
                <w:rFonts w:hint="eastAsia" w:eastAsia="宋体" w:cs="Times New Roman"/>
                <w:color w:val="auto"/>
                <w:sz w:val="24"/>
                <w:lang w:val="en-US" w:eastAsia="zh-CN"/>
              </w:rPr>
              <w:t>产生量约0.0334t/a</w:t>
            </w:r>
            <w:r>
              <w:rPr>
                <w:rFonts w:hint="eastAsia"/>
                <w:color w:val="auto"/>
                <w:sz w:val="24"/>
                <w:szCs w:val="24"/>
                <w:lang w:eastAsia="zh-CN"/>
              </w:rPr>
              <w:t>，题字工序年工作300d，每天工作时间4h。</w:t>
            </w:r>
          </w:p>
          <w:p w14:paraId="75DC7ABA">
            <w:pPr>
              <w:ind w:left="0" w:leftChars="0" w:right="0" w:rightChars="0" w:firstLine="480"/>
              <w:jc w:val="both"/>
              <w:rPr>
                <w:color w:val="auto"/>
                <w:sz w:val="24"/>
                <w:szCs w:val="24"/>
                <w:lang w:eastAsia="zh-CN"/>
              </w:rPr>
            </w:pPr>
            <w:r>
              <w:rPr>
                <w:rFonts w:hint="eastAsia"/>
                <w:color w:val="auto"/>
                <w:sz w:val="24"/>
                <w:szCs w:val="24"/>
                <w:lang w:eastAsia="zh-CN"/>
              </w:rPr>
              <w:t>题字室采用上送风侧面排风负压收集废气（风量</w:t>
            </w:r>
            <w:r>
              <w:rPr>
                <w:rFonts w:hint="eastAsia" w:eastAsia="宋体" w:cs="Times New Roman"/>
                <w:color w:val="auto"/>
                <w:sz w:val="24"/>
                <w:szCs w:val="24"/>
                <w:lang w:eastAsia="zh-CN" w:bidi="ar"/>
              </w:rPr>
              <w:t>5</w:t>
            </w:r>
            <w:r>
              <w:rPr>
                <w:rFonts w:eastAsia="宋体" w:cs="Times New Roman"/>
                <w:color w:val="auto"/>
                <w:sz w:val="24"/>
                <w:szCs w:val="24"/>
                <w:lang w:eastAsia="zh-CN" w:bidi="ar"/>
              </w:rPr>
              <w:t>000m</w:t>
            </w:r>
            <w:r>
              <w:rPr>
                <w:rFonts w:eastAsia="宋体" w:cs="Times New Roman"/>
                <w:color w:val="auto"/>
                <w:sz w:val="24"/>
                <w:szCs w:val="24"/>
                <w:vertAlign w:val="superscript"/>
                <w:lang w:eastAsia="zh-CN" w:bidi="ar"/>
              </w:rPr>
              <w:t>3</w:t>
            </w:r>
            <w:r>
              <w:rPr>
                <w:rFonts w:eastAsia="宋体" w:cs="Times New Roman"/>
                <w:color w:val="auto"/>
                <w:sz w:val="24"/>
                <w:szCs w:val="24"/>
                <w:lang w:eastAsia="zh-CN" w:bidi="ar"/>
              </w:rPr>
              <w:t>/h</w:t>
            </w:r>
            <w:r>
              <w:rPr>
                <w:rFonts w:hint="eastAsia"/>
                <w:color w:val="auto"/>
                <w:sz w:val="24"/>
                <w:szCs w:val="24"/>
                <w:lang w:eastAsia="zh-CN"/>
              </w:rPr>
              <w:t>），</w:t>
            </w:r>
            <w:r>
              <w:rPr>
                <w:rFonts w:eastAsia="宋体" w:cs="Times New Roman"/>
                <w:color w:val="auto"/>
                <w:sz w:val="24"/>
                <w:szCs w:val="24"/>
                <w:lang w:eastAsia="zh-CN"/>
              </w:rPr>
              <w:t>按照《陕西省大气主要污染物许可排放量及实际排放量核定方法》单层密闭正压集气效率以85%计，</w:t>
            </w:r>
            <w:r>
              <w:rPr>
                <w:rFonts w:hint="eastAsia" w:eastAsia="宋体" w:cs="Times New Roman"/>
                <w:color w:val="auto"/>
                <w:sz w:val="24"/>
                <w:szCs w:val="24"/>
                <w:lang w:eastAsia="zh-CN"/>
              </w:rPr>
              <w:t>题字</w:t>
            </w:r>
            <w:r>
              <w:rPr>
                <w:rFonts w:hint="eastAsia"/>
                <w:color w:val="auto"/>
                <w:sz w:val="24"/>
                <w:szCs w:val="24"/>
                <w:lang w:eastAsia="zh-CN"/>
              </w:rPr>
              <w:t>废气与固化废气一并经</w:t>
            </w:r>
            <w:r>
              <w:rPr>
                <w:rFonts w:hint="eastAsia"/>
                <w:color w:val="auto"/>
                <w:sz w:val="24"/>
                <w:szCs w:val="28"/>
                <w:lang w:eastAsia="zh-CN"/>
              </w:rPr>
              <w:t>现有二级活性炭吸附装置处理后通过现有1</w:t>
            </w:r>
            <w:r>
              <w:rPr>
                <w:color w:val="auto"/>
                <w:sz w:val="24"/>
                <w:szCs w:val="28"/>
                <w:lang w:eastAsia="zh-CN"/>
              </w:rPr>
              <w:t>5</w:t>
            </w:r>
            <w:r>
              <w:rPr>
                <w:rFonts w:hint="eastAsia"/>
                <w:color w:val="auto"/>
                <w:sz w:val="24"/>
                <w:szCs w:val="28"/>
                <w:lang w:eastAsia="zh-CN"/>
              </w:rPr>
              <w:t>m高排气筒排放</w:t>
            </w:r>
            <w:r>
              <w:rPr>
                <w:rFonts w:hint="eastAsia" w:eastAsia="宋体" w:cs="Times New Roman"/>
                <w:color w:val="auto"/>
                <w:sz w:val="24"/>
                <w:szCs w:val="24"/>
                <w:lang w:eastAsia="zh-CN" w:bidi="ar"/>
              </w:rPr>
              <w:t>。</w:t>
            </w:r>
          </w:p>
          <w:p w14:paraId="0130C8E0">
            <w:pPr>
              <w:ind w:left="0" w:leftChars="0" w:right="0" w:rightChars="0" w:firstLine="480"/>
              <w:jc w:val="both"/>
              <w:rPr>
                <w:color w:val="auto"/>
                <w:sz w:val="24"/>
                <w:lang w:eastAsia="zh-CN"/>
              </w:rPr>
            </w:pPr>
            <w:r>
              <w:rPr>
                <w:color w:val="auto"/>
                <w:sz w:val="24"/>
                <w:lang w:eastAsia="zh-CN"/>
              </w:rPr>
              <w:t>经核算，</w:t>
            </w:r>
            <w:r>
              <w:rPr>
                <w:rFonts w:hint="eastAsia"/>
                <w:color w:val="auto"/>
                <w:sz w:val="24"/>
                <w:lang w:eastAsia="zh-CN"/>
              </w:rPr>
              <w:t>题字废气非甲烷总烃</w:t>
            </w:r>
            <w:r>
              <w:rPr>
                <w:color w:val="auto"/>
                <w:sz w:val="24"/>
                <w:lang w:eastAsia="zh-CN"/>
              </w:rPr>
              <w:t>产生量为</w:t>
            </w:r>
            <w:r>
              <w:rPr>
                <w:rFonts w:hint="eastAsia"/>
                <w:color w:val="auto"/>
                <w:sz w:val="24"/>
                <w:lang w:eastAsia="zh-CN"/>
              </w:rPr>
              <w:t>0.037</w:t>
            </w:r>
            <w:r>
              <w:rPr>
                <w:color w:val="auto"/>
                <w:sz w:val="24"/>
                <w:lang w:eastAsia="zh-CN"/>
              </w:rPr>
              <w:t>t/a，</w:t>
            </w:r>
            <w:r>
              <w:rPr>
                <w:rFonts w:hint="eastAsia"/>
                <w:color w:val="auto"/>
                <w:sz w:val="24"/>
                <w:lang w:eastAsia="zh-CN"/>
              </w:rPr>
              <w:t>收集量为0.032</w:t>
            </w:r>
            <w:r>
              <w:rPr>
                <w:color w:val="auto"/>
                <w:sz w:val="24"/>
                <w:lang w:eastAsia="zh-CN"/>
              </w:rPr>
              <w:t>t/a，</w:t>
            </w:r>
            <w:r>
              <w:rPr>
                <w:rFonts w:hint="eastAsia"/>
                <w:color w:val="auto"/>
                <w:sz w:val="24"/>
                <w:lang w:eastAsia="zh-CN"/>
              </w:rPr>
              <w:t>0.026</w:t>
            </w:r>
            <w:r>
              <w:rPr>
                <w:color w:val="auto"/>
                <w:sz w:val="24"/>
                <w:lang w:eastAsia="zh-CN"/>
              </w:rPr>
              <w:t>kg/h；</w:t>
            </w:r>
            <w:r>
              <w:rPr>
                <w:rFonts w:hint="eastAsia"/>
                <w:color w:val="auto"/>
                <w:sz w:val="24"/>
                <w:lang w:eastAsia="zh-CN"/>
              </w:rPr>
              <w:t>未经收集非甲烷总烃0.0055</w:t>
            </w:r>
            <w:r>
              <w:rPr>
                <w:color w:val="auto"/>
                <w:sz w:val="24"/>
                <w:lang w:eastAsia="zh-CN"/>
              </w:rPr>
              <w:t>t/a，</w:t>
            </w:r>
            <w:r>
              <w:rPr>
                <w:rFonts w:hint="eastAsia"/>
                <w:color w:val="auto"/>
                <w:sz w:val="24"/>
                <w:lang w:eastAsia="zh-CN"/>
              </w:rPr>
              <w:t>0.0046</w:t>
            </w:r>
            <w:r>
              <w:rPr>
                <w:color w:val="auto"/>
                <w:sz w:val="24"/>
                <w:lang w:eastAsia="zh-CN"/>
              </w:rPr>
              <w:t>kg/h，以无组织形式排放。</w:t>
            </w:r>
          </w:p>
          <w:p w14:paraId="4DD4897B">
            <w:pPr>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rPr>
              <w:t>（</w:t>
            </w:r>
            <w:r>
              <w:rPr>
                <w:rFonts w:hint="eastAsia" w:eastAsia="宋体" w:cs="Times New Roman"/>
                <w:color w:val="auto"/>
                <w:sz w:val="24"/>
                <w:szCs w:val="24"/>
                <w:lang w:eastAsia="zh-CN"/>
              </w:rPr>
              <w:t>7</w:t>
            </w:r>
            <w:r>
              <w:rPr>
                <w:rFonts w:eastAsia="宋体" w:cs="Times New Roman"/>
                <w:color w:val="auto"/>
                <w:sz w:val="24"/>
                <w:szCs w:val="24"/>
                <w:lang w:eastAsia="zh-CN"/>
              </w:rPr>
              <w:t>）食堂油烟</w:t>
            </w:r>
          </w:p>
          <w:p w14:paraId="38B02869">
            <w:pPr>
              <w:ind w:left="0" w:leftChars="0" w:right="0" w:rightChars="0" w:firstLine="480"/>
              <w:jc w:val="both"/>
              <w:rPr>
                <w:color w:val="auto"/>
                <w:sz w:val="24"/>
                <w:lang w:eastAsia="zh-CN"/>
              </w:rPr>
            </w:pPr>
            <w:r>
              <w:rPr>
                <w:rFonts w:hint="eastAsia"/>
                <w:color w:val="auto"/>
                <w:sz w:val="24"/>
                <w:lang w:eastAsia="zh-CN"/>
              </w:rPr>
              <w:t>本扩建</w:t>
            </w:r>
            <w:r>
              <w:rPr>
                <w:color w:val="auto"/>
                <w:sz w:val="24"/>
                <w:lang w:eastAsia="zh-CN"/>
              </w:rPr>
              <w:t>项目</w:t>
            </w:r>
            <w:r>
              <w:rPr>
                <w:rFonts w:hint="eastAsia"/>
                <w:color w:val="auto"/>
                <w:sz w:val="24"/>
                <w:lang w:eastAsia="zh-CN"/>
              </w:rPr>
              <w:t>新增</w:t>
            </w:r>
            <w:r>
              <w:rPr>
                <w:color w:val="auto"/>
                <w:sz w:val="24"/>
                <w:lang w:eastAsia="zh-CN"/>
              </w:rPr>
              <w:t>劳动定员</w:t>
            </w:r>
            <w:r>
              <w:rPr>
                <w:rFonts w:hint="eastAsia"/>
                <w:color w:val="auto"/>
                <w:sz w:val="24"/>
                <w:lang w:eastAsia="zh-CN"/>
              </w:rPr>
              <w:t>10</w:t>
            </w:r>
            <w:r>
              <w:rPr>
                <w:color w:val="auto"/>
                <w:sz w:val="24"/>
                <w:lang w:eastAsia="zh-CN"/>
              </w:rPr>
              <w:t>人，</w:t>
            </w:r>
            <w:r>
              <w:rPr>
                <w:rFonts w:hint="eastAsia"/>
                <w:color w:val="auto"/>
                <w:sz w:val="24"/>
                <w:lang w:eastAsia="zh-CN"/>
              </w:rPr>
              <w:t>基准灶头数1个，</w:t>
            </w:r>
            <w:r>
              <w:rPr>
                <w:color w:val="auto"/>
                <w:sz w:val="24"/>
                <w:lang w:eastAsia="zh-CN"/>
              </w:rPr>
              <w:t>规模属于</w:t>
            </w:r>
            <w:r>
              <w:rPr>
                <w:rFonts w:hint="eastAsia"/>
                <w:color w:val="auto"/>
                <w:sz w:val="24"/>
                <w:lang w:eastAsia="zh-CN"/>
              </w:rPr>
              <w:t>小</w:t>
            </w:r>
            <w:r>
              <w:rPr>
                <w:color w:val="auto"/>
                <w:sz w:val="24"/>
                <w:lang w:eastAsia="zh-CN"/>
              </w:rPr>
              <w:t>型饮食业单位，能源为天然气。耗油量按15g/（人·餐），一日三餐计算，则耗油量为</w:t>
            </w:r>
            <w:r>
              <w:rPr>
                <w:rFonts w:hint="eastAsia"/>
                <w:color w:val="auto"/>
                <w:sz w:val="24"/>
                <w:lang w:eastAsia="zh-CN"/>
              </w:rPr>
              <w:t>0.45</w:t>
            </w:r>
            <w:r>
              <w:rPr>
                <w:color w:val="auto"/>
                <w:sz w:val="24"/>
                <w:lang w:eastAsia="zh-CN"/>
              </w:rPr>
              <w:t>kg/d，一般油烟挥发量占总耗油量的2~4%，平均为2.83%，则油烟产生量约</w:t>
            </w:r>
            <w:r>
              <w:rPr>
                <w:rFonts w:hint="eastAsia"/>
                <w:color w:val="auto"/>
                <w:sz w:val="24"/>
                <w:lang w:eastAsia="zh-CN"/>
              </w:rPr>
              <w:t>0.013</w:t>
            </w:r>
            <w:r>
              <w:rPr>
                <w:color w:val="auto"/>
                <w:sz w:val="24"/>
                <w:lang w:eastAsia="zh-CN"/>
              </w:rPr>
              <w:t>kg/d，</w:t>
            </w:r>
            <w:r>
              <w:rPr>
                <w:rFonts w:hint="eastAsia"/>
                <w:color w:val="auto"/>
                <w:sz w:val="24"/>
                <w:lang w:eastAsia="zh-CN"/>
              </w:rPr>
              <w:t>3.9</w:t>
            </w:r>
            <w:r>
              <w:rPr>
                <w:color w:val="auto"/>
                <w:sz w:val="24"/>
                <w:lang w:eastAsia="zh-CN"/>
              </w:rPr>
              <w:t>kg/a。厨房基准灶头排风量按2000m</w:t>
            </w:r>
            <w:r>
              <w:rPr>
                <w:color w:val="auto"/>
                <w:sz w:val="24"/>
                <w:vertAlign w:val="superscript"/>
                <w:lang w:eastAsia="zh-CN"/>
              </w:rPr>
              <w:t>3</w:t>
            </w:r>
            <w:r>
              <w:rPr>
                <w:color w:val="auto"/>
                <w:sz w:val="24"/>
                <w:lang w:eastAsia="zh-CN"/>
              </w:rPr>
              <w:t>/h，每天工作时间为3h，则油烟产生浓度约</w:t>
            </w:r>
            <w:r>
              <w:rPr>
                <w:rFonts w:hint="eastAsia"/>
                <w:color w:val="auto"/>
                <w:sz w:val="24"/>
                <w:lang w:eastAsia="zh-CN"/>
              </w:rPr>
              <w:t>2.17</w:t>
            </w:r>
            <w:r>
              <w:rPr>
                <w:color w:val="auto"/>
                <w:sz w:val="24"/>
                <w:lang w:eastAsia="zh-CN"/>
              </w:rPr>
              <w:t>mg/m</w:t>
            </w:r>
            <w:r>
              <w:rPr>
                <w:color w:val="auto"/>
                <w:sz w:val="24"/>
                <w:vertAlign w:val="superscript"/>
                <w:lang w:eastAsia="zh-CN"/>
              </w:rPr>
              <w:t>3</w:t>
            </w:r>
            <w:r>
              <w:rPr>
                <w:color w:val="auto"/>
                <w:sz w:val="24"/>
                <w:lang w:eastAsia="zh-CN"/>
              </w:rPr>
              <w:t>。</w:t>
            </w:r>
          </w:p>
          <w:p w14:paraId="4E24BD0B">
            <w:pPr>
              <w:ind w:left="0" w:leftChars="0" w:right="0" w:rightChars="0" w:firstLine="480"/>
              <w:jc w:val="both"/>
              <w:rPr>
                <w:color w:val="auto"/>
                <w:sz w:val="24"/>
                <w:lang w:eastAsia="zh-CN"/>
              </w:rPr>
            </w:pPr>
            <w:r>
              <w:rPr>
                <w:color w:val="auto"/>
                <w:sz w:val="24"/>
                <w:lang w:eastAsia="zh-CN"/>
              </w:rPr>
              <w:t>食堂厨房利用现有油烟净化装置，油烟设计去除效率大于</w:t>
            </w:r>
            <w:r>
              <w:rPr>
                <w:rFonts w:hint="eastAsia"/>
                <w:color w:val="auto"/>
                <w:sz w:val="24"/>
                <w:lang w:eastAsia="zh-CN"/>
              </w:rPr>
              <w:t>60</w:t>
            </w:r>
            <w:r>
              <w:rPr>
                <w:color w:val="auto"/>
                <w:sz w:val="24"/>
                <w:lang w:eastAsia="zh-CN"/>
              </w:rPr>
              <w:t>%，经处理后油烟排放浓度约</w:t>
            </w:r>
            <w:r>
              <w:rPr>
                <w:rFonts w:hint="eastAsia"/>
                <w:color w:val="auto"/>
                <w:sz w:val="24"/>
                <w:lang w:eastAsia="zh-CN"/>
              </w:rPr>
              <w:t>0.868</w:t>
            </w:r>
            <w:r>
              <w:rPr>
                <w:color w:val="auto"/>
                <w:sz w:val="24"/>
                <w:lang w:eastAsia="zh-CN"/>
              </w:rPr>
              <w:t>mg/m</w:t>
            </w:r>
            <w:r>
              <w:rPr>
                <w:color w:val="auto"/>
                <w:sz w:val="24"/>
                <w:vertAlign w:val="superscript"/>
                <w:lang w:eastAsia="zh-CN"/>
              </w:rPr>
              <w:t>3</w:t>
            </w:r>
            <w:r>
              <w:rPr>
                <w:color w:val="auto"/>
                <w:sz w:val="24"/>
                <w:lang w:eastAsia="zh-CN"/>
              </w:rPr>
              <w:t>，排放量为0.</w:t>
            </w:r>
            <w:r>
              <w:rPr>
                <w:rFonts w:hint="eastAsia"/>
                <w:color w:val="auto"/>
                <w:sz w:val="24"/>
                <w:lang w:eastAsia="zh-CN"/>
              </w:rPr>
              <w:t>0052</w:t>
            </w:r>
            <w:r>
              <w:rPr>
                <w:color w:val="auto"/>
                <w:sz w:val="24"/>
                <w:lang w:eastAsia="zh-CN"/>
              </w:rPr>
              <w:t>kg/d，</w:t>
            </w:r>
            <w:r>
              <w:rPr>
                <w:rFonts w:hint="eastAsia"/>
                <w:color w:val="auto"/>
                <w:sz w:val="24"/>
                <w:lang w:eastAsia="zh-CN"/>
              </w:rPr>
              <w:t>1.56</w:t>
            </w:r>
            <w:r>
              <w:rPr>
                <w:color w:val="auto"/>
                <w:sz w:val="24"/>
                <w:lang w:eastAsia="zh-CN"/>
              </w:rPr>
              <w:t>kg/a。能够达到《饮食业油烟排放标准（试行）》（GB18483-2001）的最高允许排放浓度要求（2.0mg/m</w:t>
            </w:r>
            <w:r>
              <w:rPr>
                <w:color w:val="auto"/>
                <w:sz w:val="24"/>
                <w:vertAlign w:val="superscript"/>
                <w:lang w:eastAsia="zh-CN"/>
              </w:rPr>
              <w:t>3</w:t>
            </w:r>
            <w:r>
              <w:rPr>
                <w:color w:val="auto"/>
                <w:sz w:val="24"/>
                <w:lang w:eastAsia="zh-CN"/>
              </w:rPr>
              <w:t>）。</w:t>
            </w:r>
          </w:p>
          <w:p w14:paraId="1ADD66E0">
            <w:pPr>
              <w:adjustRightInd w:val="0"/>
              <w:snapToGrid w:val="0"/>
              <w:ind w:left="0" w:leftChars="0" w:right="0" w:rightChars="0" w:firstLine="482"/>
              <w:jc w:val="both"/>
              <w:rPr>
                <w:rFonts w:eastAsia="宋体" w:cs="Times New Roman"/>
                <w:b/>
                <w:bCs/>
                <w:color w:val="auto"/>
                <w:sz w:val="24"/>
                <w:szCs w:val="24"/>
                <w:highlight w:val="yellow"/>
                <w:lang w:eastAsia="zh-CN"/>
              </w:rPr>
            </w:pPr>
            <w:r>
              <w:rPr>
                <w:rFonts w:hint="eastAsia" w:eastAsia="宋体" w:cs="Times New Roman"/>
                <w:b/>
                <w:bCs/>
                <w:color w:val="auto"/>
                <w:sz w:val="24"/>
                <w:szCs w:val="24"/>
                <w:lang w:eastAsia="zh-CN"/>
              </w:rPr>
              <w:t>1.2达标排放分析</w:t>
            </w:r>
          </w:p>
          <w:p w14:paraId="117744A8">
            <w:pPr>
              <w:adjustRightInd w:val="0"/>
              <w:snapToGrid w:val="0"/>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rPr>
              <w:t>（1）切割粉尘</w:t>
            </w:r>
          </w:p>
          <w:p w14:paraId="43B17138">
            <w:pPr>
              <w:pStyle w:val="34"/>
              <w:spacing w:line="360" w:lineRule="auto"/>
              <w:ind w:firstLine="480" w:firstLineChars="200"/>
              <w:jc w:val="both"/>
              <w:rPr>
                <w:rFonts w:ascii="Times New Roman" w:cs="Times New Roman"/>
                <w:color w:val="auto"/>
              </w:rPr>
            </w:pPr>
            <w:r>
              <w:rPr>
                <w:rFonts w:ascii="Times New Roman" w:cs="Times New Roman"/>
                <w:color w:val="auto"/>
              </w:rPr>
              <w:t>项目切割产生的金属颗粒物</w:t>
            </w:r>
            <w:r>
              <w:rPr>
                <w:rFonts w:ascii="Times New Roman" w:cs="Times New Roman"/>
                <w:color w:val="auto"/>
                <w:kern w:val="2"/>
                <w:lang w:bidi="zh-CN"/>
              </w:rPr>
              <w:t>滤筒除尘器处理（</w:t>
            </w:r>
            <w:r>
              <w:rPr>
                <w:rFonts w:ascii="Times New Roman" w:cs="Times New Roman"/>
                <w:color w:val="auto"/>
              </w:rPr>
              <w:t>除尘效率95%</w:t>
            </w:r>
            <w:r>
              <w:rPr>
                <w:rFonts w:ascii="Times New Roman" w:cs="Times New Roman"/>
                <w:color w:val="auto"/>
                <w:kern w:val="2"/>
                <w:lang w:bidi="zh-CN"/>
              </w:rPr>
              <w:t>）</w:t>
            </w:r>
            <w:r>
              <w:rPr>
                <w:rFonts w:ascii="Times New Roman" w:cs="Times New Roman"/>
                <w:color w:val="auto"/>
              </w:rPr>
              <w:t>处理，</w:t>
            </w:r>
            <w:r>
              <w:rPr>
                <w:rFonts w:hint="eastAsia" w:ascii="Times New Roman" w:cs="Times New Roman"/>
                <w:color w:val="auto"/>
              </w:rPr>
              <w:t>收集效率90%，</w:t>
            </w:r>
            <w:r>
              <w:rPr>
                <w:rFonts w:ascii="Times New Roman" w:cs="Times New Roman"/>
                <w:color w:val="auto"/>
                <w:kern w:val="2"/>
                <w:lang w:bidi="zh-CN"/>
              </w:rPr>
              <w:t>少部分无组织排放。由于金属粉尘颗粒物比重较大，约90%的金属粉尘沉降于车间地面，</w:t>
            </w:r>
            <w:r>
              <w:rPr>
                <w:rFonts w:ascii="Times New Roman" w:cs="Times New Roman"/>
                <w:color w:val="auto"/>
              </w:rPr>
              <w:t>沉降的金属粉尘通过人工清扫收集，只有少部分粉尘以无组织形式扩散，无组织颗粒物可满足《大气污染综合排放标准》（GB16297­1996）中表2标准限值要求</w:t>
            </w:r>
            <w:r>
              <w:rPr>
                <w:rFonts w:hint="eastAsia" w:ascii="Times New Roman" w:cs="Times New Roman"/>
                <w:color w:val="auto"/>
              </w:rPr>
              <w:t>；有组织</w:t>
            </w:r>
            <w:r>
              <w:rPr>
                <w:rFonts w:ascii="Times New Roman" w:cs="Times New Roman"/>
                <w:color w:val="auto"/>
              </w:rPr>
              <w:t>颗粒物可满足《大气污染综合排放标准》（GB16297­1996）中表2标准限值要求。</w:t>
            </w:r>
          </w:p>
          <w:p w14:paraId="0C93A9A8">
            <w:pPr>
              <w:pStyle w:val="34"/>
              <w:spacing w:line="360" w:lineRule="auto"/>
              <w:ind w:firstLine="480" w:firstLineChars="200"/>
              <w:jc w:val="both"/>
              <w:rPr>
                <w:rFonts w:ascii="Times New Roman" w:cs="Times New Roman"/>
                <w:color w:val="auto"/>
              </w:rPr>
            </w:pPr>
            <w:r>
              <w:rPr>
                <w:rFonts w:ascii="Times New Roman" w:cs="Times New Roman"/>
                <w:color w:val="auto"/>
              </w:rPr>
              <w:t>（2）焊接烟尘</w:t>
            </w:r>
          </w:p>
          <w:p w14:paraId="5478F315">
            <w:pPr>
              <w:pStyle w:val="34"/>
              <w:spacing w:line="360" w:lineRule="auto"/>
              <w:ind w:firstLine="480" w:firstLineChars="200"/>
              <w:jc w:val="both"/>
              <w:rPr>
                <w:rFonts w:ascii="Times New Roman" w:cs="Times New Roman"/>
                <w:color w:val="auto"/>
              </w:rPr>
            </w:pPr>
            <w:r>
              <w:rPr>
                <w:rFonts w:hint="eastAsia" w:ascii="Times New Roman" w:cs="Times New Roman"/>
                <w:color w:val="auto"/>
              </w:rPr>
              <w:t>项目焊接机配移动焊接烟尘净化器</w:t>
            </w:r>
            <w:r>
              <w:rPr>
                <w:rFonts w:ascii="Times New Roman" w:cs="Times New Roman"/>
                <w:color w:val="auto"/>
              </w:rPr>
              <w:t>（</w:t>
            </w:r>
            <w:r>
              <w:rPr>
                <w:rFonts w:hint="eastAsia" w:ascii="Times New Roman" w:cs="Times New Roman"/>
                <w:color w:val="auto"/>
              </w:rPr>
              <w:t>处理</w:t>
            </w:r>
            <w:r>
              <w:rPr>
                <w:rFonts w:ascii="Times New Roman" w:cs="Times New Roman"/>
                <w:color w:val="auto"/>
              </w:rPr>
              <w:t>效率95%）</w:t>
            </w:r>
            <w:r>
              <w:rPr>
                <w:rFonts w:hint="eastAsia" w:ascii="Times New Roman" w:cs="Times New Roman"/>
                <w:color w:val="auto"/>
              </w:rPr>
              <w:t>，焊接烟尘经处理后无组织排放，无组织颗粒物</w:t>
            </w:r>
            <w:r>
              <w:rPr>
                <w:rFonts w:ascii="Times New Roman" w:cs="Times New Roman"/>
                <w:color w:val="auto"/>
              </w:rPr>
              <w:t>可满足《大气污染综合排放标准》（GB16297­1996）中表2标准限值要求。</w:t>
            </w:r>
          </w:p>
          <w:p w14:paraId="120D379E">
            <w:pPr>
              <w:pStyle w:val="34"/>
              <w:numPr>
                <w:ilvl w:val="0"/>
                <w:numId w:val="2"/>
              </w:numPr>
              <w:spacing w:line="360" w:lineRule="auto"/>
              <w:ind w:firstLine="480" w:firstLineChars="200"/>
              <w:jc w:val="both"/>
              <w:rPr>
                <w:rFonts w:ascii="Times New Roman" w:cs="Times New Roman"/>
                <w:color w:val="auto"/>
              </w:rPr>
            </w:pPr>
            <w:r>
              <w:rPr>
                <w:rFonts w:hint="eastAsia" w:ascii="Times New Roman" w:cs="Times New Roman"/>
                <w:color w:val="auto"/>
              </w:rPr>
              <w:t>喷涂</w:t>
            </w:r>
            <w:r>
              <w:rPr>
                <w:rFonts w:ascii="Times New Roman" w:cs="Times New Roman"/>
                <w:color w:val="auto"/>
              </w:rPr>
              <w:t>粉尘</w:t>
            </w:r>
          </w:p>
          <w:p w14:paraId="4C647B5B">
            <w:pPr>
              <w:pStyle w:val="34"/>
              <w:spacing w:line="360" w:lineRule="auto"/>
              <w:ind w:firstLine="480" w:firstLineChars="200"/>
              <w:jc w:val="both"/>
              <w:rPr>
                <w:rFonts w:ascii="Times New Roman" w:cs="Times New Roman"/>
                <w:color w:val="auto"/>
              </w:rPr>
            </w:pPr>
            <w:r>
              <w:rPr>
                <w:rFonts w:hint="eastAsia" w:ascii="Times New Roman" w:cs="Times New Roman"/>
                <w:color w:val="auto"/>
                <w:lang w:bidi="ar"/>
              </w:rPr>
              <w:t>喷涂</w:t>
            </w:r>
            <w:r>
              <w:rPr>
                <w:rFonts w:ascii="Times New Roman" w:cs="Times New Roman"/>
                <w:color w:val="auto"/>
                <w:lang w:bidi="ar"/>
              </w:rPr>
              <w:t>工序在专用喷房内进行，</w:t>
            </w:r>
            <w:r>
              <w:rPr>
                <w:rFonts w:hint="eastAsia" w:ascii="Times New Roman" w:cs="Times New Roman"/>
                <w:color w:val="auto"/>
                <w:lang w:bidi="ar"/>
              </w:rPr>
              <w:t>喷粉房成负压状态，喷涂工序</w:t>
            </w:r>
            <w:r>
              <w:rPr>
                <w:rFonts w:ascii="Times New Roman" w:cs="Times New Roman"/>
                <w:color w:val="auto"/>
                <w:lang w:bidi="ar"/>
              </w:rPr>
              <w:t>设</w:t>
            </w:r>
            <w:r>
              <w:rPr>
                <w:rFonts w:hint="eastAsia" w:ascii="Times New Roman" w:cs="Times New Roman"/>
                <w:color w:val="0000FF"/>
                <w:lang w:eastAsia="zh-CN" w:bidi="ar"/>
              </w:rPr>
              <w:t>“</w:t>
            </w:r>
            <w:r>
              <w:rPr>
                <w:rFonts w:ascii="Times New Roman" w:cs="Times New Roman"/>
                <w:color w:val="0000FF"/>
                <w:lang w:bidi="ar"/>
              </w:rPr>
              <w:t>旋风回收装置除尘器+</w:t>
            </w:r>
            <w:r>
              <w:rPr>
                <w:rFonts w:hint="eastAsia" w:ascii="Times New Roman" w:cs="Times New Roman"/>
                <w:color w:val="0000FF"/>
                <w:lang w:eastAsia="zh-CN" w:bidi="ar"/>
              </w:rPr>
              <w:t>脉冲布袋除尘器”</w:t>
            </w:r>
            <w:r>
              <w:rPr>
                <w:rFonts w:ascii="Times New Roman" w:cs="Times New Roman"/>
                <w:color w:val="auto"/>
                <w:lang w:bidi="ar"/>
              </w:rPr>
              <w:t>设施</w:t>
            </w:r>
            <w:r>
              <w:rPr>
                <w:rFonts w:hint="eastAsia" w:ascii="Times New Roman" w:cs="Times New Roman"/>
                <w:color w:val="auto"/>
                <w:lang w:bidi="ar"/>
              </w:rPr>
              <w:t>，塑粉收集率90%（未经收集的塑粉在喷粉房内沉降后收集回用于喷涂工序），大旋风</w:t>
            </w:r>
            <w:r>
              <w:rPr>
                <w:rFonts w:ascii="Times New Roman" w:cs="Times New Roman"/>
                <w:color w:val="auto"/>
              </w:rPr>
              <w:t>收集效率</w:t>
            </w:r>
            <w:r>
              <w:rPr>
                <w:rFonts w:hint="eastAsia" w:ascii="Times New Roman" w:cs="Times New Roman"/>
                <w:color w:val="auto"/>
              </w:rPr>
              <w:t>6</w:t>
            </w:r>
            <w:r>
              <w:rPr>
                <w:rFonts w:ascii="Times New Roman" w:cs="Times New Roman"/>
                <w:color w:val="auto"/>
              </w:rPr>
              <w:t>0%，</w:t>
            </w:r>
            <w:r>
              <w:rPr>
                <w:rFonts w:hint="eastAsia" w:ascii="Times New Roman" w:cs="Times New Roman"/>
                <w:color w:val="auto"/>
              </w:rPr>
              <w:t>布袋</w:t>
            </w:r>
            <w:r>
              <w:rPr>
                <w:rFonts w:ascii="Times New Roman" w:cs="Times New Roman"/>
                <w:color w:val="auto"/>
              </w:rPr>
              <w:t>除尘效率9</w:t>
            </w:r>
            <w:r>
              <w:rPr>
                <w:rFonts w:hint="eastAsia" w:ascii="Times New Roman" w:cs="Times New Roman"/>
                <w:color w:val="auto"/>
              </w:rPr>
              <w:t>9</w:t>
            </w:r>
            <w:r>
              <w:rPr>
                <w:rFonts w:ascii="Times New Roman" w:cs="Times New Roman"/>
                <w:color w:val="auto"/>
              </w:rPr>
              <w:t>%</w:t>
            </w:r>
            <w:r>
              <w:rPr>
                <w:rFonts w:ascii="Times New Roman" w:cs="Times New Roman"/>
                <w:color w:val="auto"/>
                <w:lang w:bidi="ar"/>
              </w:rPr>
              <w:t>，粉尘经</w:t>
            </w:r>
            <w:r>
              <w:rPr>
                <w:rFonts w:hint="eastAsia" w:ascii="Times New Roman" w:cs="Times New Roman"/>
                <w:color w:val="auto"/>
                <w:lang w:bidi="ar"/>
              </w:rPr>
              <w:t>过滤处理后经</w:t>
            </w:r>
            <w:r>
              <w:rPr>
                <w:rFonts w:ascii="Times New Roman" w:cs="Times New Roman"/>
                <w:color w:val="auto"/>
                <w:lang w:bidi="ar"/>
              </w:rPr>
              <w:t>15m高排气筒</w:t>
            </w:r>
            <w:r>
              <w:rPr>
                <w:rFonts w:ascii="Times New Roman" w:cs="Times New Roman"/>
                <w:color w:val="auto"/>
              </w:rPr>
              <w:t>（DA002）排放，</w:t>
            </w:r>
            <w:r>
              <w:rPr>
                <w:rFonts w:hint="eastAsia" w:ascii="Times New Roman" w:cs="Times New Roman"/>
                <w:color w:val="auto"/>
              </w:rPr>
              <w:t>通过表4-1计算可知，</w:t>
            </w:r>
            <w:r>
              <w:rPr>
                <w:rFonts w:ascii="Times New Roman" w:cs="Times New Roman"/>
                <w:color w:val="auto"/>
              </w:rPr>
              <w:t>颗粒物可满足《大气污染综合排放标准》（GB16297­1996）中表2标准限值要求。</w:t>
            </w:r>
          </w:p>
          <w:p w14:paraId="1F7E1B14">
            <w:pPr>
              <w:adjustRightInd w:val="0"/>
              <w:snapToGrid w:val="0"/>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rPr>
              <w:t>（4）固化</w:t>
            </w:r>
            <w:r>
              <w:rPr>
                <w:rFonts w:eastAsia="宋体" w:cs="Times New Roman"/>
                <w:color w:val="auto"/>
                <w:sz w:val="24"/>
                <w:szCs w:val="24"/>
                <w:lang w:eastAsia="zh-CN"/>
              </w:rPr>
              <w:t>废气</w:t>
            </w:r>
          </w:p>
          <w:p w14:paraId="79282924">
            <w:pPr>
              <w:adjustRightInd w:val="0"/>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项目</w:t>
            </w:r>
            <w:r>
              <w:rPr>
                <w:rFonts w:hint="eastAsia" w:eastAsia="宋体" w:cs="Times New Roman"/>
                <w:color w:val="auto"/>
                <w:sz w:val="24"/>
                <w:lang w:eastAsia="zh-CN"/>
              </w:rPr>
              <w:t>固化</w:t>
            </w:r>
            <w:r>
              <w:rPr>
                <w:rFonts w:eastAsia="宋体" w:cs="Times New Roman"/>
                <w:color w:val="auto"/>
                <w:sz w:val="24"/>
                <w:lang w:eastAsia="zh-CN"/>
              </w:rPr>
              <w:t>工序废气收集后经二级活性炭吸附装置处理，通过排气筒（DA003）排放，废气收集率达80%，二级活性炭吸附效率85%，通过表4-1计算可知，</w:t>
            </w:r>
            <w:r>
              <w:rPr>
                <w:rFonts w:eastAsia="宋体" w:cs="Times New Roman"/>
                <w:color w:val="auto"/>
                <w:sz w:val="24"/>
                <w:szCs w:val="24"/>
                <w:lang w:eastAsia="zh-CN"/>
              </w:rPr>
              <w:t>非甲烷总烃排放浓度可满足</w:t>
            </w:r>
            <w:r>
              <w:rPr>
                <w:rFonts w:eastAsia="宋体" w:cs="Times New Roman"/>
                <w:color w:val="auto"/>
                <w:sz w:val="24"/>
                <w:szCs w:val="24"/>
                <w:lang w:eastAsia="zh-CN" w:bidi="ar"/>
              </w:rPr>
              <w:t>《挥发性有机物排放控制标准》（DB61/T1061-2017）中的标准限值。</w:t>
            </w:r>
          </w:p>
          <w:p w14:paraId="6C39D62D">
            <w:pPr>
              <w:pStyle w:val="34"/>
              <w:spacing w:line="360" w:lineRule="auto"/>
              <w:ind w:firstLine="480" w:firstLineChars="200"/>
              <w:jc w:val="both"/>
              <w:rPr>
                <w:rFonts w:ascii="Times New Roman" w:cs="Times New Roman"/>
                <w:color w:val="auto"/>
                <w:lang w:bidi="ar"/>
              </w:rPr>
            </w:pPr>
            <w:r>
              <w:rPr>
                <w:rFonts w:hint="eastAsia" w:ascii="Times New Roman" w:cs="Times New Roman"/>
                <w:color w:val="auto"/>
                <w:lang w:bidi="ar"/>
              </w:rPr>
              <w:t>（5）</w:t>
            </w:r>
            <w:r>
              <w:rPr>
                <w:rFonts w:ascii="Times New Roman" w:cs="Times New Roman"/>
                <w:color w:val="auto"/>
                <w:lang w:bidi="ar"/>
              </w:rPr>
              <w:t>燃烧机废气</w:t>
            </w:r>
          </w:p>
          <w:p w14:paraId="14DCD53F">
            <w:pPr>
              <w:widowControl/>
              <w:ind w:left="0" w:leftChars="0" w:right="0" w:rightChars="0" w:firstLine="480"/>
              <w:jc w:val="both"/>
              <w:rPr>
                <w:rFonts w:eastAsia="宋体" w:cs="Times New Roman"/>
                <w:color w:val="auto"/>
                <w:sz w:val="24"/>
                <w:szCs w:val="24"/>
                <w:lang w:eastAsia="zh-CN" w:bidi="ar"/>
              </w:rPr>
            </w:pPr>
            <w:r>
              <w:rPr>
                <w:rFonts w:eastAsia="宋体" w:cs="Times New Roman"/>
                <w:color w:val="auto"/>
                <w:sz w:val="24"/>
                <w:szCs w:val="24"/>
                <w:lang w:eastAsia="zh-CN"/>
              </w:rPr>
              <w:t>本项目燃烧机采</w:t>
            </w:r>
            <w:r>
              <w:rPr>
                <w:rFonts w:hint="eastAsia" w:eastAsia="宋体" w:cs="Times New Roman"/>
                <w:color w:val="auto"/>
                <w:sz w:val="24"/>
                <w:szCs w:val="24"/>
                <w:lang w:eastAsia="zh-CN"/>
              </w:rPr>
              <w:t>用</w:t>
            </w:r>
            <w:r>
              <w:rPr>
                <w:rFonts w:eastAsia="宋体" w:cs="Times New Roman"/>
                <w:color w:val="auto"/>
                <w:sz w:val="24"/>
                <w:szCs w:val="24"/>
                <w:lang w:eastAsia="zh-CN"/>
              </w:rPr>
              <w:t>天然气</w:t>
            </w:r>
            <w:r>
              <w:rPr>
                <w:rFonts w:hint="eastAsia" w:eastAsia="宋体" w:cs="Times New Roman"/>
                <w:color w:val="auto"/>
                <w:sz w:val="24"/>
                <w:szCs w:val="24"/>
                <w:lang w:eastAsia="zh-CN"/>
              </w:rPr>
              <w:t>，燃烧过程采用</w:t>
            </w:r>
            <w:r>
              <w:rPr>
                <w:rFonts w:eastAsia="宋体" w:cs="Times New Roman"/>
                <w:color w:val="auto"/>
                <w:sz w:val="24"/>
                <w:szCs w:val="24"/>
                <w:lang w:eastAsia="zh-CN"/>
              </w:rPr>
              <w:t>低氮燃烧</w:t>
            </w:r>
            <w:r>
              <w:rPr>
                <w:rFonts w:hint="eastAsia" w:eastAsia="宋体" w:cs="Times New Roman"/>
                <w:color w:val="auto"/>
                <w:sz w:val="24"/>
                <w:szCs w:val="24"/>
                <w:lang w:eastAsia="zh-CN"/>
              </w:rPr>
              <w:t>措施</w:t>
            </w:r>
            <w:r>
              <w:rPr>
                <w:rFonts w:eastAsia="宋体" w:cs="Times New Roman"/>
                <w:color w:val="auto"/>
                <w:sz w:val="24"/>
                <w:szCs w:val="24"/>
                <w:lang w:eastAsia="zh-CN"/>
              </w:rPr>
              <w:t>，</w:t>
            </w:r>
            <w:r>
              <w:rPr>
                <w:rFonts w:eastAsia="宋体" w:cs="Times New Roman"/>
                <w:color w:val="auto"/>
                <w:sz w:val="24"/>
                <w:szCs w:val="24"/>
                <w:lang w:eastAsia="zh-CN" w:bidi="ar"/>
              </w:rPr>
              <w:t>废气经处理后与</w:t>
            </w:r>
            <w:r>
              <w:rPr>
                <w:rFonts w:hint="eastAsia" w:eastAsia="宋体" w:cs="Times New Roman"/>
                <w:color w:val="auto"/>
                <w:sz w:val="24"/>
                <w:szCs w:val="24"/>
                <w:lang w:eastAsia="zh-CN" w:bidi="ar"/>
              </w:rPr>
              <w:t>固化</w:t>
            </w:r>
            <w:r>
              <w:rPr>
                <w:rFonts w:eastAsia="宋体" w:cs="Times New Roman"/>
                <w:color w:val="auto"/>
                <w:sz w:val="24"/>
                <w:szCs w:val="24"/>
                <w:lang w:eastAsia="zh-CN" w:bidi="ar"/>
              </w:rPr>
              <w:t>废气一同经</w:t>
            </w:r>
            <w:r>
              <w:rPr>
                <w:rFonts w:hint="eastAsia" w:eastAsia="宋体" w:cs="Times New Roman"/>
                <w:color w:val="auto"/>
                <w:sz w:val="24"/>
                <w:szCs w:val="24"/>
                <w:lang w:eastAsia="zh-CN" w:bidi="ar"/>
              </w:rPr>
              <w:t>15m高</w:t>
            </w:r>
            <w:r>
              <w:rPr>
                <w:rFonts w:eastAsia="宋体" w:cs="Times New Roman"/>
                <w:color w:val="auto"/>
                <w:sz w:val="24"/>
                <w:szCs w:val="24"/>
                <w:lang w:eastAsia="zh-CN" w:bidi="ar"/>
              </w:rPr>
              <w:t>排气筒</w:t>
            </w:r>
            <w:r>
              <w:rPr>
                <w:color w:val="auto"/>
                <w:sz w:val="24"/>
                <w:lang w:eastAsia="zh-CN"/>
              </w:rPr>
              <w:t>（DA00</w:t>
            </w:r>
            <w:r>
              <w:rPr>
                <w:rFonts w:hint="eastAsia"/>
                <w:color w:val="auto"/>
                <w:sz w:val="24"/>
                <w:lang w:eastAsia="zh-CN"/>
              </w:rPr>
              <w:t>3</w:t>
            </w:r>
            <w:r>
              <w:rPr>
                <w:color w:val="auto"/>
                <w:sz w:val="24"/>
                <w:lang w:eastAsia="zh-CN"/>
              </w:rPr>
              <w:t>）</w:t>
            </w:r>
            <w:r>
              <w:rPr>
                <w:rFonts w:eastAsia="宋体" w:cs="Times New Roman"/>
                <w:color w:val="auto"/>
                <w:sz w:val="24"/>
                <w:szCs w:val="24"/>
                <w:lang w:eastAsia="zh-CN" w:bidi="ar"/>
              </w:rPr>
              <w:t>排放，</w:t>
            </w:r>
            <w:r>
              <w:rPr>
                <w:rFonts w:hint="eastAsia"/>
                <w:color w:val="auto"/>
                <w:sz w:val="24"/>
                <w:lang w:eastAsia="zh-CN"/>
              </w:rPr>
              <w:t>颗粒物、</w:t>
            </w:r>
            <w:r>
              <w:rPr>
                <w:rFonts w:eastAsia="宋体" w:cs="Times New Roman"/>
                <w:color w:val="auto"/>
                <w:sz w:val="24"/>
                <w:szCs w:val="24"/>
                <w:lang w:eastAsia="zh-CN" w:bidi="ar"/>
              </w:rPr>
              <w:t>SO</w:t>
            </w:r>
            <w:r>
              <w:rPr>
                <w:rFonts w:eastAsia="宋体" w:cs="Times New Roman"/>
                <w:color w:val="auto"/>
                <w:sz w:val="24"/>
                <w:szCs w:val="24"/>
                <w:vertAlign w:val="subscript"/>
                <w:lang w:eastAsia="zh-CN" w:bidi="ar"/>
              </w:rPr>
              <w:t>2</w:t>
            </w:r>
            <w:r>
              <w:rPr>
                <w:rFonts w:hint="eastAsia"/>
                <w:color w:val="auto"/>
                <w:sz w:val="24"/>
                <w:lang w:eastAsia="zh-CN"/>
              </w:rPr>
              <w:t>、</w:t>
            </w:r>
            <w:r>
              <w:rPr>
                <w:rFonts w:eastAsia="宋体" w:cs="Times New Roman"/>
                <w:color w:val="auto"/>
                <w:sz w:val="24"/>
                <w:szCs w:val="24"/>
                <w:lang w:eastAsia="zh-CN" w:bidi="ar"/>
              </w:rPr>
              <w:t>NO</w:t>
            </w:r>
            <w:r>
              <w:rPr>
                <w:rFonts w:eastAsia="宋体" w:cs="Times New Roman"/>
                <w:color w:val="auto"/>
                <w:sz w:val="24"/>
                <w:szCs w:val="24"/>
                <w:vertAlign w:val="subscript"/>
                <w:lang w:eastAsia="zh-CN" w:bidi="ar"/>
              </w:rPr>
              <w:t>X</w:t>
            </w:r>
            <w:r>
              <w:rPr>
                <w:rFonts w:eastAsia="宋体" w:cs="Times New Roman"/>
                <w:color w:val="auto"/>
                <w:sz w:val="24"/>
                <w:szCs w:val="24"/>
                <w:lang w:eastAsia="zh-CN" w:bidi="ar"/>
              </w:rPr>
              <w:t>排放浓度</w:t>
            </w:r>
            <w:r>
              <w:rPr>
                <w:rFonts w:hint="eastAsia" w:eastAsia="宋体" w:cs="Times New Roman"/>
                <w:color w:val="auto"/>
                <w:sz w:val="24"/>
                <w:szCs w:val="24"/>
                <w:lang w:eastAsia="zh-CN" w:bidi="ar"/>
              </w:rPr>
              <w:t>均</w:t>
            </w:r>
            <w:r>
              <w:rPr>
                <w:rFonts w:eastAsia="宋体" w:cs="Times New Roman"/>
                <w:color w:val="auto"/>
                <w:sz w:val="24"/>
                <w:szCs w:val="24"/>
                <w:lang w:eastAsia="zh-CN" w:bidi="ar"/>
              </w:rPr>
              <w:t>可满足《工业炉窑大气污染综合治理方案》（环大气[2019]56号）中重点区域相关标准。</w:t>
            </w:r>
          </w:p>
          <w:p w14:paraId="4223A54D">
            <w:pPr>
              <w:pStyle w:val="34"/>
              <w:spacing w:line="360" w:lineRule="auto"/>
              <w:ind w:firstLine="480" w:firstLineChars="200"/>
              <w:jc w:val="both"/>
              <w:rPr>
                <w:rFonts w:ascii="Times New Roman" w:cs="Times New Roman"/>
                <w:color w:val="auto"/>
              </w:rPr>
            </w:pPr>
            <w:r>
              <w:rPr>
                <w:rFonts w:hint="eastAsia" w:ascii="Times New Roman" w:cs="Times New Roman"/>
                <w:color w:val="auto"/>
              </w:rPr>
              <w:t>（6）题字</w:t>
            </w:r>
            <w:r>
              <w:rPr>
                <w:rFonts w:ascii="Times New Roman" w:cs="Times New Roman"/>
                <w:color w:val="auto"/>
              </w:rPr>
              <w:t>废气</w:t>
            </w:r>
          </w:p>
          <w:p w14:paraId="0C72AC63">
            <w:pPr>
              <w:adjustRightInd w:val="0"/>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项目题字工序废气收集后经二级活性炭吸附装置处理，通过排气筒（DA003）排放，</w:t>
            </w:r>
            <w:r>
              <w:rPr>
                <w:rFonts w:hint="eastAsia" w:eastAsia="宋体" w:cs="Times New Roman"/>
                <w:color w:val="auto"/>
                <w:sz w:val="24"/>
                <w:lang w:eastAsia="zh-CN"/>
              </w:rPr>
              <w:t>废气收集效率85%，</w:t>
            </w:r>
            <w:r>
              <w:rPr>
                <w:rFonts w:hint="eastAsia"/>
                <w:color w:val="auto"/>
                <w:sz w:val="24"/>
                <w:lang w:eastAsia="zh-CN"/>
              </w:rPr>
              <w:t>二级活性炭吸附效率85%，</w:t>
            </w:r>
            <w:r>
              <w:rPr>
                <w:rFonts w:eastAsia="宋体" w:cs="Times New Roman"/>
                <w:color w:val="auto"/>
                <w:sz w:val="24"/>
                <w:lang w:eastAsia="zh-CN"/>
              </w:rPr>
              <w:t>通过表4-1计算可知，</w:t>
            </w:r>
            <w:r>
              <w:rPr>
                <w:rFonts w:eastAsia="宋体" w:cs="Times New Roman"/>
                <w:color w:val="auto"/>
                <w:sz w:val="24"/>
                <w:szCs w:val="24"/>
                <w:lang w:eastAsia="zh-CN"/>
              </w:rPr>
              <w:t>非甲烷总烃排放浓度可满足</w:t>
            </w:r>
            <w:r>
              <w:rPr>
                <w:rFonts w:eastAsia="宋体" w:cs="Times New Roman"/>
                <w:color w:val="auto"/>
                <w:sz w:val="24"/>
                <w:szCs w:val="24"/>
                <w:lang w:eastAsia="zh-CN" w:bidi="ar"/>
              </w:rPr>
              <w:t>《挥发性有机物排放控制标准》（DB61/T1061-2017）中的标准限值。</w:t>
            </w:r>
          </w:p>
          <w:p w14:paraId="208FC039">
            <w:pPr>
              <w:pStyle w:val="34"/>
              <w:spacing w:line="360" w:lineRule="auto"/>
              <w:ind w:firstLine="480" w:firstLineChars="200"/>
              <w:jc w:val="both"/>
              <w:rPr>
                <w:rFonts w:ascii="Times New Roman" w:cs="Times New Roman"/>
                <w:color w:val="auto"/>
              </w:rPr>
            </w:pPr>
            <w:r>
              <w:rPr>
                <w:rFonts w:hint="eastAsia" w:ascii="Times New Roman" w:cs="Times New Roman"/>
                <w:color w:val="auto"/>
              </w:rPr>
              <w:t>（7）</w:t>
            </w:r>
            <w:r>
              <w:rPr>
                <w:rFonts w:ascii="Times New Roman" w:cs="Times New Roman"/>
                <w:color w:val="auto"/>
              </w:rPr>
              <w:t>食堂油烟</w:t>
            </w:r>
          </w:p>
          <w:p w14:paraId="0066B7C1">
            <w:pPr>
              <w:adjustRightInd w:val="0"/>
              <w:snapToGrid w:val="0"/>
              <w:ind w:firstLine="480"/>
              <w:jc w:val="both"/>
              <w:rPr>
                <w:rFonts w:eastAsia="宋体" w:cs="Times New Roman"/>
                <w:color w:val="auto"/>
                <w:sz w:val="24"/>
                <w:szCs w:val="24"/>
                <w:lang w:eastAsia="zh-CN"/>
              </w:rPr>
            </w:pPr>
            <w:r>
              <w:rPr>
                <w:rFonts w:hint="eastAsia" w:cs="Times New Roman"/>
                <w:color w:val="auto"/>
                <w:sz w:val="24"/>
                <w:szCs w:val="24"/>
                <w:lang w:eastAsia="zh-CN"/>
              </w:rPr>
              <w:t>员工食堂设油烟净化器，</w:t>
            </w:r>
            <w:r>
              <w:rPr>
                <w:rFonts w:cs="Times New Roman"/>
                <w:color w:val="auto"/>
                <w:sz w:val="24"/>
                <w:szCs w:val="24"/>
                <w:lang w:eastAsia="zh-CN"/>
              </w:rPr>
              <w:t>油烟经油烟净化器净化后从食堂楼顶排放，油烟净化器的净化效率按标准值60%计算，</w:t>
            </w:r>
            <w:r>
              <w:rPr>
                <w:rFonts w:hint="eastAsia" w:cs="Times New Roman"/>
                <w:color w:val="auto"/>
                <w:sz w:val="24"/>
                <w:szCs w:val="24"/>
                <w:lang w:eastAsia="zh-CN"/>
              </w:rPr>
              <w:t>油烟</w:t>
            </w:r>
            <w:r>
              <w:rPr>
                <w:rFonts w:eastAsia="宋体" w:cs="Times New Roman"/>
                <w:color w:val="auto"/>
                <w:sz w:val="24"/>
                <w:szCs w:val="24"/>
                <w:lang w:eastAsia="zh-CN"/>
              </w:rPr>
              <w:t>排放浓度满足《饮食业油烟排放标准（试行）》（GB18483-2001）中相关标准。</w:t>
            </w:r>
          </w:p>
          <w:p w14:paraId="1CC75FD5">
            <w:pPr>
              <w:adjustRightInd w:val="0"/>
              <w:snapToGrid w:val="0"/>
              <w:ind w:left="0" w:leftChars="0" w:firstLine="482"/>
              <w:jc w:val="left"/>
              <w:rPr>
                <w:rFonts w:cs="Times New Roman"/>
                <w:b/>
                <w:bCs/>
                <w:color w:val="auto"/>
                <w:sz w:val="24"/>
                <w:szCs w:val="24"/>
                <w:lang w:eastAsia="zh-CN"/>
              </w:rPr>
            </w:pPr>
            <w:r>
              <w:rPr>
                <w:rFonts w:hint="eastAsia" w:eastAsia="宋体" w:cs="Times New Roman"/>
                <w:b/>
                <w:bCs/>
                <w:color w:val="auto"/>
                <w:sz w:val="24"/>
                <w:szCs w:val="24"/>
                <w:lang w:eastAsia="zh-CN"/>
              </w:rPr>
              <w:t>1.</w:t>
            </w:r>
            <w:r>
              <w:rPr>
                <w:rFonts w:hint="eastAsia" w:eastAsia="宋体" w:cs="Times New Roman"/>
                <w:b/>
                <w:bCs/>
                <w:color w:val="auto"/>
                <w:sz w:val="24"/>
                <w:szCs w:val="24"/>
                <w:lang w:val="en-US" w:eastAsia="zh-CN"/>
              </w:rPr>
              <w:t>3</w:t>
            </w:r>
            <w:r>
              <w:rPr>
                <w:rFonts w:hint="eastAsia" w:cs="Times New Roman"/>
                <w:b/>
                <w:bCs/>
                <w:color w:val="auto"/>
                <w:sz w:val="24"/>
                <w:szCs w:val="24"/>
                <w:lang w:eastAsia="zh-CN"/>
              </w:rPr>
              <w:t>环保措施有效性分析</w:t>
            </w:r>
          </w:p>
          <w:p w14:paraId="37C271F8">
            <w:pPr>
              <w:numPr>
                <w:ilvl w:val="0"/>
                <w:numId w:val="7"/>
              </w:numPr>
              <w:adjustRightInd w:val="0"/>
              <w:snapToGrid w:val="0"/>
              <w:ind w:left="0" w:leftChars="0" w:right="0" w:rightChars="0" w:firstLine="480"/>
              <w:jc w:val="both"/>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废气治理工艺可行性分析</w:t>
            </w:r>
          </w:p>
          <w:p w14:paraId="3160995D">
            <w:pPr>
              <w:numPr>
                <w:ilvl w:val="0"/>
                <w:numId w:val="0"/>
              </w:numPr>
              <w:adjustRightInd w:val="0"/>
              <w:snapToGrid w:val="0"/>
              <w:ind w:right="0" w:rightChars="0" w:firstLine="480" w:firstLineChars="200"/>
              <w:jc w:val="both"/>
              <w:rPr>
                <w:rFonts w:eastAsia="宋体" w:cs="Times New Roman"/>
                <w:color w:val="auto"/>
                <w:sz w:val="24"/>
                <w:szCs w:val="24"/>
                <w:lang w:eastAsia="zh-CN" w:bidi="ar"/>
              </w:rPr>
            </w:pPr>
            <w:r>
              <w:rPr>
                <w:rFonts w:hint="eastAsia" w:eastAsia="宋体" w:cs="Times New Roman"/>
                <w:color w:val="auto"/>
                <w:sz w:val="24"/>
                <w:szCs w:val="24"/>
                <w:lang w:eastAsia="zh-CN"/>
              </w:rPr>
              <w:t>喷涂</w:t>
            </w:r>
            <w:r>
              <w:rPr>
                <w:rFonts w:hint="eastAsia" w:eastAsia="宋体" w:cs="Times New Roman"/>
                <w:color w:val="auto"/>
                <w:sz w:val="24"/>
                <w:szCs w:val="24"/>
                <w:lang w:val="en-US" w:eastAsia="zh-CN"/>
              </w:rPr>
              <w:t>粉尘</w:t>
            </w:r>
            <w:r>
              <w:rPr>
                <w:rFonts w:hint="eastAsia" w:eastAsia="宋体" w:cs="Times New Roman"/>
                <w:color w:val="auto"/>
                <w:sz w:val="24"/>
                <w:szCs w:val="24"/>
                <w:lang w:eastAsia="zh-CN"/>
              </w:rPr>
              <w:t>、固化废气是本项目废气污染物的防治重点，</w:t>
            </w:r>
            <w:r>
              <w:rPr>
                <w:rFonts w:hint="eastAsia" w:eastAsia="宋体" w:cs="Times New Roman"/>
                <w:color w:val="auto"/>
                <w:sz w:val="24"/>
                <w:szCs w:val="24"/>
                <w:lang w:eastAsia="zh-CN" w:bidi="ar"/>
              </w:rPr>
              <w:t>根据</w:t>
            </w:r>
            <w:r>
              <w:rPr>
                <w:rFonts w:eastAsia="宋体" w:cs="Times New Roman"/>
                <w:color w:val="auto"/>
                <w:sz w:val="24"/>
                <w:szCs w:val="24"/>
                <w:lang w:eastAsia="zh-CN" w:bidi="ar"/>
              </w:rPr>
              <w:t>《排污许可证申请与核发技术规范</w:t>
            </w:r>
            <w:r>
              <w:rPr>
                <w:rFonts w:hint="eastAsia" w:eastAsia="宋体" w:cs="Times New Roman"/>
                <w:color w:val="auto"/>
                <w:sz w:val="24"/>
                <w:szCs w:val="24"/>
                <w:lang w:eastAsia="zh-CN" w:bidi="ar"/>
              </w:rPr>
              <w:t xml:space="preserve"> 家具制造工业</w:t>
            </w:r>
            <w:r>
              <w:rPr>
                <w:rFonts w:eastAsia="宋体" w:cs="Times New Roman"/>
                <w:color w:val="auto"/>
                <w:sz w:val="24"/>
                <w:szCs w:val="24"/>
                <w:lang w:eastAsia="zh-CN" w:bidi="ar"/>
              </w:rPr>
              <w:t>》（HJ</w:t>
            </w:r>
            <w:r>
              <w:rPr>
                <w:rFonts w:hint="eastAsia" w:eastAsia="宋体" w:cs="Times New Roman"/>
                <w:color w:val="auto"/>
                <w:sz w:val="24"/>
                <w:szCs w:val="24"/>
                <w:lang w:eastAsia="zh-CN" w:bidi="ar"/>
              </w:rPr>
              <w:t>1027</w:t>
            </w:r>
            <w:r>
              <w:rPr>
                <w:rFonts w:eastAsia="宋体" w:cs="Times New Roman"/>
                <w:color w:val="auto"/>
                <w:sz w:val="24"/>
                <w:szCs w:val="24"/>
                <w:lang w:eastAsia="zh-CN" w:bidi="ar"/>
              </w:rPr>
              <w:t>—20</w:t>
            </w:r>
            <w:r>
              <w:rPr>
                <w:rFonts w:hint="eastAsia" w:eastAsia="宋体" w:cs="Times New Roman"/>
                <w:color w:val="auto"/>
                <w:sz w:val="24"/>
                <w:szCs w:val="24"/>
                <w:lang w:eastAsia="zh-CN" w:bidi="ar"/>
              </w:rPr>
              <w:t>19</w:t>
            </w:r>
            <w:r>
              <w:rPr>
                <w:rFonts w:eastAsia="宋体" w:cs="Times New Roman"/>
                <w:color w:val="auto"/>
                <w:sz w:val="24"/>
                <w:szCs w:val="24"/>
                <w:lang w:eastAsia="zh-CN" w:bidi="ar"/>
              </w:rPr>
              <w:t>)，</w:t>
            </w:r>
            <w:r>
              <w:rPr>
                <w:rFonts w:hint="eastAsia" w:eastAsia="宋体" w:cs="Times New Roman"/>
                <w:color w:val="auto"/>
                <w:sz w:val="24"/>
                <w:szCs w:val="24"/>
                <w:lang w:eastAsia="zh-CN" w:bidi="ar"/>
              </w:rPr>
              <w:t>金属家具制造排污单位的喷涂</w:t>
            </w:r>
            <w:r>
              <w:rPr>
                <w:rFonts w:hint="eastAsia" w:eastAsia="宋体" w:cs="Times New Roman"/>
                <w:color w:val="auto"/>
                <w:sz w:val="24"/>
                <w:szCs w:val="24"/>
                <w:lang w:val="en-US" w:eastAsia="zh-CN" w:bidi="ar"/>
              </w:rPr>
              <w:t>粉尘</w:t>
            </w:r>
            <w:r>
              <w:rPr>
                <w:rFonts w:hint="eastAsia" w:eastAsia="宋体" w:cs="Times New Roman"/>
                <w:color w:val="auto"/>
                <w:sz w:val="24"/>
                <w:szCs w:val="24"/>
                <w:lang w:eastAsia="zh-CN" w:bidi="ar"/>
              </w:rPr>
              <w:t>应采取袋式除尘、活性炭吸附等工艺。</w:t>
            </w:r>
          </w:p>
          <w:p w14:paraId="42337BB0">
            <w:pPr>
              <w:adjustRightInd w:val="0"/>
              <w:snapToGrid w:val="0"/>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bidi="ar"/>
              </w:rPr>
              <w:t>本项目喷涂</w:t>
            </w:r>
            <w:r>
              <w:rPr>
                <w:rFonts w:hint="eastAsia" w:eastAsia="宋体" w:cs="Times New Roman"/>
                <w:color w:val="auto"/>
                <w:sz w:val="24"/>
                <w:szCs w:val="24"/>
                <w:lang w:val="en-US" w:eastAsia="zh-CN" w:bidi="ar"/>
              </w:rPr>
              <w:t>粉尘</w:t>
            </w:r>
            <w:r>
              <w:rPr>
                <w:rFonts w:hint="eastAsia" w:eastAsia="宋体" w:cs="Times New Roman"/>
                <w:color w:val="auto"/>
                <w:sz w:val="24"/>
                <w:szCs w:val="24"/>
                <w:lang w:eastAsia="zh-CN" w:bidi="ar"/>
              </w:rPr>
              <w:t>采用旋风回收装置及脉冲布袋除尘器、固化废气</w:t>
            </w:r>
            <w:r>
              <w:rPr>
                <w:rFonts w:eastAsia="宋体" w:cs="Times New Roman"/>
                <w:color w:val="auto"/>
                <w:sz w:val="24"/>
                <w:szCs w:val="24"/>
                <w:lang w:eastAsia="zh-CN" w:bidi="ar"/>
              </w:rPr>
              <w:t>采用</w:t>
            </w:r>
            <w:r>
              <w:rPr>
                <w:rFonts w:hint="eastAsia" w:eastAsia="宋体" w:cs="Times New Roman"/>
                <w:color w:val="auto"/>
                <w:sz w:val="24"/>
                <w:szCs w:val="24"/>
                <w:lang w:eastAsia="zh-CN" w:bidi="ar"/>
              </w:rPr>
              <w:t>二级</w:t>
            </w:r>
            <w:r>
              <w:rPr>
                <w:rFonts w:eastAsia="宋体" w:cs="Times New Roman"/>
                <w:color w:val="auto"/>
                <w:sz w:val="24"/>
                <w:szCs w:val="24"/>
                <w:lang w:eastAsia="zh-CN" w:bidi="ar"/>
              </w:rPr>
              <w:t>活性炭吸附装置进行处理；</w:t>
            </w:r>
            <w:r>
              <w:rPr>
                <w:rFonts w:hint="eastAsia" w:eastAsia="宋体" w:cs="Times New Roman"/>
                <w:color w:val="auto"/>
                <w:sz w:val="24"/>
                <w:szCs w:val="24"/>
                <w:lang w:eastAsia="zh-CN" w:bidi="ar"/>
              </w:rPr>
              <w:t>喷涂</w:t>
            </w:r>
            <w:r>
              <w:rPr>
                <w:rFonts w:hint="eastAsia" w:eastAsia="宋体" w:cs="Times New Roman"/>
                <w:color w:val="auto"/>
                <w:sz w:val="24"/>
                <w:szCs w:val="24"/>
                <w:lang w:val="en-US" w:eastAsia="zh-CN" w:bidi="ar"/>
              </w:rPr>
              <w:t>粉尘</w:t>
            </w:r>
            <w:r>
              <w:rPr>
                <w:rFonts w:eastAsia="宋体" w:cs="Times New Roman"/>
                <w:color w:val="auto"/>
                <w:sz w:val="24"/>
                <w:szCs w:val="24"/>
                <w:lang w:eastAsia="zh-CN" w:bidi="ar"/>
              </w:rPr>
              <w:t>采用旋风除尘器+滤筒处理；天然气燃烧废气中氮氧化物采用低氮燃烧技术；焊接烟尘经移动式焊烟净化器处理后排放，均为可行性技术。</w:t>
            </w:r>
          </w:p>
          <w:p w14:paraId="583F7681">
            <w:pPr>
              <w:adjustRightInd w:val="0"/>
              <w:snapToGrid w:val="0"/>
              <w:ind w:left="0" w:leftChars="0" w:right="0" w:rightChars="0" w:firstLine="480"/>
              <w:jc w:val="both"/>
              <w:rPr>
                <w:rFonts w:hint="default" w:eastAsia="宋体" w:cs="Times New Roman"/>
                <w:color w:val="0000FF"/>
                <w:sz w:val="24"/>
                <w:szCs w:val="24"/>
                <w:lang w:val="en-US" w:eastAsia="zh-CN"/>
              </w:rPr>
            </w:pPr>
            <w:r>
              <w:rPr>
                <w:rFonts w:hint="eastAsia" w:eastAsia="宋体" w:cs="Times New Roman"/>
                <w:color w:val="0000FF"/>
                <w:sz w:val="24"/>
                <w:szCs w:val="24"/>
                <w:lang w:eastAsia="zh-CN"/>
              </w:rPr>
              <w:t>（</w:t>
            </w:r>
            <w:r>
              <w:rPr>
                <w:rFonts w:hint="eastAsia" w:eastAsia="宋体" w:cs="Times New Roman"/>
                <w:color w:val="0000FF"/>
                <w:sz w:val="24"/>
                <w:szCs w:val="24"/>
                <w:lang w:val="en-US" w:eastAsia="zh-CN"/>
              </w:rPr>
              <w:t>2</w:t>
            </w:r>
            <w:r>
              <w:rPr>
                <w:rFonts w:hint="eastAsia" w:eastAsia="宋体" w:cs="Times New Roman"/>
                <w:color w:val="0000FF"/>
                <w:sz w:val="24"/>
                <w:szCs w:val="24"/>
                <w:lang w:eastAsia="zh-CN"/>
              </w:rPr>
              <w:t>）</w:t>
            </w:r>
            <w:r>
              <w:rPr>
                <w:rFonts w:hint="eastAsia" w:eastAsia="宋体" w:cs="Times New Roman"/>
                <w:color w:val="0000FF"/>
                <w:sz w:val="24"/>
                <w:szCs w:val="24"/>
                <w:lang w:val="en-US" w:eastAsia="zh-CN"/>
              </w:rPr>
              <w:t>废气治理措施可依托行分析</w:t>
            </w:r>
          </w:p>
          <w:p w14:paraId="0B1D3182">
            <w:pPr>
              <w:adjustRightInd w:val="0"/>
              <w:snapToGrid w:val="0"/>
              <w:ind w:left="0" w:leftChars="0" w:right="0" w:rightChars="0" w:firstLine="480"/>
              <w:jc w:val="both"/>
              <w:rPr>
                <w:rFonts w:hint="eastAsia" w:eastAsia="宋体" w:cs="Times New Roman"/>
                <w:color w:val="0000FF"/>
                <w:sz w:val="24"/>
                <w:szCs w:val="24"/>
                <w:lang w:val="en-US" w:eastAsia="zh-CN"/>
              </w:rPr>
            </w:pPr>
            <w:r>
              <w:rPr>
                <w:rFonts w:hint="eastAsia" w:eastAsia="宋体" w:cs="Times New Roman"/>
                <w:color w:val="0000FF"/>
                <w:sz w:val="24"/>
                <w:szCs w:val="24"/>
                <w:lang w:val="en-US" w:eastAsia="zh-CN"/>
              </w:rPr>
              <w:t>本次扩建与现有项目相比，生产工艺相同，仅新增机械加工设备，不新增喷涂设备及固化设备，不新增废气污染物种类，仅增加废气处理量及废气治理措施运行时间，废气治理设施依托可行。</w:t>
            </w:r>
          </w:p>
          <w:p w14:paraId="02C252D2">
            <w:pPr>
              <w:adjustRightInd w:val="0"/>
              <w:snapToGrid w:val="0"/>
              <w:ind w:left="0" w:leftChars="0" w:right="0" w:rightChars="0" w:firstLine="480"/>
              <w:jc w:val="both"/>
              <w:rPr>
                <w:rFonts w:eastAsia="宋体" w:cs="Times New Roman"/>
                <w:color w:val="0000FF"/>
                <w:sz w:val="24"/>
                <w:szCs w:val="24"/>
                <w:lang w:eastAsia="zh-CN"/>
              </w:rPr>
            </w:pPr>
            <w:r>
              <w:rPr>
                <w:rFonts w:hint="eastAsia" w:eastAsia="宋体" w:cs="Times New Roman"/>
                <w:color w:val="0000FF"/>
                <w:sz w:val="24"/>
                <w:szCs w:val="24"/>
                <w:lang w:eastAsia="zh-CN"/>
              </w:rPr>
              <w:t>根据污染物达标排放分析可知，项目废气均可达标排放，项目运营期对大气环境空气的影响较小。</w:t>
            </w:r>
          </w:p>
          <w:p w14:paraId="09C5A032">
            <w:pPr>
              <w:adjustRightInd w:val="0"/>
              <w:snapToGrid w:val="0"/>
              <w:ind w:left="0" w:leftChars="0" w:right="0" w:rightChars="0" w:firstLine="482"/>
              <w:jc w:val="left"/>
              <w:rPr>
                <w:rFonts w:cs="Times New Roman"/>
                <w:b/>
                <w:color w:val="auto"/>
                <w:sz w:val="24"/>
                <w:szCs w:val="24"/>
                <w:lang w:eastAsia="zh-CN"/>
              </w:rPr>
            </w:pPr>
            <w:r>
              <w:rPr>
                <w:rFonts w:hint="eastAsia" w:cs="Times New Roman"/>
                <w:b/>
                <w:color w:val="auto"/>
                <w:sz w:val="24"/>
                <w:szCs w:val="24"/>
                <w:lang w:eastAsia="zh-CN"/>
              </w:rPr>
              <w:t>1.5废气</w:t>
            </w:r>
            <w:r>
              <w:rPr>
                <w:rFonts w:cs="Times New Roman"/>
                <w:b/>
                <w:color w:val="auto"/>
                <w:sz w:val="24"/>
                <w:szCs w:val="24"/>
                <w:lang w:eastAsia="zh-CN"/>
              </w:rPr>
              <w:t>排放口基本情况</w:t>
            </w:r>
          </w:p>
          <w:p w14:paraId="0685BCA2">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w:t>
            </w:r>
            <w:r>
              <w:rPr>
                <w:rFonts w:hint="eastAsia" w:eastAsia="宋体" w:cs="Times New Roman"/>
                <w:b/>
                <w:bCs/>
                <w:color w:val="auto"/>
                <w:szCs w:val="21"/>
                <w:lang w:eastAsia="zh-CN"/>
              </w:rPr>
              <w:t>-6</w:t>
            </w:r>
            <w:r>
              <w:rPr>
                <w:rFonts w:eastAsia="宋体" w:cs="Times New Roman"/>
                <w:b/>
                <w:bCs/>
                <w:color w:val="auto"/>
                <w:szCs w:val="21"/>
                <w:lang w:eastAsia="zh-CN"/>
              </w:rPr>
              <w:t xml:space="preserve">    排放口基本情况及排放标准一览表</w:t>
            </w:r>
          </w:p>
          <w:tbl>
            <w:tblPr>
              <w:tblStyle w:val="26"/>
              <w:tblW w:w="4998" w:type="pct"/>
              <w:tblInd w:w="1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57"/>
              <w:gridCol w:w="668"/>
              <w:gridCol w:w="1664"/>
              <w:gridCol w:w="590"/>
              <w:gridCol w:w="479"/>
              <w:gridCol w:w="674"/>
              <w:gridCol w:w="1702"/>
              <w:gridCol w:w="426"/>
              <w:gridCol w:w="1130"/>
            </w:tblGrid>
            <w:tr w14:paraId="2376A7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13" w:type="pct"/>
                  <w:gridSpan w:val="7"/>
                  <w:tcBorders>
                    <w:tl2br w:val="nil"/>
                    <w:tr2bl w:val="nil"/>
                  </w:tcBorders>
                  <w:vAlign w:val="center"/>
                </w:tcPr>
                <w:p w14:paraId="79A9A78B">
                  <w:pPr>
                    <w:spacing w:line="240" w:lineRule="auto"/>
                    <w:ind w:left="0" w:leftChars="0" w:right="0" w:rightChars="0" w:firstLine="0" w:firstLineChars="0"/>
                    <w:jc w:val="center"/>
                    <w:rPr>
                      <w:rFonts w:eastAsia="宋体" w:cs="Times New Roman"/>
                      <w:b/>
                      <w:color w:val="auto"/>
                      <w:szCs w:val="21"/>
                      <w:lang w:bidi="ar"/>
                    </w:rPr>
                  </w:pPr>
                  <w:r>
                    <w:rPr>
                      <w:rFonts w:eastAsia="宋体" w:cs="Times New Roman"/>
                      <w:b/>
                      <w:color w:val="auto"/>
                      <w:szCs w:val="21"/>
                      <w:lang w:bidi="ar"/>
                    </w:rPr>
                    <w:t>排放口基本情况</w:t>
                  </w:r>
                </w:p>
              </w:tc>
              <w:tc>
                <w:tcPr>
                  <w:tcW w:w="1886" w:type="pct"/>
                  <w:gridSpan w:val="3"/>
                  <w:tcBorders>
                    <w:tl2br w:val="nil"/>
                    <w:tr2bl w:val="nil"/>
                  </w:tcBorders>
                  <w:vAlign w:val="center"/>
                </w:tcPr>
                <w:p w14:paraId="565C496B">
                  <w:pPr>
                    <w:spacing w:line="240" w:lineRule="auto"/>
                    <w:ind w:left="0" w:leftChars="0" w:right="0" w:rightChars="0" w:firstLine="0" w:firstLineChars="0"/>
                    <w:jc w:val="center"/>
                    <w:rPr>
                      <w:rFonts w:eastAsia="宋体" w:cs="Times New Roman"/>
                      <w:b/>
                      <w:color w:val="auto"/>
                      <w:szCs w:val="21"/>
                      <w:lang w:bidi="ar"/>
                    </w:rPr>
                  </w:pPr>
                  <w:r>
                    <w:rPr>
                      <w:rFonts w:eastAsia="宋体" w:cs="Times New Roman"/>
                      <w:b/>
                      <w:color w:val="auto"/>
                      <w:szCs w:val="21"/>
                      <w:lang w:bidi="ar"/>
                    </w:rPr>
                    <w:t>排放标准</w:t>
                  </w:r>
                </w:p>
              </w:tc>
            </w:tr>
            <w:tr w14:paraId="1E5801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tcBorders>
                    <w:tl2br w:val="nil"/>
                    <w:tr2bl w:val="nil"/>
                  </w:tcBorders>
                  <w:vAlign w:val="center"/>
                </w:tcPr>
                <w:p w14:paraId="778F845A">
                  <w:pPr>
                    <w:adjustRightInd w:val="0"/>
                    <w:snapToGrid w:val="0"/>
                    <w:spacing w:line="240" w:lineRule="auto"/>
                    <w:ind w:left="0" w:leftChars="0" w:right="0" w:rightChars="0" w:firstLine="0" w:firstLineChars="0"/>
                    <w:jc w:val="center"/>
                    <w:rPr>
                      <w:rFonts w:eastAsia="宋体" w:cs="Times New Roman"/>
                      <w:b/>
                      <w:color w:val="auto"/>
                      <w:szCs w:val="21"/>
                      <w:lang w:bidi="ar"/>
                    </w:rPr>
                  </w:pPr>
                  <w:r>
                    <w:rPr>
                      <w:rFonts w:eastAsia="宋体" w:cs="Times New Roman"/>
                      <w:b/>
                      <w:color w:val="auto"/>
                      <w:szCs w:val="21"/>
                      <w:lang w:bidi="ar"/>
                    </w:rPr>
                    <w:t>类型</w:t>
                  </w:r>
                </w:p>
              </w:tc>
              <w:tc>
                <w:tcPr>
                  <w:tcW w:w="515" w:type="pct"/>
                  <w:tcBorders>
                    <w:tl2br w:val="nil"/>
                    <w:tr2bl w:val="nil"/>
                  </w:tcBorders>
                  <w:vAlign w:val="center"/>
                </w:tcPr>
                <w:p w14:paraId="5FD07788">
                  <w:pPr>
                    <w:adjustRightInd w:val="0"/>
                    <w:snapToGrid w:val="0"/>
                    <w:spacing w:line="240" w:lineRule="auto"/>
                    <w:ind w:left="0" w:leftChars="0" w:right="0" w:rightChars="0" w:firstLine="0" w:firstLineChars="0"/>
                    <w:jc w:val="center"/>
                    <w:rPr>
                      <w:rFonts w:eastAsia="宋体" w:cs="Times New Roman"/>
                      <w:b/>
                      <w:color w:val="auto"/>
                      <w:szCs w:val="21"/>
                      <w:lang w:bidi="ar"/>
                    </w:rPr>
                  </w:pPr>
                  <w:r>
                    <w:rPr>
                      <w:rFonts w:eastAsia="宋体" w:cs="Times New Roman"/>
                      <w:b/>
                      <w:color w:val="auto"/>
                      <w:szCs w:val="21"/>
                      <w:lang w:bidi="ar"/>
                    </w:rPr>
                    <w:t>编号及名称</w:t>
                  </w:r>
                </w:p>
              </w:tc>
              <w:tc>
                <w:tcPr>
                  <w:tcW w:w="405" w:type="pct"/>
                  <w:tcBorders>
                    <w:tl2br w:val="nil"/>
                    <w:tr2bl w:val="nil"/>
                  </w:tcBorders>
                  <w:vAlign w:val="center"/>
                </w:tcPr>
                <w:p w14:paraId="3AAB879F">
                  <w:pPr>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b/>
                      <w:color w:val="auto"/>
                      <w:szCs w:val="21"/>
                      <w:lang w:eastAsia="zh-CN" w:bidi="ar"/>
                    </w:rPr>
                    <w:t>排放因子</w:t>
                  </w:r>
                </w:p>
              </w:tc>
              <w:tc>
                <w:tcPr>
                  <w:tcW w:w="983" w:type="pct"/>
                  <w:tcBorders>
                    <w:tl2br w:val="nil"/>
                    <w:tr2bl w:val="nil"/>
                  </w:tcBorders>
                  <w:vAlign w:val="center"/>
                </w:tcPr>
                <w:p w14:paraId="3668E879">
                  <w:pPr>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b/>
                      <w:color w:val="auto"/>
                      <w:szCs w:val="21"/>
                      <w:lang w:eastAsia="zh-CN" w:bidi="ar"/>
                    </w:rPr>
                    <w:t>地理</w:t>
                  </w:r>
                  <w:r>
                    <w:rPr>
                      <w:rFonts w:eastAsia="宋体" w:cs="Times New Roman"/>
                      <w:b/>
                      <w:color w:val="auto"/>
                      <w:szCs w:val="21"/>
                      <w:lang w:bidi="ar"/>
                    </w:rPr>
                    <w:t>坐标</w:t>
                  </w:r>
                </w:p>
              </w:tc>
              <w:tc>
                <w:tcPr>
                  <w:tcW w:w="260" w:type="pct"/>
                  <w:tcBorders>
                    <w:tl2br w:val="nil"/>
                    <w:tr2bl w:val="nil"/>
                  </w:tcBorders>
                  <w:vAlign w:val="center"/>
                </w:tcPr>
                <w:p w14:paraId="0A14BF15">
                  <w:pPr>
                    <w:spacing w:line="240" w:lineRule="auto"/>
                    <w:ind w:left="0" w:leftChars="0" w:right="0" w:rightChars="0" w:firstLine="0" w:firstLineChars="0"/>
                    <w:jc w:val="center"/>
                    <w:rPr>
                      <w:rFonts w:eastAsia="宋体" w:cs="Times New Roman"/>
                      <w:b/>
                      <w:color w:val="auto"/>
                      <w:szCs w:val="21"/>
                      <w:lang w:bidi="ar"/>
                    </w:rPr>
                  </w:pPr>
                  <w:r>
                    <w:rPr>
                      <w:rFonts w:eastAsia="宋体" w:cs="Times New Roman"/>
                      <w:b/>
                      <w:color w:val="auto"/>
                      <w:szCs w:val="21"/>
                      <w:lang w:bidi="ar"/>
                    </w:rPr>
                    <w:t>高度</w:t>
                  </w:r>
                </w:p>
              </w:tc>
              <w:tc>
                <w:tcPr>
                  <w:tcW w:w="285" w:type="pct"/>
                  <w:tcBorders>
                    <w:tl2br w:val="nil"/>
                    <w:tr2bl w:val="nil"/>
                  </w:tcBorders>
                  <w:vAlign w:val="center"/>
                </w:tcPr>
                <w:p w14:paraId="6343E418">
                  <w:pPr>
                    <w:spacing w:line="240" w:lineRule="auto"/>
                    <w:ind w:left="0" w:leftChars="0" w:right="0" w:rightChars="0" w:firstLine="0" w:firstLineChars="0"/>
                    <w:jc w:val="center"/>
                    <w:rPr>
                      <w:rFonts w:eastAsia="宋体" w:cs="Times New Roman"/>
                      <w:b/>
                      <w:color w:val="auto"/>
                      <w:szCs w:val="21"/>
                      <w:lang w:bidi="ar"/>
                    </w:rPr>
                  </w:pPr>
                  <w:r>
                    <w:rPr>
                      <w:rFonts w:eastAsia="宋体" w:cs="Times New Roman"/>
                      <w:b/>
                      <w:color w:val="auto"/>
                      <w:szCs w:val="21"/>
                      <w:lang w:bidi="ar"/>
                    </w:rPr>
                    <w:t>内径</w:t>
                  </w:r>
                </w:p>
              </w:tc>
              <w:tc>
                <w:tcPr>
                  <w:tcW w:w="416" w:type="pct"/>
                  <w:tcBorders>
                    <w:tl2br w:val="nil"/>
                    <w:tr2bl w:val="nil"/>
                  </w:tcBorders>
                  <w:vAlign w:val="center"/>
                </w:tcPr>
                <w:p w14:paraId="6B7B93D3">
                  <w:pPr>
                    <w:spacing w:line="240" w:lineRule="auto"/>
                    <w:ind w:left="0" w:leftChars="0" w:right="0" w:rightChars="0" w:firstLine="0" w:firstLineChars="0"/>
                    <w:jc w:val="center"/>
                    <w:rPr>
                      <w:rFonts w:eastAsia="宋体" w:cs="Times New Roman"/>
                      <w:b/>
                      <w:color w:val="auto"/>
                      <w:szCs w:val="21"/>
                      <w:lang w:bidi="ar"/>
                    </w:rPr>
                  </w:pPr>
                  <w:r>
                    <w:rPr>
                      <w:rFonts w:eastAsia="宋体" w:cs="Times New Roman"/>
                      <w:b/>
                      <w:color w:val="auto"/>
                      <w:szCs w:val="21"/>
                      <w:lang w:bidi="ar"/>
                    </w:rPr>
                    <w:t>温度</w:t>
                  </w:r>
                </w:p>
              </w:tc>
              <w:tc>
                <w:tcPr>
                  <w:tcW w:w="1005" w:type="pct"/>
                  <w:tcBorders>
                    <w:tl2br w:val="nil"/>
                    <w:tr2bl w:val="nil"/>
                  </w:tcBorders>
                  <w:vAlign w:val="center"/>
                </w:tcPr>
                <w:p w14:paraId="16B69F9B">
                  <w:pPr>
                    <w:spacing w:line="240" w:lineRule="auto"/>
                    <w:ind w:left="0" w:leftChars="0" w:right="0" w:rightChars="0" w:firstLine="0" w:firstLineChars="0"/>
                    <w:jc w:val="center"/>
                    <w:rPr>
                      <w:rFonts w:eastAsia="宋体" w:cs="Times New Roman"/>
                      <w:b/>
                      <w:color w:val="auto"/>
                      <w:szCs w:val="21"/>
                      <w:lang w:bidi="ar"/>
                    </w:rPr>
                  </w:pPr>
                  <w:r>
                    <w:rPr>
                      <w:rFonts w:eastAsia="宋体" w:cs="Times New Roman"/>
                      <w:b/>
                      <w:color w:val="auto"/>
                      <w:szCs w:val="21"/>
                      <w:lang w:bidi="ar"/>
                    </w:rPr>
                    <w:t>标准名称</w:t>
                  </w:r>
                </w:p>
              </w:tc>
              <w:tc>
                <w:tcPr>
                  <w:tcW w:w="880" w:type="pct"/>
                  <w:gridSpan w:val="2"/>
                  <w:tcBorders>
                    <w:tl2br w:val="nil"/>
                    <w:tr2bl w:val="nil"/>
                  </w:tcBorders>
                  <w:vAlign w:val="center"/>
                </w:tcPr>
                <w:p w14:paraId="2B93D598">
                  <w:pPr>
                    <w:spacing w:line="240" w:lineRule="auto"/>
                    <w:ind w:left="0" w:leftChars="0" w:right="0" w:rightChars="0" w:firstLine="0" w:firstLineChars="0"/>
                    <w:jc w:val="center"/>
                    <w:rPr>
                      <w:rFonts w:eastAsia="宋体" w:cs="Times New Roman"/>
                      <w:b/>
                      <w:color w:val="auto"/>
                      <w:szCs w:val="21"/>
                      <w:lang w:eastAsia="zh-CN" w:bidi="ar"/>
                    </w:rPr>
                  </w:pPr>
                  <w:r>
                    <w:rPr>
                      <w:rFonts w:hint="eastAsia" w:eastAsia="宋体" w:cs="Times New Roman"/>
                      <w:b/>
                      <w:color w:val="auto"/>
                      <w:szCs w:val="21"/>
                      <w:lang w:eastAsia="zh-CN" w:bidi="ar"/>
                    </w:rPr>
                    <w:t>标准限值</w:t>
                  </w:r>
                </w:p>
              </w:tc>
            </w:tr>
            <w:tr w14:paraId="323A24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Merge w:val="restart"/>
                  <w:tcBorders>
                    <w:tl2br w:val="nil"/>
                    <w:tr2bl w:val="nil"/>
                  </w:tcBorders>
                  <w:vAlign w:val="center"/>
                </w:tcPr>
                <w:p w14:paraId="2ABB6758">
                  <w:pPr>
                    <w:adjustRightInd w:val="0"/>
                    <w:snapToGrid w:val="0"/>
                    <w:spacing w:line="240" w:lineRule="auto"/>
                    <w:ind w:left="0" w:leftChars="0" w:right="0" w:rightChars="0" w:firstLine="0" w:firstLineChars="0"/>
                    <w:jc w:val="center"/>
                    <w:rPr>
                      <w:rFonts w:eastAsia="宋体" w:cs="Times New Roman"/>
                      <w:bCs/>
                      <w:color w:val="auto"/>
                      <w:szCs w:val="21"/>
                      <w:lang w:eastAsia="zh-CN" w:bidi="ar"/>
                    </w:rPr>
                  </w:pPr>
                  <w:r>
                    <w:rPr>
                      <w:rFonts w:hint="eastAsia" w:eastAsia="宋体" w:cs="Times New Roman"/>
                      <w:bCs/>
                      <w:color w:val="auto"/>
                      <w:szCs w:val="21"/>
                      <w:lang w:eastAsia="zh-CN" w:bidi="ar"/>
                    </w:rPr>
                    <w:t>一般排放口</w:t>
                  </w:r>
                </w:p>
              </w:tc>
              <w:tc>
                <w:tcPr>
                  <w:tcW w:w="515" w:type="pct"/>
                  <w:vMerge w:val="restart"/>
                  <w:tcBorders>
                    <w:tl2br w:val="nil"/>
                    <w:tr2bl w:val="nil"/>
                  </w:tcBorders>
                  <w:vAlign w:val="center"/>
                </w:tcPr>
                <w:p w14:paraId="120B90D6">
                  <w:pPr>
                    <w:adjustRightInd w:val="0"/>
                    <w:snapToGrid w:val="0"/>
                    <w:spacing w:line="240" w:lineRule="auto"/>
                    <w:ind w:left="0" w:leftChars="0" w:right="0" w:rightChars="0" w:firstLine="0" w:firstLineChars="0"/>
                    <w:jc w:val="center"/>
                    <w:rPr>
                      <w:rFonts w:eastAsia="宋体" w:cs="Times New Roman"/>
                      <w:b/>
                      <w:color w:val="auto"/>
                      <w:szCs w:val="21"/>
                      <w:lang w:bidi="ar"/>
                    </w:rPr>
                  </w:pPr>
                  <w:r>
                    <w:rPr>
                      <w:rFonts w:eastAsia="宋体" w:cs="Times New Roman"/>
                      <w:bCs/>
                      <w:color w:val="auto"/>
                      <w:szCs w:val="21"/>
                      <w:lang w:bidi="ar"/>
                    </w:rPr>
                    <w:t>DA00</w:t>
                  </w:r>
                  <w:r>
                    <w:rPr>
                      <w:rFonts w:hint="eastAsia" w:eastAsia="宋体" w:cs="Times New Roman"/>
                      <w:bCs/>
                      <w:color w:val="auto"/>
                      <w:szCs w:val="21"/>
                      <w:lang w:eastAsia="zh-CN" w:bidi="ar"/>
                    </w:rPr>
                    <w:t>1</w:t>
                  </w:r>
                </w:p>
              </w:tc>
              <w:tc>
                <w:tcPr>
                  <w:tcW w:w="405" w:type="pct"/>
                  <w:vMerge w:val="restart"/>
                  <w:tcBorders>
                    <w:tl2br w:val="nil"/>
                    <w:tr2bl w:val="nil"/>
                  </w:tcBorders>
                  <w:vAlign w:val="center"/>
                </w:tcPr>
                <w:p w14:paraId="3F93C629">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颗</w:t>
                  </w:r>
                </w:p>
                <w:p w14:paraId="26F31E4C">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粒</w:t>
                  </w:r>
                </w:p>
                <w:p w14:paraId="45B5BBC5">
                  <w:pPr>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color w:val="auto"/>
                      <w:szCs w:val="21"/>
                      <w:lang w:eastAsia="zh-CN"/>
                    </w:rPr>
                    <w:t>物</w:t>
                  </w:r>
                </w:p>
              </w:tc>
              <w:tc>
                <w:tcPr>
                  <w:tcW w:w="983" w:type="pct"/>
                  <w:vMerge w:val="restart"/>
                  <w:tcBorders>
                    <w:tl2br w:val="nil"/>
                    <w:tr2bl w:val="nil"/>
                  </w:tcBorders>
                  <w:vAlign w:val="center"/>
                </w:tcPr>
                <w:p w14:paraId="51BC8121">
                  <w:pPr>
                    <w:spacing w:line="240" w:lineRule="auto"/>
                    <w:ind w:left="0" w:leftChars="0" w:right="0" w:rightChars="0" w:firstLine="0" w:firstLineChars="0"/>
                    <w:jc w:val="center"/>
                    <w:rPr>
                      <w:rFonts w:eastAsia="宋体" w:cs="Times New Roman"/>
                      <w:bCs/>
                      <w:color w:val="auto"/>
                      <w:szCs w:val="21"/>
                      <w:lang w:eastAsia="zh-CN" w:bidi="ar"/>
                    </w:rPr>
                  </w:pPr>
                  <w:r>
                    <w:rPr>
                      <w:rFonts w:eastAsia="宋体" w:cs="Times New Roman"/>
                      <w:bCs/>
                      <w:color w:val="auto"/>
                      <w:szCs w:val="21"/>
                      <w:lang w:eastAsia="zh-CN" w:bidi="ar"/>
                    </w:rPr>
                    <w:t>109°08'5</w:t>
                  </w:r>
                  <w:r>
                    <w:rPr>
                      <w:rFonts w:hint="eastAsia" w:eastAsia="宋体" w:cs="Times New Roman"/>
                      <w:bCs/>
                      <w:color w:val="auto"/>
                      <w:szCs w:val="21"/>
                      <w:lang w:eastAsia="zh-CN" w:bidi="ar"/>
                    </w:rPr>
                    <w:t>39.602</w:t>
                  </w:r>
                  <w:r>
                    <w:rPr>
                      <w:rFonts w:eastAsia="宋体" w:cs="Times New Roman"/>
                      <w:bCs/>
                      <w:color w:val="auto"/>
                      <w:szCs w:val="21"/>
                      <w:lang w:eastAsia="zh-CN" w:bidi="ar"/>
                    </w:rPr>
                    <w:t>"</w:t>
                  </w:r>
                </w:p>
                <w:p w14:paraId="3E3D89E4">
                  <w:pPr>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bCs/>
                      <w:color w:val="auto"/>
                      <w:szCs w:val="21"/>
                      <w:lang w:eastAsia="zh-CN" w:bidi="ar"/>
                    </w:rPr>
                    <w:t>34°14'</w:t>
                  </w:r>
                  <w:r>
                    <w:rPr>
                      <w:rFonts w:hint="eastAsia" w:eastAsia="宋体" w:cs="Times New Roman"/>
                      <w:bCs/>
                      <w:color w:val="auto"/>
                      <w:szCs w:val="21"/>
                      <w:lang w:eastAsia="zh-CN" w:bidi="ar"/>
                    </w:rPr>
                    <w:t>58.3563</w:t>
                  </w:r>
                  <w:r>
                    <w:rPr>
                      <w:rFonts w:eastAsia="宋体" w:cs="Times New Roman"/>
                      <w:bCs/>
                      <w:color w:val="auto"/>
                      <w:szCs w:val="21"/>
                      <w:lang w:eastAsia="zh-CN" w:bidi="ar"/>
                    </w:rPr>
                    <w:t>"</w:t>
                  </w:r>
                </w:p>
              </w:tc>
              <w:tc>
                <w:tcPr>
                  <w:tcW w:w="260" w:type="pct"/>
                  <w:vMerge w:val="restart"/>
                  <w:tcBorders>
                    <w:tl2br w:val="nil"/>
                    <w:tr2bl w:val="nil"/>
                  </w:tcBorders>
                  <w:vAlign w:val="center"/>
                </w:tcPr>
                <w:p w14:paraId="702DD478">
                  <w:pPr>
                    <w:spacing w:line="240" w:lineRule="auto"/>
                    <w:ind w:left="0" w:leftChars="0" w:right="0" w:rightChars="0" w:firstLine="0" w:firstLineChars="0"/>
                    <w:jc w:val="center"/>
                    <w:rPr>
                      <w:rFonts w:eastAsia="宋体" w:cs="Times New Roman"/>
                      <w:b/>
                      <w:color w:val="auto"/>
                      <w:szCs w:val="21"/>
                      <w:lang w:bidi="ar"/>
                    </w:rPr>
                  </w:pPr>
                  <w:r>
                    <w:rPr>
                      <w:rFonts w:hint="eastAsia" w:eastAsia="宋体" w:cs="Times New Roman"/>
                      <w:bCs/>
                      <w:color w:val="auto"/>
                      <w:szCs w:val="21"/>
                      <w:lang w:eastAsia="zh-CN" w:bidi="ar"/>
                    </w:rPr>
                    <w:t>15m</w:t>
                  </w:r>
                </w:p>
              </w:tc>
              <w:tc>
                <w:tcPr>
                  <w:tcW w:w="285" w:type="pct"/>
                  <w:vMerge w:val="restart"/>
                  <w:tcBorders>
                    <w:tl2br w:val="nil"/>
                    <w:tr2bl w:val="nil"/>
                  </w:tcBorders>
                  <w:vAlign w:val="center"/>
                </w:tcPr>
                <w:p w14:paraId="66F3DED6">
                  <w:pPr>
                    <w:spacing w:line="240" w:lineRule="auto"/>
                    <w:ind w:left="0" w:leftChars="0" w:right="0" w:rightChars="0" w:firstLine="0" w:firstLineChars="0"/>
                    <w:jc w:val="center"/>
                    <w:rPr>
                      <w:rFonts w:eastAsia="宋体" w:cs="Times New Roman"/>
                      <w:b/>
                      <w:color w:val="auto"/>
                      <w:szCs w:val="21"/>
                      <w:lang w:bidi="ar"/>
                    </w:rPr>
                  </w:pPr>
                  <w:r>
                    <w:rPr>
                      <w:rFonts w:hint="eastAsia" w:eastAsia="宋体" w:cs="Times New Roman"/>
                      <w:bCs/>
                      <w:color w:val="auto"/>
                      <w:szCs w:val="21"/>
                      <w:lang w:eastAsia="zh-CN" w:bidi="ar"/>
                    </w:rPr>
                    <w:t>0.6</w:t>
                  </w:r>
                </w:p>
              </w:tc>
              <w:tc>
                <w:tcPr>
                  <w:tcW w:w="416" w:type="pct"/>
                  <w:vMerge w:val="restart"/>
                  <w:tcBorders>
                    <w:tl2br w:val="nil"/>
                    <w:tr2bl w:val="nil"/>
                  </w:tcBorders>
                  <w:vAlign w:val="center"/>
                </w:tcPr>
                <w:p w14:paraId="5BB60B67">
                  <w:pPr>
                    <w:spacing w:line="240" w:lineRule="auto"/>
                    <w:ind w:left="0" w:leftChars="0" w:right="0" w:rightChars="0" w:firstLine="0" w:firstLineChars="0"/>
                    <w:jc w:val="center"/>
                    <w:rPr>
                      <w:rFonts w:eastAsia="宋体" w:cs="Times New Roman"/>
                      <w:b/>
                      <w:color w:val="auto"/>
                      <w:szCs w:val="21"/>
                      <w:lang w:bidi="ar"/>
                    </w:rPr>
                  </w:pPr>
                  <w:r>
                    <w:rPr>
                      <w:rFonts w:eastAsia="宋体" w:cs="Times New Roman"/>
                      <w:bCs/>
                      <w:color w:val="auto"/>
                      <w:szCs w:val="21"/>
                      <w:lang w:bidi="ar"/>
                    </w:rPr>
                    <w:t>25℃</w:t>
                  </w:r>
                </w:p>
              </w:tc>
              <w:tc>
                <w:tcPr>
                  <w:tcW w:w="1005" w:type="pct"/>
                  <w:vMerge w:val="restart"/>
                  <w:tcBorders>
                    <w:tl2br w:val="nil"/>
                    <w:tr2bl w:val="nil"/>
                  </w:tcBorders>
                  <w:vAlign w:val="center"/>
                </w:tcPr>
                <w:p w14:paraId="676C301E">
                  <w:pPr>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color w:val="auto"/>
                      <w:szCs w:val="21"/>
                      <w:lang w:eastAsia="zh-CN"/>
                    </w:rPr>
                    <w:t>《大气污染物综合排放标准》（GB16297-1996）表2及无组织控制标准</w:t>
                  </w:r>
                </w:p>
              </w:tc>
              <w:tc>
                <w:tcPr>
                  <w:tcW w:w="208" w:type="pct"/>
                  <w:tcBorders>
                    <w:tl2br w:val="nil"/>
                    <w:tr2bl w:val="nil"/>
                  </w:tcBorders>
                  <w:vAlign w:val="center"/>
                </w:tcPr>
                <w:p w14:paraId="0B95D37C">
                  <w:pPr>
                    <w:adjustRightInd w:val="0"/>
                    <w:snapToGrid w:val="0"/>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color w:val="auto"/>
                      <w:szCs w:val="21"/>
                      <w:lang w:eastAsia="zh-CN"/>
                    </w:rPr>
                    <w:t>浓度</w:t>
                  </w:r>
                </w:p>
              </w:tc>
              <w:tc>
                <w:tcPr>
                  <w:tcW w:w="671" w:type="pct"/>
                  <w:tcBorders>
                    <w:tl2br w:val="nil"/>
                    <w:tr2bl w:val="nil"/>
                  </w:tcBorders>
                  <w:vAlign w:val="center"/>
                </w:tcPr>
                <w:p w14:paraId="55749C13">
                  <w:pPr>
                    <w:adjustRightInd w:val="0"/>
                    <w:snapToGrid w:val="0"/>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color w:val="auto"/>
                      <w:szCs w:val="21"/>
                      <w:lang w:eastAsia="zh-CN"/>
                    </w:rPr>
                    <w:t>120</w:t>
                  </w:r>
                  <w:r>
                    <w:rPr>
                      <w:rFonts w:eastAsia="宋体" w:cs="Times New Roman"/>
                      <w:color w:val="auto"/>
                      <w:szCs w:val="21"/>
                    </w:rPr>
                    <w:t>mg/m</w:t>
                  </w:r>
                  <w:r>
                    <w:rPr>
                      <w:rFonts w:eastAsia="宋体" w:cs="Times New Roman"/>
                      <w:color w:val="auto"/>
                      <w:szCs w:val="21"/>
                      <w:vertAlign w:val="superscript"/>
                    </w:rPr>
                    <w:t>3</w:t>
                  </w:r>
                </w:p>
              </w:tc>
            </w:tr>
            <w:tr w14:paraId="129B8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Merge w:val="continue"/>
                  <w:tcBorders>
                    <w:tl2br w:val="nil"/>
                    <w:tr2bl w:val="nil"/>
                  </w:tcBorders>
                  <w:vAlign w:val="center"/>
                </w:tcPr>
                <w:p w14:paraId="18A3773D">
                  <w:pPr>
                    <w:adjustRightInd w:val="0"/>
                    <w:snapToGrid w:val="0"/>
                    <w:spacing w:line="240" w:lineRule="auto"/>
                    <w:ind w:left="0" w:leftChars="0" w:right="0" w:rightChars="0" w:firstLine="0" w:firstLineChars="0"/>
                    <w:jc w:val="center"/>
                    <w:rPr>
                      <w:rFonts w:eastAsia="宋体" w:cs="Times New Roman"/>
                      <w:b/>
                      <w:color w:val="auto"/>
                      <w:szCs w:val="21"/>
                      <w:lang w:bidi="ar"/>
                    </w:rPr>
                  </w:pPr>
                </w:p>
              </w:tc>
              <w:tc>
                <w:tcPr>
                  <w:tcW w:w="515" w:type="pct"/>
                  <w:vMerge w:val="continue"/>
                  <w:tcBorders>
                    <w:tl2br w:val="nil"/>
                    <w:tr2bl w:val="nil"/>
                  </w:tcBorders>
                  <w:vAlign w:val="center"/>
                </w:tcPr>
                <w:p w14:paraId="04D910D3">
                  <w:pPr>
                    <w:spacing w:line="240" w:lineRule="auto"/>
                    <w:ind w:left="0" w:leftChars="0" w:right="0" w:rightChars="0" w:firstLine="0" w:firstLineChars="0"/>
                    <w:jc w:val="center"/>
                    <w:rPr>
                      <w:rFonts w:eastAsia="宋体" w:cs="Times New Roman"/>
                      <w:b/>
                      <w:color w:val="auto"/>
                      <w:szCs w:val="21"/>
                      <w:lang w:bidi="ar"/>
                    </w:rPr>
                  </w:pPr>
                </w:p>
              </w:tc>
              <w:tc>
                <w:tcPr>
                  <w:tcW w:w="405" w:type="pct"/>
                  <w:vMerge w:val="continue"/>
                  <w:tcBorders>
                    <w:tl2br w:val="nil"/>
                    <w:tr2bl w:val="nil"/>
                  </w:tcBorders>
                  <w:vAlign w:val="center"/>
                </w:tcPr>
                <w:p w14:paraId="2102865D">
                  <w:pPr>
                    <w:spacing w:line="240" w:lineRule="auto"/>
                    <w:ind w:left="0" w:leftChars="0" w:right="0" w:rightChars="0" w:firstLine="0" w:firstLineChars="0"/>
                    <w:jc w:val="center"/>
                    <w:rPr>
                      <w:rFonts w:eastAsia="宋体" w:cs="Times New Roman"/>
                      <w:b/>
                      <w:color w:val="auto"/>
                      <w:szCs w:val="21"/>
                      <w:lang w:eastAsia="zh-CN" w:bidi="ar"/>
                    </w:rPr>
                  </w:pPr>
                </w:p>
              </w:tc>
              <w:tc>
                <w:tcPr>
                  <w:tcW w:w="983" w:type="pct"/>
                  <w:vMerge w:val="continue"/>
                  <w:tcBorders>
                    <w:tl2br w:val="nil"/>
                    <w:tr2bl w:val="nil"/>
                  </w:tcBorders>
                  <w:vAlign w:val="center"/>
                </w:tcPr>
                <w:p w14:paraId="4C88478E">
                  <w:pPr>
                    <w:spacing w:line="240" w:lineRule="auto"/>
                    <w:ind w:left="0" w:leftChars="0" w:right="0" w:rightChars="0" w:firstLine="0" w:firstLineChars="0"/>
                    <w:jc w:val="center"/>
                    <w:rPr>
                      <w:rFonts w:eastAsia="宋体" w:cs="Times New Roman"/>
                      <w:b/>
                      <w:color w:val="auto"/>
                      <w:szCs w:val="21"/>
                      <w:lang w:eastAsia="zh-CN" w:bidi="ar"/>
                    </w:rPr>
                  </w:pPr>
                </w:p>
              </w:tc>
              <w:tc>
                <w:tcPr>
                  <w:tcW w:w="260" w:type="pct"/>
                  <w:vMerge w:val="continue"/>
                  <w:tcBorders>
                    <w:tl2br w:val="nil"/>
                    <w:tr2bl w:val="nil"/>
                  </w:tcBorders>
                  <w:vAlign w:val="center"/>
                </w:tcPr>
                <w:p w14:paraId="19C465A1">
                  <w:pPr>
                    <w:spacing w:line="240" w:lineRule="auto"/>
                    <w:ind w:left="0" w:leftChars="0" w:right="0" w:rightChars="0" w:firstLine="0" w:firstLineChars="0"/>
                    <w:jc w:val="center"/>
                    <w:rPr>
                      <w:rFonts w:eastAsia="宋体" w:cs="Times New Roman"/>
                      <w:b/>
                      <w:color w:val="auto"/>
                      <w:szCs w:val="21"/>
                      <w:lang w:bidi="ar"/>
                    </w:rPr>
                  </w:pPr>
                </w:p>
              </w:tc>
              <w:tc>
                <w:tcPr>
                  <w:tcW w:w="285" w:type="pct"/>
                  <w:vMerge w:val="continue"/>
                  <w:tcBorders>
                    <w:tl2br w:val="nil"/>
                    <w:tr2bl w:val="nil"/>
                  </w:tcBorders>
                  <w:vAlign w:val="center"/>
                </w:tcPr>
                <w:p w14:paraId="6938A4A3">
                  <w:pPr>
                    <w:spacing w:line="240" w:lineRule="auto"/>
                    <w:ind w:left="0" w:leftChars="0" w:right="0" w:rightChars="0" w:firstLine="0" w:firstLineChars="0"/>
                    <w:jc w:val="center"/>
                    <w:rPr>
                      <w:rFonts w:eastAsia="宋体" w:cs="Times New Roman"/>
                      <w:b/>
                      <w:color w:val="auto"/>
                      <w:szCs w:val="21"/>
                      <w:lang w:bidi="ar"/>
                    </w:rPr>
                  </w:pPr>
                </w:p>
              </w:tc>
              <w:tc>
                <w:tcPr>
                  <w:tcW w:w="416" w:type="pct"/>
                  <w:vMerge w:val="continue"/>
                  <w:tcBorders>
                    <w:tl2br w:val="nil"/>
                    <w:tr2bl w:val="nil"/>
                  </w:tcBorders>
                  <w:vAlign w:val="center"/>
                </w:tcPr>
                <w:p w14:paraId="48A0335B">
                  <w:pPr>
                    <w:spacing w:line="240" w:lineRule="auto"/>
                    <w:ind w:left="0" w:leftChars="0" w:right="0" w:rightChars="0" w:firstLine="0" w:firstLineChars="0"/>
                    <w:jc w:val="center"/>
                    <w:rPr>
                      <w:rFonts w:eastAsia="宋体" w:cs="Times New Roman"/>
                      <w:b/>
                      <w:color w:val="auto"/>
                      <w:szCs w:val="21"/>
                      <w:lang w:bidi="ar"/>
                    </w:rPr>
                  </w:pPr>
                </w:p>
              </w:tc>
              <w:tc>
                <w:tcPr>
                  <w:tcW w:w="1005" w:type="pct"/>
                  <w:vMerge w:val="continue"/>
                  <w:tcBorders>
                    <w:tl2br w:val="nil"/>
                    <w:tr2bl w:val="nil"/>
                  </w:tcBorders>
                  <w:vAlign w:val="center"/>
                </w:tcPr>
                <w:p w14:paraId="709F894B">
                  <w:pPr>
                    <w:spacing w:line="240" w:lineRule="auto"/>
                    <w:ind w:left="0" w:leftChars="0" w:right="0" w:rightChars="0" w:firstLine="0" w:firstLineChars="0"/>
                    <w:jc w:val="center"/>
                    <w:rPr>
                      <w:rFonts w:eastAsia="宋体" w:cs="Times New Roman"/>
                      <w:b/>
                      <w:color w:val="auto"/>
                      <w:szCs w:val="21"/>
                      <w:lang w:bidi="ar"/>
                    </w:rPr>
                  </w:pPr>
                </w:p>
              </w:tc>
              <w:tc>
                <w:tcPr>
                  <w:tcW w:w="208" w:type="pct"/>
                  <w:tcBorders>
                    <w:tl2br w:val="nil"/>
                    <w:tr2bl w:val="nil"/>
                  </w:tcBorders>
                  <w:vAlign w:val="center"/>
                </w:tcPr>
                <w:p w14:paraId="2807FA6E">
                  <w:pPr>
                    <w:adjustRightInd w:val="0"/>
                    <w:snapToGrid w:val="0"/>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color w:val="auto"/>
                      <w:szCs w:val="21"/>
                      <w:lang w:eastAsia="zh-CN"/>
                    </w:rPr>
                    <w:t>速率</w:t>
                  </w:r>
                </w:p>
              </w:tc>
              <w:tc>
                <w:tcPr>
                  <w:tcW w:w="671" w:type="pct"/>
                  <w:tcBorders>
                    <w:tl2br w:val="nil"/>
                    <w:tr2bl w:val="nil"/>
                  </w:tcBorders>
                  <w:vAlign w:val="center"/>
                </w:tcPr>
                <w:p w14:paraId="1FB8E484">
                  <w:pPr>
                    <w:adjustRightInd w:val="0"/>
                    <w:snapToGrid w:val="0"/>
                    <w:spacing w:line="240" w:lineRule="auto"/>
                    <w:ind w:left="0" w:leftChars="0" w:right="0" w:rightChars="0" w:firstLine="0" w:firstLineChars="0"/>
                    <w:jc w:val="center"/>
                    <w:rPr>
                      <w:rFonts w:eastAsia="宋体" w:cs="Times New Roman"/>
                      <w:b/>
                      <w:color w:val="auto"/>
                      <w:szCs w:val="21"/>
                      <w:lang w:eastAsia="zh-CN" w:bidi="ar"/>
                    </w:rPr>
                  </w:pPr>
                  <w:r>
                    <w:rPr>
                      <w:rFonts w:eastAsia="宋体" w:cs="Times New Roman"/>
                      <w:color w:val="auto"/>
                      <w:kern w:val="2"/>
                      <w:szCs w:val="21"/>
                      <w:lang w:eastAsia="zh-CN"/>
                    </w:rPr>
                    <w:t>3.5kg/h</w:t>
                  </w:r>
                </w:p>
              </w:tc>
            </w:tr>
            <w:tr w14:paraId="0E70BA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46" w:type="pct"/>
                  <w:vMerge w:val="continue"/>
                  <w:tcBorders>
                    <w:tl2br w:val="nil"/>
                    <w:tr2bl w:val="nil"/>
                  </w:tcBorders>
                  <w:vAlign w:val="center"/>
                </w:tcPr>
                <w:p w14:paraId="5299C62F">
                  <w:pPr>
                    <w:adjustRightInd w:val="0"/>
                    <w:snapToGrid w:val="0"/>
                    <w:spacing w:line="240" w:lineRule="auto"/>
                    <w:ind w:left="0" w:leftChars="0" w:right="0" w:rightChars="0" w:firstLine="0" w:firstLineChars="0"/>
                    <w:jc w:val="center"/>
                    <w:rPr>
                      <w:rFonts w:eastAsia="宋体" w:cs="Times New Roman"/>
                      <w:bCs/>
                      <w:color w:val="auto"/>
                      <w:szCs w:val="21"/>
                      <w:lang w:eastAsia="zh-CN" w:bidi="ar"/>
                    </w:rPr>
                  </w:pPr>
                </w:p>
              </w:tc>
              <w:tc>
                <w:tcPr>
                  <w:tcW w:w="515" w:type="pct"/>
                  <w:vMerge w:val="restart"/>
                  <w:tcBorders>
                    <w:tl2br w:val="nil"/>
                    <w:tr2bl w:val="nil"/>
                  </w:tcBorders>
                  <w:vAlign w:val="center"/>
                </w:tcPr>
                <w:p w14:paraId="6080564B">
                  <w:pPr>
                    <w:adjustRightInd w:val="0"/>
                    <w:snapToGrid w:val="0"/>
                    <w:spacing w:line="240" w:lineRule="auto"/>
                    <w:ind w:left="0" w:leftChars="0" w:right="0" w:rightChars="0" w:firstLine="0" w:firstLineChars="0"/>
                    <w:jc w:val="center"/>
                    <w:rPr>
                      <w:rFonts w:eastAsia="宋体" w:cs="Times New Roman"/>
                      <w:bCs/>
                      <w:color w:val="auto"/>
                      <w:szCs w:val="21"/>
                      <w:lang w:bidi="ar"/>
                    </w:rPr>
                  </w:pPr>
                  <w:r>
                    <w:rPr>
                      <w:rFonts w:eastAsia="宋体" w:cs="Times New Roman"/>
                      <w:bCs/>
                      <w:color w:val="auto"/>
                      <w:szCs w:val="21"/>
                      <w:lang w:bidi="ar"/>
                    </w:rPr>
                    <w:t>DA00</w:t>
                  </w:r>
                  <w:r>
                    <w:rPr>
                      <w:rFonts w:eastAsia="宋体" w:cs="Times New Roman"/>
                      <w:bCs/>
                      <w:color w:val="auto"/>
                      <w:szCs w:val="21"/>
                      <w:lang w:eastAsia="zh-CN" w:bidi="ar"/>
                    </w:rPr>
                    <w:t>2</w:t>
                  </w:r>
                </w:p>
              </w:tc>
              <w:tc>
                <w:tcPr>
                  <w:tcW w:w="405" w:type="pct"/>
                  <w:vMerge w:val="restart"/>
                  <w:tcBorders>
                    <w:tl2br w:val="nil"/>
                    <w:tr2bl w:val="nil"/>
                  </w:tcBorders>
                  <w:vAlign w:val="center"/>
                </w:tcPr>
                <w:p w14:paraId="6B715A28">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颗</w:t>
                  </w:r>
                </w:p>
                <w:p w14:paraId="2ECD16CD">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粒</w:t>
                  </w:r>
                </w:p>
                <w:p w14:paraId="23772459">
                  <w:pPr>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rPr>
                    <w:t>物</w:t>
                  </w:r>
                </w:p>
              </w:tc>
              <w:tc>
                <w:tcPr>
                  <w:tcW w:w="983" w:type="pct"/>
                  <w:vMerge w:val="restart"/>
                  <w:tcBorders>
                    <w:tl2br w:val="nil"/>
                    <w:tr2bl w:val="nil"/>
                  </w:tcBorders>
                  <w:vAlign w:val="center"/>
                </w:tcPr>
                <w:p w14:paraId="6E65A60F">
                  <w:pPr>
                    <w:spacing w:line="240" w:lineRule="auto"/>
                    <w:ind w:left="0" w:leftChars="0" w:right="0" w:rightChars="0" w:firstLine="0" w:firstLineChars="0"/>
                    <w:jc w:val="center"/>
                    <w:rPr>
                      <w:rFonts w:eastAsia="宋体" w:cs="Times New Roman"/>
                      <w:bCs/>
                      <w:color w:val="auto"/>
                      <w:szCs w:val="21"/>
                      <w:lang w:eastAsia="zh-CN" w:bidi="ar"/>
                    </w:rPr>
                  </w:pPr>
                  <w:r>
                    <w:rPr>
                      <w:rFonts w:eastAsia="宋体" w:cs="Times New Roman"/>
                      <w:bCs/>
                      <w:color w:val="auto"/>
                      <w:szCs w:val="21"/>
                      <w:lang w:eastAsia="zh-CN" w:bidi="ar"/>
                    </w:rPr>
                    <w:t>109°08'</w:t>
                  </w:r>
                  <w:r>
                    <w:rPr>
                      <w:rFonts w:hint="eastAsia" w:eastAsia="宋体" w:cs="Times New Roman"/>
                      <w:bCs/>
                      <w:color w:val="auto"/>
                      <w:szCs w:val="21"/>
                      <w:lang w:eastAsia="zh-CN" w:bidi="ar"/>
                    </w:rPr>
                    <w:t>39.1482</w:t>
                  </w:r>
                  <w:r>
                    <w:rPr>
                      <w:rFonts w:eastAsia="宋体" w:cs="Times New Roman"/>
                      <w:bCs/>
                      <w:color w:val="auto"/>
                      <w:szCs w:val="21"/>
                      <w:lang w:eastAsia="zh-CN" w:bidi="ar"/>
                    </w:rPr>
                    <w:t>"</w:t>
                  </w:r>
                </w:p>
                <w:p w14:paraId="0EA9423E">
                  <w:pPr>
                    <w:spacing w:line="240" w:lineRule="auto"/>
                    <w:ind w:left="0" w:leftChars="0" w:right="0" w:rightChars="0" w:firstLine="0" w:firstLineChars="0"/>
                    <w:jc w:val="center"/>
                    <w:rPr>
                      <w:rFonts w:eastAsia="宋体" w:cs="Times New Roman"/>
                      <w:bCs/>
                      <w:color w:val="auto"/>
                      <w:szCs w:val="21"/>
                      <w:lang w:eastAsia="zh-CN" w:bidi="ar"/>
                    </w:rPr>
                  </w:pPr>
                  <w:r>
                    <w:rPr>
                      <w:rFonts w:eastAsia="宋体" w:cs="Times New Roman"/>
                      <w:bCs/>
                      <w:color w:val="auto"/>
                      <w:szCs w:val="21"/>
                      <w:lang w:eastAsia="zh-CN" w:bidi="ar"/>
                    </w:rPr>
                    <w:t>34°14'</w:t>
                  </w:r>
                  <w:r>
                    <w:rPr>
                      <w:rFonts w:hint="eastAsia" w:eastAsia="宋体" w:cs="Times New Roman"/>
                      <w:bCs/>
                      <w:color w:val="auto"/>
                      <w:szCs w:val="21"/>
                      <w:lang w:eastAsia="zh-CN" w:bidi="ar"/>
                    </w:rPr>
                    <w:t>59.8329</w:t>
                  </w:r>
                  <w:r>
                    <w:rPr>
                      <w:rFonts w:eastAsia="宋体" w:cs="Times New Roman"/>
                      <w:bCs/>
                      <w:color w:val="auto"/>
                      <w:szCs w:val="21"/>
                      <w:lang w:eastAsia="zh-CN" w:bidi="ar"/>
                    </w:rPr>
                    <w:t>"</w:t>
                  </w:r>
                </w:p>
              </w:tc>
              <w:tc>
                <w:tcPr>
                  <w:tcW w:w="260" w:type="pct"/>
                  <w:vMerge w:val="restart"/>
                  <w:tcBorders>
                    <w:tl2br w:val="nil"/>
                    <w:tr2bl w:val="nil"/>
                  </w:tcBorders>
                  <w:vAlign w:val="center"/>
                </w:tcPr>
                <w:p w14:paraId="6DFD1DB5">
                  <w:pPr>
                    <w:spacing w:line="240" w:lineRule="auto"/>
                    <w:ind w:left="0" w:leftChars="0" w:right="0" w:rightChars="0" w:firstLine="0" w:firstLineChars="0"/>
                    <w:jc w:val="center"/>
                    <w:rPr>
                      <w:rFonts w:eastAsia="宋体" w:cs="Times New Roman"/>
                      <w:bCs/>
                      <w:color w:val="auto"/>
                      <w:szCs w:val="21"/>
                      <w:lang w:eastAsia="zh-CN" w:bidi="ar"/>
                    </w:rPr>
                  </w:pPr>
                  <w:r>
                    <w:rPr>
                      <w:rFonts w:hint="eastAsia" w:eastAsia="宋体" w:cs="Times New Roman"/>
                      <w:bCs/>
                      <w:color w:val="auto"/>
                      <w:szCs w:val="21"/>
                      <w:lang w:eastAsia="zh-CN" w:bidi="ar"/>
                    </w:rPr>
                    <w:t>15m</w:t>
                  </w:r>
                </w:p>
              </w:tc>
              <w:tc>
                <w:tcPr>
                  <w:tcW w:w="285" w:type="pct"/>
                  <w:vMerge w:val="restart"/>
                  <w:tcBorders>
                    <w:tl2br w:val="nil"/>
                    <w:tr2bl w:val="nil"/>
                  </w:tcBorders>
                  <w:vAlign w:val="center"/>
                </w:tcPr>
                <w:p w14:paraId="3A973148">
                  <w:pPr>
                    <w:spacing w:line="240" w:lineRule="auto"/>
                    <w:ind w:left="0" w:leftChars="0" w:right="0" w:rightChars="0" w:firstLine="0" w:firstLineChars="0"/>
                    <w:jc w:val="center"/>
                    <w:rPr>
                      <w:rFonts w:eastAsia="宋体" w:cs="Times New Roman"/>
                      <w:bCs/>
                      <w:color w:val="auto"/>
                      <w:szCs w:val="21"/>
                      <w:lang w:eastAsia="zh-CN" w:bidi="ar"/>
                    </w:rPr>
                  </w:pPr>
                  <w:r>
                    <w:rPr>
                      <w:rFonts w:hint="eastAsia" w:eastAsia="宋体" w:cs="Times New Roman"/>
                      <w:bCs/>
                      <w:color w:val="auto"/>
                      <w:szCs w:val="21"/>
                      <w:lang w:eastAsia="zh-CN" w:bidi="ar"/>
                    </w:rPr>
                    <w:t>0.6</w:t>
                  </w:r>
                </w:p>
              </w:tc>
              <w:tc>
                <w:tcPr>
                  <w:tcW w:w="416" w:type="pct"/>
                  <w:vMerge w:val="restart"/>
                  <w:tcBorders>
                    <w:tl2br w:val="nil"/>
                    <w:tr2bl w:val="nil"/>
                  </w:tcBorders>
                  <w:vAlign w:val="center"/>
                </w:tcPr>
                <w:p w14:paraId="297747A6">
                  <w:pPr>
                    <w:spacing w:line="240" w:lineRule="auto"/>
                    <w:ind w:left="0" w:leftChars="0" w:right="0" w:rightChars="0" w:firstLine="0" w:firstLineChars="0"/>
                    <w:jc w:val="center"/>
                    <w:rPr>
                      <w:rFonts w:eastAsia="宋体" w:cs="Times New Roman"/>
                      <w:bCs/>
                      <w:color w:val="auto"/>
                      <w:szCs w:val="21"/>
                      <w:lang w:bidi="ar"/>
                    </w:rPr>
                  </w:pPr>
                  <w:r>
                    <w:rPr>
                      <w:rFonts w:eastAsia="宋体" w:cs="Times New Roman"/>
                      <w:bCs/>
                      <w:color w:val="auto"/>
                      <w:szCs w:val="21"/>
                      <w:lang w:bidi="ar"/>
                    </w:rPr>
                    <w:t>25℃</w:t>
                  </w:r>
                </w:p>
              </w:tc>
              <w:tc>
                <w:tcPr>
                  <w:tcW w:w="1005" w:type="pct"/>
                  <w:vMerge w:val="restart"/>
                  <w:tcBorders>
                    <w:tl2br w:val="nil"/>
                    <w:tr2bl w:val="nil"/>
                  </w:tcBorders>
                  <w:vAlign w:val="center"/>
                </w:tcPr>
                <w:p w14:paraId="3FF82A01">
                  <w:pPr>
                    <w:spacing w:line="240" w:lineRule="auto"/>
                    <w:ind w:left="0" w:leftChars="0" w:right="0" w:rightChars="0" w:firstLine="0" w:firstLineChars="0"/>
                    <w:jc w:val="center"/>
                    <w:rPr>
                      <w:rFonts w:eastAsia="宋体" w:cs="Times New Roman"/>
                      <w:bCs/>
                      <w:color w:val="auto"/>
                      <w:szCs w:val="21"/>
                      <w:lang w:eastAsia="zh-CN" w:bidi="ar"/>
                    </w:rPr>
                  </w:pPr>
                  <w:r>
                    <w:rPr>
                      <w:rFonts w:eastAsia="宋体" w:cs="Times New Roman"/>
                      <w:color w:val="auto"/>
                      <w:szCs w:val="21"/>
                      <w:lang w:eastAsia="zh-CN"/>
                    </w:rPr>
                    <w:t>《大气污染物综合排放标准》（GB16297-1996）表2及无组织控制标准</w:t>
                  </w:r>
                </w:p>
              </w:tc>
              <w:tc>
                <w:tcPr>
                  <w:tcW w:w="208" w:type="pct"/>
                  <w:tcBorders>
                    <w:tl2br w:val="nil"/>
                    <w:tr2bl w:val="nil"/>
                  </w:tcBorders>
                  <w:vAlign w:val="center"/>
                </w:tcPr>
                <w:p w14:paraId="4E904BC1">
                  <w:pPr>
                    <w:adjustRightInd w:val="0"/>
                    <w:snapToGrid w:val="0"/>
                    <w:spacing w:line="240" w:lineRule="auto"/>
                    <w:ind w:left="0" w:leftChars="0" w:right="0" w:rightChars="0" w:firstLine="0" w:firstLineChars="0"/>
                    <w:jc w:val="center"/>
                    <w:rPr>
                      <w:rFonts w:eastAsia="宋体" w:cs="Times New Roman"/>
                      <w:bCs/>
                      <w:color w:val="auto"/>
                      <w:szCs w:val="21"/>
                      <w:lang w:bidi="ar"/>
                    </w:rPr>
                  </w:pPr>
                  <w:r>
                    <w:rPr>
                      <w:rFonts w:eastAsia="宋体" w:cs="Times New Roman"/>
                      <w:color w:val="auto"/>
                      <w:szCs w:val="21"/>
                      <w:lang w:eastAsia="zh-CN"/>
                    </w:rPr>
                    <w:t>浓度</w:t>
                  </w:r>
                </w:p>
              </w:tc>
              <w:tc>
                <w:tcPr>
                  <w:tcW w:w="671" w:type="pct"/>
                  <w:tcBorders>
                    <w:tl2br w:val="nil"/>
                    <w:tr2bl w:val="nil"/>
                  </w:tcBorders>
                  <w:vAlign w:val="center"/>
                </w:tcPr>
                <w:p w14:paraId="399C2D87">
                  <w:pPr>
                    <w:adjustRightInd w:val="0"/>
                    <w:snapToGrid w:val="0"/>
                    <w:spacing w:line="240" w:lineRule="auto"/>
                    <w:ind w:left="0" w:leftChars="0" w:right="0" w:rightChars="0" w:firstLine="0" w:firstLineChars="0"/>
                    <w:jc w:val="center"/>
                    <w:rPr>
                      <w:rFonts w:eastAsia="宋体" w:cs="Times New Roman"/>
                      <w:bCs/>
                      <w:color w:val="auto"/>
                      <w:szCs w:val="21"/>
                      <w:lang w:bidi="ar"/>
                    </w:rPr>
                  </w:pPr>
                  <w:r>
                    <w:rPr>
                      <w:rFonts w:eastAsia="宋体" w:cs="Times New Roman"/>
                      <w:color w:val="auto"/>
                      <w:szCs w:val="21"/>
                      <w:lang w:eastAsia="zh-CN"/>
                    </w:rPr>
                    <w:t>120</w:t>
                  </w:r>
                  <w:r>
                    <w:rPr>
                      <w:rFonts w:eastAsia="宋体" w:cs="Times New Roman"/>
                      <w:color w:val="auto"/>
                      <w:szCs w:val="21"/>
                    </w:rPr>
                    <w:t>mg/m</w:t>
                  </w:r>
                  <w:r>
                    <w:rPr>
                      <w:rFonts w:eastAsia="宋体" w:cs="Times New Roman"/>
                      <w:color w:val="auto"/>
                      <w:szCs w:val="21"/>
                      <w:vertAlign w:val="superscript"/>
                    </w:rPr>
                    <w:t>3</w:t>
                  </w:r>
                </w:p>
              </w:tc>
            </w:tr>
            <w:tr w14:paraId="3B9629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46" w:type="pct"/>
                  <w:vMerge w:val="continue"/>
                  <w:tcBorders>
                    <w:tl2br w:val="nil"/>
                    <w:tr2bl w:val="nil"/>
                  </w:tcBorders>
                  <w:vAlign w:val="center"/>
                </w:tcPr>
                <w:p w14:paraId="67ABC720">
                  <w:pPr>
                    <w:spacing w:line="240" w:lineRule="auto"/>
                    <w:ind w:left="0" w:leftChars="0" w:right="0" w:rightChars="0" w:firstLine="0" w:firstLineChars="0"/>
                    <w:jc w:val="center"/>
                    <w:rPr>
                      <w:color w:val="auto"/>
                    </w:rPr>
                  </w:pPr>
                </w:p>
              </w:tc>
              <w:tc>
                <w:tcPr>
                  <w:tcW w:w="515" w:type="pct"/>
                  <w:vMerge w:val="continue"/>
                  <w:tcBorders>
                    <w:tl2br w:val="nil"/>
                    <w:tr2bl w:val="nil"/>
                  </w:tcBorders>
                  <w:vAlign w:val="center"/>
                </w:tcPr>
                <w:p w14:paraId="0BD4C8DE">
                  <w:pPr>
                    <w:spacing w:line="240" w:lineRule="auto"/>
                    <w:ind w:left="0" w:leftChars="0" w:right="0" w:rightChars="0" w:firstLine="0" w:firstLineChars="0"/>
                    <w:jc w:val="center"/>
                    <w:rPr>
                      <w:color w:val="auto"/>
                    </w:rPr>
                  </w:pPr>
                </w:p>
              </w:tc>
              <w:tc>
                <w:tcPr>
                  <w:tcW w:w="405" w:type="pct"/>
                  <w:vMerge w:val="continue"/>
                  <w:tcBorders>
                    <w:tl2br w:val="nil"/>
                    <w:tr2bl w:val="nil"/>
                  </w:tcBorders>
                  <w:vAlign w:val="center"/>
                </w:tcPr>
                <w:p w14:paraId="6E0BEAC4">
                  <w:pPr>
                    <w:spacing w:line="240" w:lineRule="auto"/>
                    <w:ind w:left="0" w:leftChars="0" w:right="0" w:rightChars="0" w:firstLine="0" w:firstLineChars="0"/>
                    <w:jc w:val="center"/>
                    <w:rPr>
                      <w:color w:val="auto"/>
                    </w:rPr>
                  </w:pPr>
                </w:p>
              </w:tc>
              <w:tc>
                <w:tcPr>
                  <w:tcW w:w="983" w:type="pct"/>
                  <w:vMerge w:val="continue"/>
                  <w:tcBorders>
                    <w:tl2br w:val="nil"/>
                    <w:tr2bl w:val="nil"/>
                  </w:tcBorders>
                  <w:vAlign w:val="center"/>
                </w:tcPr>
                <w:p w14:paraId="751BAB4B">
                  <w:pPr>
                    <w:spacing w:line="240" w:lineRule="auto"/>
                    <w:ind w:left="0" w:leftChars="0" w:right="0" w:rightChars="0" w:firstLine="0" w:firstLineChars="0"/>
                    <w:jc w:val="center"/>
                    <w:rPr>
                      <w:color w:val="auto"/>
                    </w:rPr>
                  </w:pPr>
                </w:p>
              </w:tc>
              <w:tc>
                <w:tcPr>
                  <w:tcW w:w="260" w:type="pct"/>
                  <w:vMerge w:val="continue"/>
                  <w:tcBorders>
                    <w:tl2br w:val="nil"/>
                    <w:tr2bl w:val="nil"/>
                  </w:tcBorders>
                  <w:vAlign w:val="center"/>
                </w:tcPr>
                <w:p w14:paraId="31011D75">
                  <w:pPr>
                    <w:spacing w:line="240" w:lineRule="auto"/>
                    <w:ind w:left="0" w:leftChars="0" w:right="0" w:rightChars="0" w:firstLine="0" w:firstLineChars="0"/>
                    <w:jc w:val="center"/>
                    <w:rPr>
                      <w:color w:val="auto"/>
                    </w:rPr>
                  </w:pPr>
                </w:p>
              </w:tc>
              <w:tc>
                <w:tcPr>
                  <w:tcW w:w="285" w:type="pct"/>
                  <w:vMerge w:val="continue"/>
                  <w:tcBorders>
                    <w:tl2br w:val="nil"/>
                    <w:tr2bl w:val="nil"/>
                  </w:tcBorders>
                  <w:vAlign w:val="center"/>
                </w:tcPr>
                <w:p w14:paraId="1ED328F1">
                  <w:pPr>
                    <w:spacing w:line="240" w:lineRule="auto"/>
                    <w:ind w:left="0" w:leftChars="0" w:right="0" w:rightChars="0" w:firstLine="0" w:firstLineChars="0"/>
                    <w:jc w:val="center"/>
                    <w:rPr>
                      <w:color w:val="auto"/>
                    </w:rPr>
                  </w:pPr>
                </w:p>
              </w:tc>
              <w:tc>
                <w:tcPr>
                  <w:tcW w:w="416" w:type="pct"/>
                  <w:vMerge w:val="continue"/>
                  <w:tcBorders>
                    <w:tl2br w:val="nil"/>
                    <w:tr2bl w:val="nil"/>
                  </w:tcBorders>
                  <w:vAlign w:val="center"/>
                </w:tcPr>
                <w:p w14:paraId="28F50BE5">
                  <w:pPr>
                    <w:spacing w:line="240" w:lineRule="auto"/>
                    <w:ind w:left="0" w:leftChars="0" w:right="0" w:rightChars="0" w:firstLine="0" w:firstLineChars="0"/>
                    <w:jc w:val="center"/>
                    <w:rPr>
                      <w:color w:val="auto"/>
                    </w:rPr>
                  </w:pPr>
                </w:p>
              </w:tc>
              <w:tc>
                <w:tcPr>
                  <w:tcW w:w="1005" w:type="pct"/>
                  <w:vMerge w:val="continue"/>
                  <w:tcBorders>
                    <w:tl2br w:val="nil"/>
                    <w:tr2bl w:val="nil"/>
                  </w:tcBorders>
                  <w:vAlign w:val="center"/>
                </w:tcPr>
                <w:p w14:paraId="423D1156">
                  <w:pPr>
                    <w:spacing w:line="240" w:lineRule="auto"/>
                    <w:ind w:left="0" w:leftChars="0" w:right="0" w:rightChars="0" w:firstLine="0" w:firstLineChars="0"/>
                    <w:jc w:val="center"/>
                    <w:rPr>
                      <w:color w:val="auto"/>
                    </w:rPr>
                  </w:pPr>
                </w:p>
              </w:tc>
              <w:tc>
                <w:tcPr>
                  <w:tcW w:w="208" w:type="pct"/>
                  <w:tcBorders>
                    <w:tl2br w:val="nil"/>
                    <w:tr2bl w:val="nil"/>
                  </w:tcBorders>
                  <w:vAlign w:val="center"/>
                </w:tcPr>
                <w:p w14:paraId="5F6A2820">
                  <w:pPr>
                    <w:adjustRightInd w:val="0"/>
                    <w:snapToGrid w:val="0"/>
                    <w:spacing w:line="240" w:lineRule="auto"/>
                    <w:ind w:left="0" w:leftChars="0" w:right="0" w:rightChars="0" w:firstLine="0" w:firstLineChars="0"/>
                    <w:jc w:val="center"/>
                    <w:rPr>
                      <w:color w:val="auto"/>
                    </w:rPr>
                  </w:pPr>
                  <w:r>
                    <w:rPr>
                      <w:rFonts w:eastAsia="宋体" w:cs="Times New Roman"/>
                      <w:color w:val="auto"/>
                      <w:szCs w:val="21"/>
                      <w:lang w:eastAsia="zh-CN"/>
                    </w:rPr>
                    <w:t>速率</w:t>
                  </w:r>
                </w:p>
              </w:tc>
              <w:tc>
                <w:tcPr>
                  <w:tcW w:w="671" w:type="pct"/>
                  <w:tcBorders>
                    <w:tl2br w:val="nil"/>
                    <w:tr2bl w:val="nil"/>
                  </w:tcBorders>
                  <w:vAlign w:val="center"/>
                </w:tcPr>
                <w:p w14:paraId="6D94FCC1">
                  <w:pPr>
                    <w:adjustRightInd w:val="0"/>
                    <w:snapToGrid w:val="0"/>
                    <w:spacing w:line="240" w:lineRule="auto"/>
                    <w:ind w:left="0" w:leftChars="0" w:right="0" w:rightChars="0" w:firstLine="0" w:firstLineChars="0"/>
                    <w:jc w:val="center"/>
                    <w:rPr>
                      <w:color w:val="auto"/>
                    </w:rPr>
                  </w:pPr>
                  <w:r>
                    <w:rPr>
                      <w:rFonts w:eastAsia="宋体" w:cs="Times New Roman"/>
                      <w:color w:val="auto"/>
                      <w:kern w:val="2"/>
                      <w:szCs w:val="21"/>
                      <w:lang w:eastAsia="zh-CN"/>
                    </w:rPr>
                    <w:t>3.5kg/h</w:t>
                  </w:r>
                </w:p>
              </w:tc>
            </w:tr>
            <w:tr w14:paraId="536FDD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46" w:type="pct"/>
                  <w:vMerge w:val="continue"/>
                  <w:tcBorders>
                    <w:tl2br w:val="nil"/>
                    <w:tr2bl w:val="nil"/>
                  </w:tcBorders>
                  <w:vAlign w:val="center"/>
                </w:tcPr>
                <w:p w14:paraId="1720712B">
                  <w:pPr>
                    <w:spacing w:line="240" w:lineRule="auto"/>
                    <w:ind w:left="0" w:leftChars="0" w:right="0" w:rightChars="0" w:firstLine="0" w:firstLineChars="0"/>
                    <w:jc w:val="center"/>
                    <w:rPr>
                      <w:rFonts w:eastAsia="宋体" w:cs="Times New Roman"/>
                      <w:color w:val="auto"/>
                      <w:szCs w:val="21"/>
                      <w:lang w:eastAsia="zh-CN"/>
                    </w:rPr>
                  </w:pPr>
                </w:p>
              </w:tc>
              <w:tc>
                <w:tcPr>
                  <w:tcW w:w="515" w:type="pct"/>
                  <w:vMerge w:val="restart"/>
                  <w:tcBorders>
                    <w:tl2br w:val="nil"/>
                    <w:tr2bl w:val="nil"/>
                  </w:tcBorders>
                  <w:vAlign w:val="center"/>
                </w:tcPr>
                <w:p w14:paraId="6E05EB3F">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DA003</w:t>
                  </w:r>
                </w:p>
              </w:tc>
              <w:tc>
                <w:tcPr>
                  <w:tcW w:w="405" w:type="pct"/>
                  <w:tcBorders>
                    <w:tl2br w:val="nil"/>
                    <w:tr2bl w:val="nil"/>
                  </w:tcBorders>
                  <w:vAlign w:val="center"/>
                </w:tcPr>
                <w:p w14:paraId="03605D4E">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颗</w:t>
                  </w:r>
                </w:p>
                <w:p w14:paraId="0C55EA6E">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粒</w:t>
                  </w:r>
                </w:p>
                <w:p w14:paraId="4E2B6131">
                  <w:pPr>
                    <w:adjustRightInd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rPr>
                    <w:t>物</w:t>
                  </w:r>
                </w:p>
              </w:tc>
              <w:tc>
                <w:tcPr>
                  <w:tcW w:w="983" w:type="pct"/>
                  <w:vMerge w:val="restart"/>
                  <w:tcBorders>
                    <w:tl2br w:val="nil"/>
                    <w:tr2bl w:val="nil"/>
                  </w:tcBorders>
                  <w:vAlign w:val="center"/>
                </w:tcPr>
                <w:p w14:paraId="6B5C174F">
                  <w:pPr>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bidi="ar"/>
                    </w:rPr>
                    <w:t>109°08'</w:t>
                  </w:r>
                  <w:r>
                    <w:rPr>
                      <w:rFonts w:hint="eastAsia" w:eastAsia="宋体" w:cs="Times New Roman"/>
                      <w:color w:val="auto"/>
                      <w:szCs w:val="21"/>
                      <w:lang w:eastAsia="zh-CN" w:bidi="ar"/>
                    </w:rPr>
                    <w:t>39.3027</w:t>
                  </w:r>
                  <w:r>
                    <w:rPr>
                      <w:rFonts w:eastAsia="宋体" w:cs="Times New Roman"/>
                      <w:color w:val="auto"/>
                      <w:szCs w:val="21"/>
                      <w:lang w:eastAsia="zh-CN" w:bidi="ar"/>
                    </w:rPr>
                    <w:t>"</w:t>
                  </w:r>
                </w:p>
                <w:p w14:paraId="2A04908A">
                  <w:pPr>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bidi="ar"/>
                    </w:rPr>
                    <w:t>34°</w:t>
                  </w:r>
                  <w:r>
                    <w:rPr>
                      <w:rFonts w:hint="eastAsia" w:eastAsia="宋体" w:cs="Times New Roman"/>
                      <w:color w:val="auto"/>
                      <w:szCs w:val="21"/>
                      <w:lang w:eastAsia="zh-CN" w:bidi="ar"/>
                    </w:rPr>
                    <w:t>15</w:t>
                  </w:r>
                  <w:r>
                    <w:rPr>
                      <w:rFonts w:eastAsia="宋体" w:cs="Times New Roman"/>
                      <w:color w:val="auto"/>
                      <w:szCs w:val="21"/>
                      <w:lang w:eastAsia="zh-CN" w:bidi="ar"/>
                    </w:rPr>
                    <w:t>'</w:t>
                  </w:r>
                  <w:r>
                    <w:rPr>
                      <w:rFonts w:hint="eastAsia" w:eastAsia="宋体" w:cs="Times New Roman"/>
                      <w:color w:val="auto"/>
                      <w:szCs w:val="21"/>
                      <w:lang w:eastAsia="zh-CN" w:bidi="ar"/>
                    </w:rPr>
                    <w:t>00.0404</w:t>
                  </w:r>
                  <w:r>
                    <w:rPr>
                      <w:rFonts w:eastAsia="宋体" w:cs="Times New Roman"/>
                      <w:color w:val="auto"/>
                      <w:szCs w:val="21"/>
                      <w:lang w:eastAsia="zh-CN" w:bidi="ar"/>
                    </w:rPr>
                    <w:t>"</w:t>
                  </w:r>
                </w:p>
              </w:tc>
              <w:tc>
                <w:tcPr>
                  <w:tcW w:w="260" w:type="pct"/>
                  <w:vMerge w:val="restart"/>
                  <w:tcBorders>
                    <w:tl2br w:val="nil"/>
                    <w:tr2bl w:val="nil"/>
                  </w:tcBorders>
                  <w:vAlign w:val="center"/>
                </w:tcPr>
                <w:p w14:paraId="3C6FA2B1">
                  <w:pPr>
                    <w:spacing w:line="240" w:lineRule="auto"/>
                    <w:ind w:left="0" w:leftChars="0" w:right="0" w:rightChars="0" w:firstLine="0" w:firstLineChars="0"/>
                    <w:jc w:val="center"/>
                    <w:rPr>
                      <w:rFonts w:eastAsia="宋体" w:cs="Times New Roman"/>
                      <w:color w:val="auto"/>
                      <w:szCs w:val="21"/>
                      <w:lang w:eastAsia="zh-CN" w:bidi="ar"/>
                    </w:rPr>
                  </w:pPr>
                  <w:r>
                    <w:rPr>
                      <w:rFonts w:hint="eastAsia" w:eastAsia="宋体" w:cs="Times New Roman"/>
                      <w:color w:val="auto"/>
                      <w:szCs w:val="21"/>
                      <w:lang w:eastAsia="zh-CN" w:bidi="ar"/>
                    </w:rPr>
                    <w:t>15m</w:t>
                  </w:r>
                </w:p>
              </w:tc>
              <w:tc>
                <w:tcPr>
                  <w:tcW w:w="285" w:type="pct"/>
                  <w:vMerge w:val="restart"/>
                  <w:tcBorders>
                    <w:tl2br w:val="nil"/>
                    <w:tr2bl w:val="nil"/>
                  </w:tcBorders>
                  <w:vAlign w:val="center"/>
                </w:tcPr>
                <w:p w14:paraId="017098AD">
                  <w:pPr>
                    <w:spacing w:line="240" w:lineRule="auto"/>
                    <w:ind w:left="0" w:leftChars="0" w:right="0" w:rightChars="0" w:firstLine="0" w:firstLineChars="0"/>
                    <w:jc w:val="center"/>
                    <w:rPr>
                      <w:rFonts w:eastAsia="宋体" w:cs="Times New Roman"/>
                      <w:color w:val="auto"/>
                      <w:szCs w:val="21"/>
                      <w:lang w:eastAsia="zh-CN" w:bidi="ar"/>
                    </w:rPr>
                  </w:pPr>
                  <w:r>
                    <w:rPr>
                      <w:rFonts w:hint="eastAsia" w:eastAsia="宋体" w:cs="Times New Roman"/>
                      <w:color w:val="auto"/>
                      <w:szCs w:val="21"/>
                      <w:lang w:eastAsia="zh-CN" w:bidi="ar"/>
                    </w:rPr>
                    <w:t>0.3</w:t>
                  </w:r>
                </w:p>
              </w:tc>
              <w:tc>
                <w:tcPr>
                  <w:tcW w:w="416" w:type="pct"/>
                  <w:vMerge w:val="restart"/>
                  <w:tcBorders>
                    <w:tl2br w:val="nil"/>
                    <w:tr2bl w:val="nil"/>
                  </w:tcBorders>
                  <w:vAlign w:val="center"/>
                </w:tcPr>
                <w:p w14:paraId="7F6DD235">
                  <w:pPr>
                    <w:spacing w:line="240" w:lineRule="auto"/>
                    <w:ind w:left="0" w:leftChars="0" w:right="0" w:rightChars="0" w:firstLine="0" w:firstLineChars="0"/>
                    <w:jc w:val="center"/>
                    <w:rPr>
                      <w:rFonts w:eastAsia="宋体" w:cs="Times New Roman"/>
                      <w:color w:val="auto"/>
                      <w:szCs w:val="21"/>
                      <w:lang w:bidi="ar"/>
                    </w:rPr>
                  </w:pPr>
                  <w:r>
                    <w:rPr>
                      <w:rFonts w:eastAsia="宋体" w:cs="Times New Roman"/>
                      <w:bCs/>
                      <w:color w:val="auto"/>
                      <w:szCs w:val="21"/>
                      <w:lang w:bidi="ar"/>
                    </w:rPr>
                    <w:t>25℃</w:t>
                  </w:r>
                </w:p>
              </w:tc>
              <w:tc>
                <w:tcPr>
                  <w:tcW w:w="1005" w:type="pct"/>
                  <w:vMerge w:val="restart"/>
                  <w:tcBorders>
                    <w:tl2br w:val="nil"/>
                    <w:tr2bl w:val="nil"/>
                  </w:tcBorders>
                  <w:vAlign w:val="center"/>
                </w:tcPr>
                <w:p w14:paraId="26719E10">
                  <w:pPr>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bidi="ar"/>
                    </w:rPr>
                    <w:t>《工业炉窑大气污染综合治理方案》（环大气[2019]56号）重点地区标准限值</w:t>
                  </w:r>
                </w:p>
              </w:tc>
              <w:tc>
                <w:tcPr>
                  <w:tcW w:w="880" w:type="pct"/>
                  <w:gridSpan w:val="2"/>
                  <w:tcBorders>
                    <w:tl2br w:val="nil"/>
                    <w:tr2bl w:val="nil"/>
                  </w:tcBorders>
                  <w:vAlign w:val="center"/>
                </w:tcPr>
                <w:p w14:paraId="3AA65D9F">
                  <w:pPr>
                    <w:adjustRightInd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kern w:val="2"/>
                      <w:szCs w:val="21"/>
                      <w:lang w:eastAsia="zh-CN"/>
                    </w:rPr>
                    <w:t>30</w:t>
                  </w:r>
                  <w:r>
                    <w:rPr>
                      <w:rFonts w:eastAsia="宋体" w:cs="Times New Roman"/>
                      <w:color w:val="auto"/>
                      <w:szCs w:val="21"/>
                    </w:rPr>
                    <w:t>mg/m</w:t>
                  </w:r>
                  <w:r>
                    <w:rPr>
                      <w:rFonts w:eastAsia="宋体" w:cs="Times New Roman"/>
                      <w:color w:val="auto"/>
                      <w:szCs w:val="21"/>
                      <w:vertAlign w:val="superscript"/>
                    </w:rPr>
                    <w:t>3</w:t>
                  </w:r>
                </w:p>
              </w:tc>
            </w:tr>
            <w:tr w14:paraId="22CB34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46" w:type="pct"/>
                  <w:vMerge w:val="continue"/>
                  <w:tcBorders>
                    <w:tl2br w:val="nil"/>
                    <w:tr2bl w:val="nil"/>
                  </w:tcBorders>
                  <w:vAlign w:val="center"/>
                </w:tcPr>
                <w:p w14:paraId="2AC957C9">
                  <w:pPr>
                    <w:spacing w:line="240" w:lineRule="auto"/>
                    <w:ind w:left="0" w:leftChars="0" w:right="0" w:rightChars="0" w:firstLine="0" w:firstLineChars="0"/>
                    <w:jc w:val="center"/>
                    <w:rPr>
                      <w:rFonts w:eastAsia="宋体" w:cs="Times New Roman"/>
                      <w:color w:val="auto"/>
                      <w:szCs w:val="21"/>
                    </w:rPr>
                  </w:pPr>
                </w:p>
              </w:tc>
              <w:tc>
                <w:tcPr>
                  <w:tcW w:w="515" w:type="pct"/>
                  <w:vMerge w:val="continue"/>
                  <w:tcBorders>
                    <w:tl2br w:val="nil"/>
                    <w:tr2bl w:val="nil"/>
                  </w:tcBorders>
                  <w:vAlign w:val="center"/>
                </w:tcPr>
                <w:p w14:paraId="22AF4C57">
                  <w:pPr>
                    <w:spacing w:line="240" w:lineRule="auto"/>
                    <w:ind w:left="0" w:leftChars="0" w:right="0" w:rightChars="0" w:firstLine="0" w:firstLineChars="0"/>
                    <w:jc w:val="center"/>
                    <w:rPr>
                      <w:rFonts w:eastAsia="宋体" w:cs="Times New Roman"/>
                      <w:color w:val="auto"/>
                      <w:szCs w:val="21"/>
                    </w:rPr>
                  </w:pPr>
                </w:p>
              </w:tc>
              <w:tc>
                <w:tcPr>
                  <w:tcW w:w="405" w:type="pct"/>
                  <w:tcBorders>
                    <w:tl2br w:val="nil"/>
                    <w:tr2bl w:val="nil"/>
                  </w:tcBorders>
                  <w:vAlign w:val="center"/>
                </w:tcPr>
                <w:p w14:paraId="68F295A5">
                  <w:pPr>
                    <w:pStyle w:val="56"/>
                    <w:keepNext w:val="0"/>
                    <w:widowControl w:val="0"/>
                    <w:adjustRightInd/>
                    <w:snapToGrid/>
                    <w:spacing w:line="240" w:lineRule="auto"/>
                    <w:ind w:leftChars="0" w:right="0" w:rightChars="0"/>
                    <w:rPr>
                      <w:rFonts w:eastAsia="宋体" w:cs="Times New Roman"/>
                      <w:color w:val="auto"/>
                      <w:szCs w:val="21"/>
                      <w:lang w:eastAsia="zh-CN" w:bidi="ar"/>
                    </w:rPr>
                  </w:pPr>
                  <w:r>
                    <w:rPr>
                      <w:rFonts w:eastAsia="宋体" w:cs="Times New Roman"/>
                      <w:color w:val="auto"/>
                      <w:szCs w:val="21"/>
                      <w:lang w:eastAsia="zh-CN" w:bidi="ar"/>
                    </w:rPr>
                    <w:t>SO</w:t>
                  </w:r>
                  <w:r>
                    <w:rPr>
                      <w:rFonts w:eastAsia="宋体" w:cs="Times New Roman"/>
                      <w:color w:val="auto"/>
                      <w:szCs w:val="21"/>
                      <w:vertAlign w:val="subscript"/>
                      <w:lang w:eastAsia="zh-CN" w:bidi="ar"/>
                    </w:rPr>
                    <w:t>2</w:t>
                  </w:r>
                </w:p>
              </w:tc>
              <w:tc>
                <w:tcPr>
                  <w:tcW w:w="983" w:type="pct"/>
                  <w:vMerge w:val="continue"/>
                  <w:tcBorders>
                    <w:tl2br w:val="nil"/>
                    <w:tr2bl w:val="nil"/>
                  </w:tcBorders>
                  <w:vAlign w:val="center"/>
                </w:tcPr>
                <w:p w14:paraId="3678C7F5">
                  <w:pPr>
                    <w:spacing w:line="240" w:lineRule="auto"/>
                    <w:ind w:left="0" w:leftChars="0" w:right="0" w:rightChars="0" w:firstLine="0" w:firstLineChars="0"/>
                    <w:jc w:val="center"/>
                    <w:rPr>
                      <w:rFonts w:eastAsia="宋体" w:cs="Times New Roman"/>
                      <w:color w:val="auto"/>
                      <w:szCs w:val="21"/>
                      <w:lang w:bidi="ar"/>
                    </w:rPr>
                  </w:pPr>
                </w:p>
              </w:tc>
              <w:tc>
                <w:tcPr>
                  <w:tcW w:w="260" w:type="pct"/>
                  <w:vMerge w:val="continue"/>
                  <w:tcBorders>
                    <w:tl2br w:val="nil"/>
                    <w:tr2bl w:val="nil"/>
                  </w:tcBorders>
                  <w:vAlign w:val="center"/>
                </w:tcPr>
                <w:p w14:paraId="134C83D2">
                  <w:pPr>
                    <w:spacing w:line="240" w:lineRule="auto"/>
                    <w:ind w:left="0" w:leftChars="0" w:right="0" w:rightChars="0" w:firstLine="0" w:firstLineChars="0"/>
                    <w:jc w:val="center"/>
                    <w:rPr>
                      <w:rFonts w:eastAsia="宋体" w:cs="Times New Roman"/>
                      <w:color w:val="auto"/>
                      <w:szCs w:val="21"/>
                      <w:lang w:bidi="ar"/>
                    </w:rPr>
                  </w:pPr>
                </w:p>
              </w:tc>
              <w:tc>
                <w:tcPr>
                  <w:tcW w:w="285" w:type="pct"/>
                  <w:vMerge w:val="continue"/>
                  <w:tcBorders>
                    <w:tl2br w:val="nil"/>
                    <w:tr2bl w:val="nil"/>
                  </w:tcBorders>
                  <w:vAlign w:val="center"/>
                </w:tcPr>
                <w:p w14:paraId="42FE4448">
                  <w:pPr>
                    <w:spacing w:line="240" w:lineRule="auto"/>
                    <w:ind w:left="0" w:leftChars="0" w:right="0" w:rightChars="0" w:firstLine="0" w:firstLineChars="0"/>
                    <w:jc w:val="center"/>
                    <w:rPr>
                      <w:rFonts w:eastAsia="宋体" w:cs="Times New Roman"/>
                      <w:color w:val="auto"/>
                      <w:szCs w:val="21"/>
                      <w:lang w:bidi="ar"/>
                    </w:rPr>
                  </w:pPr>
                </w:p>
              </w:tc>
              <w:tc>
                <w:tcPr>
                  <w:tcW w:w="416" w:type="pct"/>
                  <w:vMerge w:val="continue"/>
                  <w:tcBorders>
                    <w:tl2br w:val="nil"/>
                    <w:tr2bl w:val="nil"/>
                  </w:tcBorders>
                  <w:vAlign w:val="center"/>
                </w:tcPr>
                <w:p w14:paraId="327F3711">
                  <w:pPr>
                    <w:spacing w:line="240" w:lineRule="auto"/>
                    <w:ind w:left="0" w:leftChars="0" w:right="0" w:rightChars="0" w:firstLine="0" w:firstLineChars="0"/>
                    <w:jc w:val="center"/>
                    <w:rPr>
                      <w:rFonts w:eastAsia="宋体" w:cs="Times New Roman"/>
                      <w:color w:val="auto"/>
                      <w:szCs w:val="21"/>
                      <w:lang w:bidi="ar"/>
                    </w:rPr>
                  </w:pPr>
                </w:p>
              </w:tc>
              <w:tc>
                <w:tcPr>
                  <w:tcW w:w="1005" w:type="pct"/>
                  <w:vMerge w:val="continue"/>
                  <w:tcBorders>
                    <w:tl2br w:val="nil"/>
                    <w:tr2bl w:val="nil"/>
                  </w:tcBorders>
                  <w:vAlign w:val="center"/>
                </w:tcPr>
                <w:p w14:paraId="178FFFCE">
                  <w:pPr>
                    <w:spacing w:line="240" w:lineRule="auto"/>
                    <w:ind w:left="0" w:leftChars="0" w:right="0" w:rightChars="0" w:firstLine="0" w:firstLineChars="0"/>
                    <w:jc w:val="center"/>
                    <w:rPr>
                      <w:rFonts w:eastAsia="宋体" w:cs="Times New Roman"/>
                      <w:color w:val="auto"/>
                      <w:szCs w:val="21"/>
                      <w:lang w:bidi="ar"/>
                    </w:rPr>
                  </w:pPr>
                </w:p>
              </w:tc>
              <w:tc>
                <w:tcPr>
                  <w:tcW w:w="880" w:type="pct"/>
                  <w:gridSpan w:val="2"/>
                  <w:tcBorders>
                    <w:tl2br w:val="nil"/>
                    <w:tr2bl w:val="nil"/>
                  </w:tcBorders>
                  <w:vAlign w:val="center"/>
                </w:tcPr>
                <w:p w14:paraId="7CA2E0EC">
                  <w:pPr>
                    <w:adjustRightInd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kern w:val="2"/>
                      <w:szCs w:val="21"/>
                      <w:lang w:eastAsia="zh-CN"/>
                    </w:rPr>
                    <w:t>200</w:t>
                  </w:r>
                  <w:r>
                    <w:rPr>
                      <w:rFonts w:eastAsia="宋体" w:cs="Times New Roman"/>
                      <w:color w:val="auto"/>
                      <w:szCs w:val="21"/>
                    </w:rPr>
                    <w:t>mg/m</w:t>
                  </w:r>
                  <w:r>
                    <w:rPr>
                      <w:rFonts w:eastAsia="宋体" w:cs="Times New Roman"/>
                      <w:color w:val="auto"/>
                      <w:szCs w:val="21"/>
                      <w:vertAlign w:val="superscript"/>
                    </w:rPr>
                    <w:t>3</w:t>
                  </w:r>
                </w:p>
              </w:tc>
            </w:tr>
            <w:tr w14:paraId="5CF341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46" w:type="pct"/>
                  <w:vMerge w:val="continue"/>
                  <w:tcBorders>
                    <w:tl2br w:val="nil"/>
                    <w:tr2bl w:val="nil"/>
                  </w:tcBorders>
                  <w:vAlign w:val="center"/>
                </w:tcPr>
                <w:p w14:paraId="4EA8C12F">
                  <w:pPr>
                    <w:spacing w:line="240" w:lineRule="auto"/>
                    <w:ind w:left="0" w:leftChars="0" w:right="0" w:rightChars="0" w:firstLine="0" w:firstLineChars="0"/>
                    <w:jc w:val="center"/>
                    <w:rPr>
                      <w:rFonts w:eastAsia="宋体" w:cs="Times New Roman"/>
                      <w:color w:val="auto"/>
                      <w:szCs w:val="21"/>
                    </w:rPr>
                  </w:pPr>
                </w:p>
              </w:tc>
              <w:tc>
                <w:tcPr>
                  <w:tcW w:w="515" w:type="pct"/>
                  <w:vMerge w:val="continue"/>
                  <w:tcBorders>
                    <w:tl2br w:val="nil"/>
                    <w:tr2bl w:val="nil"/>
                  </w:tcBorders>
                  <w:vAlign w:val="center"/>
                </w:tcPr>
                <w:p w14:paraId="7C57E109">
                  <w:pPr>
                    <w:spacing w:line="240" w:lineRule="auto"/>
                    <w:ind w:left="0" w:leftChars="0" w:right="0" w:rightChars="0" w:firstLine="0" w:firstLineChars="0"/>
                    <w:jc w:val="center"/>
                    <w:rPr>
                      <w:rFonts w:eastAsia="宋体" w:cs="Times New Roman"/>
                      <w:color w:val="auto"/>
                      <w:szCs w:val="21"/>
                    </w:rPr>
                  </w:pPr>
                </w:p>
              </w:tc>
              <w:tc>
                <w:tcPr>
                  <w:tcW w:w="405" w:type="pct"/>
                  <w:tcBorders>
                    <w:tl2br w:val="nil"/>
                    <w:tr2bl w:val="nil"/>
                  </w:tcBorders>
                  <w:vAlign w:val="center"/>
                </w:tcPr>
                <w:p w14:paraId="2BE9E9B7">
                  <w:pPr>
                    <w:pStyle w:val="56"/>
                    <w:keepNext w:val="0"/>
                    <w:widowControl w:val="0"/>
                    <w:adjustRightInd/>
                    <w:snapToGrid/>
                    <w:spacing w:line="240" w:lineRule="auto"/>
                    <w:ind w:leftChars="0" w:right="0" w:rightChars="0"/>
                    <w:rPr>
                      <w:rFonts w:eastAsia="宋体" w:cs="Times New Roman"/>
                      <w:color w:val="auto"/>
                      <w:szCs w:val="21"/>
                      <w:lang w:eastAsia="zh-CN" w:bidi="ar"/>
                    </w:rPr>
                  </w:pPr>
                  <w:r>
                    <w:rPr>
                      <w:rFonts w:eastAsia="宋体" w:cs="Times New Roman"/>
                      <w:color w:val="auto"/>
                      <w:szCs w:val="21"/>
                      <w:lang w:eastAsia="zh-CN" w:bidi="ar"/>
                    </w:rPr>
                    <w:t>NO</w:t>
                  </w:r>
                  <w:r>
                    <w:rPr>
                      <w:rFonts w:eastAsia="宋体" w:cs="Times New Roman"/>
                      <w:color w:val="auto"/>
                      <w:szCs w:val="21"/>
                      <w:vertAlign w:val="subscript"/>
                      <w:lang w:eastAsia="zh-CN" w:bidi="ar"/>
                    </w:rPr>
                    <w:t>X</w:t>
                  </w:r>
                </w:p>
              </w:tc>
              <w:tc>
                <w:tcPr>
                  <w:tcW w:w="983" w:type="pct"/>
                  <w:vMerge w:val="continue"/>
                  <w:tcBorders>
                    <w:tl2br w:val="nil"/>
                    <w:tr2bl w:val="nil"/>
                  </w:tcBorders>
                  <w:vAlign w:val="center"/>
                </w:tcPr>
                <w:p w14:paraId="5008CDDE">
                  <w:pPr>
                    <w:spacing w:line="240" w:lineRule="auto"/>
                    <w:ind w:left="0" w:leftChars="0" w:right="0" w:rightChars="0" w:firstLine="0" w:firstLineChars="0"/>
                    <w:jc w:val="center"/>
                    <w:rPr>
                      <w:rFonts w:eastAsia="宋体" w:cs="Times New Roman"/>
                      <w:color w:val="auto"/>
                      <w:szCs w:val="21"/>
                      <w:lang w:bidi="ar"/>
                    </w:rPr>
                  </w:pPr>
                </w:p>
              </w:tc>
              <w:tc>
                <w:tcPr>
                  <w:tcW w:w="260" w:type="pct"/>
                  <w:vMerge w:val="continue"/>
                  <w:tcBorders>
                    <w:tl2br w:val="nil"/>
                    <w:tr2bl w:val="nil"/>
                  </w:tcBorders>
                  <w:vAlign w:val="center"/>
                </w:tcPr>
                <w:p w14:paraId="6FCA44FE">
                  <w:pPr>
                    <w:spacing w:line="240" w:lineRule="auto"/>
                    <w:ind w:left="0" w:leftChars="0" w:right="0" w:rightChars="0" w:firstLine="0" w:firstLineChars="0"/>
                    <w:jc w:val="center"/>
                    <w:rPr>
                      <w:rFonts w:eastAsia="宋体" w:cs="Times New Roman"/>
                      <w:color w:val="auto"/>
                      <w:szCs w:val="21"/>
                      <w:lang w:bidi="ar"/>
                    </w:rPr>
                  </w:pPr>
                </w:p>
              </w:tc>
              <w:tc>
                <w:tcPr>
                  <w:tcW w:w="285" w:type="pct"/>
                  <w:vMerge w:val="continue"/>
                  <w:tcBorders>
                    <w:tl2br w:val="nil"/>
                    <w:tr2bl w:val="nil"/>
                  </w:tcBorders>
                  <w:vAlign w:val="center"/>
                </w:tcPr>
                <w:p w14:paraId="5B364BB9">
                  <w:pPr>
                    <w:spacing w:line="240" w:lineRule="auto"/>
                    <w:ind w:left="0" w:leftChars="0" w:right="0" w:rightChars="0" w:firstLine="0" w:firstLineChars="0"/>
                    <w:jc w:val="center"/>
                    <w:rPr>
                      <w:rFonts w:eastAsia="宋体" w:cs="Times New Roman"/>
                      <w:color w:val="auto"/>
                      <w:szCs w:val="21"/>
                      <w:lang w:bidi="ar"/>
                    </w:rPr>
                  </w:pPr>
                </w:p>
              </w:tc>
              <w:tc>
                <w:tcPr>
                  <w:tcW w:w="416" w:type="pct"/>
                  <w:vMerge w:val="continue"/>
                  <w:tcBorders>
                    <w:tl2br w:val="nil"/>
                    <w:tr2bl w:val="nil"/>
                  </w:tcBorders>
                  <w:vAlign w:val="center"/>
                </w:tcPr>
                <w:p w14:paraId="04FB42AB">
                  <w:pPr>
                    <w:spacing w:line="240" w:lineRule="auto"/>
                    <w:ind w:left="0" w:leftChars="0" w:right="0" w:rightChars="0" w:firstLine="0" w:firstLineChars="0"/>
                    <w:jc w:val="center"/>
                    <w:rPr>
                      <w:rFonts w:eastAsia="宋体" w:cs="Times New Roman"/>
                      <w:color w:val="auto"/>
                      <w:szCs w:val="21"/>
                      <w:lang w:bidi="ar"/>
                    </w:rPr>
                  </w:pPr>
                </w:p>
              </w:tc>
              <w:tc>
                <w:tcPr>
                  <w:tcW w:w="1005" w:type="pct"/>
                  <w:vMerge w:val="continue"/>
                  <w:tcBorders>
                    <w:tl2br w:val="nil"/>
                    <w:tr2bl w:val="nil"/>
                  </w:tcBorders>
                  <w:vAlign w:val="center"/>
                </w:tcPr>
                <w:p w14:paraId="48C18FA9">
                  <w:pPr>
                    <w:spacing w:line="240" w:lineRule="auto"/>
                    <w:ind w:left="0" w:leftChars="0" w:right="0" w:rightChars="0" w:firstLine="0" w:firstLineChars="0"/>
                    <w:jc w:val="center"/>
                    <w:rPr>
                      <w:rFonts w:eastAsia="宋体" w:cs="Times New Roman"/>
                      <w:color w:val="auto"/>
                      <w:szCs w:val="21"/>
                      <w:lang w:bidi="ar"/>
                    </w:rPr>
                  </w:pPr>
                </w:p>
              </w:tc>
              <w:tc>
                <w:tcPr>
                  <w:tcW w:w="880" w:type="pct"/>
                  <w:gridSpan w:val="2"/>
                  <w:tcBorders>
                    <w:tl2br w:val="nil"/>
                    <w:tr2bl w:val="nil"/>
                  </w:tcBorders>
                  <w:vAlign w:val="center"/>
                </w:tcPr>
                <w:p w14:paraId="2685033F">
                  <w:pPr>
                    <w:adjustRightInd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kern w:val="2"/>
                      <w:szCs w:val="21"/>
                      <w:lang w:eastAsia="zh-CN"/>
                    </w:rPr>
                    <w:t>300</w:t>
                  </w:r>
                  <w:r>
                    <w:rPr>
                      <w:rFonts w:eastAsia="宋体" w:cs="Times New Roman"/>
                      <w:color w:val="auto"/>
                      <w:szCs w:val="21"/>
                    </w:rPr>
                    <w:t>mg/m</w:t>
                  </w:r>
                  <w:r>
                    <w:rPr>
                      <w:rFonts w:eastAsia="宋体" w:cs="Times New Roman"/>
                      <w:color w:val="auto"/>
                      <w:szCs w:val="21"/>
                      <w:vertAlign w:val="superscript"/>
                    </w:rPr>
                    <w:t>3</w:t>
                  </w:r>
                </w:p>
              </w:tc>
            </w:tr>
            <w:tr w14:paraId="6EC69A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46" w:type="pct"/>
                  <w:vMerge w:val="continue"/>
                  <w:tcBorders>
                    <w:tl2br w:val="nil"/>
                    <w:tr2bl w:val="nil"/>
                  </w:tcBorders>
                  <w:vAlign w:val="center"/>
                </w:tcPr>
                <w:p w14:paraId="200D931A">
                  <w:pPr>
                    <w:spacing w:line="240" w:lineRule="auto"/>
                    <w:ind w:left="0" w:leftChars="0" w:right="0" w:rightChars="0" w:firstLine="0" w:firstLineChars="0"/>
                    <w:jc w:val="center"/>
                    <w:rPr>
                      <w:rFonts w:eastAsia="宋体" w:cs="Times New Roman"/>
                      <w:color w:val="auto"/>
                      <w:szCs w:val="21"/>
                    </w:rPr>
                  </w:pPr>
                </w:p>
              </w:tc>
              <w:tc>
                <w:tcPr>
                  <w:tcW w:w="515" w:type="pct"/>
                  <w:vMerge w:val="continue"/>
                  <w:tcBorders>
                    <w:tl2br w:val="nil"/>
                    <w:tr2bl w:val="nil"/>
                  </w:tcBorders>
                  <w:vAlign w:val="center"/>
                </w:tcPr>
                <w:p w14:paraId="6B94588B">
                  <w:pPr>
                    <w:spacing w:line="240" w:lineRule="auto"/>
                    <w:ind w:left="0" w:leftChars="0" w:right="0" w:rightChars="0" w:firstLine="0" w:firstLineChars="0"/>
                    <w:jc w:val="center"/>
                    <w:rPr>
                      <w:rFonts w:eastAsia="宋体" w:cs="Times New Roman"/>
                      <w:color w:val="auto"/>
                      <w:szCs w:val="21"/>
                    </w:rPr>
                  </w:pPr>
                </w:p>
              </w:tc>
              <w:tc>
                <w:tcPr>
                  <w:tcW w:w="405" w:type="pct"/>
                  <w:tcBorders>
                    <w:tl2br w:val="nil"/>
                    <w:tr2bl w:val="nil"/>
                  </w:tcBorders>
                  <w:vAlign w:val="center"/>
                </w:tcPr>
                <w:p w14:paraId="79750457">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非</w:t>
                  </w:r>
                </w:p>
                <w:p w14:paraId="509D5F2E">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甲</w:t>
                  </w:r>
                </w:p>
                <w:p w14:paraId="48034680">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烷</w:t>
                  </w:r>
                </w:p>
                <w:p w14:paraId="29D715BC">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r>
                    <w:rPr>
                      <w:rFonts w:eastAsia="宋体" w:cs="Times New Roman"/>
                      <w:color w:val="auto"/>
                      <w:kern w:val="2"/>
                      <w:szCs w:val="21"/>
                      <w:lang w:eastAsia="zh-CN"/>
                    </w:rPr>
                    <w:t>总</w:t>
                  </w:r>
                </w:p>
                <w:p w14:paraId="724F7819">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kern w:val="2"/>
                      <w:szCs w:val="21"/>
                      <w:lang w:eastAsia="zh-CN"/>
                    </w:rPr>
                    <w:t>烃</w:t>
                  </w:r>
                </w:p>
              </w:tc>
              <w:tc>
                <w:tcPr>
                  <w:tcW w:w="983" w:type="pct"/>
                  <w:vMerge w:val="continue"/>
                  <w:tcBorders>
                    <w:tl2br w:val="nil"/>
                    <w:tr2bl w:val="nil"/>
                  </w:tcBorders>
                  <w:vAlign w:val="center"/>
                </w:tcPr>
                <w:p w14:paraId="3B044452">
                  <w:pPr>
                    <w:spacing w:line="240" w:lineRule="auto"/>
                    <w:ind w:left="0" w:leftChars="0" w:right="0" w:rightChars="0" w:firstLine="0" w:firstLineChars="0"/>
                    <w:jc w:val="center"/>
                    <w:rPr>
                      <w:rFonts w:eastAsia="宋体" w:cs="Times New Roman"/>
                      <w:color w:val="auto"/>
                      <w:szCs w:val="21"/>
                      <w:lang w:bidi="ar"/>
                    </w:rPr>
                  </w:pPr>
                </w:p>
              </w:tc>
              <w:tc>
                <w:tcPr>
                  <w:tcW w:w="260" w:type="pct"/>
                  <w:vMerge w:val="continue"/>
                  <w:tcBorders>
                    <w:tl2br w:val="nil"/>
                    <w:tr2bl w:val="nil"/>
                  </w:tcBorders>
                  <w:vAlign w:val="center"/>
                </w:tcPr>
                <w:p w14:paraId="5F33802A">
                  <w:pPr>
                    <w:spacing w:line="240" w:lineRule="auto"/>
                    <w:ind w:left="0" w:leftChars="0" w:right="0" w:rightChars="0" w:firstLine="0" w:firstLineChars="0"/>
                    <w:jc w:val="center"/>
                    <w:rPr>
                      <w:rFonts w:eastAsia="宋体" w:cs="Times New Roman"/>
                      <w:color w:val="auto"/>
                      <w:szCs w:val="21"/>
                      <w:lang w:bidi="ar"/>
                    </w:rPr>
                  </w:pPr>
                </w:p>
              </w:tc>
              <w:tc>
                <w:tcPr>
                  <w:tcW w:w="285" w:type="pct"/>
                  <w:vMerge w:val="continue"/>
                  <w:tcBorders>
                    <w:tl2br w:val="nil"/>
                    <w:tr2bl w:val="nil"/>
                  </w:tcBorders>
                  <w:vAlign w:val="center"/>
                </w:tcPr>
                <w:p w14:paraId="2ADF6FF1">
                  <w:pPr>
                    <w:spacing w:line="240" w:lineRule="auto"/>
                    <w:ind w:left="0" w:leftChars="0" w:right="0" w:rightChars="0" w:firstLine="0" w:firstLineChars="0"/>
                    <w:jc w:val="center"/>
                    <w:rPr>
                      <w:rFonts w:eastAsia="宋体" w:cs="Times New Roman"/>
                      <w:color w:val="auto"/>
                      <w:szCs w:val="21"/>
                      <w:lang w:bidi="ar"/>
                    </w:rPr>
                  </w:pPr>
                </w:p>
              </w:tc>
              <w:tc>
                <w:tcPr>
                  <w:tcW w:w="416" w:type="pct"/>
                  <w:vMerge w:val="continue"/>
                  <w:tcBorders>
                    <w:tl2br w:val="nil"/>
                    <w:tr2bl w:val="nil"/>
                  </w:tcBorders>
                  <w:vAlign w:val="center"/>
                </w:tcPr>
                <w:p w14:paraId="3F7AE0A8">
                  <w:pPr>
                    <w:spacing w:line="240" w:lineRule="auto"/>
                    <w:ind w:left="0" w:leftChars="0" w:right="0" w:rightChars="0" w:firstLine="0" w:firstLineChars="0"/>
                    <w:jc w:val="center"/>
                    <w:rPr>
                      <w:rFonts w:eastAsia="宋体" w:cs="Times New Roman"/>
                      <w:color w:val="auto"/>
                      <w:szCs w:val="21"/>
                      <w:lang w:bidi="ar"/>
                    </w:rPr>
                  </w:pPr>
                </w:p>
              </w:tc>
              <w:tc>
                <w:tcPr>
                  <w:tcW w:w="1005" w:type="pct"/>
                  <w:tcBorders>
                    <w:tl2br w:val="nil"/>
                    <w:tr2bl w:val="nil"/>
                  </w:tcBorders>
                  <w:vAlign w:val="center"/>
                </w:tcPr>
                <w:p w14:paraId="2BC196B7">
                  <w:pPr>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szCs w:val="21"/>
                      <w:lang w:eastAsia="zh-CN" w:bidi="ar"/>
                    </w:rPr>
                    <w:t>《挥发性有机物排放控制标准》（DB61/T1061-2017）中的标准限值</w:t>
                  </w:r>
                </w:p>
              </w:tc>
              <w:tc>
                <w:tcPr>
                  <w:tcW w:w="880" w:type="pct"/>
                  <w:gridSpan w:val="2"/>
                  <w:tcBorders>
                    <w:tl2br w:val="nil"/>
                    <w:tr2bl w:val="nil"/>
                  </w:tcBorders>
                  <w:vAlign w:val="center"/>
                </w:tcPr>
                <w:p w14:paraId="244DCE8D">
                  <w:pPr>
                    <w:adjustRightInd w:val="0"/>
                    <w:snapToGrid w:val="0"/>
                    <w:spacing w:line="240" w:lineRule="auto"/>
                    <w:ind w:left="0" w:leftChars="0" w:right="0" w:rightChars="0" w:firstLine="0" w:firstLineChars="0"/>
                    <w:jc w:val="center"/>
                    <w:rPr>
                      <w:rFonts w:eastAsia="宋体" w:cs="Times New Roman"/>
                      <w:color w:val="auto"/>
                      <w:szCs w:val="21"/>
                      <w:lang w:eastAsia="zh-CN" w:bidi="ar"/>
                    </w:rPr>
                  </w:pPr>
                  <w:r>
                    <w:rPr>
                      <w:rFonts w:eastAsia="宋体" w:cs="Times New Roman"/>
                      <w:color w:val="auto"/>
                      <w:kern w:val="2"/>
                      <w:szCs w:val="21"/>
                      <w:lang w:eastAsia="zh-CN"/>
                    </w:rPr>
                    <w:t>50</w:t>
                  </w:r>
                  <w:r>
                    <w:rPr>
                      <w:rFonts w:eastAsia="宋体" w:cs="Times New Roman"/>
                      <w:color w:val="auto"/>
                      <w:szCs w:val="21"/>
                      <w:lang w:eastAsia="zh-CN"/>
                    </w:rPr>
                    <w:t>mg/m</w:t>
                  </w:r>
                  <w:r>
                    <w:rPr>
                      <w:rFonts w:eastAsia="宋体" w:cs="Times New Roman"/>
                      <w:color w:val="auto"/>
                      <w:szCs w:val="21"/>
                      <w:vertAlign w:val="superscript"/>
                      <w:lang w:eastAsia="zh-CN"/>
                    </w:rPr>
                    <w:t>3</w:t>
                  </w:r>
                </w:p>
              </w:tc>
            </w:tr>
          </w:tbl>
          <w:p w14:paraId="0388BD97">
            <w:pPr>
              <w:adjustRightInd w:val="0"/>
              <w:snapToGrid w:val="0"/>
              <w:ind w:left="420" w:leftChars="200" w:right="0" w:rightChars="0" w:firstLine="0" w:firstLineChars="0"/>
              <w:jc w:val="left"/>
              <w:rPr>
                <w:rFonts w:eastAsia="宋体" w:cs="Times New Roman"/>
                <w:b/>
                <w:bCs/>
                <w:color w:val="auto"/>
                <w:sz w:val="24"/>
                <w:szCs w:val="24"/>
                <w:lang w:eastAsia="zh-CN"/>
              </w:rPr>
            </w:pPr>
            <w:r>
              <w:rPr>
                <w:rFonts w:hint="eastAsia" w:eastAsia="宋体" w:cs="Times New Roman"/>
                <w:b/>
                <w:bCs/>
                <w:color w:val="auto"/>
                <w:sz w:val="24"/>
                <w:szCs w:val="24"/>
                <w:lang w:eastAsia="zh-CN"/>
              </w:rPr>
              <w:t>1.6</w:t>
            </w:r>
            <w:r>
              <w:rPr>
                <w:rFonts w:eastAsia="宋体" w:cs="Times New Roman"/>
                <w:b/>
                <w:bCs/>
                <w:color w:val="auto"/>
                <w:sz w:val="24"/>
                <w:szCs w:val="24"/>
                <w:lang w:eastAsia="zh-CN"/>
              </w:rPr>
              <w:t>废气监测要求</w:t>
            </w:r>
          </w:p>
          <w:p w14:paraId="203AE82C">
            <w:pPr>
              <w:ind w:left="0" w:leftChars="0" w:right="0" w:rightChars="0" w:firstLine="480"/>
              <w:jc w:val="both"/>
              <w:rPr>
                <w:rFonts w:cs="Times New Roman"/>
                <w:color w:val="0000FF"/>
                <w:lang w:eastAsia="zh-CN"/>
              </w:rPr>
            </w:pPr>
            <w:r>
              <w:rPr>
                <w:rFonts w:cs="Times New Roman"/>
                <w:color w:val="0000FF"/>
                <w:sz w:val="24"/>
                <w:lang w:eastAsia="zh-CN"/>
              </w:rPr>
              <w:t>根据本项目运营期的环境污染特点，</w:t>
            </w:r>
            <w:r>
              <w:rPr>
                <w:rFonts w:hint="eastAsia" w:cs="Times New Roman"/>
                <w:color w:val="0000FF"/>
                <w:sz w:val="24"/>
                <w:lang w:eastAsia="zh-CN"/>
              </w:rPr>
              <w:t>参考《</w:t>
            </w:r>
            <w:r>
              <w:rPr>
                <w:rFonts w:hint="eastAsia" w:cs="Times New Roman"/>
                <w:color w:val="0000FF"/>
                <w:sz w:val="24"/>
                <w:lang w:val="en-US" w:eastAsia="zh-CN"/>
              </w:rPr>
              <w:t>排污许可证申请与核发技术规范 家具制造工业</w:t>
            </w:r>
            <w:r>
              <w:rPr>
                <w:rFonts w:hint="eastAsia" w:cs="Times New Roman"/>
                <w:color w:val="0000FF"/>
                <w:sz w:val="24"/>
                <w:lang w:eastAsia="zh-CN"/>
              </w:rPr>
              <w:t>》（</w:t>
            </w:r>
            <w:r>
              <w:rPr>
                <w:rFonts w:hint="eastAsia" w:cs="Times New Roman"/>
                <w:color w:val="0000FF"/>
                <w:sz w:val="24"/>
                <w:lang w:val="en-US" w:eastAsia="zh-CN"/>
              </w:rPr>
              <w:t>HJ 1027-2019</w:t>
            </w:r>
            <w:r>
              <w:rPr>
                <w:rFonts w:hint="eastAsia" w:cs="Times New Roman"/>
                <w:color w:val="0000FF"/>
                <w:sz w:val="24"/>
                <w:lang w:eastAsia="zh-CN"/>
              </w:rPr>
              <w:t>）</w:t>
            </w:r>
            <w:r>
              <w:rPr>
                <w:rFonts w:hint="eastAsia" w:cs="Times New Roman"/>
                <w:color w:val="0000FF"/>
                <w:sz w:val="24"/>
                <w:lang w:val="en-US" w:eastAsia="zh-CN"/>
              </w:rPr>
              <w:t>、</w:t>
            </w:r>
            <w:r>
              <w:rPr>
                <w:rFonts w:cs="Times New Roman"/>
                <w:color w:val="0000FF"/>
                <w:sz w:val="24"/>
                <w:lang w:eastAsia="zh-CN"/>
              </w:rPr>
              <w:t xml:space="preserve">《排污单位自行监测技术指南 </w:t>
            </w:r>
            <w:r>
              <w:rPr>
                <w:rFonts w:hint="eastAsia" w:cs="Times New Roman"/>
                <w:color w:val="0000FF"/>
                <w:sz w:val="24"/>
                <w:lang w:val="en-US" w:eastAsia="zh-CN"/>
              </w:rPr>
              <w:t>涂装</w:t>
            </w:r>
            <w:r>
              <w:rPr>
                <w:rFonts w:cs="Times New Roman"/>
                <w:color w:val="0000FF"/>
                <w:sz w:val="24"/>
                <w:lang w:eastAsia="zh-CN"/>
              </w:rPr>
              <w:t>》（HJ</w:t>
            </w:r>
            <w:r>
              <w:rPr>
                <w:rFonts w:hint="eastAsia" w:cs="Times New Roman"/>
                <w:color w:val="0000FF"/>
                <w:sz w:val="24"/>
                <w:lang w:val="en-US" w:eastAsia="zh-CN"/>
              </w:rPr>
              <w:t xml:space="preserve"> 1086-2020</w:t>
            </w:r>
            <w:r>
              <w:rPr>
                <w:rFonts w:cs="Times New Roman"/>
                <w:color w:val="0000FF"/>
                <w:sz w:val="24"/>
                <w:lang w:eastAsia="zh-CN"/>
              </w:rPr>
              <w:t>）等相关规定，</w:t>
            </w:r>
            <w:r>
              <w:rPr>
                <w:rFonts w:hint="eastAsia" w:cs="Times New Roman"/>
                <w:color w:val="0000FF"/>
                <w:sz w:val="24"/>
                <w:lang w:val="en-US" w:eastAsia="zh-CN"/>
              </w:rPr>
              <w:t>扩建</w:t>
            </w:r>
            <w:r>
              <w:rPr>
                <w:rFonts w:cs="Times New Roman"/>
                <w:color w:val="0000FF"/>
                <w:sz w:val="24"/>
                <w:lang w:eastAsia="zh-CN"/>
              </w:rPr>
              <w:t>项目运营期废气监测计划表见下表。</w:t>
            </w:r>
          </w:p>
          <w:p w14:paraId="3047F061">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w:t>
            </w:r>
            <w:r>
              <w:rPr>
                <w:rFonts w:hint="eastAsia" w:eastAsia="宋体" w:cs="Times New Roman"/>
                <w:b/>
                <w:bCs/>
                <w:color w:val="auto"/>
                <w:szCs w:val="21"/>
                <w:lang w:eastAsia="zh-CN"/>
              </w:rPr>
              <w:t>7</w:t>
            </w:r>
            <w:r>
              <w:rPr>
                <w:rFonts w:eastAsia="宋体" w:cs="Times New Roman"/>
                <w:b/>
                <w:bCs/>
                <w:color w:val="auto"/>
                <w:szCs w:val="21"/>
                <w:lang w:eastAsia="zh-CN"/>
              </w:rPr>
              <w:t xml:space="preserve">    运营期废气监测计划表</w:t>
            </w:r>
          </w:p>
          <w:tbl>
            <w:tblPr>
              <w:tblStyle w:val="26"/>
              <w:tblW w:w="4998" w:type="pct"/>
              <w:tblInd w:w="1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41"/>
              <w:gridCol w:w="1296"/>
              <w:gridCol w:w="1680"/>
              <w:gridCol w:w="1013"/>
              <w:gridCol w:w="943"/>
              <w:gridCol w:w="2444"/>
            </w:tblGrid>
            <w:tr w14:paraId="4DA61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20" w:type="pct"/>
                  <w:tcBorders>
                    <w:tl2br w:val="nil"/>
                    <w:tr2bl w:val="nil"/>
                  </w:tcBorders>
                  <w:vAlign w:val="center"/>
                </w:tcPr>
                <w:p w14:paraId="2DB58B33">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污染源名称</w:t>
                  </w:r>
                </w:p>
              </w:tc>
              <w:tc>
                <w:tcPr>
                  <w:tcW w:w="752" w:type="pct"/>
                  <w:tcBorders>
                    <w:tl2br w:val="nil"/>
                    <w:tr2bl w:val="nil"/>
                  </w:tcBorders>
                  <w:vAlign w:val="center"/>
                </w:tcPr>
                <w:p w14:paraId="6DD3EAB5">
                  <w:pPr>
                    <w:widowControl/>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rPr>
                    <w:t>监测</w:t>
                  </w:r>
                  <w:r>
                    <w:rPr>
                      <w:rFonts w:cs="Times New Roman"/>
                      <w:color w:val="auto"/>
                      <w:szCs w:val="21"/>
                      <w:lang w:eastAsia="zh-CN"/>
                    </w:rPr>
                    <w:t>因子</w:t>
                  </w:r>
                </w:p>
              </w:tc>
              <w:tc>
                <w:tcPr>
                  <w:tcW w:w="975" w:type="pct"/>
                  <w:tcBorders>
                    <w:tl2br w:val="nil"/>
                    <w:tr2bl w:val="nil"/>
                  </w:tcBorders>
                  <w:vAlign w:val="center"/>
                </w:tcPr>
                <w:p w14:paraId="5518DD15">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监测点位置</w:t>
                  </w:r>
                </w:p>
              </w:tc>
              <w:tc>
                <w:tcPr>
                  <w:tcW w:w="588" w:type="pct"/>
                  <w:tcBorders>
                    <w:tl2br w:val="nil"/>
                    <w:tr2bl w:val="nil"/>
                  </w:tcBorders>
                  <w:vAlign w:val="center"/>
                </w:tcPr>
                <w:p w14:paraId="0ECE71D7">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监测点数</w:t>
                  </w:r>
                </w:p>
              </w:tc>
              <w:tc>
                <w:tcPr>
                  <w:tcW w:w="547" w:type="pct"/>
                  <w:tcBorders>
                    <w:tl2br w:val="nil"/>
                    <w:tr2bl w:val="nil"/>
                  </w:tcBorders>
                  <w:vAlign w:val="center"/>
                </w:tcPr>
                <w:p w14:paraId="5F496EF0">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监测频次</w:t>
                  </w:r>
                </w:p>
              </w:tc>
              <w:tc>
                <w:tcPr>
                  <w:tcW w:w="1415" w:type="pct"/>
                  <w:tcBorders>
                    <w:tl2br w:val="nil"/>
                    <w:tr2bl w:val="nil"/>
                  </w:tcBorders>
                  <w:vAlign w:val="center"/>
                </w:tcPr>
                <w:p w14:paraId="29D647DC">
                  <w:pPr>
                    <w:widowControl/>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执行标准</w:t>
                  </w:r>
                </w:p>
              </w:tc>
            </w:tr>
            <w:tr w14:paraId="2BC3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65" w:hRule="atLeast"/>
              </w:trPr>
              <w:tc>
                <w:tcPr>
                  <w:tcW w:w="720" w:type="pct"/>
                  <w:vMerge w:val="restart"/>
                  <w:tcBorders>
                    <w:tl2br w:val="nil"/>
                    <w:tr2bl w:val="nil"/>
                  </w:tcBorders>
                  <w:vAlign w:val="center"/>
                </w:tcPr>
                <w:p w14:paraId="43195606">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有组织废气</w:t>
                  </w:r>
                </w:p>
              </w:tc>
              <w:tc>
                <w:tcPr>
                  <w:tcW w:w="752" w:type="pct"/>
                  <w:tcBorders>
                    <w:tl2br w:val="nil"/>
                    <w:tr2bl w:val="nil"/>
                  </w:tcBorders>
                  <w:vAlign w:val="center"/>
                </w:tcPr>
                <w:p w14:paraId="775ADCB5">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颗粒物</w:t>
                  </w:r>
                </w:p>
              </w:tc>
              <w:tc>
                <w:tcPr>
                  <w:tcW w:w="975" w:type="pct"/>
                  <w:tcBorders>
                    <w:tl2br w:val="nil"/>
                    <w:tr2bl w:val="nil"/>
                  </w:tcBorders>
                  <w:vAlign w:val="center"/>
                </w:tcPr>
                <w:p w14:paraId="292DEFE7">
                  <w:pPr>
                    <w:widowControl/>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DA001</w:t>
                  </w:r>
                </w:p>
                <w:p w14:paraId="168AB958">
                  <w:pPr>
                    <w:widowControl/>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DA002</w:t>
                  </w:r>
                </w:p>
              </w:tc>
              <w:tc>
                <w:tcPr>
                  <w:tcW w:w="588" w:type="pct"/>
                  <w:tcBorders>
                    <w:tl2br w:val="nil"/>
                    <w:tr2bl w:val="nil"/>
                  </w:tcBorders>
                  <w:vAlign w:val="center"/>
                </w:tcPr>
                <w:p w14:paraId="074B906F">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1个</w:t>
                  </w:r>
                </w:p>
              </w:tc>
              <w:tc>
                <w:tcPr>
                  <w:tcW w:w="547" w:type="pct"/>
                  <w:vMerge w:val="restart"/>
                  <w:tcBorders>
                    <w:tl2br w:val="nil"/>
                    <w:tr2bl w:val="nil"/>
                  </w:tcBorders>
                  <w:vAlign w:val="center"/>
                </w:tcPr>
                <w:p w14:paraId="6C265EE9">
                  <w:pPr>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年</w:t>
                  </w:r>
                </w:p>
              </w:tc>
              <w:tc>
                <w:tcPr>
                  <w:tcW w:w="1415" w:type="pct"/>
                  <w:tcBorders>
                    <w:tl2br w:val="nil"/>
                    <w:tr2bl w:val="nil"/>
                  </w:tcBorders>
                  <w:vAlign w:val="center"/>
                </w:tcPr>
                <w:p w14:paraId="57E50A03">
                  <w:pPr>
                    <w:adjustRightInd w:val="0"/>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szCs w:val="21"/>
                      <w:lang w:eastAsia="zh-CN"/>
                    </w:rPr>
                    <w:t>《大气污染物综合排放标准》（GB16297-1996）表2标准</w:t>
                  </w:r>
                </w:p>
              </w:tc>
            </w:tr>
            <w:tr w14:paraId="71DBD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720" w:type="pct"/>
                  <w:vMerge w:val="continue"/>
                  <w:tcBorders>
                    <w:tl2br w:val="nil"/>
                    <w:tr2bl w:val="nil"/>
                  </w:tcBorders>
                  <w:vAlign w:val="center"/>
                </w:tcPr>
                <w:p w14:paraId="5260AC75">
                  <w:pPr>
                    <w:widowControl/>
                    <w:adjustRightInd w:val="0"/>
                    <w:snapToGrid w:val="0"/>
                    <w:spacing w:line="240" w:lineRule="auto"/>
                    <w:ind w:left="0" w:leftChars="0" w:right="0" w:rightChars="0" w:firstLine="0" w:firstLineChars="0"/>
                    <w:jc w:val="center"/>
                    <w:rPr>
                      <w:rFonts w:cs="Times New Roman"/>
                      <w:color w:val="auto"/>
                      <w:szCs w:val="21"/>
                      <w:lang w:eastAsia="zh-CN"/>
                    </w:rPr>
                  </w:pPr>
                </w:p>
              </w:tc>
              <w:tc>
                <w:tcPr>
                  <w:tcW w:w="752" w:type="pct"/>
                  <w:tcBorders>
                    <w:tl2br w:val="nil"/>
                    <w:tr2bl w:val="nil"/>
                  </w:tcBorders>
                  <w:vAlign w:val="center"/>
                </w:tcPr>
                <w:p w14:paraId="4DCD3438">
                  <w:pPr>
                    <w:adjustRightInd w:val="0"/>
                    <w:snapToGrid w:val="0"/>
                    <w:spacing w:line="240" w:lineRule="auto"/>
                    <w:ind w:left="0" w:leftChars="0" w:right="0" w:rightChars="0" w:firstLine="0" w:firstLineChars="0"/>
                    <w:jc w:val="center"/>
                    <w:rPr>
                      <w:rFonts w:cs="Times New Roman"/>
                      <w:color w:val="auto"/>
                      <w:szCs w:val="21"/>
                    </w:rPr>
                  </w:pPr>
                  <w:r>
                    <w:rPr>
                      <w:rFonts w:eastAsia="宋体" w:cs="Times New Roman"/>
                      <w:color w:val="auto"/>
                      <w:szCs w:val="21"/>
                      <w:lang w:eastAsia="zh-CN"/>
                    </w:rPr>
                    <w:t>颗粒物</w:t>
                  </w:r>
                </w:p>
              </w:tc>
              <w:tc>
                <w:tcPr>
                  <w:tcW w:w="975" w:type="pct"/>
                  <w:vMerge w:val="restart"/>
                  <w:tcBorders>
                    <w:tl2br w:val="nil"/>
                    <w:tr2bl w:val="nil"/>
                  </w:tcBorders>
                  <w:vAlign w:val="center"/>
                </w:tcPr>
                <w:p w14:paraId="52926D58">
                  <w:pPr>
                    <w:widowControl/>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DA00</w:t>
                  </w:r>
                  <w:r>
                    <w:rPr>
                      <w:rFonts w:hint="eastAsia" w:eastAsia="宋体" w:cs="Times New Roman"/>
                      <w:color w:val="auto"/>
                      <w:szCs w:val="21"/>
                      <w:lang w:eastAsia="zh-CN"/>
                    </w:rPr>
                    <w:t>3</w:t>
                  </w:r>
                </w:p>
              </w:tc>
              <w:tc>
                <w:tcPr>
                  <w:tcW w:w="588" w:type="pct"/>
                  <w:vMerge w:val="restart"/>
                  <w:tcBorders>
                    <w:tl2br w:val="nil"/>
                    <w:tr2bl w:val="nil"/>
                  </w:tcBorders>
                  <w:vAlign w:val="center"/>
                </w:tcPr>
                <w:p w14:paraId="2FB4E087">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1个</w:t>
                  </w:r>
                </w:p>
              </w:tc>
              <w:tc>
                <w:tcPr>
                  <w:tcW w:w="547" w:type="pct"/>
                  <w:vMerge w:val="continue"/>
                  <w:tcBorders>
                    <w:tl2br w:val="nil"/>
                    <w:tr2bl w:val="nil"/>
                  </w:tcBorders>
                  <w:vAlign w:val="center"/>
                </w:tcPr>
                <w:p w14:paraId="2BAF4D48">
                  <w:pPr>
                    <w:adjustRightInd w:val="0"/>
                    <w:snapToGrid w:val="0"/>
                    <w:spacing w:line="240" w:lineRule="auto"/>
                    <w:ind w:left="0" w:leftChars="0" w:right="0" w:rightChars="0" w:firstLine="0" w:firstLineChars="0"/>
                    <w:jc w:val="center"/>
                    <w:rPr>
                      <w:rFonts w:cs="Times New Roman"/>
                      <w:color w:val="auto"/>
                      <w:szCs w:val="21"/>
                      <w:lang w:eastAsia="zh-CN"/>
                    </w:rPr>
                  </w:pPr>
                </w:p>
              </w:tc>
              <w:tc>
                <w:tcPr>
                  <w:tcW w:w="1415" w:type="pct"/>
                  <w:vMerge w:val="restart"/>
                  <w:tcBorders>
                    <w:tl2br w:val="nil"/>
                    <w:tr2bl w:val="nil"/>
                  </w:tcBorders>
                  <w:vAlign w:val="center"/>
                </w:tcPr>
                <w:p w14:paraId="32ECE517">
                  <w:pPr>
                    <w:adjustRightInd w:val="0"/>
                    <w:snapToGrid w:val="0"/>
                    <w:spacing w:line="240" w:lineRule="auto"/>
                    <w:ind w:left="0" w:leftChars="0" w:right="0" w:rightChars="0" w:firstLine="0" w:firstLineChars="0"/>
                    <w:jc w:val="center"/>
                    <w:rPr>
                      <w:rFonts w:cs="Times New Roman"/>
                      <w:color w:val="auto"/>
                      <w:szCs w:val="21"/>
                      <w:lang w:eastAsia="zh-CN"/>
                    </w:rPr>
                  </w:pPr>
                  <w:r>
                    <w:rPr>
                      <w:rFonts w:eastAsia="宋体" w:cs="Times New Roman"/>
                      <w:color w:val="auto"/>
                      <w:szCs w:val="21"/>
                      <w:lang w:eastAsia="zh-CN" w:bidi="ar"/>
                    </w:rPr>
                    <w:t>《工业炉窑大气污染综合治理方案》（环大气[2019]56号）重点地区标准限值</w:t>
                  </w:r>
                </w:p>
              </w:tc>
            </w:tr>
            <w:tr w14:paraId="0D2D29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720" w:type="pct"/>
                  <w:vMerge w:val="continue"/>
                  <w:tcBorders>
                    <w:tl2br w:val="nil"/>
                    <w:tr2bl w:val="nil"/>
                  </w:tcBorders>
                  <w:vAlign w:val="center"/>
                </w:tcPr>
                <w:p w14:paraId="15A12208">
                  <w:pPr>
                    <w:adjustRightInd w:val="0"/>
                    <w:snapToGrid w:val="0"/>
                    <w:spacing w:line="240" w:lineRule="auto"/>
                    <w:ind w:left="0" w:leftChars="0" w:right="0" w:rightChars="0" w:firstLine="0" w:firstLineChars="0"/>
                    <w:jc w:val="center"/>
                    <w:rPr>
                      <w:color w:val="auto"/>
                      <w:lang w:eastAsia="zh-CN"/>
                    </w:rPr>
                  </w:pPr>
                </w:p>
              </w:tc>
              <w:tc>
                <w:tcPr>
                  <w:tcW w:w="752" w:type="pct"/>
                  <w:tcBorders>
                    <w:tl2br w:val="nil"/>
                    <w:tr2bl w:val="nil"/>
                  </w:tcBorders>
                  <w:vAlign w:val="center"/>
                </w:tcPr>
                <w:p w14:paraId="77102812">
                  <w:pPr>
                    <w:pStyle w:val="56"/>
                    <w:keepNext w:val="0"/>
                    <w:widowControl w:val="0"/>
                    <w:adjustRightInd/>
                    <w:snapToGrid/>
                    <w:spacing w:line="240" w:lineRule="auto"/>
                    <w:ind w:leftChars="0" w:right="0" w:rightChars="0"/>
                    <w:rPr>
                      <w:rFonts w:cs="Times New Roman"/>
                      <w:color w:val="auto"/>
                      <w:szCs w:val="21"/>
                    </w:rPr>
                  </w:pPr>
                  <w:r>
                    <w:rPr>
                      <w:rFonts w:eastAsia="宋体" w:cs="Times New Roman"/>
                      <w:color w:val="auto"/>
                      <w:szCs w:val="21"/>
                      <w:lang w:eastAsia="zh-CN" w:bidi="ar"/>
                    </w:rPr>
                    <w:t>SO</w:t>
                  </w:r>
                  <w:r>
                    <w:rPr>
                      <w:rFonts w:eastAsia="宋体" w:cs="Times New Roman"/>
                      <w:color w:val="auto"/>
                      <w:szCs w:val="21"/>
                      <w:vertAlign w:val="subscript"/>
                      <w:lang w:eastAsia="zh-CN" w:bidi="ar"/>
                    </w:rPr>
                    <w:t>2</w:t>
                  </w:r>
                </w:p>
              </w:tc>
              <w:tc>
                <w:tcPr>
                  <w:tcW w:w="975" w:type="pct"/>
                  <w:vMerge w:val="continue"/>
                  <w:tcBorders>
                    <w:tl2br w:val="nil"/>
                    <w:tr2bl w:val="nil"/>
                  </w:tcBorders>
                  <w:vAlign w:val="center"/>
                </w:tcPr>
                <w:p w14:paraId="706D9D72">
                  <w:pPr>
                    <w:adjustRightInd w:val="0"/>
                    <w:snapToGrid w:val="0"/>
                    <w:spacing w:line="240" w:lineRule="auto"/>
                    <w:ind w:left="0" w:leftChars="0" w:right="0" w:rightChars="0" w:firstLine="0" w:firstLineChars="0"/>
                    <w:jc w:val="center"/>
                    <w:rPr>
                      <w:rFonts w:cs="Times New Roman"/>
                      <w:color w:val="auto"/>
                      <w:szCs w:val="21"/>
                    </w:rPr>
                  </w:pPr>
                </w:p>
              </w:tc>
              <w:tc>
                <w:tcPr>
                  <w:tcW w:w="588" w:type="pct"/>
                  <w:vMerge w:val="continue"/>
                  <w:tcBorders>
                    <w:tl2br w:val="nil"/>
                    <w:tr2bl w:val="nil"/>
                  </w:tcBorders>
                  <w:vAlign w:val="center"/>
                </w:tcPr>
                <w:p w14:paraId="267D2BFB">
                  <w:pPr>
                    <w:adjustRightInd w:val="0"/>
                    <w:snapToGrid w:val="0"/>
                    <w:spacing w:line="240" w:lineRule="auto"/>
                    <w:ind w:left="0" w:leftChars="0" w:right="0" w:rightChars="0" w:firstLine="0" w:firstLineChars="0"/>
                    <w:jc w:val="center"/>
                    <w:rPr>
                      <w:rFonts w:cs="Times New Roman"/>
                      <w:color w:val="auto"/>
                      <w:szCs w:val="21"/>
                    </w:rPr>
                  </w:pPr>
                </w:p>
              </w:tc>
              <w:tc>
                <w:tcPr>
                  <w:tcW w:w="547" w:type="pct"/>
                  <w:vMerge w:val="continue"/>
                  <w:tcBorders>
                    <w:tl2br w:val="nil"/>
                    <w:tr2bl w:val="nil"/>
                  </w:tcBorders>
                  <w:vAlign w:val="center"/>
                </w:tcPr>
                <w:p w14:paraId="61CF6D9B">
                  <w:pPr>
                    <w:adjustRightInd w:val="0"/>
                    <w:snapToGrid w:val="0"/>
                    <w:spacing w:line="240" w:lineRule="auto"/>
                    <w:ind w:left="0" w:leftChars="0" w:right="0" w:rightChars="0" w:firstLine="0" w:firstLineChars="0"/>
                    <w:jc w:val="center"/>
                    <w:rPr>
                      <w:rFonts w:cs="Times New Roman"/>
                      <w:color w:val="auto"/>
                      <w:szCs w:val="21"/>
                    </w:rPr>
                  </w:pPr>
                </w:p>
              </w:tc>
              <w:tc>
                <w:tcPr>
                  <w:tcW w:w="1415" w:type="pct"/>
                  <w:vMerge w:val="continue"/>
                  <w:tcBorders>
                    <w:tl2br w:val="nil"/>
                    <w:tr2bl w:val="nil"/>
                  </w:tcBorders>
                  <w:vAlign w:val="center"/>
                </w:tcPr>
                <w:p w14:paraId="445BA220">
                  <w:pPr>
                    <w:adjustRightInd w:val="0"/>
                    <w:snapToGrid w:val="0"/>
                    <w:spacing w:line="240" w:lineRule="auto"/>
                    <w:ind w:left="0" w:leftChars="0" w:right="0" w:rightChars="0" w:firstLine="0" w:firstLineChars="0"/>
                    <w:jc w:val="center"/>
                    <w:rPr>
                      <w:rFonts w:cs="Times New Roman"/>
                      <w:color w:val="auto"/>
                      <w:szCs w:val="21"/>
                    </w:rPr>
                  </w:pPr>
                </w:p>
              </w:tc>
            </w:tr>
            <w:tr w14:paraId="17341D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720" w:type="pct"/>
                  <w:vMerge w:val="continue"/>
                  <w:tcBorders>
                    <w:tl2br w:val="nil"/>
                    <w:tr2bl w:val="nil"/>
                  </w:tcBorders>
                  <w:vAlign w:val="center"/>
                </w:tcPr>
                <w:p w14:paraId="2D6300FE">
                  <w:pPr>
                    <w:adjustRightInd w:val="0"/>
                    <w:snapToGrid w:val="0"/>
                    <w:spacing w:line="240" w:lineRule="auto"/>
                    <w:ind w:left="0" w:leftChars="0" w:right="0" w:rightChars="0" w:firstLine="0" w:firstLineChars="0"/>
                    <w:jc w:val="center"/>
                    <w:rPr>
                      <w:rFonts w:cs="Times New Roman"/>
                      <w:color w:val="auto"/>
                      <w:szCs w:val="21"/>
                    </w:rPr>
                  </w:pPr>
                </w:p>
              </w:tc>
              <w:tc>
                <w:tcPr>
                  <w:tcW w:w="752" w:type="pct"/>
                  <w:tcBorders>
                    <w:tl2br w:val="nil"/>
                    <w:tr2bl w:val="nil"/>
                  </w:tcBorders>
                  <w:vAlign w:val="center"/>
                </w:tcPr>
                <w:p w14:paraId="3587EE53">
                  <w:pPr>
                    <w:pStyle w:val="56"/>
                    <w:keepNext w:val="0"/>
                    <w:widowControl w:val="0"/>
                    <w:adjustRightInd/>
                    <w:snapToGrid/>
                    <w:spacing w:line="240" w:lineRule="auto"/>
                    <w:ind w:leftChars="0" w:right="0" w:rightChars="0"/>
                    <w:rPr>
                      <w:rFonts w:cs="Times New Roman"/>
                      <w:color w:val="auto"/>
                      <w:szCs w:val="21"/>
                    </w:rPr>
                  </w:pPr>
                  <w:r>
                    <w:rPr>
                      <w:rFonts w:eastAsia="宋体" w:cs="Times New Roman"/>
                      <w:color w:val="auto"/>
                      <w:szCs w:val="21"/>
                      <w:lang w:eastAsia="zh-CN" w:bidi="ar"/>
                    </w:rPr>
                    <w:t>NO</w:t>
                  </w:r>
                  <w:r>
                    <w:rPr>
                      <w:rFonts w:eastAsia="宋体" w:cs="Times New Roman"/>
                      <w:color w:val="auto"/>
                      <w:szCs w:val="21"/>
                      <w:vertAlign w:val="subscript"/>
                      <w:lang w:eastAsia="zh-CN" w:bidi="ar"/>
                    </w:rPr>
                    <w:t>X</w:t>
                  </w:r>
                </w:p>
              </w:tc>
              <w:tc>
                <w:tcPr>
                  <w:tcW w:w="975" w:type="pct"/>
                  <w:vMerge w:val="continue"/>
                  <w:tcBorders>
                    <w:tl2br w:val="nil"/>
                    <w:tr2bl w:val="nil"/>
                  </w:tcBorders>
                  <w:vAlign w:val="center"/>
                </w:tcPr>
                <w:p w14:paraId="1F26E612">
                  <w:pPr>
                    <w:adjustRightInd w:val="0"/>
                    <w:snapToGrid w:val="0"/>
                    <w:spacing w:line="240" w:lineRule="auto"/>
                    <w:ind w:left="0" w:leftChars="0" w:right="0" w:rightChars="0" w:firstLine="0" w:firstLineChars="0"/>
                    <w:jc w:val="center"/>
                    <w:rPr>
                      <w:rFonts w:cs="Times New Roman"/>
                      <w:color w:val="auto"/>
                      <w:szCs w:val="21"/>
                    </w:rPr>
                  </w:pPr>
                </w:p>
              </w:tc>
              <w:tc>
                <w:tcPr>
                  <w:tcW w:w="588" w:type="pct"/>
                  <w:vMerge w:val="continue"/>
                  <w:tcBorders>
                    <w:tl2br w:val="nil"/>
                    <w:tr2bl w:val="nil"/>
                  </w:tcBorders>
                  <w:vAlign w:val="center"/>
                </w:tcPr>
                <w:p w14:paraId="0264070C">
                  <w:pPr>
                    <w:adjustRightInd w:val="0"/>
                    <w:snapToGrid w:val="0"/>
                    <w:spacing w:line="240" w:lineRule="auto"/>
                    <w:ind w:left="0" w:leftChars="0" w:right="0" w:rightChars="0" w:firstLine="0" w:firstLineChars="0"/>
                    <w:jc w:val="center"/>
                    <w:rPr>
                      <w:rFonts w:cs="Times New Roman"/>
                      <w:color w:val="auto"/>
                      <w:szCs w:val="21"/>
                    </w:rPr>
                  </w:pPr>
                </w:p>
              </w:tc>
              <w:tc>
                <w:tcPr>
                  <w:tcW w:w="547" w:type="pct"/>
                  <w:vMerge w:val="continue"/>
                  <w:tcBorders>
                    <w:tl2br w:val="nil"/>
                    <w:tr2bl w:val="nil"/>
                  </w:tcBorders>
                  <w:vAlign w:val="center"/>
                </w:tcPr>
                <w:p w14:paraId="6B0D6666">
                  <w:pPr>
                    <w:adjustRightInd w:val="0"/>
                    <w:snapToGrid w:val="0"/>
                    <w:spacing w:line="240" w:lineRule="auto"/>
                    <w:ind w:left="0" w:leftChars="0" w:right="0" w:rightChars="0" w:firstLine="0" w:firstLineChars="0"/>
                    <w:jc w:val="center"/>
                    <w:rPr>
                      <w:rFonts w:cs="Times New Roman"/>
                      <w:color w:val="auto"/>
                      <w:szCs w:val="21"/>
                    </w:rPr>
                  </w:pPr>
                </w:p>
              </w:tc>
              <w:tc>
                <w:tcPr>
                  <w:tcW w:w="1415" w:type="pct"/>
                  <w:vMerge w:val="continue"/>
                  <w:tcBorders>
                    <w:tl2br w:val="nil"/>
                    <w:tr2bl w:val="nil"/>
                  </w:tcBorders>
                  <w:vAlign w:val="center"/>
                </w:tcPr>
                <w:p w14:paraId="43809F0C">
                  <w:pPr>
                    <w:adjustRightInd w:val="0"/>
                    <w:snapToGrid w:val="0"/>
                    <w:spacing w:line="240" w:lineRule="auto"/>
                    <w:ind w:left="0" w:leftChars="0" w:right="0" w:rightChars="0" w:firstLine="0" w:firstLineChars="0"/>
                    <w:jc w:val="center"/>
                    <w:rPr>
                      <w:rFonts w:cs="Times New Roman"/>
                      <w:color w:val="auto"/>
                      <w:szCs w:val="21"/>
                    </w:rPr>
                  </w:pPr>
                </w:p>
              </w:tc>
            </w:tr>
            <w:tr w14:paraId="744006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65" w:hRule="atLeast"/>
              </w:trPr>
              <w:tc>
                <w:tcPr>
                  <w:tcW w:w="720" w:type="pct"/>
                  <w:vMerge w:val="continue"/>
                  <w:tcBorders>
                    <w:tl2br w:val="nil"/>
                    <w:tr2bl w:val="nil"/>
                  </w:tcBorders>
                  <w:vAlign w:val="center"/>
                </w:tcPr>
                <w:p w14:paraId="163BC677">
                  <w:pPr>
                    <w:widowControl/>
                    <w:adjustRightInd w:val="0"/>
                    <w:snapToGrid w:val="0"/>
                    <w:spacing w:line="240" w:lineRule="auto"/>
                    <w:ind w:left="0" w:leftChars="0" w:right="0" w:rightChars="0" w:firstLine="0" w:firstLineChars="0"/>
                    <w:jc w:val="center"/>
                    <w:rPr>
                      <w:rFonts w:cs="Times New Roman"/>
                      <w:color w:val="auto"/>
                      <w:szCs w:val="21"/>
                    </w:rPr>
                  </w:pPr>
                </w:p>
              </w:tc>
              <w:tc>
                <w:tcPr>
                  <w:tcW w:w="752" w:type="pct"/>
                  <w:tcBorders>
                    <w:tl2br w:val="nil"/>
                    <w:tr2bl w:val="nil"/>
                  </w:tcBorders>
                  <w:vAlign w:val="center"/>
                </w:tcPr>
                <w:p w14:paraId="62556214">
                  <w:pPr>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rPr>
                    <w:t>非甲烷总烃</w:t>
                  </w:r>
                </w:p>
              </w:tc>
              <w:tc>
                <w:tcPr>
                  <w:tcW w:w="975" w:type="pct"/>
                  <w:vMerge w:val="continue"/>
                  <w:tcBorders>
                    <w:tl2br w:val="nil"/>
                    <w:tr2bl w:val="nil"/>
                  </w:tcBorders>
                  <w:vAlign w:val="center"/>
                </w:tcPr>
                <w:p w14:paraId="1264FD27">
                  <w:pPr>
                    <w:widowControl/>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588" w:type="pct"/>
                  <w:tcBorders>
                    <w:tl2br w:val="nil"/>
                    <w:tr2bl w:val="nil"/>
                  </w:tcBorders>
                  <w:vAlign w:val="center"/>
                </w:tcPr>
                <w:p w14:paraId="07F74293">
                  <w:pPr>
                    <w:widowControl/>
                    <w:adjustRightInd w:val="0"/>
                    <w:snapToGrid w:val="0"/>
                    <w:spacing w:line="240" w:lineRule="auto"/>
                    <w:ind w:left="0" w:leftChars="0" w:right="0" w:rightChars="0" w:firstLine="0" w:firstLineChars="0"/>
                    <w:jc w:val="center"/>
                    <w:rPr>
                      <w:rFonts w:hint="default" w:cs="Times New Roman" w:eastAsiaTheme="minorEastAsia"/>
                      <w:color w:val="auto"/>
                      <w:szCs w:val="21"/>
                      <w:lang w:val="en-US" w:eastAsia="zh-CN"/>
                    </w:rPr>
                  </w:pPr>
                  <w:r>
                    <w:rPr>
                      <w:rFonts w:hint="eastAsia" w:cs="Times New Roman"/>
                      <w:color w:val="auto"/>
                      <w:szCs w:val="21"/>
                      <w:lang w:val="en-US" w:eastAsia="zh-CN"/>
                    </w:rPr>
                    <w:t>2个，治理措施前后分别设1个监测点</w:t>
                  </w:r>
                </w:p>
              </w:tc>
              <w:tc>
                <w:tcPr>
                  <w:tcW w:w="547" w:type="pct"/>
                  <w:vMerge w:val="continue"/>
                  <w:tcBorders>
                    <w:tl2br w:val="nil"/>
                    <w:tr2bl w:val="nil"/>
                  </w:tcBorders>
                  <w:vAlign w:val="center"/>
                </w:tcPr>
                <w:p w14:paraId="67FEFF9E">
                  <w:pPr>
                    <w:adjustRightInd w:val="0"/>
                    <w:snapToGrid w:val="0"/>
                    <w:spacing w:line="240" w:lineRule="auto"/>
                    <w:ind w:left="0" w:leftChars="0" w:right="0" w:rightChars="0" w:firstLine="0" w:firstLineChars="0"/>
                    <w:jc w:val="center"/>
                    <w:rPr>
                      <w:rFonts w:cs="Times New Roman"/>
                      <w:color w:val="auto"/>
                      <w:szCs w:val="21"/>
                      <w:lang w:eastAsia="zh-CN"/>
                    </w:rPr>
                  </w:pPr>
                </w:p>
              </w:tc>
              <w:tc>
                <w:tcPr>
                  <w:tcW w:w="1415" w:type="pct"/>
                  <w:tcBorders>
                    <w:tl2br w:val="nil"/>
                    <w:tr2bl w:val="nil"/>
                  </w:tcBorders>
                  <w:vAlign w:val="center"/>
                </w:tcPr>
                <w:p w14:paraId="0481C8DF">
                  <w:pPr>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《挥发性有机物排放控制标准》（DB61/T1061-2017</w:t>
                  </w:r>
                </w:p>
              </w:tc>
            </w:tr>
            <w:tr w14:paraId="6EBFA4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720" w:type="pct"/>
                  <w:vMerge w:val="restart"/>
                  <w:tcBorders>
                    <w:tl2br w:val="nil"/>
                    <w:tr2bl w:val="nil"/>
                  </w:tcBorders>
                  <w:vAlign w:val="center"/>
                </w:tcPr>
                <w:p w14:paraId="39F3F0D1">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无组织废气</w:t>
                  </w:r>
                </w:p>
              </w:tc>
              <w:tc>
                <w:tcPr>
                  <w:tcW w:w="752" w:type="pct"/>
                  <w:vMerge w:val="restart"/>
                  <w:tcBorders>
                    <w:tl2br w:val="nil"/>
                    <w:tr2bl w:val="nil"/>
                  </w:tcBorders>
                  <w:vAlign w:val="center"/>
                </w:tcPr>
                <w:p w14:paraId="5F1E786A">
                  <w:pPr>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颗粒物</w:t>
                  </w:r>
                </w:p>
                <w:p w14:paraId="3BF25CF2">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cs="Times New Roman"/>
                      <w:color w:val="auto"/>
                      <w:szCs w:val="21"/>
                    </w:rPr>
                    <w:t>非甲烷总烃</w:t>
                  </w:r>
                </w:p>
              </w:tc>
              <w:tc>
                <w:tcPr>
                  <w:tcW w:w="975" w:type="pct"/>
                  <w:tcBorders>
                    <w:tl2br w:val="nil"/>
                    <w:tr2bl w:val="nil"/>
                  </w:tcBorders>
                  <w:vAlign w:val="center"/>
                </w:tcPr>
                <w:p w14:paraId="6C69B0B3">
                  <w:pPr>
                    <w:widowControl/>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厂界外</w:t>
                  </w:r>
                </w:p>
                <w:p w14:paraId="33A4894B">
                  <w:pPr>
                    <w:widowControl/>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上风向1个</w:t>
                  </w:r>
                </w:p>
                <w:p w14:paraId="0DF9CC57">
                  <w:pPr>
                    <w:widowControl/>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下风向3个</w:t>
                  </w:r>
                </w:p>
              </w:tc>
              <w:tc>
                <w:tcPr>
                  <w:tcW w:w="588" w:type="pct"/>
                  <w:tcBorders>
                    <w:tl2br w:val="nil"/>
                    <w:tr2bl w:val="nil"/>
                  </w:tcBorders>
                  <w:vAlign w:val="center"/>
                </w:tcPr>
                <w:p w14:paraId="12FC32DB">
                  <w:pPr>
                    <w:widowControl/>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4个</w:t>
                  </w:r>
                </w:p>
              </w:tc>
              <w:tc>
                <w:tcPr>
                  <w:tcW w:w="547" w:type="pct"/>
                  <w:vMerge w:val="continue"/>
                  <w:tcBorders>
                    <w:tl2br w:val="nil"/>
                    <w:tr2bl w:val="nil"/>
                  </w:tcBorders>
                  <w:vAlign w:val="center"/>
                </w:tcPr>
                <w:p w14:paraId="361286E8">
                  <w:pPr>
                    <w:adjustRightInd w:val="0"/>
                    <w:snapToGrid w:val="0"/>
                    <w:spacing w:line="240" w:lineRule="auto"/>
                    <w:ind w:left="0" w:leftChars="0" w:right="0" w:rightChars="0" w:firstLine="0" w:firstLineChars="0"/>
                    <w:jc w:val="center"/>
                    <w:rPr>
                      <w:rFonts w:cs="Times New Roman"/>
                      <w:color w:val="auto"/>
                      <w:szCs w:val="21"/>
                      <w:lang w:eastAsia="zh-CN"/>
                    </w:rPr>
                  </w:pPr>
                </w:p>
              </w:tc>
              <w:tc>
                <w:tcPr>
                  <w:tcW w:w="1415" w:type="pct"/>
                  <w:vMerge w:val="restart"/>
                  <w:tcBorders>
                    <w:tl2br w:val="nil"/>
                    <w:tr2bl w:val="nil"/>
                  </w:tcBorders>
                  <w:vAlign w:val="center"/>
                </w:tcPr>
                <w:p w14:paraId="3400B45A">
                  <w:pPr>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《挥发性有机物排放控制标准》（DB61/T1061-2017）、《大气污染物综合排放标准》（GB16297-1996）</w:t>
                  </w:r>
                </w:p>
              </w:tc>
            </w:tr>
            <w:tr w14:paraId="229C0D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720" w:type="pct"/>
                  <w:vMerge w:val="continue"/>
                  <w:tcBorders>
                    <w:tl2br w:val="nil"/>
                    <w:tr2bl w:val="nil"/>
                  </w:tcBorders>
                  <w:vAlign w:val="center"/>
                </w:tcPr>
                <w:p w14:paraId="198DC4A5">
                  <w:pPr>
                    <w:widowControl/>
                    <w:adjustRightInd w:val="0"/>
                    <w:snapToGrid w:val="0"/>
                    <w:spacing w:line="240" w:lineRule="auto"/>
                    <w:ind w:left="0" w:leftChars="0" w:right="0" w:rightChars="0" w:firstLine="0" w:firstLineChars="0"/>
                    <w:jc w:val="center"/>
                    <w:rPr>
                      <w:color w:val="auto"/>
                      <w:lang w:eastAsia="zh-CN"/>
                    </w:rPr>
                  </w:pPr>
                </w:p>
              </w:tc>
              <w:tc>
                <w:tcPr>
                  <w:tcW w:w="752" w:type="pct"/>
                  <w:vMerge w:val="continue"/>
                  <w:tcBorders>
                    <w:tl2br w:val="nil"/>
                    <w:tr2bl w:val="nil"/>
                  </w:tcBorders>
                  <w:vAlign w:val="center"/>
                </w:tcPr>
                <w:p w14:paraId="7677C2B1">
                  <w:pPr>
                    <w:widowControl/>
                    <w:adjustRightInd w:val="0"/>
                    <w:snapToGrid w:val="0"/>
                    <w:spacing w:line="240" w:lineRule="auto"/>
                    <w:ind w:left="0" w:leftChars="0" w:right="0" w:rightChars="0" w:firstLine="0" w:firstLineChars="0"/>
                    <w:jc w:val="center"/>
                    <w:rPr>
                      <w:color w:val="auto"/>
                      <w:lang w:eastAsia="zh-CN"/>
                    </w:rPr>
                  </w:pPr>
                </w:p>
              </w:tc>
              <w:tc>
                <w:tcPr>
                  <w:tcW w:w="975" w:type="pct"/>
                  <w:tcBorders>
                    <w:tl2br w:val="nil"/>
                    <w:tr2bl w:val="nil"/>
                  </w:tcBorders>
                  <w:vAlign w:val="center"/>
                </w:tcPr>
                <w:p w14:paraId="40452CC6">
                  <w:pPr>
                    <w:widowControl/>
                    <w:adjustRightInd w:val="0"/>
                    <w:snapToGrid w:val="0"/>
                    <w:spacing w:line="240" w:lineRule="auto"/>
                    <w:ind w:left="0" w:leftChars="0" w:right="0" w:rightChars="0" w:firstLine="0" w:firstLineChars="0"/>
                    <w:jc w:val="center"/>
                    <w:rPr>
                      <w:rFonts w:hint="default" w:cs="Times New Roman"/>
                      <w:color w:val="auto"/>
                      <w:szCs w:val="21"/>
                      <w:lang w:val="en-US" w:eastAsia="zh-CN"/>
                    </w:rPr>
                  </w:pPr>
                  <w:r>
                    <w:rPr>
                      <w:rFonts w:hint="eastAsia" w:cs="Times New Roman"/>
                      <w:color w:val="auto"/>
                      <w:szCs w:val="21"/>
                      <w:lang w:val="en-US" w:eastAsia="zh-CN"/>
                    </w:rPr>
                    <w:t>厂区内厂房外</w:t>
                  </w:r>
                </w:p>
              </w:tc>
              <w:tc>
                <w:tcPr>
                  <w:tcW w:w="588" w:type="pct"/>
                  <w:tcBorders>
                    <w:tl2br w:val="nil"/>
                    <w:tr2bl w:val="nil"/>
                  </w:tcBorders>
                  <w:vAlign w:val="center"/>
                </w:tcPr>
                <w:p w14:paraId="3D4E8FAB">
                  <w:pPr>
                    <w:widowControl/>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1个</w:t>
                  </w:r>
                </w:p>
              </w:tc>
              <w:tc>
                <w:tcPr>
                  <w:tcW w:w="547" w:type="pct"/>
                  <w:vMerge w:val="continue"/>
                  <w:tcBorders>
                    <w:tl2br w:val="nil"/>
                    <w:tr2bl w:val="nil"/>
                  </w:tcBorders>
                  <w:vAlign w:val="center"/>
                </w:tcPr>
                <w:p w14:paraId="7561D39A">
                  <w:pPr>
                    <w:widowControl/>
                    <w:adjustRightInd w:val="0"/>
                    <w:snapToGrid w:val="0"/>
                    <w:spacing w:line="240" w:lineRule="auto"/>
                    <w:ind w:left="0" w:leftChars="0" w:right="0" w:rightChars="0" w:firstLine="0" w:firstLineChars="0"/>
                    <w:jc w:val="center"/>
                    <w:rPr>
                      <w:rFonts w:cs="Times New Roman"/>
                      <w:color w:val="auto"/>
                      <w:szCs w:val="21"/>
                      <w:lang w:eastAsia="zh-CN"/>
                    </w:rPr>
                  </w:pPr>
                </w:p>
              </w:tc>
              <w:tc>
                <w:tcPr>
                  <w:tcW w:w="1415" w:type="pct"/>
                  <w:vMerge w:val="continue"/>
                  <w:tcBorders>
                    <w:tl2br w:val="nil"/>
                    <w:tr2bl w:val="nil"/>
                  </w:tcBorders>
                  <w:vAlign w:val="center"/>
                </w:tcPr>
                <w:p w14:paraId="7B90A719">
                  <w:pPr>
                    <w:widowControl/>
                    <w:adjustRightInd w:val="0"/>
                    <w:snapToGrid w:val="0"/>
                    <w:spacing w:line="240" w:lineRule="auto"/>
                    <w:ind w:left="0" w:leftChars="0" w:right="0" w:rightChars="0" w:firstLine="0" w:firstLineChars="0"/>
                    <w:jc w:val="center"/>
                    <w:rPr>
                      <w:rFonts w:cs="Times New Roman"/>
                      <w:color w:val="auto"/>
                      <w:szCs w:val="21"/>
                      <w:lang w:eastAsia="zh-CN"/>
                    </w:rPr>
                  </w:pPr>
                </w:p>
              </w:tc>
            </w:tr>
            <w:tr w14:paraId="6A97E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6"/>
                  <w:tcBorders>
                    <w:tl2br w:val="nil"/>
                    <w:tr2bl w:val="nil"/>
                  </w:tcBorders>
                  <w:vAlign w:val="center"/>
                </w:tcPr>
                <w:p w14:paraId="2D7F2735">
                  <w:pPr>
                    <w:widowControl/>
                    <w:adjustRightInd w:val="0"/>
                    <w:snapToGrid w:val="0"/>
                    <w:spacing w:line="240" w:lineRule="auto"/>
                    <w:ind w:left="0" w:leftChars="0" w:right="0" w:rightChars="0" w:firstLine="0" w:firstLineChars="0"/>
                    <w:jc w:val="both"/>
                    <w:rPr>
                      <w:rFonts w:hint="default" w:cs="Times New Roman"/>
                      <w:color w:val="auto"/>
                      <w:szCs w:val="21"/>
                      <w:lang w:val="en-US" w:eastAsia="zh-CN"/>
                    </w:rPr>
                  </w:pPr>
                  <w:r>
                    <w:rPr>
                      <w:rFonts w:hint="eastAsia" w:cs="Times New Roman"/>
                      <w:color w:val="0000FF"/>
                      <w:szCs w:val="21"/>
                      <w:lang w:val="en-US" w:eastAsia="zh-CN"/>
                    </w:rPr>
                    <w:t>本次扩建项目监测计划应纳入全厂监测计划。</w:t>
                  </w:r>
                </w:p>
              </w:tc>
            </w:tr>
          </w:tbl>
          <w:p w14:paraId="4856E83A">
            <w:pPr>
              <w:adjustRightInd w:val="0"/>
              <w:snapToGrid w:val="0"/>
              <w:ind w:left="0" w:leftChars="0" w:right="0" w:rightChars="0" w:firstLine="482"/>
              <w:jc w:val="both"/>
              <w:rPr>
                <w:rFonts w:eastAsia="宋体" w:cs="Times New Roman"/>
                <w:b/>
                <w:color w:val="auto"/>
                <w:sz w:val="24"/>
                <w:szCs w:val="24"/>
                <w:lang w:eastAsia="zh-CN"/>
              </w:rPr>
            </w:pPr>
            <w:r>
              <w:rPr>
                <w:rFonts w:hint="eastAsia" w:eastAsia="宋体" w:cs="Times New Roman"/>
                <w:b/>
                <w:color w:val="auto"/>
                <w:sz w:val="24"/>
                <w:szCs w:val="24"/>
                <w:lang w:eastAsia="zh-CN"/>
              </w:rPr>
              <w:t>2</w:t>
            </w:r>
            <w:r>
              <w:rPr>
                <w:rFonts w:eastAsia="宋体" w:cs="Times New Roman"/>
                <w:b/>
                <w:color w:val="auto"/>
                <w:sz w:val="24"/>
                <w:szCs w:val="24"/>
                <w:lang w:eastAsia="zh-CN"/>
              </w:rPr>
              <w:t>、废水</w:t>
            </w:r>
          </w:p>
          <w:p w14:paraId="30D75483">
            <w:pPr>
              <w:adjustRightInd w:val="0"/>
              <w:snapToGrid w:val="0"/>
              <w:ind w:left="0" w:leftChars="0" w:right="0" w:rightChars="0" w:firstLine="482"/>
              <w:jc w:val="left"/>
              <w:rPr>
                <w:rFonts w:eastAsia="宋体" w:cs="Times New Roman"/>
                <w:b/>
                <w:bCs/>
                <w:color w:val="auto"/>
                <w:sz w:val="24"/>
                <w:szCs w:val="24"/>
                <w:lang w:eastAsia="zh-CN"/>
              </w:rPr>
            </w:pPr>
            <w:r>
              <w:rPr>
                <w:rFonts w:hint="eastAsia" w:eastAsia="宋体" w:cs="Times New Roman"/>
                <w:b/>
                <w:bCs/>
                <w:color w:val="auto"/>
                <w:sz w:val="24"/>
                <w:szCs w:val="24"/>
                <w:lang w:eastAsia="zh-CN"/>
              </w:rPr>
              <w:t>2.1</w:t>
            </w:r>
            <w:r>
              <w:rPr>
                <w:rFonts w:eastAsia="宋体" w:cs="Times New Roman"/>
                <w:b/>
                <w:bCs/>
                <w:color w:val="auto"/>
                <w:sz w:val="24"/>
                <w:szCs w:val="24"/>
                <w:lang w:eastAsia="zh-CN"/>
              </w:rPr>
              <w:t>废水产排情况</w:t>
            </w:r>
          </w:p>
          <w:p w14:paraId="036DD51C">
            <w:pPr>
              <w:adjustRightInd w:val="0"/>
              <w:snapToGrid w:val="0"/>
              <w:ind w:firstLine="480"/>
              <w:jc w:val="both"/>
              <w:rPr>
                <w:color w:val="auto"/>
                <w:lang w:eastAsia="zh-CN"/>
              </w:rPr>
            </w:pPr>
            <w:r>
              <w:rPr>
                <w:bCs/>
                <w:color w:val="auto"/>
                <w:sz w:val="24"/>
                <w:lang w:eastAsia="zh-CN"/>
              </w:rPr>
              <w:t>项目生活污水及食堂废水产生量为</w:t>
            </w:r>
            <w:r>
              <w:rPr>
                <w:rFonts w:hint="eastAsia"/>
                <w:bCs/>
                <w:color w:val="auto"/>
                <w:sz w:val="24"/>
                <w:lang w:eastAsia="zh-CN"/>
              </w:rPr>
              <w:t>1.12</w:t>
            </w:r>
            <w:r>
              <w:rPr>
                <w:bCs/>
                <w:color w:val="auto"/>
                <w:sz w:val="24"/>
                <w:lang w:eastAsia="zh-CN"/>
              </w:rPr>
              <w:t>m</w:t>
            </w:r>
            <w:r>
              <w:rPr>
                <w:bCs/>
                <w:color w:val="auto"/>
                <w:sz w:val="24"/>
                <w:vertAlign w:val="superscript"/>
                <w:lang w:eastAsia="zh-CN"/>
              </w:rPr>
              <w:t>3</w:t>
            </w:r>
            <w:r>
              <w:rPr>
                <w:bCs/>
                <w:color w:val="auto"/>
                <w:sz w:val="24"/>
                <w:lang w:eastAsia="zh-CN"/>
              </w:rPr>
              <w:t>/d（</w:t>
            </w:r>
            <w:r>
              <w:rPr>
                <w:rFonts w:hint="eastAsia"/>
                <w:bCs/>
                <w:color w:val="auto"/>
                <w:sz w:val="24"/>
                <w:lang w:eastAsia="zh-CN"/>
              </w:rPr>
              <w:t>336</w:t>
            </w:r>
            <w:r>
              <w:rPr>
                <w:bCs/>
                <w:color w:val="auto"/>
                <w:sz w:val="24"/>
                <w:lang w:eastAsia="zh-CN"/>
              </w:rPr>
              <w:t>m</w:t>
            </w:r>
            <w:r>
              <w:rPr>
                <w:bCs/>
                <w:color w:val="auto"/>
                <w:sz w:val="24"/>
                <w:vertAlign w:val="superscript"/>
                <w:lang w:eastAsia="zh-CN"/>
              </w:rPr>
              <w:t>3</w:t>
            </w:r>
            <w:r>
              <w:rPr>
                <w:bCs/>
                <w:color w:val="auto"/>
                <w:sz w:val="24"/>
                <w:lang w:eastAsia="zh-CN"/>
              </w:rPr>
              <w:t>/a）。食堂废水</w:t>
            </w:r>
            <w:r>
              <w:rPr>
                <w:rFonts w:hint="eastAsia"/>
                <w:bCs/>
                <w:color w:val="auto"/>
                <w:sz w:val="24"/>
                <w:lang w:eastAsia="zh-CN"/>
              </w:rPr>
              <w:t>依托现有废水处理措施，经</w:t>
            </w:r>
            <w:r>
              <w:rPr>
                <w:bCs/>
                <w:color w:val="auto"/>
                <w:sz w:val="24"/>
                <w:lang w:eastAsia="zh-CN"/>
              </w:rPr>
              <w:t>油水分离器</w:t>
            </w:r>
            <w:r>
              <w:rPr>
                <w:rFonts w:hint="eastAsia"/>
                <w:bCs/>
                <w:color w:val="auto"/>
                <w:sz w:val="24"/>
                <w:lang w:eastAsia="zh-CN"/>
              </w:rPr>
              <w:t>处理后</w:t>
            </w:r>
            <w:r>
              <w:rPr>
                <w:bCs/>
                <w:color w:val="auto"/>
                <w:sz w:val="24"/>
                <w:lang w:eastAsia="zh-CN"/>
              </w:rPr>
              <w:t>进入化粪池与生活废水一同处理后，经市政管网排入</w:t>
            </w:r>
            <w:r>
              <w:rPr>
                <w:rFonts w:hint="eastAsia"/>
                <w:bCs/>
                <w:color w:val="auto"/>
                <w:sz w:val="24"/>
                <w:lang w:eastAsia="zh-CN"/>
              </w:rPr>
              <w:t>园区污水处理厂</w:t>
            </w:r>
            <w:r>
              <w:rPr>
                <w:bCs/>
                <w:color w:val="auto"/>
                <w:sz w:val="24"/>
                <w:lang w:eastAsia="zh-CN"/>
              </w:rPr>
              <w:t>。</w:t>
            </w:r>
            <w:r>
              <w:rPr>
                <w:color w:val="auto"/>
                <w:sz w:val="24"/>
                <w:lang w:eastAsia="zh-CN"/>
              </w:rPr>
              <w:t>本项目废水产排情况见</w:t>
            </w:r>
            <w:r>
              <w:rPr>
                <w:rFonts w:hint="eastAsia"/>
                <w:color w:val="auto"/>
                <w:sz w:val="24"/>
                <w:lang w:eastAsia="zh-CN"/>
              </w:rPr>
              <w:t>下</w:t>
            </w:r>
            <w:r>
              <w:rPr>
                <w:color w:val="auto"/>
                <w:sz w:val="24"/>
                <w:lang w:eastAsia="zh-CN"/>
              </w:rPr>
              <w:t>表。</w:t>
            </w:r>
          </w:p>
          <w:p w14:paraId="3A36734F">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w:t>
            </w:r>
            <w:r>
              <w:rPr>
                <w:rFonts w:hint="eastAsia" w:eastAsia="宋体" w:cs="Times New Roman"/>
                <w:b/>
                <w:bCs/>
                <w:color w:val="auto"/>
                <w:szCs w:val="21"/>
                <w:lang w:eastAsia="zh-CN"/>
              </w:rPr>
              <w:t>8</w:t>
            </w:r>
            <w:r>
              <w:rPr>
                <w:rFonts w:eastAsia="宋体" w:cs="Times New Roman"/>
                <w:b/>
                <w:bCs/>
                <w:color w:val="auto"/>
                <w:szCs w:val="21"/>
                <w:lang w:eastAsia="zh-CN"/>
              </w:rPr>
              <w:t xml:space="preserve">  本项目废水产生与排放情况一览表</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78"/>
              <w:gridCol w:w="2754"/>
              <w:gridCol w:w="831"/>
              <w:gridCol w:w="710"/>
              <w:gridCol w:w="774"/>
              <w:gridCol w:w="864"/>
              <w:gridCol w:w="702"/>
              <w:gridCol w:w="702"/>
              <w:gridCol w:w="705"/>
            </w:tblGrid>
            <w:tr w14:paraId="53C85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32" w:type="pct"/>
                  <w:gridSpan w:val="2"/>
                  <w:tcBorders>
                    <w:tl2br w:val="nil"/>
                    <w:tr2bl w:val="nil"/>
                  </w:tcBorders>
                  <w:vAlign w:val="center"/>
                </w:tcPr>
                <w:p w14:paraId="6345C323">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项目</w:t>
                  </w:r>
                </w:p>
              </w:tc>
              <w:tc>
                <w:tcPr>
                  <w:tcW w:w="482" w:type="pct"/>
                  <w:tcBorders>
                    <w:tl2br w:val="nil"/>
                    <w:tr2bl w:val="nil"/>
                  </w:tcBorders>
                  <w:vAlign w:val="center"/>
                </w:tcPr>
                <w:p w14:paraId="4A4C6DD3">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废水量</w:t>
                  </w:r>
                </w:p>
              </w:tc>
              <w:tc>
                <w:tcPr>
                  <w:tcW w:w="412" w:type="pct"/>
                  <w:tcBorders>
                    <w:tl2br w:val="nil"/>
                    <w:tr2bl w:val="nil"/>
                  </w:tcBorders>
                  <w:vAlign w:val="center"/>
                </w:tcPr>
                <w:p w14:paraId="26526025">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COD</w:t>
                  </w:r>
                </w:p>
              </w:tc>
              <w:tc>
                <w:tcPr>
                  <w:tcW w:w="449" w:type="pct"/>
                  <w:tcBorders>
                    <w:tl2br w:val="nil"/>
                    <w:tr2bl w:val="nil"/>
                  </w:tcBorders>
                  <w:vAlign w:val="center"/>
                </w:tcPr>
                <w:p w14:paraId="5C622745">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BOD</w:t>
                  </w:r>
                  <w:r>
                    <w:rPr>
                      <w:rFonts w:eastAsia="宋体" w:cs="Times New Roman"/>
                      <w:b/>
                      <w:color w:val="auto"/>
                      <w:szCs w:val="21"/>
                      <w:vertAlign w:val="subscript"/>
                    </w:rPr>
                    <w:t>5</w:t>
                  </w:r>
                </w:p>
              </w:tc>
              <w:tc>
                <w:tcPr>
                  <w:tcW w:w="501" w:type="pct"/>
                  <w:tcBorders>
                    <w:tl2br w:val="nil"/>
                    <w:tr2bl w:val="nil"/>
                  </w:tcBorders>
                  <w:vAlign w:val="center"/>
                </w:tcPr>
                <w:p w14:paraId="0130EEFE">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NH</w:t>
                  </w:r>
                  <w:r>
                    <w:rPr>
                      <w:rFonts w:eastAsia="宋体" w:cs="Times New Roman"/>
                      <w:b/>
                      <w:color w:val="auto"/>
                      <w:szCs w:val="21"/>
                      <w:vertAlign w:val="subscript"/>
                    </w:rPr>
                    <w:t>3</w:t>
                  </w:r>
                  <w:r>
                    <w:rPr>
                      <w:rFonts w:eastAsia="宋体" w:cs="Times New Roman"/>
                      <w:b/>
                      <w:color w:val="auto"/>
                      <w:szCs w:val="21"/>
                    </w:rPr>
                    <w:t>-N</w:t>
                  </w:r>
                </w:p>
              </w:tc>
              <w:tc>
                <w:tcPr>
                  <w:tcW w:w="407" w:type="pct"/>
                  <w:tcBorders>
                    <w:tl2br w:val="nil"/>
                    <w:tr2bl w:val="nil"/>
                  </w:tcBorders>
                  <w:vAlign w:val="center"/>
                </w:tcPr>
                <w:p w14:paraId="4E424158">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SS</w:t>
                  </w:r>
                </w:p>
              </w:tc>
              <w:tc>
                <w:tcPr>
                  <w:tcW w:w="407" w:type="pct"/>
                  <w:tcBorders>
                    <w:tl2br w:val="nil"/>
                    <w:tr2bl w:val="nil"/>
                  </w:tcBorders>
                  <w:vAlign w:val="center"/>
                </w:tcPr>
                <w:p w14:paraId="18DE1C4A">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TP</w:t>
                  </w:r>
                </w:p>
              </w:tc>
              <w:tc>
                <w:tcPr>
                  <w:tcW w:w="407" w:type="pct"/>
                  <w:tcBorders>
                    <w:tl2br w:val="nil"/>
                    <w:tr2bl w:val="nil"/>
                  </w:tcBorders>
                  <w:vAlign w:val="center"/>
                </w:tcPr>
                <w:p w14:paraId="26EF3E25">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TN</w:t>
                  </w:r>
                </w:p>
              </w:tc>
            </w:tr>
            <w:tr w14:paraId="6ECF3E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restart"/>
                  <w:tcBorders>
                    <w:tl2br w:val="nil"/>
                    <w:tr2bl w:val="nil"/>
                  </w:tcBorders>
                  <w:vAlign w:val="center"/>
                </w:tcPr>
                <w:p w14:paraId="17145BDA">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生活污水</w:t>
                  </w:r>
                </w:p>
              </w:tc>
              <w:tc>
                <w:tcPr>
                  <w:tcW w:w="1597" w:type="pct"/>
                  <w:tcBorders>
                    <w:tl2br w:val="nil"/>
                    <w:tr2bl w:val="nil"/>
                  </w:tcBorders>
                  <w:vAlign w:val="center"/>
                </w:tcPr>
                <w:p w14:paraId="3E12603C">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产生浓度mg/L</w:t>
                  </w:r>
                </w:p>
              </w:tc>
              <w:tc>
                <w:tcPr>
                  <w:tcW w:w="482" w:type="pct"/>
                  <w:tcBorders>
                    <w:tl2br w:val="nil"/>
                    <w:tr2bl w:val="nil"/>
                  </w:tcBorders>
                  <w:vAlign w:val="center"/>
                </w:tcPr>
                <w:p w14:paraId="4EA0797B">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12" w:type="pct"/>
                  <w:tcBorders>
                    <w:tl2br w:val="nil"/>
                    <w:tr2bl w:val="nil"/>
                  </w:tcBorders>
                  <w:vAlign w:val="center"/>
                </w:tcPr>
                <w:p w14:paraId="4CF10113">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400</w:t>
                  </w:r>
                </w:p>
              </w:tc>
              <w:tc>
                <w:tcPr>
                  <w:tcW w:w="449" w:type="pct"/>
                  <w:tcBorders>
                    <w:tl2br w:val="nil"/>
                    <w:tr2bl w:val="nil"/>
                  </w:tcBorders>
                  <w:vAlign w:val="center"/>
                </w:tcPr>
                <w:p w14:paraId="0D7BEA02">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200</w:t>
                  </w:r>
                </w:p>
              </w:tc>
              <w:tc>
                <w:tcPr>
                  <w:tcW w:w="501" w:type="pct"/>
                  <w:tcBorders>
                    <w:tl2br w:val="nil"/>
                    <w:tr2bl w:val="nil"/>
                  </w:tcBorders>
                  <w:vAlign w:val="center"/>
                </w:tcPr>
                <w:p w14:paraId="7B00259F">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35</w:t>
                  </w:r>
                </w:p>
              </w:tc>
              <w:tc>
                <w:tcPr>
                  <w:tcW w:w="407" w:type="pct"/>
                  <w:tcBorders>
                    <w:tl2br w:val="nil"/>
                    <w:tr2bl w:val="nil"/>
                  </w:tcBorders>
                  <w:vAlign w:val="center"/>
                </w:tcPr>
                <w:p w14:paraId="5174B4BF">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220</w:t>
                  </w:r>
                </w:p>
              </w:tc>
              <w:tc>
                <w:tcPr>
                  <w:tcW w:w="407" w:type="pct"/>
                  <w:tcBorders>
                    <w:tl2br w:val="nil"/>
                    <w:tr2bl w:val="nil"/>
                  </w:tcBorders>
                  <w:vAlign w:val="center"/>
                </w:tcPr>
                <w:p w14:paraId="06D1B94B">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5</w:t>
                  </w:r>
                </w:p>
              </w:tc>
              <w:tc>
                <w:tcPr>
                  <w:tcW w:w="407" w:type="pct"/>
                  <w:tcBorders>
                    <w:tl2br w:val="nil"/>
                    <w:tr2bl w:val="nil"/>
                  </w:tcBorders>
                  <w:vAlign w:val="center"/>
                </w:tcPr>
                <w:p w14:paraId="259637A1">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50</w:t>
                  </w:r>
                </w:p>
              </w:tc>
            </w:tr>
            <w:tr w14:paraId="185C9B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2D082FF3">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p>
              </w:tc>
              <w:tc>
                <w:tcPr>
                  <w:tcW w:w="1597" w:type="pct"/>
                  <w:tcBorders>
                    <w:tl2br w:val="nil"/>
                    <w:tr2bl w:val="nil"/>
                  </w:tcBorders>
                  <w:vAlign w:val="center"/>
                </w:tcPr>
                <w:p w14:paraId="007BCC2F">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产生量t/a</w:t>
                  </w:r>
                </w:p>
              </w:tc>
              <w:tc>
                <w:tcPr>
                  <w:tcW w:w="482" w:type="pct"/>
                  <w:tcBorders>
                    <w:tl2br w:val="nil"/>
                    <w:tr2bl w:val="nil"/>
                  </w:tcBorders>
                  <w:vAlign w:val="center"/>
                </w:tcPr>
                <w:p w14:paraId="1DDB94E1">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336</w:t>
                  </w:r>
                </w:p>
              </w:tc>
              <w:tc>
                <w:tcPr>
                  <w:tcW w:w="412" w:type="pct"/>
                  <w:tcBorders>
                    <w:tl2br w:val="nil"/>
                    <w:tr2bl w:val="nil"/>
                  </w:tcBorders>
                  <w:vAlign w:val="center"/>
                </w:tcPr>
                <w:p w14:paraId="3D36CCDA">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0.134 </w:t>
                  </w:r>
                </w:p>
              </w:tc>
              <w:tc>
                <w:tcPr>
                  <w:tcW w:w="449" w:type="pct"/>
                  <w:tcBorders>
                    <w:tl2br w:val="nil"/>
                    <w:tr2bl w:val="nil"/>
                  </w:tcBorders>
                  <w:vAlign w:val="center"/>
                </w:tcPr>
                <w:p w14:paraId="660C8FF8">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0.067 </w:t>
                  </w:r>
                </w:p>
              </w:tc>
              <w:tc>
                <w:tcPr>
                  <w:tcW w:w="501" w:type="pct"/>
                  <w:tcBorders>
                    <w:tl2br w:val="nil"/>
                    <w:tr2bl w:val="nil"/>
                  </w:tcBorders>
                  <w:vAlign w:val="center"/>
                </w:tcPr>
                <w:p w14:paraId="52F8374A">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0.012 </w:t>
                  </w:r>
                </w:p>
              </w:tc>
              <w:tc>
                <w:tcPr>
                  <w:tcW w:w="407" w:type="pct"/>
                  <w:tcBorders>
                    <w:tl2br w:val="nil"/>
                    <w:tr2bl w:val="nil"/>
                  </w:tcBorders>
                  <w:vAlign w:val="center"/>
                </w:tcPr>
                <w:p w14:paraId="761E17DF">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0.074 </w:t>
                  </w:r>
                </w:p>
              </w:tc>
              <w:tc>
                <w:tcPr>
                  <w:tcW w:w="407" w:type="pct"/>
                  <w:tcBorders>
                    <w:tl2br w:val="nil"/>
                    <w:tr2bl w:val="nil"/>
                  </w:tcBorders>
                  <w:vAlign w:val="center"/>
                </w:tcPr>
                <w:p w14:paraId="3A81DE7B">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0.002 </w:t>
                  </w:r>
                </w:p>
              </w:tc>
              <w:tc>
                <w:tcPr>
                  <w:tcW w:w="407" w:type="pct"/>
                  <w:tcBorders>
                    <w:tl2br w:val="nil"/>
                    <w:tr2bl w:val="nil"/>
                  </w:tcBorders>
                  <w:vAlign w:val="center"/>
                </w:tcPr>
                <w:p w14:paraId="2FB24BDA">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0.017 </w:t>
                  </w:r>
                </w:p>
              </w:tc>
            </w:tr>
            <w:tr w14:paraId="63AE9C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5EAE95BC">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p>
              </w:tc>
              <w:tc>
                <w:tcPr>
                  <w:tcW w:w="1597" w:type="pct"/>
                  <w:tcBorders>
                    <w:tl2br w:val="nil"/>
                    <w:tr2bl w:val="nil"/>
                  </w:tcBorders>
                  <w:vAlign w:val="center"/>
                </w:tcPr>
                <w:p w14:paraId="44001B94">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处理方式</w:t>
                  </w:r>
                </w:p>
              </w:tc>
              <w:tc>
                <w:tcPr>
                  <w:tcW w:w="3067" w:type="pct"/>
                  <w:gridSpan w:val="7"/>
                  <w:tcBorders>
                    <w:tl2br w:val="nil"/>
                    <w:tr2bl w:val="nil"/>
                  </w:tcBorders>
                  <w:vAlign w:val="center"/>
                </w:tcPr>
                <w:p w14:paraId="0F54DB5E">
                  <w:pPr>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rPr>
                    <w:t>食堂废水经油水分离器进入化粪池与生活废水一同收集后经园区污水管网进入</w:t>
                  </w:r>
                  <w:r>
                    <w:rPr>
                      <w:rFonts w:hint="eastAsia" w:eastAsia="宋体" w:cs="Times New Roman"/>
                      <w:color w:val="auto"/>
                      <w:szCs w:val="21"/>
                      <w:lang w:val="en-US" w:eastAsia="zh-CN"/>
                    </w:rPr>
                    <w:t>园区</w:t>
                  </w:r>
                  <w:r>
                    <w:rPr>
                      <w:rFonts w:eastAsia="宋体" w:cs="Times New Roman"/>
                      <w:color w:val="auto"/>
                      <w:szCs w:val="21"/>
                      <w:lang w:eastAsia="zh-CN"/>
                    </w:rPr>
                    <w:t>污水处理厂处理</w:t>
                  </w:r>
                </w:p>
              </w:tc>
            </w:tr>
            <w:tr w14:paraId="1365C0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3BD26D08">
                  <w:pPr>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p>
              </w:tc>
              <w:tc>
                <w:tcPr>
                  <w:tcW w:w="1597" w:type="pct"/>
                  <w:tcBorders>
                    <w:tl2br w:val="nil"/>
                    <w:tr2bl w:val="nil"/>
                  </w:tcBorders>
                  <w:vAlign w:val="center"/>
                </w:tcPr>
                <w:p w14:paraId="579BAF80">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去除效率</w:t>
                  </w:r>
                </w:p>
              </w:tc>
              <w:tc>
                <w:tcPr>
                  <w:tcW w:w="482" w:type="pct"/>
                  <w:tcBorders>
                    <w:tl2br w:val="nil"/>
                    <w:tr2bl w:val="nil"/>
                  </w:tcBorders>
                  <w:vAlign w:val="center"/>
                </w:tcPr>
                <w:p w14:paraId="5FEE3C98">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w:t>
                  </w:r>
                </w:p>
              </w:tc>
              <w:tc>
                <w:tcPr>
                  <w:tcW w:w="412" w:type="pct"/>
                  <w:tcBorders>
                    <w:tl2br w:val="nil"/>
                    <w:tr2bl w:val="nil"/>
                  </w:tcBorders>
                  <w:vAlign w:val="center"/>
                </w:tcPr>
                <w:p w14:paraId="02B00DAB">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15%</w:t>
                  </w:r>
                </w:p>
              </w:tc>
              <w:tc>
                <w:tcPr>
                  <w:tcW w:w="449" w:type="pct"/>
                  <w:tcBorders>
                    <w:tl2br w:val="nil"/>
                    <w:tr2bl w:val="nil"/>
                  </w:tcBorders>
                  <w:vAlign w:val="center"/>
                </w:tcPr>
                <w:p w14:paraId="62C6CA2A">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15%</w:t>
                  </w:r>
                </w:p>
              </w:tc>
              <w:tc>
                <w:tcPr>
                  <w:tcW w:w="501" w:type="pct"/>
                  <w:tcBorders>
                    <w:tl2br w:val="nil"/>
                    <w:tr2bl w:val="nil"/>
                  </w:tcBorders>
                  <w:vAlign w:val="center"/>
                </w:tcPr>
                <w:p w14:paraId="4D5BBE65">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07" w:type="pct"/>
                  <w:tcBorders>
                    <w:tl2br w:val="nil"/>
                    <w:tr2bl w:val="nil"/>
                  </w:tcBorders>
                  <w:vAlign w:val="center"/>
                </w:tcPr>
                <w:p w14:paraId="5D3EE559">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15%</w:t>
                  </w:r>
                </w:p>
              </w:tc>
              <w:tc>
                <w:tcPr>
                  <w:tcW w:w="407" w:type="pct"/>
                  <w:tcBorders>
                    <w:tl2br w:val="nil"/>
                    <w:tr2bl w:val="nil"/>
                  </w:tcBorders>
                  <w:vAlign w:val="center"/>
                </w:tcPr>
                <w:p w14:paraId="557A8C10">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07" w:type="pct"/>
                  <w:tcBorders>
                    <w:tl2br w:val="nil"/>
                    <w:tr2bl w:val="nil"/>
                  </w:tcBorders>
                  <w:vAlign w:val="center"/>
                </w:tcPr>
                <w:p w14:paraId="5BC4F98C">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r>
            <w:tr w14:paraId="07AF6E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732FDD25">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p>
              </w:tc>
              <w:tc>
                <w:tcPr>
                  <w:tcW w:w="1597" w:type="pct"/>
                  <w:tcBorders>
                    <w:tl2br w:val="nil"/>
                    <w:tr2bl w:val="nil"/>
                  </w:tcBorders>
                  <w:vAlign w:val="center"/>
                </w:tcPr>
                <w:p w14:paraId="692B047C">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排放浓度mg/L</w:t>
                  </w:r>
                </w:p>
              </w:tc>
              <w:tc>
                <w:tcPr>
                  <w:tcW w:w="482" w:type="pct"/>
                  <w:tcBorders>
                    <w:tl2br w:val="nil"/>
                    <w:tr2bl w:val="nil"/>
                  </w:tcBorders>
                  <w:vAlign w:val="center"/>
                </w:tcPr>
                <w:p w14:paraId="30B6AD21">
                  <w:pPr>
                    <w:adjustRightInd w:val="0"/>
                    <w:snapToGrid w:val="0"/>
                    <w:spacing w:line="240" w:lineRule="auto"/>
                    <w:ind w:left="0" w:leftChars="0" w:right="0" w:rightChars="0" w:firstLine="0" w:firstLineChars="0"/>
                    <w:jc w:val="center"/>
                    <w:textAlignment w:val="center"/>
                    <w:rPr>
                      <w:rFonts w:eastAsia="宋体" w:cs="Times New Roman"/>
                      <w:b/>
                      <w:color w:val="auto"/>
                      <w:szCs w:val="21"/>
                    </w:rPr>
                  </w:pPr>
                  <w:r>
                    <w:rPr>
                      <w:rFonts w:eastAsia="宋体" w:cs="Times New Roman"/>
                      <w:b/>
                      <w:color w:val="auto"/>
                      <w:szCs w:val="21"/>
                    </w:rPr>
                    <w:t>/</w:t>
                  </w:r>
                </w:p>
              </w:tc>
              <w:tc>
                <w:tcPr>
                  <w:tcW w:w="412" w:type="pct"/>
                  <w:tcBorders>
                    <w:tl2br w:val="nil"/>
                    <w:tr2bl w:val="nil"/>
                  </w:tcBorders>
                  <w:vAlign w:val="center"/>
                </w:tcPr>
                <w:p w14:paraId="00539F2C">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340</w:t>
                  </w:r>
                </w:p>
              </w:tc>
              <w:tc>
                <w:tcPr>
                  <w:tcW w:w="449" w:type="pct"/>
                  <w:tcBorders>
                    <w:tl2br w:val="nil"/>
                    <w:tr2bl w:val="nil"/>
                  </w:tcBorders>
                  <w:vAlign w:val="center"/>
                </w:tcPr>
                <w:p w14:paraId="7FD8A901">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170</w:t>
                  </w:r>
                </w:p>
              </w:tc>
              <w:tc>
                <w:tcPr>
                  <w:tcW w:w="501" w:type="pct"/>
                  <w:tcBorders>
                    <w:tl2br w:val="nil"/>
                    <w:tr2bl w:val="nil"/>
                  </w:tcBorders>
                  <w:vAlign w:val="center"/>
                </w:tcPr>
                <w:p w14:paraId="361E012F">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35</w:t>
                  </w:r>
                </w:p>
              </w:tc>
              <w:tc>
                <w:tcPr>
                  <w:tcW w:w="407" w:type="pct"/>
                  <w:tcBorders>
                    <w:tl2br w:val="nil"/>
                    <w:tr2bl w:val="nil"/>
                  </w:tcBorders>
                  <w:vAlign w:val="center"/>
                </w:tcPr>
                <w:p w14:paraId="69FAE3AB">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187</w:t>
                  </w:r>
                </w:p>
              </w:tc>
              <w:tc>
                <w:tcPr>
                  <w:tcW w:w="407" w:type="pct"/>
                  <w:tcBorders>
                    <w:tl2br w:val="nil"/>
                    <w:tr2bl w:val="nil"/>
                  </w:tcBorders>
                  <w:vAlign w:val="center"/>
                </w:tcPr>
                <w:p w14:paraId="687FC785">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5</w:t>
                  </w:r>
                </w:p>
              </w:tc>
              <w:tc>
                <w:tcPr>
                  <w:tcW w:w="407" w:type="pct"/>
                  <w:tcBorders>
                    <w:tl2br w:val="nil"/>
                    <w:tr2bl w:val="nil"/>
                  </w:tcBorders>
                  <w:vAlign w:val="center"/>
                </w:tcPr>
                <w:p w14:paraId="0ADA9375">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50</w:t>
                  </w:r>
                </w:p>
              </w:tc>
            </w:tr>
            <w:tr w14:paraId="79FBB0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1B3680F2">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p>
              </w:tc>
              <w:tc>
                <w:tcPr>
                  <w:tcW w:w="1597" w:type="pct"/>
                  <w:tcBorders>
                    <w:tl2br w:val="nil"/>
                    <w:tr2bl w:val="nil"/>
                  </w:tcBorders>
                  <w:vAlign w:val="center"/>
                </w:tcPr>
                <w:p w14:paraId="28251F39">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排放量t/a</w:t>
                  </w:r>
                </w:p>
              </w:tc>
              <w:tc>
                <w:tcPr>
                  <w:tcW w:w="482" w:type="pct"/>
                  <w:tcBorders>
                    <w:tl2br w:val="nil"/>
                    <w:tr2bl w:val="nil"/>
                  </w:tcBorders>
                  <w:vAlign w:val="center"/>
                </w:tcPr>
                <w:p w14:paraId="024A08DF">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336</w:t>
                  </w:r>
                </w:p>
              </w:tc>
              <w:tc>
                <w:tcPr>
                  <w:tcW w:w="412" w:type="pct"/>
                  <w:tcBorders>
                    <w:tl2br w:val="nil"/>
                    <w:tr2bl w:val="nil"/>
                  </w:tcBorders>
                  <w:vAlign w:val="center"/>
                </w:tcPr>
                <w:p w14:paraId="1CE664AF">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0.1142 </w:t>
                  </w:r>
                </w:p>
              </w:tc>
              <w:tc>
                <w:tcPr>
                  <w:tcW w:w="449" w:type="pct"/>
                  <w:tcBorders>
                    <w:tl2br w:val="nil"/>
                    <w:tr2bl w:val="nil"/>
                  </w:tcBorders>
                  <w:vAlign w:val="center"/>
                </w:tcPr>
                <w:p w14:paraId="4FE4FFC2">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0.0571 </w:t>
                  </w:r>
                </w:p>
              </w:tc>
              <w:tc>
                <w:tcPr>
                  <w:tcW w:w="501" w:type="pct"/>
                  <w:tcBorders>
                    <w:tl2br w:val="nil"/>
                    <w:tr2bl w:val="nil"/>
                  </w:tcBorders>
                  <w:vAlign w:val="center"/>
                </w:tcPr>
                <w:p w14:paraId="7008E964">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0.0118 </w:t>
                  </w:r>
                </w:p>
              </w:tc>
              <w:tc>
                <w:tcPr>
                  <w:tcW w:w="407" w:type="pct"/>
                  <w:tcBorders>
                    <w:tl2br w:val="nil"/>
                    <w:tr2bl w:val="nil"/>
                  </w:tcBorders>
                  <w:vAlign w:val="center"/>
                </w:tcPr>
                <w:p w14:paraId="2D37398F">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0.0628 </w:t>
                  </w:r>
                </w:p>
              </w:tc>
              <w:tc>
                <w:tcPr>
                  <w:tcW w:w="407" w:type="pct"/>
                  <w:tcBorders>
                    <w:tl2br w:val="nil"/>
                    <w:tr2bl w:val="nil"/>
                  </w:tcBorders>
                  <w:vAlign w:val="center"/>
                </w:tcPr>
                <w:p w14:paraId="782E6133">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0.0017 </w:t>
                  </w:r>
                </w:p>
              </w:tc>
              <w:tc>
                <w:tcPr>
                  <w:tcW w:w="407" w:type="pct"/>
                  <w:tcBorders>
                    <w:tl2br w:val="nil"/>
                    <w:tr2bl w:val="nil"/>
                  </w:tcBorders>
                  <w:vAlign w:val="center"/>
                </w:tcPr>
                <w:p w14:paraId="651D89F1">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 xml:space="preserve">0.0168 </w:t>
                  </w:r>
                </w:p>
              </w:tc>
            </w:tr>
            <w:tr w14:paraId="034D34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restart"/>
                  <w:tcBorders>
                    <w:tl2br w:val="nil"/>
                    <w:tr2bl w:val="nil"/>
                  </w:tcBorders>
                  <w:vAlign w:val="center"/>
                </w:tcPr>
                <w:p w14:paraId="2652A7A2">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标准限值mg/L</w:t>
                  </w:r>
                </w:p>
              </w:tc>
              <w:tc>
                <w:tcPr>
                  <w:tcW w:w="1597" w:type="pct"/>
                  <w:tcBorders>
                    <w:tl2br w:val="nil"/>
                    <w:tr2bl w:val="nil"/>
                  </w:tcBorders>
                  <w:vAlign w:val="center"/>
                </w:tcPr>
                <w:p w14:paraId="59510E0F">
                  <w:pPr>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rPr>
                    <w:t>《污水综合排放标准》(GB8978-1996)三级标准</w:t>
                  </w:r>
                </w:p>
              </w:tc>
              <w:tc>
                <w:tcPr>
                  <w:tcW w:w="482" w:type="pct"/>
                  <w:tcBorders>
                    <w:tl2br w:val="nil"/>
                    <w:tr2bl w:val="nil"/>
                  </w:tcBorders>
                  <w:vAlign w:val="center"/>
                </w:tcPr>
                <w:p w14:paraId="7FF32AF0">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12" w:type="pct"/>
                  <w:tcBorders>
                    <w:tl2br w:val="nil"/>
                    <w:tr2bl w:val="nil"/>
                  </w:tcBorders>
                  <w:vAlign w:val="center"/>
                </w:tcPr>
                <w:p w14:paraId="225A49CC">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500</w:t>
                  </w:r>
                </w:p>
              </w:tc>
              <w:tc>
                <w:tcPr>
                  <w:tcW w:w="449" w:type="pct"/>
                  <w:tcBorders>
                    <w:tl2br w:val="nil"/>
                    <w:tr2bl w:val="nil"/>
                  </w:tcBorders>
                  <w:vAlign w:val="center"/>
                </w:tcPr>
                <w:p w14:paraId="2CF728FB">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300</w:t>
                  </w:r>
                </w:p>
              </w:tc>
              <w:tc>
                <w:tcPr>
                  <w:tcW w:w="501" w:type="pct"/>
                  <w:tcBorders>
                    <w:tl2br w:val="nil"/>
                    <w:tr2bl w:val="nil"/>
                  </w:tcBorders>
                  <w:vAlign w:val="center"/>
                </w:tcPr>
                <w:p w14:paraId="1555214C">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07" w:type="pct"/>
                  <w:tcBorders>
                    <w:tl2br w:val="nil"/>
                    <w:tr2bl w:val="nil"/>
                  </w:tcBorders>
                  <w:vAlign w:val="center"/>
                </w:tcPr>
                <w:p w14:paraId="24987197">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400</w:t>
                  </w:r>
                </w:p>
              </w:tc>
              <w:tc>
                <w:tcPr>
                  <w:tcW w:w="407" w:type="pct"/>
                  <w:tcBorders>
                    <w:tl2br w:val="nil"/>
                    <w:tr2bl w:val="nil"/>
                  </w:tcBorders>
                  <w:vAlign w:val="center"/>
                </w:tcPr>
                <w:p w14:paraId="0DF17ACA">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07" w:type="pct"/>
                  <w:tcBorders>
                    <w:tl2br w:val="nil"/>
                    <w:tr2bl w:val="nil"/>
                  </w:tcBorders>
                  <w:vAlign w:val="center"/>
                </w:tcPr>
                <w:p w14:paraId="0179614C">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r>
            <w:tr w14:paraId="4949B5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236B9386">
                  <w:pPr>
                    <w:wordWrap w:val="0"/>
                    <w:adjustRightInd w:val="0"/>
                    <w:snapToGrid w:val="0"/>
                    <w:spacing w:line="240" w:lineRule="auto"/>
                    <w:ind w:left="0" w:leftChars="0" w:right="0" w:rightChars="0" w:firstLine="0" w:firstLineChars="0"/>
                    <w:jc w:val="center"/>
                    <w:textAlignment w:val="center"/>
                    <w:rPr>
                      <w:rFonts w:eastAsia="宋体" w:cs="Times New Roman"/>
                      <w:color w:val="auto"/>
                      <w:szCs w:val="21"/>
                    </w:rPr>
                  </w:pPr>
                </w:p>
              </w:tc>
              <w:tc>
                <w:tcPr>
                  <w:tcW w:w="1597" w:type="pct"/>
                  <w:tcBorders>
                    <w:tl2br w:val="nil"/>
                    <w:tr2bl w:val="nil"/>
                  </w:tcBorders>
                  <w:vAlign w:val="center"/>
                </w:tcPr>
                <w:p w14:paraId="794B8693">
                  <w:pPr>
                    <w:wordWrap w:val="0"/>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rPr>
                    <w:t>《污水排入城镇下水道水质标准》(GB/T31962-2015)B级标准</w:t>
                  </w:r>
                </w:p>
              </w:tc>
              <w:tc>
                <w:tcPr>
                  <w:tcW w:w="482" w:type="pct"/>
                  <w:tcBorders>
                    <w:tl2br w:val="nil"/>
                    <w:tr2bl w:val="nil"/>
                  </w:tcBorders>
                  <w:vAlign w:val="center"/>
                </w:tcPr>
                <w:p w14:paraId="190A42A8">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12" w:type="pct"/>
                  <w:tcBorders>
                    <w:tl2br w:val="nil"/>
                    <w:tr2bl w:val="nil"/>
                  </w:tcBorders>
                  <w:vAlign w:val="center"/>
                </w:tcPr>
                <w:p w14:paraId="6517693B">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49" w:type="pct"/>
                  <w:tcBorders>
                    <w:tl2br w:val="nil"/>
                    <w:tr2bl w:val="nil"/>
                  </w:tcBorders>
                  <w:vAlign w:val="center"/>
                </w:tcPr>
                <w:p w14:paraId="02D33B90">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501" w:type="pct"/>
                  <w:tcBorders>
                    <w:tl2br w:val="nil"/>
                    <w:tr2bl w:val="nil"/>
                  </w:tcBorders>
                  <w:vAlign w:val="center"/>
                </w:tcPr>
                <w:p w14:paraId="5F4630C3">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45</w:t>
                  </w:r>
                </w:p>
              </w:tc>
              <w:tc>
                <w:tcPr>
                  <w:tcW w:w="407" w:type="pct"/>
                  <w:tcBorders>
                    <w:tl2br w:val="nil"/>
                    <w:tr2bl w:val="nil"/>
                  </w:tcBorders>
                  <w:vAlign w:val="center"/>
                </w:tcPr>
                <w:p w14:paraId="455F5EED">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w:t>
                  </w:r>
                </w:p>
              </w:tc>
              <w:tc>
                <w:tcPr>
                  <w:tcW w:w="407" w:type="pct"/>
                  <w:tcBorders>
                    <w:tl2br w:val="nil"/>
                    <w:tr2bl w:val="nil"/>
                  </w:tcBorders>
                  <w:vAlign w:val="center"/>
                </w:tcPr>
                <w:p w14:paraId="3904A287">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8</w:t>
                  </w:r>
                </w:p>
              </w:tc>
              <w:tc>
                <w:tcPr>
                  <w:tcW w:w="407" w:type="pct"/>
                  <w:tcBorders>
                    <w:tl2br w:val="nil"/>
                    <w:tr2bl w:val="nil"/>
                  </w:tcBorders>
                  <w:vAlign w:val="center"/>
                </w:tcPr>
                <w:p w14:paraId="20C3A636">
                  <w:pPr>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70</w:t>
                  </w:r>
                </w:p>
              </w:tc>
            </w:tr>
            <w:tr w14:paraId="2E5E64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restart"/>
                  <w:tcBorders>
                    <w:tl2br w:val="nil"/>
                    <w:tr2bl w:val="nil"/>
                  </w:tcBorders>
                  <w:vAlign w:val="center"/>
                </w:tcPr>
                <w:p w14:paraId="19CA63E5">
                  <w:pPr>
                    <w:wordWrap w:val="0"/>
                    <w:adjustRightInd w:val="0"/>
                    <w:snapToGrid w:val="0"/>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rPr>
                    <w:t>排放口基本信息</w:t>
                  </w:r>
                </w:p>
              </w:tc>
              <w:tc>
                <w:tcPr>
                  <w:tcW w:w="1597" w:type="pct"/>
                  <w:tcBorders>
                    <w:tl2br w:val="nil"/>
                    <w:tr2bl w:val="nil"/>
                  </w:tcBorders>
                  <w:vAlign w:val="center"/>
                </w:tcPr>
                <w:p w14:paraId="351AF415">
                  <w:pPr>
                    <w:pStyle w:val="79"/>
                    <w:spacing w:line="240" w:lineRule="auto"/>
                    <w:ind w:left="0" w:leftChars="0" w:right="0" w:rightChars="0" w:firstLine="0" w:firstLineChars="0"/>
                    <w:rPr>
                      <w:rFonts w:eastAsia="宋体" w:cs="Times New Roman"/>
                      <w:color w:val="auto"/>
                      <w:szCs w:val="21"/>
                    </w:rPr>
                  </w:pPr>
                  <w:r>
                    <w:rPr>
                      <w:rFonts w:eastAsia="宋体" w:cs="Times New Roman"/>
                      <w:color w:val="auto"/>
                      <w:szCs w:val="21"/>
                    </w:rPr>
                    <w:t>排放方式</w:t>
                  </w:r>
                </w:p>
              </w:tc>
              <w:tc>
                <w:tcPr>
                  <w:tcW w:w="3067" w:type="pct"/>
                  <w:gridSpan w:val="7"/>
                  <w:tcBorders>
                    <w:tl2br w:val="nil"/>
                    <w:tr2bl w:val="nil"/>
                  </w:tcBorders>
                  <w:vAlign w:val="center"/>
                </w:tcPr>
                <w:p w14:paraId="14476250">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直接排放</w:t>
                  </w:r>
                  <w:r>
                    <w:rPr>
                      <w:rFonts w:hint="eastAsia" w:eastAsia="宋体" w:cs="Times New Roman"/>
                      <w:color w:val="auto"/>
                      <w:szCs w:val="21"/>
                      <w:lang w:eastAsia="zh-CN"/>
                    </w:rPr>
                    <w:t>□</w:t>
                  </w:r>
                  <w:r>
                    <w:rPr>
                      <w:rFonts w:eastAsia="宋体" w:cs="Times New Roman"/>
                      <w:color w:val="auto"/>
                      <w:szCs w:val="21"/>
                      <w:lang w:eastAsia="zh-CN"/>
                    </w:rPr>
                    <w:t xml:space="preserve">      间接排放☑    不排放</w:t>
                  </w:r>
                  <w:r>
                    <w:rPr>
                      <w:rFonts w:hint="eastAsia" w:eastAsia="宋体" w:cs="Times New Roman"/>
                      <w:color w:val="auto"/>
                      <w:szCs w:val="21"/>
                      <w:lang w:eastAsia="zh-CN"/>
                    </w:rPr>
                    <w:t>□</w:t>
                  </w:r>
                </w:p>
              </w:tc>
            </w:tr>
            <w:tr w14:paraId="39DDA5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26FBA78B">
                  <w:pPr>
                    <w:wordWrap w:val="0"/>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p>
              </w:tc>
              <w:tc>
                <w:tcPr>
                  <w:tcW w:w="1597" w:type="pct"/>
                  <w:tcBorders>
                    <w:tl2br w:val="nil"/>
                    <w:tr2bl w:val="nil"/>
                  </w:tcBorders>
                  <w:vAlign w:val="center"/>
                </w:tcPr>
                <w:p w14:paraId="70E57155">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排放去向</w:t>
                  </w:r>
                </w:p>
              </w:tc>
              <w:tc>
                <w:tcPr>
                  <w:tcW w:w="3067" w:type="pct"/>
                  <w:gridSpan w:val="7"/>
                  <w:tcBorders>
                    <w:tl2br w:val="nil"/>
                    <w:tr2bl w:val="nil"/>
                  </w:tcBorders>
                  <w:vAlign w:val="center"/>
                </w:tcPr>
                <w:p w14:paraId="70E611C1">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华胥镇污水处理厂</w:t>
                  </w:r>
                </w:p>
              </w:tc>
            </w:tr>
            <w:tr w14:paraId="6E5438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59863F85">
                  <w:pPr>
                    <w:wordWrap w:val="0"/>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p>
              </w:tc>
              <w:tc>
                <w:tcPr>
                  <w:tcW w:w="1597" w:type="pct"/>
                  <w:tcBorders>
                    <w:tl2br w:val="nil"/>
                    <w:tr2bl w:val="nil"/>
                  </w:tcBorders>
                  <w:vAlign w:val="center"/>
                </w:tcPr>
                <w:p w14:paraId="417C0BBD">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编码</w:t>
                  </w:r>
                </w:p>
              </w:tc>
              <w:tc>
                <w:tcPr>
                  <w:tcW w:w="3067" w:type="pct"/>
                  <w:gridSpan w:val="7"/>
                  <w:tcBorders>
                    <w:tl2br w:val="nil"/>
                    <w:tr2bl w:val="nil"/>
                  </w:tcBorders>
                  <w:vAlign w:val="center"/>
                </w:tcPr>
                <w:p w14:paraId="46122390">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DW001</w:t>
                  </w:r>
                </w:p>
              </w:tc>
            </w:tr>
            <w:tr w14:paraId="3EAC41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2235BB3F">
                  <w:pPr>
                    <w:wordWrap w:val="0"/>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p>
              </w:tc>
              <w:tc>
                <w:tcPr>
                  <w:tcW w:w="1597" w:type="pct"/>
                  <w:tcBorders>
                    <w:tl2br w:val="nil"/>
                    <w:tr2bl w:val="nil"/>
                  </w:tcBorders>
                  <w:vAlign w:val="center"/>
                </w:tcPr>
                <w:p w14:paraId="3333DF19">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名称</w:t>
                  </w:r>
                </w:p>
              </w:tc>
              <w:tc>
                <w:tcPr>
                  <w:tcW w:w="3067" w:type="pct"/>
                  <w:gridSpan w:val="7"/>
                  <w:tcBorders>
                    <w:tl2br w:val="nil"/>
                    <w:tr2bl w:val="nil"/>
                  </w:tcBorders>
                  <w:vAlign w:val="center"/>
                </w:tcPr>
                <w:p w14:paraId="074DCD44">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污水总排口</w:t>
                  </w:r>
                </w:p>
              </w:tc>
            </w:tr>
            <w:tr w14:paraId="72447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31F464DF">
                  <w:pPr>
                    <w:wordWrap w:val="0"/>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p>
              </w:tc>
              <w:tc>
                <w:tcPr>
                  <w:tcW w:w="1597" w:type="pct"/>
                  <w:tcBorders>
                    <w:tl2br w:val="nil"/>
                    <w:tr2bl w:val="nil"/>
                  </w:tcBorders>
                  <w:vAlign w:val="center"/>
                </w:tcPr>
                <w:p w14:paraId="25F828AC">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类型</w:t>
                  </w:r>
                </w:p>
              </w:tc>
              <w:tc>
                <w:tcPr>
                  <w:tcW w:w="3067" w:type="pct"/>
                  <w:gridSpan w:val="7"/>
                  <w:tcBorders>
                    <w:tl2br w:val="nil"/>
                    <w:tr2bl w:val="nil"/>
                  </w:tcBorders>
                  <w:vAlign w:val="center"/>
                </w:tcPr>
                <w:p w14:paraId="3554A440">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一般排放口</w:t>
                  </w:r>
                </w:p>
              </w:tc>
            </w:tr>
            <w:tr w14:paraId="236262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35" w:type="pct"/>
                  <w:vMerge w:val="continue"/>
                  <w:tcBorders>
                    <w:tl2br w:val="nil"/>
                    <w:tr2bl w:val="nil"/>
                  </w:tcBorders>
                  <w:vAlign w:val="center"/>
                </w:tcPr>
                <w:p w14:paraId="7C98C548">
                  <w:pPr>
                    <w:wordWrap w:val="0"/>
                    <w:adjustRightInd w:val="0"/>
                    <w:snapToGrid w:val="0"/>
                    <w:spacing w:line="240" w:lineRule="auto"/>
                    <w:ind w:left="0" w:leftChars="0" w:right="0" w:rightChars="0" w:firstLine="0" w:firstLineChars="0"/>
                    <w:jc w:val="center"/>
                    <w:textAlignment w:val="center"/>
                    <w:rPr>
                      <w:rFonts w:eastAsia="宋体" w:cs="Times New Roman"/>
                      <w:color w:val="auto"/>
                      <w:szCs w:val="21"/>
                      <w:lang w:eastAsia="zh-CN"/>
                    </w:rPr>
                  </w:pPr>
                </w:p>
              </w:tc>
              <w:tc>
                <w:tcPr>
                  <w:tcW w:w="1597" w:type="pct"/>
                  <w:tcBorders>
                    <w:tl2br w:val="nil"/>
                    <w:tr2bl w:val="nil"/>
                  </w:tcBorders>
                  <w:vAlign w:val="center"/>
                </w:tcPr>
                <w:p w14:paraId="7E1F0442">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地理坐标</w:t>
                  </w:r>
                </w:p>
              </w:tc>
              <w:tc>
                <w:tcPr>
                  <w:tcW w:w="3067" w:type="pct"/>
                  <w:gridSpan w:val="7"/>
                  <w:tcBorders>
                    <w:tl2br w:val="nil"/>
                    <w:tr2bl w:val="nil"/>
                  </w:tcBorders>
                  <w:vAlign w:val="center"/>
                </w:tcPr>
                <w:p w14:paraId="0C6C8803">
                  <w:pPr>
                    <w:pStyle w:val="79"/>
                    <w:spacing w:line="240" w:lineRule="auto"/>
                    <w:ind w:left="0" w:leftChars="0" w:right="0" w:rightChars="0" w:firstLine="0" w:firstLineChars="0"/>
                    <w:rPr>
                      <w:rFonts w:eastAsia="宋体" w:cs="Times New Roman"/>
                      <w:color w:val="auto"/>
                      <w:szCs w:val="21"/>
                      <w:lang w:eastAsia="zh-CN"/>
                    </w:rPr>
                  </w:pPr>
                  <w:r>
                    <w:rPr>
                      <w:rFonts w:eastAsia="宋体" w:cs="Times New Roman"/>
                      <w:color w:val="auto"/>
                      <w:szCs w:val="21"/>
                      <w:lang w:eastAsia="zh-CN"/>
                    </w:rPr>
                    <w:t>109°09'00.3044"，34°14'52.8330"</w:t>
                  </w:r>
                </w:p>
              </w:tc>
            </w:tr>
          </w:tbl>
          <w:p w14:paraId="61D30552">
            <w:pPr>
              <w:snapToGrid w:val="0"/>
              <w:ind w:left="0" w:leftChars="0" w:right="0" w:rightChars="0" w:firstLine="482"/>
              <w:jc w:val="both"/>
              <w:rPr>
                <w:rFonts w:eastAsia="宋体" w:cs="Times New Roman"/>
                <w:b/>
                <w:bCs/>
                <w:color w:val="auto"/>
                <w:sz w:val="24"/>
                <w:lang w:eastAsia="zh-CN"/>
              </w:rPr>
            </w:pPr>
            <w:r>
              <w:rPr>
                <w:rFonts w:hint="eastAsia" w:eastAsia="宋体" w:cs="Times New Roman"/>
                <w:b/>
                <w:bCs/>
                <w:color w:val="auto"/>
                <w:sz w:val="24"/>
                <w:lang w:eastAsia="zh-CN"/>
              </w:rPr>
              <w:t>2.2</w:t>
            </w:r>
            <w:r>
              <w:rPr>
                <w:rFonts w:eastAsia="宋体" w:cs="Times New Roman"/>
                <w:b/>
                <w:bCs/>
                <w:color w:val="auto"/>
                <w:sz w:val="24"/>
                <w:lang w:eastAsia="zh-CN"/>
              </w:rPr>
              <w:t>污水处理措施可行性分析</w:t>
            </w:r>
          </w:p>
          <w:p w14:paraId="0416B856">
            <w:pPr>
              <w:ind w:left="0" w:leftChars="0" w:right="0" w:rightChars="0" w:firstLine="480"/>
              <w:jc w:val="both"/>
              <w:rPr>
                <w:rFonts w:eastAsia="宋体" w:cs="Times New Roman"/>
                <w:color w:val="auto"/>
                <w:sz w:val="24"/>
                <w:lang w:val="zh-CN" w:eastAsia="zh-CN"/>
              </w:rPr>
            </w:pPr>
            <w:r>
              <w:rPr>
                <w:rFonts w:eastAsia="宋体" w:cs="Times New Roman"/>
                <w:color w:val="auto"/>
                <w:sz w:val="24"/>
                <w:lang w:val="zh-CN" w:eastAsia="zh-CN"/>
              </w:rPr>
              <w:t>项目废水经处理后各污染物排放浓度满足《污水排入城镇下水道水质标准》（GB/T31962-2015）B等级标准和《污水综合排放标准》（GB8978-1996）三级标准，然后经市政管网排入</w:t>
            </w:r>
            <w:r>
              <w:rPr>
                <w:rFonts w:hint="eastAsia" w:eastAsia="宋体" w:cs="Times New Roman"/>
                <w:color w:val="auto"/>
                <w:sz w:val="24"/>
                <w:lang w:val="zh-CN" w:eastAsia="zh-CN"/>
              </w:rPr>
              <w:t>园区污水处理厂</w:t>
            </w:r>
            <w:r>
              <w:rPr>
                <w:rFonts w:eastAsia="宋体" w:cs="Times New Roman"/>
                <w:color w:val="auto"/>
                <w:sz w:val="24"/>
                <w:lang w:val="zh-CN" w:eastAsia="zh-CN"/>
              </w:rPr>
              <w:t>。</w:t>
            </w:r>
          </w:p>
          <w:p w14:paraId="63D5D84E">
            <w:pPr>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（1）依托化粪池可行性</w:t>
            </w:r>
          </w:p>
          <w:p w14:paraId="746578E4">
            <w:pPr>
              <w:snapToGrid w:val="0"/>
              <w:ind w:left="0" w:leftChars="0" w:right="0" w:rightChars="0" w:firstLine="480"/>
              <w:jc w:val="both"/>
              <w:rPr>
                <w:rFonts w:eastAsia="宋体" w:cs="Times New Roman"/>
                <w:color w:val="auto"/>
                <w:sz w:val="24"/>
                <w:lang w:val="zh-CN" w:eastAsia="zh-CN"/>
              </w:rPr>
            </w:pPr>
            <w:r>
              <w:rPr>
                <w:rFonts w:eastAsia="宋体" w:cs="Times New Roman"/>
                <w:color w:val="auto"/>
                <w:sz w:val="24"/>
                <w:lang w:eastAsia="zh-CN"/>
              </w:rPr>
              <w:t>本项目依托</w:t>
            </w:r>
            <w:r>
              <w:rPr>
                <w:rFonts w:hint="eastAsia" w:eastAsia="宋体" w:cs="Times New Roman"/>
                <w:color w:val="auto"/>
                <w:sz w:val="24"/>
                <w:lang w:val="en-US" w:eastAsia="zh-CN"/>
              </w:rPr>
              <w:t>厂内现有</w:t>
            </w:r>
            <w:r>
              <w:rPr>
                <w:rFonts w:eastAsia="宋体" w:cs="Times New Roman"/>
                <w:color w:val="auto"/>
                <w:sz w:val="24"/>
                <w:lang w:eastAsia="zh-CN"/>
              </w:rPr>
              <w:t>化粪池，化粪池容量为</w:t>
            </w:r>
            <w:r>
              <w:rPr>
                <w:rFonts w:hint="eastAsia" w:eastAsia="宋体" w:cs="Times New Roman"/>
                <w:color w:val="auto"/>
                <w:sz w:val="24"/>
                <w:lang w:eastAsia="zh-CN"/>
              </w:rPr>
              <w:t>20</w:t>
            </w:r>
            <w:r>
              <w:rPr>
                <w:rFonts w:eastAsia="宋体" w:cs="Times New Roman"/>
                <w:color w:val="auto"/>
                <w:sz w:val="24"/>
                <w:lang w:eastAsia="zh-CN"/>
              </w:rPr>
              <w:t>m</w:t>
            </w:r>
            <w:r>
              <w:rPr>
                <w:rFonts w:eastAsia="宋体" w:cs="Times New Roman"/>
                <w:color w:val="auto"/>
                <w:sz w:val="24"/>
                <w:vertAlign w:val="superscript"/>
                <w:lang w:eastAsia="zh-CN"/>
              </w:rPr>
              <w:t>3</w:t>
            </w:r>
            <w:r>
              <w:rPr>
                <w:rFonts w:eastAsia="宋体" w:cs="Times New Roman"/>
                <w:color w:val="auto"/>
                <w:sz w:val="24"/>
                <w:lang w:eastAsia="zh-CN"/>
              </w:rPr>
              <w:t>，本项目废水产生量为</w:t>
            </w:r>
            <w:r>
              <w:rPr>
                <w:rFonts w:hint="eastAsia" w:eastAsia="宋体" w:cs="Times New Roman"/>
                <w:color w:val="auto"/>
                <w:sz w:val="24"/>
                <w:lang w:eastAsia="zh-CN"/>
              </w:rPr>
              <w:t>1.12</w:t>
            </w:r>
            <w:r>
              <w:rPr>
                <w:rFonts w:eastAsia="宋体" w:cs="Times New Roman"/>
                <w:color w:val="auto"/>
                <w:sz w:val="24"/>
                <w:lang w:eastAsia="zh-CN"/>
              </w:rPr>
              <w:t>m</w:t>
            </w:r>
            <w:r>
              <w:rPr>
                <w:rFonts w:eastAsia="宋体" w:cs="Times New Roman"/>
                <w:color w:val="auto"/>
                <w:sz w:val="24"/>
                <w:vertAlign w:val="superscript"/>
                <w:lang w:eastAsia="zh-CN"/>
              </w:rPr>
              <w:t>3</w:t>
            </w:r>
            <w:r>
              <w:rPr>
                <w:rFonts w:eastAsia="宋体" w:cs="Times New Roman"/>
                <w:color w:val="auto"/>
                <w:sz w:val="24"/>
                <w:lang w:eastAsia="zh-CN"/>
              </w:rPr>
              <w:t>/d，</w:t>
            </w:r>
            <w:r>
              <w:rPr>
                <w:rFonts w:eastAsia="宋体" w:cs="Times New Roman"/>
                <w:color w:val="auto"/>
                <w:sz w:val="24"/>
                <w:lang w:val="zh-CN" w:eastAsia="zh-CN"/>
              </w:rPr>
              <w:t>已建化粪池可满足本项目排水需求。生活污</w:t>
            </w:r>
            <w:r>
              <w:rPr>
                <w:rFonts w:eastAsia="宋体" w:cs="Times New Roman"/>
                <w:color w:val="auto"/>
                <w:sz w:val="24"/>
                <w:lang w:eastAsia="zh-CN"/>
              </w:rPr>
              <w:t>水</w:t>
            </w:r>
            <w:r>
              <w:rPr>
                <w:rFonts w:eastAsia="宋体" w:cs="Times New Roman"/>
                <w:color w:val="auto"/>
                <w:sz w:val="24"/>
                <w:lang w:val="zh-CN" w:eastAsia="zh-CN"/>
              </w:rPr>
              <w:t>经化粪池处理后排入</w:t>
            </w:r>
            <w:r>
              <w:rPr>
                <w:rFonts w:hint="eastAsia" w:eastAsia="宋体" w:cs="Times New Roman"/>
                <w:color w:val="auto"/>
                <w:sz w:val="24"/>
                <w:szCs w:val="24"/>
                <w:lang w:eastAsia="zh-CN"/>
              </w:rPr>
              <w:t>园区污水处理厂</w:t>
            </w:r>
            <w:r>
              <w:rPr>
                <w:rFonts w:eastAsia="宋体" w:cs="Times New Roman"/>
                <w:color w:val="auto"/>
                <w:sz w:val="24"/>
                <w:lang w:val="zh-CN" w:eastAsia="zh-CN"/>
              </w:rPr>
              <w:t>。</w:t>
            </w:r>
          </w:p>
          <w:p w14:paraId="02E8100D">
            <w:pPr>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（2）依托污水处理厂的可行性</w:t>
            </w:r>
          </w:p>
          <w:p w14:paraId="747B0C05">
            <w:pPr>
              <w:adjustRightInd w:val="0"/>
              <w:snapToGrid w:val="0"/>
              <w:ind w:left="0" w:leftChars="0" w:right="0" w:rightChars="0" w:firstLine="480"/>
              <w:jc w:val="both"/>
              <w:rPr>
                <w:rFonts w:cs="Times New Roman"/>
                <w:color w:val="auto"/>
                <w:sz w:val="24"/>
                <w:szCs w:val="24"/>
                <w:lang w:eastAsia="zh-CN"/>
              </w:rPr>
            </w:pPr>
            <w:r>
              <w:rPr>
                <w:rFonts w:hint="eastAsia" w:cs="Times New Roman"/>
                <w:color w:val="auto"/>
                <w:sz w:val="24"/>
                <w:szCs w:val="24"/>
                <w:lang w:eastAsia="zh-CN"/>
              </w:rPr>
              <w:t>园区污水处理厂</w:t>
            </w:r>
            <w:r>
              <w:rPr>
                <w:rFonts w:cs="Times New Roman"/>
                <w:color w:val="auto"/>
                <w:sz w:val="24"/>
                <w:szCs w:val="24"/>
                <w:lang w:eastAsia="zh-CN"/>
              </w:rPr>
              <w:t>位于陕西蓝田西北家具工业园新港十二路2号，由陕西蓝田西北家具工业园管委会于2014年投资建设。2014年5月26日取得了西安市蓝田县环境保护局的环评批复（蓝环批复【2014】31号），2014年12月9日取得了西安市蓝田县环境保护局的竣工环保验收批复文件（蓝环验字【2014】2号 ）。</w:t>
            </w:r>
            <w:r>
              <w:rPr>
                <w:rFonts w:hint="eastAsia" w:cs="Times New Roman"/>
                <w:color w:val="auto"/>
                <w:sz w:val="24"/>
                <w:szCs w:val="24"/>
                <w:lang w:eastAsia="zh-CN"/>
              </w:rPr>
              <w:t>园区污水处理厂</w:t>
            </w:r>
            <w:r>
              <w:rPr>
                <w:rFonts w:cs="Times New Roman"/>
                <w:color w:val="auto"/>
                <w:sz w:val="24"/>
                <w:szCs w:val="24"/>
                <w:lang w:eastAsia="zh-CN"/>
              </w:rPr>
              <w:t>服务范围为园区企业工业废水、生活废水及华胥镇辖区生活污水。</w:t>
            </w:r>
            <w:r>
              <w:rPr>
                <w:rFonts w:cs="Times New Roman"/>
                <w:color w:val="auto"/>
                <w:sz w:val="24"/>
                <w:szCs w:val="32"/>
                <w:lang w:eastAsia="zh-CN"/>
              </w:rPr>
              <w:t>2020年对其扩容提标改造，改造后设计日处理量7500t/d，采用</w:t>
            </w:r>
            <w:r>
              <w:rPr>
                <w:rFonts w:hint="eastAsia" w:cs="Times New Roman"/>
                <w:color w:val="auto"/>
                <w:sz w:val="24"/>
                <w:szCs w:val="32"/>
                <w:lang w:eastAsia="zh-CN"/>
              </w:rPr>
              <w:t>“</w:t>
            </w:r>
            <w:r>
              <w:rPr>
                <w:rFonts w:cs="Times New Roman"/>
                <w:color w:val="auto"/>
                <w:sz w:val="24"/>
                <w:szCs w:val="32"/>
                <w:lang w:eastAsia="zh-CN"/>
              </w:rPr>
              <w:t>预处理+多段A/O工艺+深度处理</w:t>
            </w:r>
            <w:r>
              <w:rPr>
                <w:rFonts w:hint="eastAsia" w:cs="Times New Roman"/>
                <w:color w:val="auto"/>
                <w:sz w:val="24"/>
                <w:szCs w:val="32"/>
                <w:lang w:eastAsia="zh-CN"/>
              </w:rPr>
              <w:t>”</w:t>
            </w:r>
            <w:r>
              <w:rPr>
                <w:rFonts w:cs="Times New Roman"/>
                <w:color w:val="auto"/>
                <w:sz w:val="24"/>
                <w:szCs w:val="32"/>
                <w:lang w:eastAsia="zh-CN"/>
              </w:rPr>
              <w:t>，其处理工艺见</w:t>
            </w:r>
            <w:r>
              <w:rPr>
                <w:rFonts w:hint="eastAsia" w:cs="Times New Roman"/>
                <w:color w:val="auto"/>
                <w:sz w:val="24"/>
                <w:szCs w:val="32"/>
                <w:lang w:eastAsia="zh-CN"/>
              </w:rPr>
              <w:t>下</w:t>
            </w:r>
            <w:r>
              <w:rPr>
                <w:rFonts w:cs="Times New Roman"/>
                <w:color w:val="auto"/>
                <w:sz w:val="24"/>
                <w:szCs w:val="32"/>
                <w:lang w:eastAsia="zh-CN"/>
              </w:rPr>
              <w:t>图，出水可满足</w:t>
            </w:r>
            <w:r>
              <w:rPr>
                <w:rFonts w:cs="Times New Roman"/>
                <w:color w:val="auto"/>
                <w:sz w:val="24"/>
                <w:szCs w:val="32"/>
                <w:lang w:val="zh-CN" w:eastAsia="zh-CN"/>
              </w:rPr>
              <w:t>《陕西省黄河流域污水综合排放标准》（</w:t>
            </w:r>
            <w:r>
              <w:rPr>
                <w:rFonts w:cs="Times New Roman"/>
                <w:color w:val="auto"/>
                <w:sz w:val="24"/>
                <w:szCs w:val="32"/>
                <w:lang w:eastAsia="zh-CN"/>
              </w:rPr>
              <w:t>D</w:t>
            </w:r>
            <w:r>
              <w:rPr>
                <w:rFonts w:cs="Times New Roman"/>
                <w:color w:val="auto"/>
                <w:sz w:val="24"/>
                <w:szCs w:val="32"/>
                <w:lang w:val="zh-CN" w:eastAsia="zh-CN"/>
              </w:rPr>
              <w:t>B</w:t>
            </w:r>
            <w:r>
              <w:rPr>
                <w:rFonts w:cs="Times New Roman"/>
                <w:color w:val="auto"/>
                <w:sz w:val="24"/>
                <w:szCs w:val="32"/>
                <w:lang w:eastAsia="zh-CN"/>
              </w:rPr>
              <w:t>61/224</w:t>
            </w:r>
            <w:r>
              <w:rPr>
                <w:rFonts w:cs="Times New Roman"/>
                <w:color w:val="auto"/>
                <w:sz w:val="24"/>
                <w:szCs w:val="32"/>
                <w:lang w:val="zh-CN" w:eastAsia="zh-CN"/>
              </w:rPr>
              <w:t>-20</w:t>
            </w:r>
            <w:r>
              <w:rPr>
                <w:rFonts w:cs="Times New Roman"/>
                <w:color w:val="auto"/>
                <w:sz w:val="24"/>
                <w:szCs w:val="32"/>
                <w:lang w:eastAsia="zh-CN"/>
              </w:rPr>
              <w:t>18</w:t>
            </w:r>
            <w:r>
              <w:rPr>
                <w:rFonts w:cs="Times New Roman"/>
                <w:color w:val="auto"/>
                <w:sz w:val="24"/>
                <w:szCs w:val="32"/>
                <w:lang w:val="zh-CN" w:eastAsia="zh-CN"/>
              </w:rPr>
              <w:t>）</w:t>
            </w:r>
            <w:r>
              <w:rPr>
                <w:rFonts w:cs="Times New Roman"/>
                <w:color w:val="auto"/>
                <w:sz w:val="24"/>
                <w:szCs w:val="32"/>
                <w:lang w:eastAsia="zh-CN"/>
              </w:rPr>
              <w:t>表1的A 标准，处理后排入灞河，入河排放口坐标为E：109.147233°，N：34.246991°。</w:t>
            </w:r>
          </w:p>
          <w:p w14:paraId="6FF2263E">
            <w:pPr>
              <w:adjustRightInd w:val="0"/>
              <w:snapToGrid w:val="0"/>
              <w:spacing w:line="240" w:lineRule="auto"/>
              <w:ind w:left="0" w:leftChars="0" w:right="0" w:rightChars="0" w:firstLine="0" w:firstLineChars="0"/>
              <w:jc w:val="center"/>
              <w:rPr>
                <w:rFonts w:cs="Times New Roman"/>
                <w:color w:val="auto"/>
                <w:sz w:val="24"/>
                <w:szCs w:val="24"/>
                <w:lang w:eastAsia="zh-CN"/>
              </w:rPr>
            </w:pPr>
            <w:r>
              <w:rPr>
                <w:rFonts w:cs="Times New Roman"/>
                <w:color w:val="auto"/>
                <w:sz w:val="24"/>
                <w:szCs w:val="24"/>
                <w:lang w:eastAsia="zh-CN"/>
              </w:rPr>
              <w:drawing>
                <wp:inline distT="0" distB="0" distL="114300" distR="114300">
                  <wp:extent cx="5224780" cy="3576320"/>
                  <wp:effectExtent l="0" t="0" r="13970" b="5080"/>
                  <wp:docPr id="27" name="图片 27" descr="1646379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6379527(1)"/>
                          <pic:cNvPicPr>
                            <a:picLocks noChangeAspect="1"/>
                          </pic:cNvPicPr>
                        </pic:nvPicPr>
                        <pic:blipFill>
                          <a:blip r:embed="rId19"/>
                          <a:stretch>
                            <a:fillRect/>
                          </a:stretch>
                        </pic:blipFill>
                        <pic:spPr>
                          <a:xfrm>
                            <a:off x="0" y="0"/>
                            <a:ext cx="5224780" cy="3576320"/>
                          </a:xfrm>
                          <a:prstGeom prst="rect">
                            <a:avLst/>
                          </a:prstGeom>
                        </pic:spPr>
                      </pic:pic>
                    </a:graphicData>
                  </a:graphic>
                </wp:inline>
              </w:drawing>
            </w:r>
          </w:p>
          <w:p w14:paraId="6B8AB219">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图4-</w:t>
            </w:r>
            <w:r>
              <w:rPr>
                <w:rFonts w:hint="eastAsia" w:eastAsia="宋体" w:cs="Times New Roman"/>
                <w:b/>
                <w:bCs/>
                <w:color w:val="auto"/>
                <w:szCs w:val="21"/>
                <w:lang w:eastAsia="zh-CN"/>
              </w:rPr>
              <w:t>1</w:t>
            </w:r>
            <w:r>
              <w:rPr>
                <w:rFonts w:eastAsia="宋体" w:cs="Times New Roman"/>
                <w:b/>
                <w:bCs/>
                <w:color w:val="auto"/>
                <w:szCs w:val="21"/>
                <w:lang w:eastAsia="zh-CN"/>
              </w:rPr>
              <w:t xml:space="preserve">    华胥镇污水处理厂处理工艺图</w:t>
            </w:r>
          </w:p>
          <w:p w14:paraId="7EE512BB">
            <w:pPr>
              <w:adjustRightInd w:val="0"/>
              <w:snapToGrid w:val="0"/>
              <w:ind w:left="0" w:leftChars="0" w:right="0" w:rightChars="0" w:firstLine="480"/>
              <w:jc w:val="both"/>
              <w:rPr>
                <w:rFonts w:cs="Times New Roman"/>
                <w:color w:val="auto"/>
                <w:sz w:val="24"/>
                <w:szCs w:val="24"/>
                <w:lang w:eastAsia="zh-CN"/>
              </w:rPr>
            </w:pPr>
            <w:r>
              <w:rPr>
                <w:rFonts w:cs="Times New Roman"/>
                <w:color w:val="auto"/>
                <w:sz w:val="24"/>
                <w:szCs w:val="24"/>
                <w:lang w:eastAsia="zh-CN"/>
              </w:rPr>
              <w:t>本项目位于蓝田县西北家具工业园</w:t>
            </w:r>
            <w:r>
              <w:rPr>
                <w:rFonts w:hint="eastAsia" w:cs="Times New Roman"/>
                <w:color w:val="auto"/>
                <w:sz w:val="24"/>
                <w:szCs w:val="24"/>
                <w:lang w:eastAsia="zh-CN"/>
              </w:rPr>
              <w:t>新港12路8号</w:t>
            </w:r>
            <w:r>
              <w:rPr>
                <w:rFonts w:cs="Times New Roman"/>
                <w:color w:val="auto"/>
                <w:sz w:val="24"/>
                <w:szCs w:val="24"/>
                <w:lang w:eastAsia="zh-CN"/>
              </w:rPr>
              <w:t>，废水主要为生活污水及餐饮废水。</w:t>
            </w:r>
            <w:r>
              <w:rPr>
                <w:rFonts w:hint="eastAsia" w:cs="Times New Roman"/>
                <w:color w:val="auto"/>
                <w:sz w:val="24"/>
                <w:szCs w:val="24"/>
                <w:lang w:eastAsia="zh-CN"/>
              </w:rPr>
              <w:t>员工食堂产生的餐饮</w:t>
            </w:r>
            <w:r>
              <w:rPr>
                <w:rFonts w:cs="Times New Roman"/>
                <w:color w:val="auto"/>
                <w:sz w:val="24"/>
                <w:szCs w:val="24"/>
                <w:lang w:eastAsia="zh-CN"/>
              </w:rPr>
              <w:t>废水经油水分离器处理后与生活污水一起排入厂区化粪池（</w:t>
            </w:r>
            <w:r>
              <w:rPr>
                <w:rFonts w:hint="eastAsia" w:cs="Times New Roman"/>
                <w:color w:val="auto"/>
                <w:sz w:val="24"/>
                <w:szCs w:val="24"/>
                <w:lang w:eastAsia="zh-CN"/>
              </w:rPr>
              <w:t>2</w:t>
            </w:r>
            <w:r>
              <w:rPr>
                <w:rFonts w:cs="Times New Roman"/>
                <w:color w:val="auto"/>
                <w:sz w:val="24"/>
                <w:szCs w:val="24"/>
                <w:lang w:eastAsia="zh-CN"/>
              </w:rPr>
              <w:t>0m</w:t>
            </w:r>
            <w:r>
              <w:rPr>
                <w:rFonts w:cs="Times New Roman"/>
                <w:color w:val="auto"/>
                <w:sz w:val="24"/>
                <w:szCs w:val="24"/>
                <w:vertAlign w:val="superscript"/>
                <w:lang w:eastAsia="zh-CN"/>
              </w:rPr>
              <w:t>3</w:t>
            </w:r>
            <w:r>
              <w:rPr>
                <w:rFonts w:cs="Times New Roman"/>
                <w:color w:val="auto"/>
                <w:sz w:val="24"/>
                <w:szCs w:val="24"/>
                <w:lang w:eastAsia="zh-CN"/>
              </w:rPr>
              <w:t>）处理，最终通过园区污水管网排入</w:t>
            </w:r>
            <w:r>
              <w:rPr>
                <w:rFonts w:hint="eastAsia" w:cs="Times New Roman"/>
                <w:color w:val="auto"/>
                <w:sz w:val="24"/>
                <w:szCs w:val="24"/>
                <w:lang w:eastAsia="zh-CN"/>
              </w:rPr>
              <w:t>园区污水处理厂</w:t>
            </w:r>
            <w:r>
              <w:rPr>
                <w:rFonts w:cs="Times New Roman"/>
                <w:color w:val="auto"/>
                <w:sz w:val="24"/>
                <w:szCs w:val="24"/>
                <w:lang w:eastAsia="zh-CN"/>
              </w:rPr>
              <w:t>处理。项目废水产生量为</w:t>
            </w:r>
            <w:r>
              <w:rPr>
                <w:rFonts w:hint="eastAsia" w:cs="Times New Roman"/>
                <w:color w:val="auto"/>
                <w:sz w:val="24"/>
                <w:szCs w:val="24"/>
                <w:lang w:eastAsia="zh-CN"/>
              </w:rPr>
              <w:t>1.12</w:t>
            </w:r>
            <w:r>
              <w:rPr>
                <w:rFonts w:cs="Times New Roman"/>
                <w:color w:val="auto"/>
                <w:sz w:val="24"/>
                <w:szCs w:val="24"/>
                <w:lang w:eastAsia="zh-CN"/>
              </w:rPr>
              <w:t>m</w:t>
            </w:r>
            <w:r>
              <w:rPr>
                <w:rFonts w:cs="Times New Roman"/>
                <w:color w:val="auto"/>
                <w:sz w:val="24"/>
                <w:szCs w:val="24"/>
                <w:vertAlign w:val="superscript"/>
                <w:lang w:eastAsia="zh-CN"/>
              </w:rPr>
              <w:t>3</w:t>
            </w:r>
            <w:r>
              <w:rPr>
                <w:rFonts w:cs="Times New Roman"/>
                <w:color w:val="auto"/>
                <w:sz w:val="24"/>
                <w:szCs w:val="24"/>
                <w:lang w:eastAsia="zh-CN"/>
              </w:rPr>
              <w:t>/d，废水量较小，出水水质简单，仅占污水处理厂污水处理能力的0.0</w:t>
            </w:r>
            <w:r>
              <w:rPr>
                <w:rFonts w:hint="eastAsia" w:cs="Times New Roman"/>
                <w:color w:val="auto"/>
                <w:sz w:val="24"/>
                <w:szCs w:val="24"/>
                <w:lang w:eastAsia="zh-CN"/>
              </w:rPr>
              <w:t>015</w:t>
            </w:r>
            <w:r>
              <w:rPr>
                <w:rFonts w:cs="Times New Roman"/>
                <w:color w:val="auto"/>
                <w:sz w:val="24"/>
                <w:szCs w:val="24"/>
                <w:lang w:eastAsia="zh-CN"/>
              </w:rPr>
              <w:t>%，对污水处理厂的处理负荷冲击较小。且项目属于</w:t>
            </w:r>
            <w:r>
              <w:rPr>
                <w:rFonts w:hint="eastAsia" w:cs="Times New Roman"/>
                <w:color w:val="auto"/>
                <w:sz w:val="24"/>
                <w:szCs w:val="24"/>
                <w:lang w:eastAsia="zh-CN"/>
              </w:rPr>
              <w:t>园区污水处理厂</w:t>
            </w:r>
            <w:r>
              <w:rPr>
                <w:rFonts w:cs="Times New Roman"/>
                <w:color w:val="auto"/>
                <w:sz w:val="24"/>
                <w:szCs w:val="24"/>
                <w:lang w:eastAsia="zh-CN"/>
              </w:rPr>
              <w:t>的收水范围，根据现场勘查，项目所在区域已铺设污水管网，故本项目废水依托</w:t>
            </w:r>
            <w:r>
              <w:rPr>
                <w:rFonts w:hint="eastAsia" w:cs="Times New Roman"/>
                <w:color w:val="auto"/>
                <w:sz w:val="24"/>
                <w:szCs w:val="24"/>
                <w:lang w:eastAsia="zh-CN"/>
              </w:rPr>
              <w:t>园区污水处理厂</w:t>
            </w:r>
            <w:r>
              <w:rPr>
                <w:rFonts w:cs="Times New Roman"/>
                <w:color w:val="auto"/>
                <w:sz w:val="24"/>
                <w:szCs w:val="24"/>
                <w:lang w:eastAsia="zh-CN"/>
              </w:rPr>
              <w:t>进行处理可行。</w:t>
            </w:r>
          </w:p>
          <w:p w14:paraId="2D543F62">
            <w:pPr>
              <w:widowControl/>
              <w:adjustRightInd w:val="0"/>
              <w:snapToGrid w:val="0"/>
              <w:ind w:left="0" w:leftChars="0" w:right="0" w:rightChars="0" w:firstLine="482"/>
              <w:jc w:val="both"/>
              <w:rPr>
                <w:rFonts w:cs="Times New Roman"/>
                <w:b/>
                <w:bCs/>
                <w:color w:val="auto"/>
                <w:sz w:val="24"/>
                <w:lang w:eastAsia="zh-CN"/>
              </w:rPr>
            </w:pPr>
            <w:r>
              <w:rPr>
                <w:rFonts w:hint="eastAsia" w:cs="Times New Roman"/>
                <w:b/>
                <w:bCs/>
                <w:color w:val="auto"/>
                <w:sz w:val="24"/>
                <w:lang w:eastAsia="zh-CN"/>
              </w:rPr>
              <w:t>2.3</w:t>
            </w:r>
            <w:r>
              <w:rPr>
                <w:rFonts w:cs="Times New Roman"/>
                <w:b/>
                <w:bCs/>
                <w:color w:val="auto"/>
                <w:sz w:val="24"/>
                <w:lang w:eastAsia="zh-CN"/>
              </w:rPr>
              <w:t>监测要求</w:t>
            </w:r>
          </w:p>
          <w:p w14:paraId="34B66FE0">
            <w:pPr>
              <w:widowControl/>
              <w:adjustRightInd w:val="0"/>
              <w:snapToGrid w:val="0"/>
              <w:ind w:left="0" w:leftChars="0" w:right="0" w:rightChars="0" w:firstLine="480"/>
              <w:jc w:val="both"/>
              <w:rPr>
                <w:rFonts w:cs="Times New Roman"/>
                <w:color w:val="0000FF"/>
                <w:sz w:val="24"/>
                <w:lang w:eastAsia="zh-CN"/>
              </w:rPr>
            </w:pPr>
            <w:r>
              <w:rPr>
                <w:rFonts w:cs="Times New Roman"/>
                <w:color w:val="0000FF"/>
                <w:sz w:val="24"/>
                <w:lang w:eastAsia="zh-CN"/>
              </w:rPr>
              <w:t>根据本项目运营期的环境污染特点，根据本项目运营期的环境污染特点，</w:t>
            </w:r>
            <w:r>
              <w:rPr>
                <w:rFonts w:hint="eastAsia" w:cs="Times New Roman"/>
                <w:color w:val="0000FF"/>
                <w:sz w:val="24"/>
                <w:lang w:eastAsia="zh-CN"/>
              </w:rPr>
              <w:t>参考《</w:t>
            </w:r>
            <w:r>
              <w:rPr>
                <w:rFonts w:hint="eastAsia" w:cs="Times New Roman"/>
                <w:color w:val="0000FF"/>
                <w:sz w:val="24"/>
                <w:lang w:val="en-US" w:eastAsia="zh-CN"/>
              </w:rPr>
              <w:t>排污许可证申请与核发技术规范 家具制造工业</w:t>
            </w:r>
            <w:r>
              <w:rPr>
                <w:rFonts w:hint="eastAsia" w:cs="Times New Roman"/>
                <w:color w:val="0000FF"/>
                <w:sz w:val="24"/>
                <w:lang w:eastAsia="zh-CN"/>
              </w:rPr>
              <w:t>》（</w:t>
            </w:r>
            <w:r>
              <w:rPr>
                <w:rFonts w:hint="eastAsia" w:cs="Times New Roman"/>
                <w:color w:val="0000FF"/>
                <w:sz w:val="24"/>
                <w:lang w:val="en-US" w:eastAsia="zh-CN"/>
              </w:rPr>
              <w:t>HJ 1027-2019</w:t>
            </w:r>
            <w:r>
              <w:rPr>
                <w:rFonts w:hint="eastAsia" w:cs="Times New Roman"/>
                <w:color w:val="0000FF"/>
                <w:sz w:val="24"/>
                <w:lang w:eastAsia="zh-CN"/>
              </w:rPr>
              <w:t>）</w:t>
            </w:r>
            <w:r>
              <w:rPr>
                <w:rFonts w:hint="eastAsia" w:cs="Times New Roman"/>
                <w:color w:val="0000FF"/>
                <w:sz w:val="24"/>
                <w:lang w:val="en-US" w:eastAsia="zh-CN"/>
              </w:rPr>
              <w:t>、</w:t>
            </w:r>
            <w:r>
              <w:rPr>
                <w:rFonts w:cs="Times New Roman"/>
                <w:color w:val="0000FF"/>
                <w:sz w:val="24"/>
                <w:lang w:eastAsia="zh-CN"/>
              </w:rPr>
              <w:t xml:space="preserve">《排污单位自行监测技术指南 </w:t>
            </w:r>
            <w:r>
              <w:rPr>
                <w:rFonts w:hint="eastAsia" w:cs="Times New Roman"/>
                <w:color w:val="0000FF"/>
                <w:sz w:val="24"/>
                <w:lang w:val="en-US" w:eastAsia="zh-CN"/>
              </w:rPr>
              <w:t>涂装</w:t>
            </w:r>
            <w:r>
              <w:rPr>
                <w:rFonts w:cs="Times New Roman"/>
                <w:color w:val="0000FF"/>
                <w:sz w:val="24"/>
                <w:lang w:eastAsia="zh-CN"/>
              </w:rPr>
              <w:t>》（HJ</w:t>
            </w:r>
            <w:r>
              <w:rPr>
                <w:rFonts w:hint="eastAsia" w:cs="Times New Roman"/>
                <w:color w:val="0000FF"/>
                <w:sz w:val="24"/>
                <w:lang w:val="en-US" w:eastAsia="zh-CN"/>
              </w:rPr>
              <w:t xml:space="preserve"> 1086-2020</w:t>
            </w:r>
            <w:r>
              <w:rPr>
                <w:rFonts w:cs="Times New Roman"/>
                <w:color w:val="0000FF"/>
                <w:sz w:val="24"/>
                <w:lang w:eastAsia="zh-CN"/>
              </w:rPr>
              <w:t>）等相关规定，制定本项目运营期废水监测计划。</w:t>
            </w:r>
          </w:p>
          <w:p w14:paraId="76FCBA9D">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w:t>
            </w:r>
            <w:r>
              <w:rPr>
                <w:rFonts w:hint="eastAsia" w:eastAsia="宋体" w:cs="Times New Roman"/>
                <w:b/>
                <w:bCs/>
                <w:color w:val="auto"/>
                <w:szCs w:val="21"/>
                <w:lang w:eastAsia="zh-CN"/>
              </w:rPr>
              <w:t>-9</w:t>
            </w:r>
            <w:r>
              <w:rPr>
                <w:rFonts w:eastAsia="宋体" w:cs="Times New Roman"/>
                <w:b/>
                <w:bCs/>
                <w:color w:val="auto"/>
                <w:szCs w:val="21"/>
                <w:lang w:eastAsia="zh-CN"/>
              </w:rPr>
              <w:t xml:space="preserve">    运营期废水监测计划</w:t>
            </w:r>
          </w:p>
          <w:tbl>
            <w:tblPr>
              <w:tblStyle w:val="26"/>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395"/>
              <w:gridCol w:w="1708"/>
              <w:gridCol w:w="759"/>
              <w:gridCol w:w="888"/>
              <w:gridCol w:w="2917"/>
            </w:tblGrid>
            <w:tr w14:paraId="4C553E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553" w:type="pct"/>
                  <w:tcBorders>
                    <w:tl2br w:val="nil"/>
                    <w:tr2bl w:val="nil"/>
                  </w:tcBorders>
                  <w:vAlign w:val="center"/>
                </w:tcPr>
                <w:p w14:paraId="52604A81">
                  <w:pPr>
                    <w:adjustRightInd w:val="0"/>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污染源名称</w:t>
                  </w:r>
                </w:p>
              </w:tc>
              <w:tc>
                <w:tcPr>
                  <w:tcW w:w="809" w:type="pct"/>
                  <w:tcBorders>
                    <w:tl2br w:val="nil"/>
                    <w:tr2bl w:val="nil"/>
                  </w:tcBorders>
                  <w:vAlign w:val="center"/>
                </w:tcPr>
                <w:p w14:paraId="4DC7A86F">
                  <w:pPr>
                    <w:adjustRightInd w:val="0"/>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监测项目</w:t>
                  </w:r>
                </w:p>
              </w:tc>
              <w:tc>
                <w:tcPr>
                  <w:tcW w:w="991" w:type="pct"/>
                  <w:tcBorders>
                    <w:tl2br w:val="nil"/>
                    <w:tr2bl w:val="nil"/>
                  </w:tcBorders>
                  <w:vAlign w:val="center"/>
                </w:tcPr>
                <w:p w14:paraId="304CFEDF">
                  <w:pPr>
                    <w:adjustRightInd w:val="0"/>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监测点位置</w:t>
                  </w:r>
                </w:p>
              </w:tc>
              <w:tc>
                <w:tcPr>
                  <w:tcW w:w="440" w:type="pct"/>
                  <w:tcBorders>
                    <w:tl2br w:val="nil"/>
                    <w:tr2bl w:val="nil"/>
                  </w:tcBorders>
                  <w:vAlign w:val="center"/>
                </w:tcPr>
                <w:p w14:paraId="0ADE0AC1">
                  <w:pPr>
                    <w:adjustRightInd w:val="0"/>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监测</w:t>
                  </w:r>
                </w:p>
                <w:p w14:paraId="5459036B">
                  <w:pPr>
                    <w:adjustRightInd w:val="0"/>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点数</w:t>
                  </w:r>
                </w:p>
              </w:tc>
              <w:tc>
                <w:tcPr>
                  <w:tcW w:w="515" w:type="pct"/>
                  <w:tcBorders>
                    <w:tl2br w:val="nil"/>
                    <w:tr2bl w:val="nil"/>
                  </w:tcBorders>
                  <w:vAlign w:val="center"/>
                </w:tcPr>
                <w:p w14:paraId="72A20DD3">
                  <w:pPr>
                    <w:adjustRightInd w:val="0"/>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监测</w:t>
                  </w:r>
                </w:p>
                <w:p w14:paraId="7FB3BBBA">
                  <w:pPr>
                    <w:adjustRightInd w:val="0"/>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频率</w:t>
                  </w:r>
                </w:p>
              </w:tc>
              <w:tc>
                <w:tcPr>
                  <w:tcW w:w="1689" w:type="pct"/>
                  <w:tcBorders>
                    <w:tl2br w:val="nil"/>
                    <w:tr2bl w:val="nil"/>
                  </w:tcBorders>
                  <w:vAlign w:val="center"/>
                </w:tcPr>
                <w:p w14:paraId="3115A07B">
                  <w:pPr>
                    <w:adjustRightInd w:val="0"/>
                    <w:snapToGrid w:val="0"/>
                    <w:spacing w:line="240" w:lineRule="auto"/>
                    <w:ind w:left="0" w:leftChars="0" w:right="0" w:rightChars="0" w:firstLine="0" w:firstLineChars="0"/>
                    <w:jc w:val="center"/>
                    <w:rPr>
                      <w:rFonts w:cs="Times New Roman"/>
                      <w:b/>
                      <w:bCs/>
                      <w:color w:val="auto"/>
                      <w:szCs w:val="21"/>
                    </w:rPr>
                  </w:pPr>
                  <w:r>
                    <w:rPr>
                      <w:rFonts w:cs="Times New Roman"/>
                      <w:b/>
                      <w:bCs/>
                      <w:color w:val="auto"/>
                      <w:szCs w:val="21"/>
                    </w:rPr>
                    <w:t>控制指标</w:t>
                  </w:r>
                </w:p>
              </w:tc>
            </w:tr>
            <w:tr w14:paraId="70608D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3" w:type="pct"/>
                  <w:tcBorders>
                    <w:tl2br w:val="nil"/>
                    <w:tr2bl w:val="nil"/>
                  </w:tcBorders>
                  <w:vAlign w:val="center"/>
                </w:tcPr>
                <w:p w14:paraId="5DD3EDF6">
                  <w:pPr>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废水</w:t>
                  </w:r>
                </w:p>
              </w:tc>
              <w:tc>
                <w:tcPr>
                  <w:tcW w:w="809" w:type="pct"/>
                  <w:tcBorders>
                    <w:tl2br w:val="nil"/>
                    <w:tr2bl w:val="nil"/>
                  </w:tcBorders>
                  <w:vAlign w:val="center"/>
                </w:tcPr>
                <w:p w14:paraId="2A398483">
                  <w:pPr>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rPr>
                    <w:t>pH、COD、BOD</w:t>
                  </w:r>
                  <w:r>
                    <w:rPr>
                      <w:rFonts w:cs="Times New Roman"/>
                      <w:color w:val="auto"/>
                      <w:szCs w:val="21"/>
                      <w:vertAlign w:val="subscript"/>
                    </w:rPr>
                    <w:t>5</w:t>
                  </w:r>
                  <w:r>
                    <w:rPr>
                      <w:rFonts w:cs="Times New Roman"/>
                      <w:color w:val="auto"/>
                      <w:szCs w:val="21"/>
                    </w:rPr>
                    <w:t>、SS、氨氮</w:t>
                  </w:r>
                  <w:r>
                    <w:rPr>
                      <w:rFonts w:hint="eastAsia" w:cs="Times New Roman"/>
                      <w:color w:val="auto"/>
                      <w:szCs w:val="21"/>
                      <w:lang w:eastAsia="zh-CN"/>
                    </w:rPr>
                    <w:t>、TN、TP</w:t>
                  </w:r>
                </w:p>
              </w:tc>
              <w:tc>
                <w:tcPr>
                  <w:tcW w:w="991" w:type="pct"/>
                  <w:tcBorders>
                    <w:tl2br w:val="nil"/>
                    <w:tr2bl w:val="nil"/>
                  </w:tcBorders>
                  <w:vAlign w:val="center"/>
                </w:tcPr>
                <w:p w14:paraId="434BA291">
                  <w:pPr>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厂区废水总排口（DW001）</w:t>
                  </w:r>
                </w:p>
              </w:tc>
              <w:tc>
                <w:tcPr>
                  <w:tcW w:w="440" w:type="pct"/>
                  <w:tcBorders>
                    <w:tl2br w:val="nil"/>
                    <w:tr2bl w:val="nil"/>
                  </w:tcBorders>
                  <w:vAlign w:val="center"/>
                </w:tcPr>
                <w:p w14:paraId="482D1FAF">
                  <w:pPr>
                    <w:adjustRightInd w:val="0"/>
                    <w:snapToGrid w:val="0"/>
                    <w:spacing w:line="240" w:lineRule="auto"/>
                    <w:ind w:left="0" w:leftChars="0" w:right="0" w:rightChars="0" w:firstLine="0" w:firstLineChars="0"/>
                    <w:jc w:val="center"/>
                    <w:rPr>
                      <w:rFonts w:cs="Times New Roman"/>
                      <w:color w:val="auto"/>
                      <w:szCs w:val="21"/>
                    </w:rPr>
                  </w:pPr>
                  <w:r>
                    <w:rPr>
                      <w:rFonts w:cs="Times New Roman"/>
                      <w:color w:val="auto"/>
                      <w:szCs w:val="21"/>
                    </w:rPr>
                    <w:t>1个</w:t>
                  </w:r>
                </w:p>
              </w:tc>
              <w:tc>
                <w:tcPr>
                  <w:tcW w:w="515" w:type="pct"/>
                  <w:tcBorders>
                    <w:tl2br w:val="nil"/>
                    <w:tr2bl w:val="nil"/>
                  </w:tcBorders>
                  <w:vAlign w:val="center"/>
                </w:tcPr>
                <w:p w14:paraId="3DDC8E18">
                  <w:pPr>
                    <w:widowControl/>
                    <w:adjustRightInd w:val="0"/>
                    <w:snapToGrid w:val="0"/>
                    <w:spacing w:line="240" w:lineRule="auto"/>
                    <w:ind w:left="0" w:leftChars="0" w:right="0" w:rightChars="0" w:firstLine="0" w:firstLineChars="0"/>
                    <w:rPr>
                      <w:rFonts w:cs="Times New Roman"/>
                      <w:color w:val="auto"/>
                      <w:szCs w:val="21"/>
                    </w:rPr>
                  </w:pPr>
                  <w:r>
                    <w:rPr>
                      <w:rFonts w:cs="Times New Roman"/>
                      <w:color w:val="auto"/>
                      <w:szCs w:val="21"/>
                    </w:rPr>
                    <w:t>1次/年</w:t>
                  </w:r>
                </w:p>
              </w:tc>
              <w:tc>
                <w:tcPr>
                  <w:tcW w:w="1689" w:type="pct"/>
                  <w:tcBorders>
                    <w:tl2br w:val="nil"/>
                    <w:tr2bl w:val="nil"/>
                  </w:tcBorders>
                  <w:vAlign w:val="center"/>
                </w:tcPr>
                <w:p w14:paraId="084AC9C6">
                  <w:pPr>
                    <w:adjustRightInd w:val="0"/>
                    <w:snapToGri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《污水综合排放标准》（GB8978-1996）三级标准及《污水排入城镇下水道水质标准》（GB/T 31962-2015）表1中B级标准</w:t>
                  </w:r>
                </w:p>
              </w:tc>
            </w:tr>
            <w:tr w14:paraId="5E01A3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tcBorders>
                    <w:tl2br w:val="nil"/>
                    <w:tr2bl w:val="nil"/>
                  </w:tcBorders>
                  <w:vAlign w:val="center"/>
                </w:tcPr>
                <w:p w14:paraId="5A882DB5">
                  <w:pPr>
                    <w:adjustRightInd w:val="0"/>
                    <w:snapToGrid w:val="0"/>
                    <w:spacing w:line="240" w:lineRule="auto"/>
                    <w:ind w:left="0" w:leftChars="0" w:right="0" w:rightChars="0" w:firstLine="0" w:firstLineChars="0"/>
                    <w:jc w:val="both"/>
                    <w:rPr>
                      <w:rFonts w:cs="Times New Roman"/>
                      <w:color w:val="auto"/>
                      <w:szCs w:val="21"/>
                      <w:lang w:eastAsia="zh-CN"/>
                    </w:rPr>
                  </w:pPr>
                  <w:r>
                    <w:rPr>
                      <w:rFonts w:hint="eastAsia" w:cs="Times New Roman"/>
                      <w:color w:val="0000FF"/>
                      <w:szCs w:val="21"/>
                      <w:lang w:val="en-US" w:eastAsia="zh-CN"/>
                    </w:rPr>
                    <w:t>本次扩建项目监测计划应纳入全厂监测计划。</w:t>
                  </w:r>
                </w:p>
              </w:tc>
            </w:tr>
          </w:tbl>
          <w:p w14:paraId="0E8481FB">
            <w:pPr>
              <w:adjustRightInd w:val="0"/>
              <w:snapToGrid w:val="0"/>
              <w:ind w:left="0" w:leftChars="0" w:right="0" w:rightChars="0" w:firstLine="482"/>
              <w:jc w:val="left"/>
              <w:rPr>
                <w:rFonts w:eastAsia="宋体" w:cs="Times New Roman"/>
                <w:b/>
                <w:color w:val="auto"/>
                <w:sz w:val="24"/>
                <w:szCs w:val="24"/>
                <w:lang w:eastAsia="zh-CN"/>
              </w:rPr>
            </w:pPr>
            <w:r>
              <w:rPr>
                <w:rFonts w:hint="eastAsia" w:eastAsia="宋体" w:cs="Times New Roman"/>
                <w:b/>
                <w:color w:val="auto"/>
                <w:sz w:val="24"/>
                <w:szCs w:val="24"/>
                <w:lang w:eastAsia="zh-CN"/>
              </w:rPr>
              <w:t>3</w:t>
            </w:r>
            <w:r>
              <w:rPr>
                <w:rFonts w:eastAsia="宋体" w:cs="Times New Roman"/>
                <w:b/>
                <w:color w:val="auto"/>
                <w:sz w:val="24"/>
                <w:szCs w:val="24"/>
                <w:lang w:eastAsia="zh-CN"/>
              </w:rPr>
              <w:t>、噪声</w:t>
            </w:r>
          </w:p>
          <w:p w14:paraId="6AA6A92F">
            <w:pPr>
              <w:adjustRightInd w:val="0"/>
              <w:snapToGrid w:val="0"/>
              <w:ind w:left="0" w:leftChars="0" w:right="0" w:rightChars="0" w:firstLine="482"/>
              <w:jc w:val="both"/>
              <w:rPr>
                <w:rFonts w:eastAsia="宋体" w:cs="Times New Roman"/>
                <w:color w:val="auto"/>
                <w:sz w:val="24"/>
                <w:szCs w:val="24"/>
                <w:lang w:eastAsia="zh-CN"/>
              </w:rPr>
            </w:pPr>
            <w:r>
              <w:rPr>
                <w:rFonts w:hint="eastAsia" w:eastAsia="宋体" w:cs="Times New Roman"/>
                <w:b/>
                <w:bCs/>
                <w:color w:val="auto"/>
                <w:sz w:val="24"/>
                <w:szCs w:val="24"/>
                <w:lang w:eastAsia="zh-CN"/>
              </w:rPr>
              <w:t>3.1</w:t>
            </w:r>
            <w:r>
              <w:rPr>
                <w:rFonts w:eastAsia="宋体" w:cs="Times New Roman"/>
                <w:b/>
                <w:bCs/>
                <w:color w:val="auto"/>
                <w:sz w:val="24"/>
                <w:szCs w:val="24"/>
                <w:lang w:eastAsia="zh-CN"/>
              </w:rPr>
              <w:t>主要噪声污染物源强</w:t>
            </w:r>
          </w:p>
          <w:p w14:paraId="16C5994F">
            <w:pPr>
              <w:widowControl/>
              <w:adjustRightInd w:val="0"/>
              <w:snapToGrid w:val="0"/>
              <w:ind w:left="0" w:leftChars="0" w:right="0" w:rightChars="0" w:firstLine="480"/>
              <w:jc w:val="both"/>
              <w:rPr>
                <w:rFonts w:cs="Times New Roman"/>
                <w:b/>
                <w:color w:val="auto"/>
                <w:sz w:val="24"/>
                <w:szCs w:val="24"/>
                <w:lang w:eastAsia="zh-CN"/>
              </w:rPr>
            </w:pPr>
            <w:r>
              <w:rPr>
                <w:rFonts w:cs="Times New Roman"/>
                <w:color w:val="auto"/>
                <w:sz w:val="24"/>
                <w:szCs w:val="24"/>
                <w:lang w:eastAsia="zh-CN"/>
              </w:rPr>
              <w:t>本项目运营期噪声源主要是各设备运行时产生的噪声，噪声源强在</w:t>
            </w:r>
            <w:r>
              <w:rPr>
                <w:rFonts w:hint="eastAsia" w:eastAsia="宋体" w:cs="Times New Roman"/>
                <w:color w:val="auto"/>
                <w:sz w:val="24"/>
                <w:szCs w:val="24"/>
                <w:lang w:eastAsia="zh-CN"/>
              </w:rPr>
              <w:t>8</w:t>
            </w:r>
            <w:r>
              <w:rPr>
                <w:rFonts w:eastAsia="宋体" w:cs="Times New Roman"/>
                <w:color w:val="auto"/>
                <w:sz w:val="24"/>
                <w:szCs w:val="24"/>
                <w:lang w:eastAsia="zh-CN"/>
              </w:rPr>
              <w:t>5～9</w:t>
            </w:r>
            <w:r>
              <w:rPr>
                <w:rFonts w:hint="eastAsia" w:eastAsia="宋体" w:cs="Times New Roman"/>
                <w:color w:val="auto"/>
                <w:sz w:val="24"/>
                <w:szCs w:val="24"/>
                <w:lang w:eastAsia="zh-CN"/>
              </w:rPr>
              <w:t>5</w:t>
            </w:r>
            <w:r>
              <w:rPr>
                <w:rFonts w:eastAsia="宋体" w:cs="Times New Roman"/>
                <w:color w:val="auto"/>
                <w:sz w:val="24"/>
                <w:szCs w:val="24"/>
                <w:lang w:eastAsia="zh-CN"/>
              </w:rPr>
              <w:t>dB(A)</w:t>
            </w:r>
            <w:r>
              <w:rPr>
                <w:rFonts w:cs="Times New Roman"/>
                <w:color w:val="auto"/>
                <w:sz w:val="24"/>
                <w:szCs w:val="24"/>
                <w:lang w:eastAsia="zh-CN"/>
              </w:rPr>
              <w:t>之间，经采取有效治理后噪声值为</w:t>
            </w:r>
            <w:r>
              <w:rPr>
                <w:rFonts w:hint="eastAsia" w:cs="Times New Roman"/>
                <w:color w:val="auto"/>
                <w:sz w:val="24"/>
                <w:szCs w:val="24"/>
                <w:lang w:eastAsia="zh-CN"/>
              </w:rPr>
              <w:t>46~56</w:t>
            </w:r>
            <w:r>
              <w:rPr>
                <w:rFonts w:cs="Times New Roman"/>
                <w:color w:val="auto"/>
                <w:sz w:val="24"/>
                <w:szCs w:val="24"/>
                <w:lang w:eastAsia="zh-CN"/>
              </w:rPr>
              <w:t>dB(A)，主要产噪设备及其声级特征见下表：</w:t>
            </w:r>
          </w:p>
          <w:p w14:paraId="121E72B9">
            <w:pPr>
              <w:ind w:left="0" w:leftChars="0" w:right="0" w:rightChars="0" w:firstLine="0" w:firstLineChars="0"/>
              <w:jc w:val="both"/>
              <w:rPr>
                <w:color w:val="auto"/>
                <w:lang w:eastAsia="zh-CN"/>
              </w:rPr>
            </w:pPr>
          </w:p>
          <w:p w14:paraId="7A6B66D5">
            <w:pPr>
              <w:pStyle w:val="2"/>
              <w:ind w:left="-63" w:firstLine="720"/>
              <w:jc w:val="both"/>
              <w:outlineLvl w:val="1"/>
              <w:rPr>
                <w:color w:val="auto"/>
                <w:lang w:eastAsia="zh-CN"/>
              </w:rPr>
            </w:pPr>
          </w:p>
          <w:p w14:paraId="5AE95828">
            <w:pPr>
              <w:ind w:firstLine="420"/>
              <w:jc w:val="both"/>
              <w:rPr>
                <w:color w:val="auto"/>
                <w:lang w:eastAsia="zh-CN"/>
              </w:rPr>
            </w:pPr>
          </w:p>
          <w:p w14:paraId="5D4C0E33">
            <w:pPr>
              <w:pStyle w:val="2"/>
              <w:ind w:left="-63" w:firstLine="720"/>
              <w:jc w:val="both"/>
              <w:outlineLvl w:val="1"/>
              <w:rPr>
                <w:color w:val="auto"/>
                <w:lang w:eastAsia="zh-CN"/>
              </w:rPr>
            </w:pPr>
          </w:p>
          <w:p w14:paraId="176F85C2">
            <w:pPr>
              <w:ind w:firstLine="420"/>
              <w:jc w:val="both"/>
              <w:rPr>
                <w:color w:val="auto"/>
                <w:lang w:eastAsia="zh-CN"/>
              </w:rPr>
            </w:pPr>
          </w:p>
          <w:p w14:paraId="02DDE24D">
            <w:pPr>
              <w:pStyle w:val="2"/>
              <w:ind w:left="0" w:leftChars="0" w:firstLine="0" w:firstLineChars="0"/>
              <w:jc w:val="both"/>
              <w:outlineLvl w:val="1"/>
              <w:rPr>
                <w:color w:val="auto"/>
                <w:lang w:eastAsia="zh-CN"/>
              </w:rPr>
            </w:pPr>
          </w:p>
        </w:tc>
      </w:tr>
    </w:tbl>
    <w:p w14:paraId="0F9F65D1">
      <w:pPr>
        <w:ind w:firstLine="420"/>
        <w:rPr>
          <w:color w:val="auto"/>
          <w:lang w:eastAsia="zh-CN"/>
        </w:rPr>
        <w:sectPr>
          <w:pgSz w:w="11910" w:h="16838"/>
          <w:pgMar w:top="1417" w:right="1417" w:bottom="1417" w:left="1417" w:header="720" w:footer="1043" w:gutter="0"/>
          <w:cols w:space="0" w:num="1"/>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0"/>
      </w:tblGrid>
      <w:tr w14:paraId="32DB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14:paraId="667B21A7">
            <w:pPr>
              <w:autoSpaceDE w:val="0"/>
              <w:autoSpaceDN w:val="0"/>
              <w:adjustRightInd w:val="0"/>
              <w:snapToGrid w:val="0"/>
              <w:spacing w:line="240" w:lineRule="auto"/>
              <w:ind w:left="0" w:leftChars="0" w:right="0" w:rightChars="0" w:firstLine="0" w:firstLineChars="0"/>
              <w:jc w:val="center"/>
              <w:rPr>
                <w:b/>
                <w:color w:val="auto"/>
                <w:szCs w:val="21"/>
                <w:lang w:eastAsia="zh-CN"/>
              </w:rPr>
            </w:pPr>
            <w:r>
              <w:rPr>
                <w:b/>
                <w:color w:val="auto"/>
                <w:szCs w:val="21"/>
                <w:lang w:eastAsia="zh-CN"/>
              </w:rPr>
              <w:t>表4-</w:t>
            </w:r>
            <w:r>
              <w:rPr>
                <w:rFonts w:hint="eastAsia"/>
                <w:b/>
                <w:color w:val="auto"/>
                <w:szCs w:val="21"/>
                <w:lang w:eastAsia="zh-CN"/>
              </w:rPr>
              <w:t>10</w:t>
            </w:r>
            <w:r>
              <w:rPr>
                <w:b/>
                <w:color w:val="auto"/>
                <w:szCs w:val="21"/>
                <w:lang w:eastAsia="zh-CN"/>
              </w:rPr>
              <w:t xml:space="preserve">  项目噪声源</w:t>
            </w:r>
            <w:r>
              <w:rPr>
                <w:rFonts w:hint="eastAsia"/>
                <w:b/>
                <w:color w:val="auto"/>
                <w:szCs w:val="21"/>
                <w:lang w:eastAsia="zh-CN"/>
              </w:rPr>
              <w:t xml:space="preserve">强调查清单（室内声源）     </w:t>
            </w:r>
            <w:r>
              <w:rPr>
                <w:b/>
                <w:color w:val="auto"/>
                <w:szCs w:val="21"/>
                <w:lang w:eastAsia="zh-CN"/>
              </w:rPr>
              <w:t>单位：dB(A)</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5" w:type="dxa"/>
                <w:left w:w="0" w:type="dxa"/>
                <w:bottom w:w="15" w:type="dxa"/>
                <w:right w:w="0" w:type="dxa"/>
              </w:tblCellMar>
            </w:tblPr>
            <w:tblGrid>
              <w:gridCol w:w="401"/>
              <w:gridCol w:w="448"/>
              <w:gridCol w:w="1880"/>
              <w:gridCol w:w="984"/>
              <w:gridCol w:w="513"/>
              <w:gridCol w:w="670"/>
              <w:gridCol w:w="532"/>
              <w:gridCol w:w="504"/>
              <w:gridCol w:w="479"/>
              <w:gridCol w:w="485"/>
              <w:gridCol w:w="485"/>
              <w:gridCol w:w="488"/>
              <w:gridCol w:w="639"/>
              <w:gridCol w:w="485"/>
              <w:gridCol w:w="639"/>
              <w:gridCol w:w="507"/>
              <w:gridCol w:w="639"/>
              <w:gridCol w:w="518"/>
              <w:gridCol w:w="499"/>
              <w:gridCol w:w="535"/>
              <w:gridCol w:w="588"/>
              <w:gridCol w:w="560"/>
              <w:gridCol w:w="518"/>
            </w:tblGrid>
            <w:tr w14:paraId="00EF95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vMerge w:val="restart"/>
                  <w:tcBorders>
                    <w:tl2br w:val="nil"/>
                    <w:tr2bl w:val="nil"/>
                  </w:tcBorders>
                  <w:vAlign w:val="center"/>
                </w:tcPr>
                <w:p w14:paraId="3EE49998">
                  <w:pPr>
                    <w:widowControl/>
                    <w:snapToGrid w:val="0"/>
                    <w:spacing w:line="240" w:lineRule="auto"/>
                    <w:ind w:left="0" w:leftChars="0" w:right="0" w:rightChars="0" w:firstLine="0" w:firstLineChars="0"/>
                    <w:jc w:val="center"/>
                    <w:rPr>
                      <w:b/>
                      <w:bCs/>
                      <w:color w:val="auto"/>
                      <w:szCs w:val="21"/>
                    </w:rPr>
                  </w:pPr>
                  <w:r>
                    <w:rPr>
                      <w:b/>
                      <w:bCs/>
                      <w:color w:val="auto"/>
                      <w:szCs w:val="21"/>
                    </w:rPr>
                    <w:t>序号</w:t>
                  </w:r>
                </w:p>
              </w:tc>
              <w:tc>
                <w:tcPr>
                  <w:tcW w:w="160" w:type="pct"/>
                  <w:vMerge w:val="restart"/>
                  <w:tcBorders>
                    <w:tl2br w:val="nil"/>
                    <w:tr2bl w:val="nil"/>
                  </w:tcBorders>
                  <w:vAlign w:val="center"/>
                </w:tcPr>
                <w:p w14:paraId="732B3FB7">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建</w:t>
                  </w:r>
                </w:p>
                <w:p w14:paraId="6E736BAE">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筑</w:t>
                  </w:r>
                </w:p>
                <w:p w14:paraId="156C81BF">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物</w:t>
                  </w:r>
                </w:p>
                <w:p w14:paraId="3688F656">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名</w:t>
                  </w:r>
                </w:p>
                <w:p w14:paraId="4AE58765">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称</w:t>
                  </w:r>
                </w:p>
              </w:tc>
              <w:tc>
                <w:tcPr>
                  <w:tcW w:w="671" w:type="pct"/>
                  <w:vMerge w:val="restart"/>
                  <w:tcBorders>
                    <w:tl2br w:val="nil"/>
                    <w:tr2bl w:val="nil"/>
                  </w:tcBorders>
                  <w:vAlign w:val="center"/>
                </w:tcPr>
                <w:p w14:paraId="413E2390">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声源</w:t>
                  </w:r>
                  <w:r>
                    <w:rPr>
                      <w:b/>
                      <w:bCs/>
                      <w:color w:val="auto"/>
                      <w:szCs w:val="21"/>
                    </w:rPr>
                    <w:t>名称</w:t>
                  </w:r>
                </w:p>
              </w:tc>
              <w:tc>
                <w:tcPr>
                  <w:tcW w:w="351" w:type="pct"/>
                  <w:tcBorders>
                    <w:tl2br w:val="nil"/>
                    <w:tr2bl w:val="nil"/>
                  </w:tcBorders>
                  <w:vAlign w:val="center"/>
                </w:tcPr>
                <w:p w14:paraId="2462FC0D">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声源源强</w:t>
                  </w:r>
                </w:p>
              </w:tc>
              <w:tc>
                <w:tcPr>
                  <w:tcW w:w="183" w:type="pct"/>
                  <w:vMerge w:val="restart"/>
                  <w:tcBorders>
                    <w:tl2br w:val="nil"/>
                    <w:tr2bl w:val="nil"/>
                  </w:tcBorders>
                  <w:vAlign w:val="center"/>
                </w:tcPr>
                <w:p w14:paraId="434F655C">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声源控制措施</w:t>
                  </w:r>
                </w:p>
              </w:tc>
              <w:tc>
                <w:tcPr>
                  <w:tcW w:w="609" w:type="pct"/>
                  <w:gridSpan w:val="3"/>
                  <w:tcBorders>
                    <w:tl2br w:val="nil"/>
                    <w:tr2bl w:val="nil"/>
                  </w:tcBorders>
                  <w:vAlign w:val="center"/>
                </w:tcPr>
                <w:p w14:paraId="33895396">
                  <w:pPr>
                    <w:widowControl/>
                    <w:snapToGrid w:val="0"/>
                    <w:spacing w:line="240" w:lineRule="auto"/>
                    <w:ind w:left="0" w:leftChars="0" w:right="0" w:rightChars="0" w:firstLine="0" w:firstLineChars="0"/>
                    <w:jc w:val="center"/>
                    <w:rPr>
                      <w:b/>
                      <w:bCs/>
                      <w:color w:val="auto"/>
                      <w:szCs w:val="21"/>
                    </w:rPr>
                  </w:pPr>
                  <w:r>
                    <w:rPr>
                      <w:b/>
                      <w:bCs/>
                      <w:color w:val="auto"/>
                      <w:szCs w:val="21"/>
                    </w:rPr>
                    <w:t>空间相对位置</w:t>
                  </w:r>
                  <w:r>
                    <w:rPr>
                      <w:rFonts w:hint="eastAsia"/>
                      <w:b/>
                      <w:bCs/>
                      <w:color w:val="auto"/>
                      <w:szCs w:val="21"/>
                    </w:rPr>
                    <w:t>/m</w:t>
                  </w:r>
                </w:p>
              </w:tc>
              <w:tc>
                <w:tcPr>
                  <w:tcW w:w="691" w:type="pct"/>
                  <w:gridSpan w:val="4"/>
                  <w:tcBorders>
                    <w:tl2br w:val="nil"/>
                    <w:tr2bl w:val="nil"/>
                  </w:tcBorders>
                  <w:vAlign w:val="center"/>
                </w:tcPr>
                <w:p w14:paraId="56518E74">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距室内边界距离/m</w:t>
                  </w:r>
                </w:p>
              </w:tc>
              <w:tc>
                <w:tcPr>
                  <w:tcW w:w="810" w:type="pct"/>
                  <w:gridSpan w:val="4"/>
                  <w:tcBorders>
                    <w:tl2br w:val="nil"/>
                    <w:tr2bl w:val="nil"/>
                  </w:tcBorders>
                  <w:vAlign w:val="center"/>
                </w:tcPr>
                <w:p w14:paraId="025A62BE">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室内边界声级</w:t>
                  </w:r>
                </w:p>
              </w:tc>
              <w:tc>
                <w:tcPr>
                  <w:tcW w:w="228" w:type="pct"/>
                  <w:vMerge w:val="restart"/>
                  <w:tcBorders>
                    <w:tl2br w:val="nil"/>
                    <w:tr2bl w:val="nil"/>
                  </w:tcBorders>
                  <w:vAlign w:val="center"/>
                </w:tcPr>
                <w:p w14:paraId="29F1022E">
                  <w:pPr>
                    <w:widowControl/>
                    <w:snapToGrid w:val="0"/>
                    <w:spacing w:line="240" w:lineRule="auto"/>
                    <w:ind w:left="0" w:leftChars="0" w:right="0" w:rightChars="0" w:firstLine="0" w:firstLineChars="0"/>
                    <w:jc w:val="center"/>
                    <w:rPr>
                      <w:b/>
                      <w:bCs/>
                      <w:color w:val="auto"/>
                      <w:szCs w:val="21"/>
                    </w:rPr>
                  </w:pPr>
                  <w:r>
                    <w:rPr>
                      <w:b/>
                      <w:bCs/>
                      <w:color w:val="auto"/>
                      <w:szCs w:val="21"/>
                    </w:rPr>
                    <w:t>运行时段</w:t>
                  </w:r>
                </w:p>
              </w:tc>
              <w:tc>
                <w:tcPr>
                  <w:tcW w:w="185" w:type="pct"/>
                  <w:vMerge w:val="restart"/>
                  <w:tcBorders>
                    <w:tl2br w:val="nil"/>
                    <w:tr2bl w:val="nil"/>
                  </w:tcBorders>
                  <w:vAlign w:val="center"/>
                </w:tcPr>
                <w:p w14:paraId="2FD89734">
                  <w:pPr>
                    <w:widowControl/>
                    <w:snapToGrid w:val="0"/>
                    <w:spacing w:line="240" w:lineRule="auto"/>
                    <w:ind w:left="0" w:leftChars="0" w:right="0" w:rightChars="0" w:firstLine="0" w:firstLineChars="0"/>
                    <w:jc w:val="center"/>
                    <w:rPr>
                      <w:b/>
                      <w:color w:val="auto"/>
                      <w:szCs w:val="21"/>
                    </w:rPr>
                  </w:pPr>
                  <w:r>
                    <w:rPr>
                      <w:rFonts w:hint="eastAsia"/>
                      <w:b/>
                      <w:color w:val="auto"/>
                      <w:szCs w:val="21"/>
                    </w:rPr>
                    <w:t>建筑物插入损失</w:t>
                  </w:r>
                </w:p>
              </w:tc>
              <w:tc>
                <w:tcPr>
                  <w:tcW w:w="964" w:type="pct"/>
                  <w:gridSpan w:val="5"/>
                  <w:tcBorders>
                    <w:tl2br w:val="nil"/>
                    <w:tr2bl w:val="nil"/>
                  </w:tcBorders>
                  <w:vAlign w:val="center"/>
                </w:tcPr>
                <w:p w14:paraId="474E877D">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建筑物外噪声</w:t>
                  </w:r>
                </w:p>
              </w:tc>
            </w:tr>
            <w:tr w14:paraId="5B06AA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vMerge w:val="continue"/>
                  <w:tcBorders>
                    <w:tl2br w:val="nil"/>
                    <w:tr2bl w:val="nil"/>
                  </w:tcBorders>
                  <w:vAlign w:val="center"/>
                </w:tcPr>
                <w:p w14:paraId="2F40EF08">
                  <w:pPr>
                    <w:widowControl/>
                    <w:snapToGrid w:val="0"/>
                    <w:spacing w:line="240" w:lineRule="auto"/>
                    <w:ind w:left="0" w:leftChars="0" w:right="0" w:rightChars="0" w:firstLine="0" w:firstLineChars="0"/>
                    <w:jc w:val="center"/>
                    <w:rPr>
                      <w:b/>
                      <w:bCs/>
                      <w:color w:val="auto"/>
                      <w:szCs w:val="21"/>
                    </w:rPr>
                  </w:pPr>
                </w:p>
              </w:tc>
              <w:tc>
                <w:tcPr>
                  <w:tcW w:w="160" w:type="pct"/>
                  <w:vMerge w:val="continue"/>
                  <w:tcBorders>
                    <w:tl2br w:val="nil"/>
                    <w:tr2bl w:val="nil"/>
                  </w:tcBorders>
                  <w:vAlign w:val="center"/>
                </w:tcPr>
                <w:p w14:paraId="7B96124D">
                  <w:pPr>
                    <w:widowControl/>
                    <w:snapToGrid w:val="0"/>
                    <w:spacing w:line="240" w:lineRule="auto"/>
                    <w:ind w:left="0" w:leftChars="0" w:right="0" w:rightChars="0" w:firstLine="0" w:firstLineChars="0"/>
                    <w:jc w:val="center"/>
                    <w:rPr>
                      <w:b/>
                      <w:bCs/>
                      <w:color w:val="auto"/>
                      <w:szCs w:val="21"/>
                    </w:rPr>
                  </w:pPr>
                </w:p>
              </w:tc>
              <w:tc>
                <w:tcPr>
                  <w:tcW w:w="671" w:type="pct"/>
                  <w:vMerge w:val="continue"/>
                  <w:tcBorders>
                    <w:tl2br w:val="nil"/>
                    <w:tr2bl w:val="nil"/>
                  </w:tcBorders>
                  <w:vAlign w:val="center"/>
                </w:tcPr>
                <w:p w14:paraId="07EE7C6C">
                  <w:pPr>
                    <w:widowControl/>
                    <w:snapToGrid w:val="0"/>
                    <w:spacing w:line="240" w:lineRule="auto"/>
                    <w:ind w:left="0" w:leftChars="0" w:right="0" w:rightChars="0" w:firstLine="0" w:firstLineChars="0"/>
                    <w:jc w:val="center"/>
                    <w:rPr>
                      <w:b/>
                      <w:bCs/>
                      <w:color w:val="auto"/>
                      <w:szCs w:val="21"/>
                    </w:rPr>
                  </w:pPr>
                </w:p>
              </w:tc>
              <w:tc>
                <w:tcPr>
                  <w:tcW w:w="351" w:type="pct"/>
                  <w:vMerge w:val="restart"/>
                  <w:tcBorders>
                    <w:tl2br w:val="nil"/>
                    <w:tr2bl w:val="nil"/>
                  </w:tcBorders>
                  <w:vAlign w:val="center"/>
                </w:tcPr>
                <w:p w14:paraId="41635438">
                  <w:pPr>
                    <w:snapToGrid w:val="0"/>
                    <w:spacing w:line="240" w:lineRule="auto"/>
                    <w:ind w:left="0" w:leftChars="0" w:right="0" w:rightChars="0" w:firstLine="0" w:firstLineChars="0"/>
                    <w:jc w:val="center"/>
                    <w:rPr>
                      <w:b/>
                      <w:bCs/>
                      <w:color w:val="auto"/>
                      <w:szCs w:val="21"/>
                    </w:rPr>
                  </w:pPr>
                  <w:r>
                    <w:rPr>
                      <w:b/>
                      <w:bCs/>
                      <w:color w:val="auto"/>
                      <w:szCs w:val="21"/>
                    </w:rPr>
                    <w:t>声</w:t>
                  </w:r>
                  <w:r>
                    <w:rPr>
                      <w:rFonts w:hint="eastAsia"/>
                      <w:b/>
                      <w:bCs/>
                      <w:color w:val="auto"/>
                      <w:szCs w:val="21"/>
                    </w:rPr>
                    <w:t>功率</w:t>
                  </w:r>
                  <w:r>
                    <w:rPr>
                      <w:b/>
                      <w:bCs/>
                      <w:color w:val="auto"/>
                      <w:szCs w:val="21"/>
                    </w:rPr>
                    <w:t>级dB（A）</w:t>
                  </w:r>
                </w:p>
              </w:tc>
              <w:tc>
                <w:tcPr>
                  <w:tcW w:w="183" w:type="pct"/>
                  <w:vMerge w:val="continue"/>
                  <w:tcBorders>
                    <w:tl2br w:val="nil"/>
                    <w:tr2bl w:val="nil"/>
                  </w:tcBorders>
                  <w:vAlign w:val="center"/>
                </w:tcPr>
                <w:p w14:paraId="2EDE22A3">
                  <w:pPr>
                    <w:widowControl/>
                    <w:snapToGrid w:val="0"/>
                    <w:spacing w:line="240" w:lineRule="auto"/>
                    <w:ind w:left="0" w:leftChars="0" w:right="0" w:rightChars="0" w:firstLine="0" w:firstLineChars="0"/>
                    <w:jc w:val="center"/>
                    <w:rPr>
                      <w:b/>
                      <w:bCs/>
                      <w:color w:val="auto"/>
                      <w:szCs w:val="21"/>
                    </w:rPr>
                  </w:pPr>
                </w:p>
              </w:tc>
              <w:tc>
                <w:tcPr>
                  <w:tcW w:w="239" w:type="pct"/>
                  <w:vMerge w:val="restart"/>
                  <w:tcBorders>
                    <w:tl2br w:val="nil"/>
                    <w:tr2bl w:val="nil"/>
                  </w:tcBorders>
                  <w:vAlign w:val="center"/>
                </w:tcPr>
                <w:p w14:paraId="6BC47030">
                  <w:pPr>
                    <w:widowControl/>
                    <w:snapToGrid w:val="0"/>
                    <w:spacing w:line="240" w:lineRule="auto"/>
                    <w:ind w:left="0" w:leftChars="0" w:right="0" w:rightChars="0" w:firstLine="0" w:firstLineChars="0"/>
                    <w:jc w:val="center"/>
                    <w:rPr>
                      <w:b/>
                      <w:bCs/>
                      <w:color w:val="auto"/>
                      <w:szCs w:val="21"/>
                    </w:rPr>
                  </w:pPr>
                  <w:r>
                    <w:rPr>
                      <w:b/>
                      <w:bCs/>
                      <w:color w:val="auto"/>
                      <w:szCs w:val="21"/>
                    </w:rPr>
                    <w:t>X</w:t>
                  </w:r>
                </w:p>
              </w:tc>
              <w:tc>
                <w:tcPr>
                  <w:tcW w:w="190" w:type="pct"/>
                  <w:vMerge w:val="restart"/>
                  <w:tcBorders>
                    <w:tl2br w:val="nil"/>
                    <w:tr2bl w:val="nil"/>
                  </w:tcBorders>
                  <w:vAlign w:val="center"/>
                </w:tcPr>
                <w:p w14:paraId="55E9838F">
                  <w:pPr>
                    <w:widowControl/>
                    <w:snapToGrid w:val="0"/>
                    <w:spacing w:line="240" w:lineRule="auto"/>
                    <w:ind w:left="0" w:leftChars="0" w:right="0" w:rightChars="0" w:firstLine="0" w:firstLineChars="0"/>
                    <w:jc w:val="center"/>
                    <w:rPr>
                      <w:b/>
                      <w:bCs/>
                      <w:color w:val="auto"/>
                      <w:szCs w:val="21"/>
                    </w:rPr>
                  </w:pPr>
                  <w:r>
                    <w:rPr>
                      <w:b/>
                      <w:bCs/>
                      <w:color w:val="auto"/>
                      <w:szCs w:val="21"/>
                    </w:rPr>
                    <w:t>Y</w:t>
                  </w:r>
                </w:p>
              </w:tc>
              <w:tc>
                <w:tcPr>
                  <w:tcW w:w="180" w:type="pct"/>
                  <w:vMerge w:val="restart"/>
                  <w:tcBorders>
                    <w:tl2br w:val="nil"/>
                    <w:tr2bl w:val="nil"/>
                  </w:tcBorders>
                  <w:vAlign w:val="center"/>
                </w:tcPr>
                <w:p w14:paraId="03D11D2A">
                  <w:pPr>
                    <w:widowControl/>
                    <w:snapToGrid w:val="0"/>
                    <w:spacing w:line="240" w:lineRule="auto"/>
                    <w:ind w:left="0" w:leftChars="0" w:right="0" w:rightChars="0" w:firstLine="0" w:firstLineChars="0"/>
                    <w:jc w:val="center"/>
                    <w:rPr>
                      <w:b/>
                      <w:bCs/>
                      <w:color w:val="auto"/>
                      <w:szCs w:val="21"/>
                    </w:rPr>
                  </w:pPr>
                  <w:r>
                    <w:rPr>
                      <w:b/>
                      <w:bCs/>
                      <w:color w:val="auto"/>
                      <w:szCs w:val="21"/>
                    </w:rPr>
                    <w:t>Z</w:t>
                  </w:r>
                </w:p>
              </w:tc>
              <w:tc>
                <w:tcPr>
                  <w:tcW w:w="171" w:type="pct"/>
                  <w:vMerge w:val="restart"/>
                  <w:tcBorders>
                    <w:tl2br w:val="nil"/>
                    <w:tr2bl w:val="nil"/>
                  </w:tcBorders>
                  <w:vAlign w:val="center"/>
                </w:tcPr>
                <w:p w14:paraId="491969E2">
                  <w:pPr>
                    <w:snapToGrid w:val="0"/>
                    <w:spacing w:line="240" w:lineRule="auto"/>
                    <w:ind w:left="0" w:leftChars="0" w:right="0" w:rightChars="0" w:firstLine="0" w:firstLineChars="0"/>
                    <w:jc w:val="center"/>
                    <w:rPr>
                      <w:b/>
                      <w:bCs/>
                      <w:color w:val="auto"/>
                      <w:szCs w:val="21"/>
                    </w:rPr>
                  </w:pPr>
                  <w:r>
                    <w:rPr>
                      <w:rFonts w:hint="eastAsia"/>
                      <w:b/>
                      <w:bCs/>
                      <w:color w:val="auto"/>
                      <w:szCs w:val="21"/>
                    </w:rPr>
                    <w:t>东</w:t>
                  </w:r>
                </w:p>
              </w:tc>
              <w:tc>
                <w:tcPr>
                  <w:tcW w:w="173" w:type="pct"/>
                  <w:vMerge w:val="restart"/>
                  <w:tcBorders>
                    <w:tl2br w:val="nil"/>
                    <w:tr2bl w:val="nil"/>
                  </w:tcBorders>
                  <w:vAlign w:val="center"/>
                </w:tcPr>
                <w:p w14:paraId="073C4BFC">
                  <w:pPr>
                    <w:snapToGrid w:val="0"/>
                    <w:spacing w:line="240" w:lineRule="auto"/>
                    <w:ind w:left="0" w:leftChars="0" w:right="0" w:rightChars="0" w:firstLine="0" w:firstLineChars="0"/>
                    <w:jc w:val="center"/>
                    <w:rPr>
                      <w:b/>
                      <w:bCs/>
                      <w:color w:val="auto"/>
                      <w:szCs w:val="21"/>
                    </w:rPr>
                  </w:pPr>
                  <w:r>
                    <w:rPr>
                      <w:rFonts w:hint="eastAsia"/>
                      <w:b/>
                      <w:bCs/>
                      <w:color w:val="auto"/>
                      <w:szCs w:val="21"/>
                    </w:rPr>
                    <w:t>南</w:t>
                  </w:r>
                </w:p>
              </w:tc>
              <w:tc>
                <w:tcPr>
                  <w:tcW w:w="173" w:type="pct"/>
                  <w:vMerge w:val="restart"/>
                  <w:tcBorders>
                    <w:tl2br w:val="nil"/>
                    <w:tr2bl w:val="nil"/>
                  </w:tcBorders>
                  <w:vAlign w:val="center"/>
                </w:tcPr>
                <w:p w14:paraId="4D90AD00">
                  <w:pPr>
                    <w:snapToGrid w:val="0"/>
                    <w:spacing w:line="240" w:lineRule="auto"/>
                    <w:ind w:left="0" w:leftChars="0" w:right="0" w:rightChars="0" w:firstLine="0" w:firstLineChars="0"/>
                    <w:jc w:val="center"/>
                    <w:rPr>
                      <w:b/>
                      <w:bCs/>
                      <w:color w:val="auto"/>
                      <w:szCs w:val="21"/>
                    </w:rPr>
                  </w:pPr>
                  <w:r>
                    <w:rPr>
                      <w:rFonts w:hint="eastAsia"/>
                      <w:b/>
                      <w:bCs/>
                      <w:color w:val="auto"/>
                      <w:szCs w:val="21"/>
                    </w:rPr>
                    <w:t>西</w:t>
                  </w:r>
                </w:p>
              </w:tc>
              <w:tc>
                <w:tcPr>
                  <w:tcW w:w="174" w:type="pct"/>
                  <w:vMerge w:val="restart"/>
                  <w:tcBorders>
                    <w:tl2br w:val="nil"/>
                    <w:tr2bl w:val="nil"/>
                  </w:tcBorders>
                  <w:vAlign w:val="center"/>
                </w:tcPr>
                <w:p w14:paraId="11751515">
                  <w:pPr>
                    <w:snapToGrid w:val="0"/>
                    <w:spacing w:line="240" w:lineRule="auto"/>
                    <w:ind w:left="0" w:leftChars="0" w:right="0" w:rightChars="0" w:firstLine="0" w:firstLineChars="0"/>
                    <w:jc w:val="center"/>
                    <w:rPr>
                      <w:b/>
                      <w:bCs/>
                      <w:color w:val="auto"/>
                      <w:szCs w:val="21"/>
                    </w:rPr>
                  </w:pPr>
                  <w:r>
                    <w:rPr>
                      <w:rFonts w:hint="eastAsia"/>
                      <w:b/>
                      <w:bCs/>
                      <w:color w:val="auto"/>
                      <w:szCs w:val="21"/>
                    </w:rPr>
                    <w:t>北</w:t>
                  </w:r>
                </w:p>
              </w:tc>
              <w:tc>
                <w:tcPr>
                  <w:tcW w:w="228" w:type="pct"/>
                  <w:vMerge w:val="restart"/>
                  <w:tcBorders>
                    <w:tl2br w:val="nil"/>
                    <w:tr2bl w:val="nil"/>
                  </w:tcBorders>
                  <w:vAlign w:val="center"/>
                </w:tcPr>
                <w:p w14:paraId="1E079F6A">
                  <w:pPr>
                    <w:snapToGrid w:val="0"/>
                    <w:spacing w:line="240" w:lineRule="auto"/>
                    <w:ind w:left="0" w:leftChars="0" w:right="0" w:rightChars="0" w:firstLine="0" w:firstLineChars="0"/>
                    <w:jc w:val="center"/>
                    <w:rPr>
                      <w:b/>
                      <w:bCs/>
                      <w:color w:val="auto"/>
                      <w:szCs w:val="21"/>
                    </w:rPr>
                  </w:pPr>
                  <w:r>
                    <w:rPr>
                      <w:rFonts w:hint="eastAsia"/>
                      <w:b/>
                      <w:bCs/>
                      <w:color w:val="auto"/>
                      <w:szCs w:val="21"/>
                    </w:rPr>
                    <w:t>东</w:t>
                  </w:r>
                </w:p>
              </w:tc>
              <w:tc>
                <w:tcPr>
                  <w:tcW w:w="173" w:type="pct"/>
                  <w:vMerge w:val="restart"/>
                  <w:tcBorders>
                    <w:tl2br w:val="nil"/>
                    <w:tr2bl w:val="nil"/>
                  </w:tcBorders>
                  <w:vAlign w:val="center"/>
                </w:tcPr>
                <w:p w14:paraId="05C47223">
                  <w:pPr>
                    <w:snapToGrid w:val="0"/>
                    <w:spacing w:line="240" w:lineRule="auto"/>
                    <w:ind w:left="0" w:leftChars="0" w:right="0" w:rightChars="0" w:firstLine="0" w:firstLineChars="0"/>
                    <w:jc w:val="center"/>
                    <w:rPr>
                      <w:b/>
                      <w:bCs/>
                      <w:color w:val="auto"/>
                      <w:szCs w:val="21"/>
                    </w:rPr>
                  </w:pPr>
                  <w:r>
                    <w:rPr>
                      <w:rFonts w:hint="eastAsia"/>
                      <w:b/>
                      <w:bCs/>
                      <w:color w:val="auto"/>
                      <w:szCs w:val="21"/>
                    </w:rPr>
                    <w:t>南</w:t>
                  </w:r>
                </w:p>
              </w:tc>
              <w:tc>
                <w:tcPr>
                  <w:tcW w:w="228" w:type="pct"/>
                  <w:vMerge w:val="restart"/>
                  <w:tcBorders>
                    <w:tl2br w:val="nil"/>
                    <w:tr2bl w:val="nil"/>
                  </w:tcBorders>
                  <w:vAlign w:val="center"/>
                </w:tcPr>
                <w:p w14:paraId="01B6745E">
                  <w:pPr>
                    <w:snapToGrid w:val="0"/>
                    <w:spacing w:line="240" w:lineRule="auto"/>
                    <w:ind w:left="0" w:leftChars="0" w:right="0" w:rightChars="0" w:firstLine="0" w:firstLineChars="0"/>
                    <w:jc w:val="center"/>
                    <w:rPr>
                      <w:b/>
                      <w:bCs/>
                      <w:color w:val="auto"/>
                      <w:szCs w:val="21"/>
                    </w:rPr>
                  </w:pPr>
                  <w:r>
                    <w:rPr>
                      <w:rFonts w:hint="eastAsia"/>
                      <w:b/>
                      <w:bCs/>
                      <w:color w:val="auto"/>
                      <w:szCs w:val="21"/>
                    </w:rPr>
                    <w:t>西</w:t>
                  </w:r>
                </w:p>
              </w:tc>
              <w:tc>
                <w:tcPr>
                  <w:tcW w:w="181" w:type="pct"/>
                  <w:vMerge w:val="restart"/>
                  <w:tcBorders>
                    <w:tl2br w:val="nil"/>
                    <w:tr2bl w:val="nil"/>
                  </w:tcBorders>
                  <w:vAlign w:val="center"/>
                </w:tcPr>
                <w:p w14:paraId="3AD71956">
                  <w:pPr>
                    <w:snapToGrid w:val="0"/>
                    <w:spacing w:line="240" w:lineRule="auto"/>
                    <w:ind w:left="0" w:leftChars="0" w:right="0" w:rightChars="0" w:firstLine="0" w:firstLineChars="0"/>
                    <w:jc w:val="center"/>
                    <w:rPr>
                      <w:b/>
                      <w:bCs/>
                      <w:color w:val="auto"/>
                      <w:szCs w:val="21"/>
                    </w:rPr>
                  </w:pPr>
                  <w:r>
                    <w:rPr>
                      <w:rFonts w:hint="eastAsia"/>
                      <w:b/>
                      <w:bCs/>
                      <w:color w:val="auto"/>
                      <w:szCs w:val="21"/>
                    </w:rPr>
                    <w:t>北</w:t>
                  </w:r>
                </w:p>
              </w:tc>
              <w:tc>
                <w:tcPr>
                  <w:tcW w:w="228" w:type="pct"/>
                  <w:vMerge w:val="continue"/>
                  <w:tcBorders>
                    <w:tl2br w:val="nil"/>
                    <w:tr2bl w:val="nil"/>
                  </w:tcBorders>
                  <w:vAlign w:val="center"/>
                </w:tcPr>
                <w:p w14:paraId="5B9F1B6D">
                  <w:pPr>
                    <w:widowControl/>
                    <w:snapToGrid w:val="0"/>
                    <w:spacing w:line="240" w:lineRule="auto"/>
                    <w:ind w:left="0" w:leftChars="0" w:right="0" w:rightChars="0" w:firstLine="0" w:firstLineChars="0"/>
                    <w:jc w:val="center"/>
                    <w:rPr>
                      <w:b/>
                      <w:bCs/>
                      <w:color w:val="auto"/>
                      <w:szCs w:val="21"/>
                    </w:rPr>
                  </w:pPr>
                </w:p>
              </w:tc>
              <w:tc>
                <w:tcPr>
                  <w:tcW w:w="185" w:type="pct"/>
                  <w:vMerge w:val="continue"/>
                  <w:tcBorders>
                    <w:tl2br w:val="nil"/>
                    <w:tr2bl w:val="nil"/>
                  </w:tcBorders>
                  <w:vAlign w:val="center"/>
                </w:tcPr>
                <w:p w14:paraId="0664DB98">
                  <w:pPr>
                    <w:widowControl/>
                    <w:snapToGrid w:val="0"/>
                    <w:spacing w:line="240" w:lineRule="auto"/>
                    <w:ind w:left="0" w:leftChars="0" w:right="0" w:rightChars="0" w:firstLine="0" w:firstLineChars="0"/>
                    <w:jc w:val="center"/>
                    <w:rPr>
                      <w:b/>
                      <w:bCs/>
                      <w:color w:val="auto"/>
                      <w:szCs w:val="21"/>
                    </w:rPr>
                  </w:pPr>
                </w:p>
              </w:tc>
              <w:tc>
                <w:tcPr>
                  <w:tcW w:w="779" w:type="pct"/>
                  <w:gridSpan w:val="4"/>
                  <w:tcBorders>
                    <w:tl2br w:val="nil"/>
                    <w:tr2bl w:val="nil"/>
                  </w:tcBorders>
                  <w:vAlign w:val="center"/>
                </w:tcPr>
                <w:p w14:paraId="316DC214">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声压级</w:t>
                  </w:r>
                </w:p>
              </w:tc>
              <w:tc>
                <w:tcPr>
                  <w:tcW w:w="185" w:type="pct"/>
                  <w:vMerge w:val="restart"/>
                  <w:tcBorders>
                    <w:tl2br w:val="nil"/>
                    <w:tr2bl w:val="nil"/>
                  </w:tcBorders>
                  <w:vAlign w:val="center"/>
                </w:tcPr>
                <w:p w14:paraId="33925387">
                  <w:pPr>
                    <w:snapToGrid w:val="0"/>
                    <w:spacing w:line="240" w:lineRule="auto"/>
                    <w:ind w:left="0" w:leftChars="0" w:right="0" w:rightChars="0" w:firstLine="0" w:firstLineChars="0"/>
                    <w:jc w:val="center"/>
                    <w:rPr>
                      <w:b/>
                      <w:bCs/>
                      <w:color w:val="auto"/>
                      <w:szCs w:val="21"/>
                    </w:rPr>
                  </w:pPr>
                  <w:r>
                    <w:rPr>
                      <w:rFonts w:hint="eastAsia"/>
                      <w:b/>
                      <w:bCs/>
                      <w:color w:val="auto"/>
                      <w:szCs w:val="21"/>
                    </w:rPr>
                    <w:t>建筑物外距离/m</w:t>
                  </w:r>
                </w:p>
              </w:tc>
            </w:tr>
            <w:tr w14:paraId="03BCFC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vMerge w:val="continue"/>
                  <w:tcBorders>
                    <w:tl2br w:val="nil"/>
                    <w:tr2bl w:val="nil"/>
                  </w:tcBorders>
                  <w:vAlign w:val="center"/>
                </w:tcPr>
                <w:p w14:paraId="52660F0E">
                  <w:pPr>
                    <w:widowControl/>
                    <w:snapToGrid w:val="0"/>
                    <w:spacing w:line="240" w:lineRule="auto"/>
                    <w:ind w:left="0" w:leftChars="0" w:right="0" w:rightChars="0" w:firstLine="0" w:firstLineChars="0"/>
                    <w:jc w:val="center"/>
                    <w:rPr>
                      <w:b/>
                      <w:bCs/>
                      <w:color w:val="auto"/>
                      <w:szCs w:val="21"/>
                    </w:rPr>
                  </w:pPr>
                </w:p>
              </w:tc>
              <w:tc>
                <w:tcPr>
                  <w:tcW w:w="160" w:type="pct"/>
                  <w:vMerge w:val="continue"/>
                  <w:tcBorders>
                    <w:tl2br w:val="nil"/>
                    <w:tr2bl w:val="nil"/>
                  </w:tcBorders>
                  <w:vAlign w:val="center"/>
                </w:tcPr>
                <w:p w14:paraId="574C755D">
                  <w:pPr>
                    <w:widowControl/>
                    <w:snapToGrid w:val="0"/>
                    <w:spacing w:line="240" w:lineRule="auto"/>
                    <w:ind w:left="0" w:leftChars="0" w:right="0" w:rightChars="0" w:firstLine="0" w:firstLineChars="0"/>
                    <w:jc w:val="center"/>
                    <w:rPr>
                      <w:b/>
                      <w:bCs/>
                      <w:color w:val="auto"/>
                      <w:szCs w:val="21"/>
                    </w:rPr>
                  </w:pPr>
                </w:p>
              </w:tc>
              <w:tc>
                <w:tcPr>
                  <w:tcW w:w="671" w:type="pct"/>
                  <w:vMerge w:val="continue"/>
                  <w:tcBorders>
                    <w:tl2br w:val="nil"/>
                    <w:tr2bl w:val="nil"/>
                  </w:tcBorders>
                  <w:vAlign w:val="center"/>
                </w:tcPr>
                <w:p w14:paraId="5A8D8765">
                  <w:pPr>
                    <w:widowControl/>
                    <w:snapToGrid w:val="0"/>
                    <w:spacing w:line="240" w:lineRule="auto"/>
                    <w:ind w:left="0" w:leftChars="0" w:right="0" w:rightChars="0" w:firstLine="0" w:firstLineChars="0"/>
                    <w:jc w:val="center"/>
                    <w:rPr>
                      <w:b/>
                      <w:bCs/>
                      <w:color w:val="auto"/>
                      <w:szCs w:val="21"/>
                    </w:rPr>
                  </w:pPr>
                </w:p>
              </w:tc>
              <w:tc>
                <w:tcPr>
                  <w:tcW w:w="351" w:type="pct"/>
                  <w:vMerge w:val="continue"/>
                  <w:tcBorders>
                    <w:tl2br w:val="nil"/>
                    <w:tr2bl w:val="nil"/>
                  </w:tcBorders>
                  <w:vAlign w:val="center"/>
                </w:tcPr>
                <w:p w14:paraId="7025C919">
                  <w:pPr>
                    <w:widowControl/>
                    <w:snapToGrid w:val="0"/>
                    <w:spacing w:line="240" w:lineRule="auto"/>
                    <w:ind w:left="0" w:leftChars="0" w:right="0" w:rightChars="0" w:firstLine="0" w:firstLineChars="0"/>
                    <w:jc w:val="center"/>
                    <w:rPr>
                      <w:b/>
                      <w:bCs/>
                      <w:color w:val="auto"/>
                      <w:szCs w:val="21"/>
                    </w:rPr>
                  </w:pPr>
                </w:p>
              </w:tc>
              <w:tc>
                <w:tcPr>
                  <w:tcW w:w="183" w:type="pct"/>
                  <w:vMerge w:val="continue"/>
                  <w:tcBorders>
                    <w:tl2br w:val="nil"/>
                    <w:tr2bl w:val="nil"/>
                  </w:tcBorders>
                  <w:vAlign w:val="center"/>
                </w:tcPr>
                <w:p w14:paraId="208FA999">
                  <w:pPr>
                    <w:widowControl/>
                    <w:snapToGrid w:val="0"/>
                    <w:spacing w:line="240" w:lineRule="auto"/>
                    <w:ind w:left="0" w:leftChars="0" w:right="0" w:rightChars="0" w:firstLine="0" w:firstLineChars="0"/>
                    <w:jc w:val="center"/>
                    <w:rPr>
                      <w:b/>
                      <w:bCs/>
                      <w:color w:val="auto"/>
                      <w:szCs w:val="21"/>
                    </w:rPr>
                  </w:pPr>
                </w:p>
              </w:tc>
              <w:tc>
                <w:tcPr>
                  <w:tcW w:w="239" w:type="pct"/>
                  <w:vMerge w:val="continue"/>
                  <w:tcBorders>
                    <w:tl2br w:val="nil"/>
                    <w:tr2bl w:val="nil"/>
                  </w:tcBorders>
                  <w:vAlign w:val="center"/>
                </w:tcPr>
                <w:p w14:paraId="11D4F866">
                  <w:pPr>
                    <w:widowControl/>
                    <w:snapToGrid w:val="0"/>
                    <w:spacing w:line="240" w:lineRule="auto"/>
                    <w:ind w:left="0" w:leftChars="0" w:right="0" w:rightChars="0" w:firstLine="0" w:firstLineChars="0"/>
                    <w:jc w:val="center"/>
                    <w:rPr>
                      <w:b/>
                      <w:bCs/>
                      <w:color w:val="auto"/>
                      <w:szCs w:val="21"/>
                    </w:rPr>
                  </w:pPr>
                </w:p>
              </w:tc>
              <w:tc>
                <w:tcPr>
                  <w:tcW w:w="190" w:type="pct"/>
                  <w:vMerge w:val="continue"/>
                  <w:tcBorders>
                    <w:tl2br w:val="nil"/>
                    <w:tr2bl w:val="nil"/>
                  </w:tcBorders>
                  <w:vAlign w:val="center"/>
                </w:tcPr>
                <w:p w14:paraId="27E59357">
                  <w:pPr>
                    <w:widowControl/>
                    <w:snapToGrid w:val="0"/>
                    <w:spacing w:line="240" w:lineRule="auto"/>
                    <w:ind w:left="0" w:leftChars="0" w:right="0" w:rightChars="0" w:firstLine="0" w:firstLineChars="0"/>
                    <w:jc w:val="center"/>
                    <w:rPr>
                      <w:b/>
                      <w:bCs/>
                      <w:color w:val="auto"/>
                      <w:szCs w:val="21"/>
                    </w:rPr>
                  </w:pPr>
                </w:p>
              </w:tc>
              <w:tc>
                <w:tcPr>
                  <w:tcW w:w="180" w:type="pct"/>
                  <w:vMerge w:val="continue"/>
                  <w:tcBorders>
                    <w:tl2br w:val="nil"/>
                    <w:tr2bl w:val="nil"/>
                  </w:tcBorders>
                  <w:vAlign w:val="center"/>
                </w:tcPr>
                <w:p w14:paraId="7D4D498A">
                  <w:pPr>
                    <w:widowControl/>
                    <w:snapToGrid w:val="0"/>
                    <w:spacing w:line="240" w:lineRule="auto"/>
                    <w:ind w:left="0" w:leftChars="0" w:right="0" w:rightChars="0" w:firstLine="0" w:firstLineChars="0"/>
                    <w:jc w:val="center"/>
                    <w:rPr>
                      <w:b/>
                      <w:bCs/>
                      <w:color w:val="auto"/>
                      <w:szCs w:val="21"/>
                    </w:rPr>
                  </w:pPr>
                </w:p>
              </w:tc>
              <w:tc>
                <w:tcPr>
                  <w:tcW w:w="171" w:type="pct"/>
                  <w:vMerge w:val="continue"/>
                  <w:tcBorders>
                    <w:tl2br w:val="nil"/>
                    <w:tr2bl w:val="nil"/>
                  </w:tcBorders>
                  <w:vAlign w:val="center"/>
                </w:tcPr>
                <w:p w14:paraId="64770805">
                  <w:pPr>
                    <w:snapToGrid w:val="0"/>
                    <w:spacing w:line="240" w:lineRule="auto"/>
                    <w:ind w:left="0" w:leftChars="0" w:right="0" w:rightChars="0" w:firstLine="0" w:firstLineChars="0"/>
                    <w:jc w:val="center"/>
                    <w:rPr>
                      <w:b/>
                      <w:bCs/>
                      <w:color w:val="auto"/>
                      <w:szCs w:val="21"/>
                    </w:rPr>
                  </w:pPr>
                </w:p>
              </w:tc>
              <w:tc>
                <w:tcPr>
                  <w:tcW w:w="173" w:type="pct"/>
                  <w:vMerge w:val="continue"/>
                  <w:tcBorders>
                    <w:tl2br w:val="nil"/>
                    <w:tr2bl w:val="nil"/>
                  </w:tcBorders>
                  <w:vAlign w:val="center"/>
                </w:tcPr>
                <w:p w14:paraId="76418814">
                  <w:pPr>
                    <w:snapToGrid w:val="0"/>
                    <w:spacing w:line="240" w:lineRule="auto"/>
                    <w:ind w:left="0" w:leftChars="0" w:right="0" w:rightChars="0" w:firstLine="0" w:firstLineChars="0"/>
                    <w:jc w:val="center"/>
                    <w:rPr>
                      <w:b/>
                      <w:bCs/>
                      <w:color w:val="auto"/>
                      <w:szCs w:val="21"/>
                    </w:rPr>
                  </w:pPr>
                </w:p>
              </w:tc>
              <w:tc>
                <w:tcPr>
                  <w:tcW w:w="173" w:type="pct"/>
                  <w:vMerge w:val="continue"/>
                  <w:tcBorders>
                    <w:tl2br w:val="nil"/>
                    <w:tr2bl w:val="nil"/>
                  </w:tcBorders>
                  <w:vAlign w:val="center"/>
                </w:tcPr>
                <w:p w14:paraId="56786BF7">
                  <w:pPr>
                    <w:snapToGrid w:val="0"/>
                    <w:spacing w:line="240" w:lineRule="auto"/>
                    <w:ind w:left="0" w:leftChars="0" w:right="0" w:rightChars="0" w:firstLine="0" w:firstLineChars="0"/>
                    <w:jc w:val="center"/>
                    <w:rPr>
                      <w:b/>
                      <w:bCs/>
                      <w:color w:val="auto"/>
                      <w:szCs w:val="21"/>
                    </w:rPr>
                  </w:pPr>
                </w:p>
              </w:tc>
              <w:tc>
                <w:tcPr>
                  <w:tcW w:w="174" w:type="pct"/>
                  <w:vMerge w:val="continue"/>
                  <w:tcBorders>
                    <w:tl2br w:val="nil"/>
                    <w:tr2bl w:val="nil"/>
                  </w:tcBorders>
                  <w:vAlign w:val="center"/>
                </w:tcPr>
                <w:p w14:paraId="66A8026C">
                  <w:pPr>
                    <w:snapToGrid w:val="0"/>
                    <w:spacing w:line="240" w:lineRule="auto"/>
                    <w:ind w:left="0" w:leftChars="0" w:right="0" w:rightChars="0" w:firstLine="0" w:firstLineChars="0"/>
                    <w:jc w:val="center"/>
                    <w:rPr>
                      <w:b/>
                      <w:bCs/>
                      <w:color w:val="auto"/>
                      <w:szCs w:val="21"/>
                    </w:rPr>
                  </w:pPr>
                </w:p>
              </w:tc>
              <w:tc>
                <w:tcPr>
                  <w:tcW w:w="228" w:type="pct"/>
                  <w:vMerge w:val="continue"/>
                  <w:tcBorders>
                    <w:tl2br w:val="nil"/>
                    <w:tr2bl w:val="nil"/>
                  </w:tcBorders>
                  <w:vAlign w:val="center"/>
                </w:tcPr>
                <w:p w14:paraId="2DCD2B9B">
                  <w:pPr>
                    <w:snapToGrid w:val="0"/>
                    <w:spacing w:line="240" w:lineRule="auto"/>
                    <w:ind w:left="0" w:leftChars="0" w:right="0" w:rightChars="0" w:firstLine="0" w:firstLineChars="0"/>
                    <w:jc w:val="center"/>
                    <w:rPr>
                      <w:b/>
                      <w:bCs/>
                      <w:color w:val="auto"/>
                      <w:szCs w:val="21"/>
                    </w:rPr>
                  </w:pPr>
                </w:p>
              </w:tc>
              <w:tc>
                <w:tcPr>
                  <w:tcW w:w="173" w:type="pct"/>
                  <w:vMerge w:val="continue"/>
                  <w:tcBorders>
                    <w:tl2br w:val="nil"/>
                    <w:tr2bl w:val="nil"/>
                  </w:tcBorders>
                  <w:vAlign w:val="center"/>
                </w:tcPr>
                <w:p w14:paraId="41523526">
                  <w:pPr>
                    <w:snapToGrid w:val="0"/>
                    <w:spacing w:line="240" w:lineRule="auto"/>
                    <w:ind w:left="0" w:leftChars="0" w:right="0" w:rightChars="0" w:firstLine="0" w:firstLineChars="0"/>
                    <w:jc w:val="center"/>
                    <w:rPr>
                      <w:b/>
                      <w:bCs/>
                      <w:color w:val="auto"/>
                      <w:szCs w:val="21"/>
                    </w:rPr>
                  </w:pPr>
                </w:p>
              </w:tc>
              <w:tc>
                <w:tcPr>
                  <w:tcW w:w="228" w:type="pct"/>
                  <w:vMerge w:val="continue"/>
                  <w:tcBorders>
                    <w:tl2br w:val="nil"/>
                    <w:tr2bl w:val="nil"/>
                  </w:tcBorders>
                  <w:vAlign w:val="center"/>
                </w:tcPr>
                <w:p w14:paraId="3D1EEDE7">
                  <w:pPr>
                    <w:snapToGrid w:val="0"/>
                    <w:spacing w:line="240" w:lineRule="auto"/>
                    <w:ind w:left="0" w:leftChars="0" w:right="0" w:rightChars="0" w:firstLine="0" w:firstLineChars="0"/>
                    <w:jc w:val="center"/>
                    <w:rPr>
                      <w:b/>
                      <w:bCs/>
                      <w:color w:val="auto"/>
                      <w:szCs w:val="21"/>
                    </w:rPr>
                  </w:pPr>
                </w:p>
              </w:tc>
              <w:tc>
                <w:tcPr>
                  <w:tcW w:w="181" w:type="pct"/>
                  <w:vMerge w:val="continue"/>
                  <w:tcBorders>
                    <w:tl2br w:val="nil"/>
                    <w:tr2bl w:val="nil"/>
                  </w:tcBorders>
                  <w:vAlign w:val="center"/>
                </w:tcPr>
                <w:p w14:paraId="4F5D52CA">
                  <w:pPr>
                    <w:snapToGrid w:val="0"/>
                    <w:spacing w:line="240" w:lineRule="auto"/>
                    <w:ind w:left="0" w:leftChars="0" w:right="0" w:rightChars="0" w:firstLine="0" w:firstLineChars="0"/>
                    <w:jc w:val="center"/>
                    <w:rPr>
                      <w:b/>
                      <w:bCs/>
                      <w:color w:val="auto"/>
                      <w:szCs w:val="21"/>
                    </w:rPr>
                  </w:pPr>
                </w:p>
              </w:tc>
              <w:tc>
                <w:tcPr>
                  <w:tcW w:w="228" w:type="pct"/>
                  <w:vMerge w:val="continue"/>
                  <w:tcBorders>
                    <w:tl2br w:val="nil"/>
                    <w:tr2bl w:val="nil"/>
                  </w:tcBorders>
                  <w:vAlign w:val="center"/>
                </w:tcPr>
                <w:p w14:paraId="0EB9EF9E">
                  <w:pPr>
                    <w:widowControl/>
                    <w:snapToGrid w:val="0"/>
                    <w:spacing w:line="240" w:lineRule="auto"/>
                    <w:ind w:left="0" w:leftChars="0" w:right="0" w:rightChars="0" w:firstLine="0" w:firstLineChars="0"/>
                    <w:jc w:val="center"/>
                    <w:rPr>
                      <w:b/>
                      <w:bCs/>
                      <w:color w:val="auto"/>
                      <w:szCs w:val="21"/>
                    </w:rPr>
                  </w:pPr>
                </w:p>
              </w:tc>
              <w:tc>
                <w:tcPr>
                  <w:tcW w:w="185" w:type="pct"/>
                  <w:vMerge w:val="continue"/>
                  <w:tcBorders>
                    <w:tl2br w:val="nil"/>
                    <w:tr2bl w:val="nil"/>
                  </w:tcBorders>
                  <w:vAlign w:val="center"/>
                </w:tcPr>
                <w:p w14:paraId="4C8F7244">
                  <w:pPr>
                    <w:widowControl/>
                    <w:snapToGrid w:val="0"/>
                    <w:spacing w:line="240" w:lineRule="auto"/>
                    <w:ind w:left="0" w:leftChars="0" w:right="0" w:rightChars="0" w:firstLine="0" w:firstLineChars="0"/>
                    <w:jc w:val="center"/>
                    <w:rPr>
                      <w:b/>
                      <w:bCs/>
                      <w:color w:val="auto"/>
                      <w:szCs w:val="21"/>
                    </w:rPr>
                  </w:pPr>
                </w:p>
              </w:tc>
              <w:tc>
                <w:tcPr>
                  <w:tcW w:w="178" w:type="pct"/>
                  <w:tcBorders>
                    <w:tl2br w:val="nil"/>
                    <w:tr2bl w:val="nil"/>
                  </w:tcBorders>
                  <w:vAlign w:val="center"/>
                </w:tcPr>
                <w:p w14:paraId="38023FF1">
                  <w:pPr>
                    <w:snapToGrid w:val="0"/>
                    <w:spacing w:line="240" w:lineRule="auto"/>
                    <w:ind w:left="0" w:leftChars="0" w:right="0" w:rightChars="0" w:firstLine="0" w:firstLineChars="0"/>
                    <w:jc w:val="center"/>
                    <w:rPr>
                      <w:b/>
                      <w:bCs/>
                      <w:color w:val="auto"/>
                      <w:szCs w:val="21"/>
                    </w:rPr>
                  </w:pPr>
                  <w:r>
                    <w:rPr>
                      <w:rFonts w:hint="eastAsia"/>
                      <w:b/>
                      <w:bCs/>
                      <w:color w:val="auto"/>
                      <w:szCs w:val="21"/>
                    </w:rPr>
                    <w:t>东</w:t>
                  </w:r>
                </w:p>
              </w:tc>
              <w:tc>
                <w:tcPr>
                  <w:tcW w:w="191" w:type="pct"/>
                  <w:tcBorders>
                    <w:tl2br w:val="nil"/>
                    <w:tr2bl w:val="nil"/>
                  </w:tcBorders>
                  <w:vAlign w:val="center"/>
                </w:tcPr>
                <w:p w14:paraId="38FA40B3">
                  <w:pPr>
                    <w:snapToGrid w:val="0"/>
                    <w:spacing w:line="240" w:lineRule="auto"/>
                    <w:ind w:left="0" w:leftChars="0" w:right="0" w:rightChars="0" w:firstLine="0" w:firstLineChars="0"/>
                    <w:jc w:val="center"/>
                    <w:rPr>
                      <w:b/>
                      <w:bCs/>
                      <w:color w:val="auto"/>
                      <w:szCs w:val="21"/>
                    </w:rPr>
                  </w:pPr>
                  <w:r>
                    <w:rPr>
                      <w:rFonts w:hint="eastAsia"/>
                      <w:b/>
                      <w:bCs/>
                      <w:color w:val="auto"/>
                      <w:szCs w:val="21"/>
                    </w:rPr>
                    <w:t>南</w:t>
                  </w:r>
                </w:p>
              </w:tc>
              <w:tc>
                <w:tcPr>
                  <w:tcW w:w="210" w:type="pct"/>
                  <w:tcBorders>
                    <w:tl2br w:val="nil"/>
                    <w:tr2bl w:val="nil"/>
                  </w:tcBorders>
                  <w:vAlign w:val="center"/>
                </w:tcPr>
                <w:p w14:paraId="2129E740">
                  <w:pPr>
                    <w:snapToGrid w:val="0"/>
                    <w:spacing w:line="240" w:lineRule="auto"/>
                    <w:ind w:left="0" w:leftChars="0" w:right="0" w:rightChars="0" w:firstLine="0" w:firstLineChars="0"/>
                    <w:jc w:val="center"/>
                    <w:rPr>
                      <w:b/>
                      <w:bCs/>
                      <w:color w:val="auto"/>
                      <w:szCs w:val="21"/>
                    </w:rPr>
                  </w:pPr>
                  <w:r>
                    <w:rPr>
                      <w:rFonts w:hint="eastAsia"/>
                      <w:b/>
                      <w:bCs/>
                      <w:color w:val="auto"/>
                      <w:szCs w:val="21"/>
                    </w:rPr>
                    <w:t>西</w:t>
                  </w:r>
                </w:p>
              </w:tc>
              <w:tc>
                <w:tcPr>
                  <w:tcW w:w="199" w:type="pct"/>
                  <w:tcBorders>
                    <w:tl2br w:val="nil"/>
                    <w:tr2bl w:val="nil"/>
                  </w:tcBorders>
                  <w:vAlign w:val="center"/>
                </w:tcPr>
                <w:p w14:paraId="21DAC390">
                  <w:pPr>
                    <w:snapToGrid w:val="0"/>
                    <w:spacing w:line="240" w:lineRule="auto"/>
                    <w:ind w:left="0" w:leftChars="0" w:right="0" w:rightChars="0" w:firstLine="0" w:firstLineChars="0"/>
                    <w:jc w:val="center"/>
                    <w:rPr>
                      <w:b/>
                      <w:bCs/>
                      <w:color w:val="auto"/>
                      <w:szCs w:val="21"/>
                    </w:rPr>
                  </w:pPr>
                  <w:r>
                    <w:rPr>
                      <w:rFonts w:hint="eastAsia"/>
                      <w:b/>
                      <w:bCs/>
                      <w:color w:val="auto"/>
                      <w:szCs w:val="21"/>
                    </w:rPr>
                    <w:t>北</w:t>
                  </w:r>
                </w:p>
              </w:tc>
              <w:tc>
                <w:tcPr>
                  <w:tcW w:w="185" w:type="pct"/>
                  <w:vMerge w:val="continue"/>
                  <w:tcBorders>
                    <w:tl2br w:val="nil"/>
                    <w:tr2bl w:val="nil"/>
                  </w:tcBorders>
                  <w:vAlign w:val="center"/>
                </w:tcPr>
                <w:p w14:paraId="39ACD66E">
                  <w:pPr>
                    <w:snapToGrid w:val="0"/>
                    <w:spacing w:line="240" w:lineRule="auto"/>
                    <w:ind w:left="0" w:leftChars="0" w:right="0" w:rightChars="0" w:firstLine="0" w:firstLineChars="0"/>
                    <w:jc w:val="center"/>
                    <w:rPr>
                      <w:b/>
                      <w:bCs/>
                      <w:color w:val="auto"/>
                      <w:szCs w:val="21"/>
                    </w:rPr>
                  </w:pPr>
                </w:p>
              </w:tc>
            </w:tr>
            <w:tr w14:paraId="3FFE35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5F9AFF11">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1</w:t>
                  </w:r>
                </w:p>
              </w:tc>
              <w:tc>
                <w:tcPr>
                  <w:tcW w:w="160" w:type="pct"/>
                  <w:vMerge w:val="restart"/>
                  <w:tcBorders>
                    <w:tl2br w:val="nil"/>
                    <w:tr2bl w:val="nil"/>
                  </w:tcBorders>
                  <w:vAlign w:val="center"/>
                </w:tcPr>
                <w:p w14:paraId="7AB0EA9B">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加</w:t>
                  </w:r>
                </w:p>
                <w:p w14:paraId="32497805">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工</w:t>
                  </w:r>
                </w:p>
                <w:p w14:paraId="0E7424D2">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车</w:t>
                  </w:r>
                </w:p>
                <w:p w14:paraId="58283D9A">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间</w:t>
                  </w:r>
                </w:p>
              </w:tc>
              <w:tc>
                <w:tcPr>
                  <w:tcW w:w="671" w:type="pct"/>
                  <w:tcBorders>
                    <w:tl2br w:val="nil"/>
                    <w:tr2bl w:val="nil"/>
                  </w:tcBorders>
                  <w:vAlign w:val="center"/>
                </w:tcPr>
                <w:p w14:paraId="08633B62">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1#</w:t>
                  </w:r>
                  <w:r>
                    <w:rPr>
                      <w:rFonts w:ascii="Times New Roman" w:hAnsi="Times New Roman" w:cs="Times New Roman"/>
                      <w:color w:val="auto"/>
                      <w:sz w:val="21"/>
                      <w:szCs w:val="21"/>
                    </w:rPr>
                    <w:t>折弯机</w:t>
                  </w:r>
                </w:p>
              </w:tc>
              <w:tc>
                <w:tcPr>
                  <w:tcW w:w="351" w:type="pct"/>
                  <w:tcBorders>
                    <w:tl2br w:val="nil"/>
                    <w:tr2bl w:val="nil"/>
                  </w:tcBorders>
                  <w:vAlign w:val="center"/>
                </w:tcPr>
                <w:p w14:paraId="6C860977">
                  <w:pPr>
                    <w:widowControl/>
                    <w:snapToGrid w:val="0"/>
                    <w:spacing w:line="240" w:lineRule="auto"/>
                    <w:ind w:left="0" w:leftChars="0" w:right="0" w:rightChars="0" w:firstLine="0" w:firstLineChars="0"/>
                    <w:jc w:val="center"/>
                    <w:rPr>
                      <w:rFonts w:hint="default"/>
                      <w:bCs/>
                      <w:color w:val="auto"/>
                      <w:szCs w:val="21"/>
                      <w:lang w:val="en-US" w:eastAsia="zh-CN"/>
                    </w:rPr>
                  </w:pPr>
                  <w:r>
                    <w:rPr>
                      <w:rFonts w:hint="eastAsia"/>
                      <w:bCs/>
                      <w:color w:val="auto"/>
                      <w:szCs w:val="21"/>
                      <w:lang w:val="en-US" w:eastAsia="zh-CN"/>
                    </w:rPr>
                    <w:t>95</w:t>
                  </w:r>
                </w:p>
              </w:tc>
              <w:tc>
                <w:tcPr>
                  <w:tcW w:w="183" w:type="pct"/>
                  <w:vMerge w:val="restart"/>
                  <w:tcBorders>
                    <w:tl2br w:val="nil"/>
                    <w:tr2bl w:val="nil"/>
                  </w:tcBorders>
                  <w:vAlign w:val="center"/>
                </w:tcPr>
                <w:p w14:paraId="6C1270FC">
                  <w:pPr>
                    <w:widowControl/>
                    <w:snapToGrid w:val="0"/>
                    <w:spacing w:line="240" w:lineRule="auto"/>
                    <w:ind w:left="0" w:leftChars="0" w:right="0" w:rightChars="0" w:firstLine="0" w:firstLineChars="0"/>
                    <w:jc w:val="center"/>
                    <w:rPr>
                      <w:bCs/>
                      <w:color w:val="auto"/>
                      <w:szCs w:val="21"/>
                      <w:lang w:eastAsia="zh-CN"/>
                    </w:rPr>
                  </w:pPr>
                  <w:r>
                    <w:rPr>
                      <w:rFonts w:hint="eastAsia"/>
                      <w:color w:val="auto"/>
                      <w:szCs w:val="21"/>
                      <w:lang w:eastAsia="zh-CN"/>
                    </w:rPr>
                    <w:t>低噪声设备、</w:t>
                  </w:r>
                  <w:r>
                    <w:rPr>
                      <w:color w:val="auto"/>
                      <w:szCs w:val="21"/>
                      <w:lang w:eastAsia="zh-CN"/>
                    </w:rPr>
                    <w:t>基础减震、</w:t>
                  </w:r>
                  <w:r>
                    <w:rPr>
                      <w:rFonts w:hint="eastAsia"/>
                      <w:color w:val="auto"/>
                      <w:szCs w:val="21"/>
                      <w:lang w:eastAsia="zh-CN"/>
                    </w:rPr>
                    <w:t>定期维护、</w:t>
                  </w:r>
                  <w:r>
                    <w:rPr>
                      <w:color w:val="auto"/>
                      <w:szCs w:val="21"/>
                      <w:lang w:eastAsia="zh-CN"/>
                    </w:rPr>
                    <w:t>厂房隔声</w:t>
                  </w:r>
                </w:p>
              </w:tc>
              <w:tc>
                <w:tcPr>
                  <w:tcW w:w="239" w:type="pct"/>
                  <w:tcBorders>
                    <w:tl2br w:val="nil"/>
                    <w:tr2bl w:val="nil"/>
                  </w:tcBorders>
                  <w:vAlign w:val="center"/>
                </w:tcPr>
                <w:p w14:paraId="30F706F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19</w:t>
                  </w:r>
                </w:p>
              </w:tc>
              <w:tc>
                <w:tcPr>
                  <w:tcW w:w="190" w:type="pct"/>
                  <w:tcBorders>
                    <w:tl2br w:val="nil"/>
                    <w:tr2bl w:val="nil"/>
                  </w:tcBorders>
                  <w:vAlign w:val="center"/>
                </w:tcPr>
                <w:p w14:paraId="2B0B5B3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32</w:t>
                  </w:r>
                </w:p>
              </w:tc>
              <w:tc>
                <w:tcPr>
                  <w:tcW w:w="180" w:type="pct"/>
                  <w:tcBorders>
                    <w:tl2br w:val="nil"/>
                    <w:tr2bl w:val="nil"/>
                  </w:tcBorders>
                  <w:vAlign w:val="center"/>
                </w:tcPr>
                <w:p w14:paraId="5963738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7C2F287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37</w:t>
                  </w:r>
                </w:p>
              </w:tc>
              <w:tc>
                <w:tcPr>
                  <w:tcW w:w="173" w:type="pct"/>
                  <w:tcBorders>
                    <w:tl2br w:val="nil"/>
                    <w:tr2bl w:val="nil"/>
                  </w:tcBorders>
                  <w:vAlign w:val="center"/>
                </w:tcPr>
                <w:p w14:paraId="0E8E699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32</w:t>
                  </w:r>
                </w:p>
              </w:tc>
              <w:tc>
                <w:tcPr>
                  <w:tcW w:w="173" w:type="pct"/>
                  <w:tcBorders>
                    <w:tl2br w:val="nil"/>
                    <w:tr2bl w:val="nil"/>
                  </w:tcBorders>
                  <w:vAlign w:val="center"/>
                </w:tcPr>
                <w:p w14:paraId="766F624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19</w:t>
                  </w:r>
                </w:p>
              </w:tc>
              <w:tc>
                <w:tcPr>
                  <w:tcW w:w="174" w:type="pct"/>
                  <w:tcBorders>
                    <w:tl2br w:val="nil"/>
                    <w:tr2bl w:val="nil"/>
                  </w:tcBorders>
                  <w:vAlign w:val="center"/>
                </w:tcPr>
                <w:p w14:paraId="05955F9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61</w:t>
                  </w:r>
                </w:p>
              </w:tc>
              <w:tc>
                <w:tcPr>
                  <w:tcW w:w="228" w:type="pct"/>
                  <w:tcBorders>
                    <w:tl2br w:val="nil"/>
                    <w:tr2bl w:val="nil"/>
                  </w:tcBorders>
                  <w:vAlign w:val="center"/>
                </w:tcPr>
                <w:p w14:paraId="1A661597">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66.3 </w:t>
                  </w:r>
                </w:p>
              </w:tc>
              <w:tc>
                <w:tcPr>
                  <w:tcW w:w="173" w:type="pct"/>
                  <w:tcBorders>
                    <w:tl2br w:val="nil"/>
                    <w:tr2bl w:val="nil"/>
                  </w:tcBorders>
                  <w:vAlign w:val="center"/>
                </w:tcPr>
                <w:p w14:paraId="63D6FA0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66.3 </w:t>
                  </w:r>
                </w:p>
              </w:tc>
              <w:tc>
                <w:tcPr>
                  <w:tcW w:w="228" w:type="pct"/>
                  <w:tcBorders>
                    <w:tl2br w:val="nil"/>
                    <w:tr2bl w:val="nil"/>
                  </w:tcBorders>
                  <w:vAlign w:val="center"/>
                </w:tcPr>
                <w:p w14:paraId="1E81D79C">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66.6 </w:t>
                  </w:r>
                </w:p>
              </w:tc>
              <w:tc>
                <w:tcPr>
                  <w:tcW w:w="181" w:type="pct"/>
                  <w:tcBorders>
                    <w:tl2br w:val="nil"/>
                    <w:tr2bl w:val="nil"/>
                  </w:tcBorders>
                  <w:vAlign w:val="center"/>
                </w:tcPr>
                <w:p w14:paraId="015A88CF">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66.2 </w:t>
                  </w:r>
                </w:p>
              </w:tc>
              <w:tc>
                <w:tcPr>
                  <w:tcW w:w="228" w:type="pct"/>
                  <w:tcBorders>
                    <w:tl2br w:val="nil"/>
                    <w:tr2bl w:val="nil"/>
                  </w:tcBorders>
                  <w:vAlign w:val="center"/>
                </w:tcPr>
                <w:p w14:paraId="5F04A581">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restart"/>
                  <w:tcBorders>
                    <w:tl2br w:val="nil"/>
                    <w:tr2bl w:val="nil"/>
                  </w:tcBorders>
                  <w:vAlign w:val="center"/>
                </w:tcPr>
                <w:p w14:paraId="6ACA62E9">
                  <w:pPr>
                    <w:spacing w:line="240" w:lineRule="auto"/>
                    <w:ind w:left="0" w:leftChars="0" w:right="0" w:rightChars="0" w:firstLine="0" w:firstLineChars="0"/>
                    <w:jc w:val="center"/>
                    <w:rPr>
                      <w:rFonts w:eastAsia="等线"/>
                      <w:color w:val="auto"/>
                      <w:szCs w:val="21"/>
                    </w:rPr>
                  </w:pPr>
                  <w:r>
                    <w:rPr>
                      <w:rFonts w:hint="eastAsia" w:eastAsia="等线"/>
                      <w:color w:val="auto"/>
                      <w:szCs w:val="21"/>
                    </w:rPr>
                    <w:t>2</w:t>
                  </w:r>
                  <w:r>
                    <w:rPr>
                      <w:rFonts w:eastAsia="等线"/>
                      <w:color w:val="auto"/>
                      <w:szCs w:val="21"/>
                    </w:rPr>
                    <w:t>6</w:t>
                  </w:r>
                </w:p>
              </w:tc>
              <w:tc>
                <w:tcPr>
                  <w:tcW w:w="178" w:type="pct"/>
                  <w:vMerge w:val="restart"/>
                  <w:tcBorders>
                    <w:tl2br w:val="nil"/>
                    <w:tr2bl w:val="nil"/>
                  </w:tcBorders>
                  <w:vAlign w:val="center"/>
                </w:tcPr>
                <w:p w14:paraId="3CFA1E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eastAsia="等线"/>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47.4 </w:t>
                  </w:r>
                </w:p>
              </w:tc>
              <w:tc>
                <w:tcPr>
                  <w:tcW w:w="191" w:type="pct"/>
                  <w:vMerge w:val="restart"/>
                  <w:tcBorders>
                    <w:tl2br w:val="nil"/>
                    <w:tr2bl w:val="nil"/>
                  </w:tcBorders>
                  <w:vAlign w:val="center"/>
                </w:tcPr>
                <w:p w14:paraId="1029D7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eastAsia="等线"/>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47.4 </w:t>
                  </w:r>
                </w:p>
              </w:tc>
              <w:tc>
                <w:tcPr>
                  <w:tcW w:w="210" w:type="pct"/>
                  <w:vMerge w:val="restart"/>
                  <w:tcBorders>
                    <w:tl2br w:val="nil"/>
                    <w:tr2bl w:val="nil"/>
                  </w:tcBorders>
                  <w:vAlign w:val="center"/>
                </w:tcPr>
                <w:p w14:paraId="040BDD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eastAsia="等线"/>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47.8 </w:t>
                  </w:r>
                </w:p>
              </w:tc>
              <w:tc>
                <w:tcPr>
                  <w:tcW w:w="199" w:type="pct"/>
                  <w:vMerge w:val="restart"/>
                  <w:tcBorders>
                    <w:tl2br w:val="nil"/>
                    <w:tr2bl w:val="nil"/>
                  </w:tcBorders>
                  <w:vAlign w:val="center"/>
                </w:tcPr>
                <w:p w14:paraId="5AB66A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eastAsia="等线"/>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47.3 </w:t>
                  </w:r>
                </w:p>
              </w:tc>
              <w:tc>
                <w:tcPr>
                  <w:tcW w:w="185" w:type="pct"/>
                  <w:vMerge w:val="restart"/>
                  <w:tcBorders>
                    <w:tl2br w:val="nil"/>
                    <w:tr2bl w:val="nil"/>
                  </w:tcBorders>
                  <w:vAlign w:val="center"/>
                </w:tcPr>
                <w:p w14:paraId="73BCEB37">
                  <w:pPr>
                    <w:spacing w:line="240" w:lineRule="auto"/>
                    <w:ind w:left="0" w:leftChars="0" w:right="0" w:rightChars="0" w:firstLine="0" w:firstLineChars="0"/>
                    <w:jc w:val="center"/>
                    <w:rPr>
                      <w:rFonts w:eastAsia="等线"/>
                      <w:color w:val="auto"/>
                      <w:szCs w:val="21"/>
                    </w:rPr>
                  </w:pPr>
                  <w:r>
                    <w:rPr>
                      <w:rFonts w:hint="eastAsia" w:eastAsia="等线"/>
                      <w:color w:val="auto"/>
                      <w:szCs w:val="21"/>
                    </w:rPr>
                    <w:t>1</w:t>
                  </w:r>
                </w:p>
              </w:tc>
            </w:tr>
            <w:tr w14:paraId="72DEBC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0FCB43B1">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2</w:t>
                  </w:r>
                </w:p>
              </w:tc>
              <w:tc>
                <w:tcPr>
                  <w:tcW w:w="160" w:type="pct"/>
                  <w:vMerge w:val="continue"/>
                  <w:tcBorders>
                    <w:tl2br w:val="nil"/>
                    <w:tr2bl w:val="nil"/>
                  </w:tcBorders>
                  <w:vAlign w:val="center"/>
                </w:tcPr>
                <w:p w14:paraId="59571679">
                  <w:pPr>
                    <w:widowControl/>
                    <w:snapToGrid w:val="0"/>
                    <w:spacing w:line="240" w:lineRule="auto"/>
                    <w:ind w:left="0" w:leftChars="0" w:right="0" w:rightChars="0" w:firstLine="0" w:firstLineChars="0"/>
                    <w:jc w:val="center"/>
                    <w:rPr>
                      <w:bCs/>
                      <w:color w:val="auto"/>
                      <w:szCs w:val="21"/>
                      <w:lang w:eastAsia="zh-CN"/>
                    </w:rPr>
                  </w:pPr>
                </w:p>
              </w:tc>
              <w:tc>
                <w:tcPr>
                  <w:tcW w:w="671" w:type="pct"/>
                  <w:tcBorders>
                    <w:tl2br w:val="nil"/>
                    <w:tr2bl w:val="nil"/>
                  </w:tcBorders>
                  <w:vAlign w:val="center"/>
                </w:tcPr>
                <w:p w14:paraId="4E859699">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2#</w:t>
                  </w:r>
                  <w:r>
                    <w:rPr>
                      <w:rFonts w:eastAsia="宋体" w:cs="Times New Roman"/>
                      <w:color w:val="auto"/>
                      <w:szCs w:val="21"/>
                    </w:rPr>
                    <w:t>折弯机</w:t>
                  </w:r>
                </w:p>
              </w:tc>
              <w:tc>
                <w:tcPr>
                  <w:tcW w:w="351" w:type="pct"/>
                  <w:tcBorders>
                    <w:tl2br w:val="nil"/>
                    <w:tr2bl w:val="nil"/>
                  </w:tcBorders>
                  <w:vAlign w:val="center"/>
                </w:tcPr>
                <w:p w14:paraId="1DEC35A1">
                  <w:pPr>
                    <w:keepNext w:val="0"/>
                    <w:keepLines w:val="0"/>
                    <w:pageBreakBefore w:val="0"/>
                    <w:widowControl/>
                    <w:kinsoku/>
                    <w:wordWrap/>
                    <w:overflowPunct/>
                    <w:topLinePunct w:val="0"/>
                    <w:bidi w:val="0"/>
                    <w:adjustRightInd/>
                    <w:snapToGrid w:val="0"/>
                    <w:spacing w:line="240" w:lineRule="auto"/>
                    <w:ind w:left="0" w:leftChars="0" w:right="0" w:rightChars="0" w:firstLine="0" w:firstLineChars="0"/>
                    <w:jc w:val="center"/>
                    <w:textAlignment w:val="auto"/>
                    <w:rPr>
                      <w:rFonts w:hint="default"/>
                      <w:bCs/>
                      <w:color w:val="auto"/>
                      <w:szCs w:val="21"/>
                      <w:lang w:val="en-US"/>
                    </w:rPr>
                  </w:pPr>
                  <w:r>
                    <w:rPr>
                      <w:rFonts w:hint="eastAsia"/>
                      <w:bCs/>
                      <w:color w:val="auto"/>
                      <w:szCs w:val="21"/>
                      <w:lang w:val="en-US" w:eastAsia="zh-CN"/>
                    </w:rPr>
                    <w:t>95</w:t>
                  </w:r>
                </w:p>
              </w:tc>
              <w:tc>
                <w:tcPr>
                  <w:tcW w:w="183" w:type="pct"/>
                  <w:vMerge w:val="continue"/>
                  <w:tcBorders>
                    <w:tl2br w:val="nil"/>
                    <w:tr2bl w:val="nil"/>
                  </w:tcBorders>
                  <w:vAlign w:val="center"/>
                </w:tcPr>
                <w:p w14:paraId="60ED787F">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1684E03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23</w:t>
                  </w:r>
                </w:p>
              </w:tc>
              <w:tc>
                <w:tcPr>
                  <w:tcW w:w="190" w:type="pct"/>
                  <w:tcBorders>
                    <w:tl2br w:val="nil"/>
                    <w:tr2bl w:val="nil"/>
                  </w:tcBorders>
                  <w:vAlign w:val="center"/>
                </w:tcPr>
                <w:p w14:paraId="2353E28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32</w:t>
                  </w:r>
                </w:p>
              </w:tc>
              <w:tc>
                <w:tcPr>
                  <w:tcW w:w="180" w:type="pct"/>
                  <w:tcBorders>
                    <w:tl2br w:val="nil"/>
                    <w:tr2bl w:val="nil"/>
                  </w:tcBorders>
                  <w:vAlign w:val="center"/>
                </w:tcPr>
                <w:p w14:paraId="5C8A6E2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684DB1D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33</w:t>
                  </w:r>
                </w:p>
              </w:tc>
              <w:tc>
                <w:tcPr>
                  <w:tcW w:w="173" w:type="pct"/>
                  <w:tcBorders>
                    <w:tl2br w:val="nil"/>
                    <w:tr2bl w:val="nil"/>
                  </w:tcBorders>
                  <w:vAlign w:val="center"/>
                </w:tcPr>
                <w:p w14:paraId="4CC6256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32</w:t>
                  </w:r>
                </w:p>
              </w:tc>
              <w:tc>
                <w:tcPr>
                  <w:tcW w:w="173" w:type="pct"/>
                  <w:tcBorders>
                    <w:tl2br w:val="nil"/>
                    <w:tr2bl w:val="nil"/>
                  </w:tcBorders>
                  <w:vAlign w:val="center"/>
                </w:tcPr>
                <w:p w14:paraId="6B47144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23</w:t>
                  </w:r>
                </w:p>
              </w:tc>
              <w:tc>
                <w:tcPr>
                  <w:tcW w:w="174" w:type="pct"/>
                  <w:tcBorders>
                    <w:tl2br w:val="nil"/>
                    <w:tr2bl w:val="nil"/>
                  </w:tcBorders>
                  <w:vAlign w:val="center"/>
                </w:tcPr>
                <w:p w14:paraId="79EF8C3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61</w:t>
                  </w:r>
                </w:p>
              </w:tc>
              <w:tc>
                <w:tcPr>
                  <w:tcW w:w="228" w:type="pct"/>
                  <w:tcBorders>
                    <w:tl2br w:val="nil"/>
                    <w:tr2bl w:val="nil"/>
                  </w:tcBorders>
                  <w:vAlign w:val="center"/>
                </w:tcPr>
                <w:p w14:paraId="67F3D14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66.3 </w:t>
                  </w:r>
                </w:p>
              </w:tc>
              <w:tc>
                <w:tcPr>
                  <w:tcW w:w="173" w:type="pct"/>
                  <w:tcBorders>
                    <w:tl2br w:val="nil"/>
                    <w:tr2bl w:val="nil"/>
                  </w:tcBorders>
                  <w:vAlign w:val="center"/>
                </w:tcPr>
                <w:p w14:paraId="0864A634">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66.3 </w:t>
                  </w:r>
                </w:p>
              </w:tc>
              <w:tc>
                <w:tcPr>
                  <w:tcW w:w="228" w:type="pct"/>
                  <w:tcBorders>
                    <w:tl2br w:val="nil"/>
                    <w:tr2bl w:val="nil"/>
                  </w:tcBorders>
                  <w:vAlign w:val="center"/>
                </w:tcPr>
                <w:p w14:paraId="7627C5E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66.4 </w:t>
                  </w:r>
                </w:p>
              </w:tc>
              <w:tc>
                <w:tcPr>
                  <w:tcW w:w="181" w:type="pct"/>
                  <w:tcBorders>
                    <w:tl2br w:val="nil"/>
                    <w:tr2bl w:val="nil"/>
                  </w:tcBorders>
                  <w:vAlign w:val="center"/>
                </w:tcPr>
                <w:p w14:paraId="6FE985F4">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66.2 </w:t>
                  </w:r>
                </w:p>
              </w:tc>
              <w:tc>
                <w:tcPr>
                  <w:tcW w:w="228" w:type="pct"/>
                  <w:tcBorders>
                    <w:tl2br w:val="nil"/>
                    <w:tr2bl w:val="nil"/>
                  </w:tcBorders>
                  <w:vAlign w:val="center"/>
                </w:tcPr>
                <w:p w14:paraId="25EC0DC7">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2D4E8099">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29F981F5">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10FBBB2F">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56E8E9F1">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7AC210FF">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0FE6E6AA">
                  <w:pPr>
                    <w:spacing w:line="240" w:lineRule="auto"/>
                    <w:ind w:left="0" w:leftChars="0" w:right="0" w:rightChars="0" w:firstLine="0" w:firstLineChars="0"/>
                    <w:jc w:val="center"/>
                    <w:rPr>
                      <w:rFonts w:eastAsia="等线"/>
                      <w:color w:val="auto"/>
                      <w:szCs w:val="21"/>
                    </w:rPr>
                  </w:pPr>
                </w:p>
              </w:tc>
            </w:tr>
            <w:tr w14:paraId="3529C6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7FAB8C23">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3</w:t>
                  </w:r>
                </w:p>
              </w:tc>
              <w:tc>
                <w:tcPr>
                  <w:tcW w:w="160" w:type="pct"/>
                  <w:vMerge w:val="continue"/>
                  <w:tcBorders>
                    <w:tl2br w:val="nil"/>
                    <w:tr2bl w:val="nil"/>
                  </w:tcBorders>
                  <w:vAlign w:val="center"/>
                </w:tcPr>
                <w:p w14:paraId="3F1F0AD4">
                  <w:pPr>
                    <w:widowControl/>
                    <w:snapToGrid w:val="0"/>
                    <w:spacing w:line="240" w:lineRule="auto"/>
                    <w:ind w:left="0" w:leftChars="0" w:right="0" w:rightChars="0" w:firstLine="0" w:firstLineChars="0"/>
                    <w:jc w:val="center"/>
                    <w:rPr>
                      <w:bCs/>
                      <w:color w:val="auto"/>
                      <w:szCs w:val="21"/>
                      <w:lang w:eastAsia="zh-CN"/>
                    </w:rPr>
                  </w:pPr>
                </w:p>
              </w:tc>
              <w:tc>
                <w:tcPr>
                  <w:tcW w:w="671" w:type="pct"/>
                  <w:tcBorders>
                    <w:tl2br w:val="nil"/>
                    <w:tr2bl w:val="nil"/>
                  </w:tcBorders>
                  <w:vAlign w:val="center"/>
                </w:tcPr>
                <w:p w14:paraId="1F5CF31B">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3#</w:t>
                  </w:r>
                  <w:r>
                    <w:rPr>
                      <w:rFonts w:eastAsia="宋体" w:cs="Times New Roman"/>
                      <w:color w:val="auto"/>
                      <w:szCs w:val="21"/>
                    </w:rPr>
                    <w:t>折弯机</w:t>
                  </w:r>
                </w:p>
              </w:tc>
              <w:tc>
                <w:tcPr>
                  <w:tcW w:w="351" w:type="pct"/>
                  <w:tcBorders>
                    <w:tl2br w:val="nil"/>
                    <w:tr2bl w:val="nil"/>
                  </w:tcBorders>
                  <w:vAlign w:val="center"/>
                </w:tcPr>
                <w:p w14:paraId="7A206B3F">
                  <w:pPr>
                    <w:keepNext w:val="0"/>
                    <w:keepLines w:val="0"/>
                    <w:pageBreakBefore w:val="0"/>
                    <w:widowControl/>
                    <w:kinsoku/>
                    <w:wordWrap/>
                    <w:overflowPunct/>
                    <w:topLinePunct w:val="0"/>
                    <w:bidi w:val="0"/>
                    <w:adjustRightInd/>
                    <w:snapToGrid w:val="0"/>
                    <w:spacing w:line="240" w:lineRule="auto"/>
                    <w:ind w:left="0" w:leftChars="0" w:right="0" w:rightChars="0" w:firstLine="0" w:firstLineChars="0"/>
                    <w:jc w:val="center"/>
                    <w:textAlignment w:val="auto"/>
                    <w:rPr>
                      <w:rFonts w:hint="default"/>
                      <w:bCs/>
                      <w:color w:val="auto"/>
                      <w:szCs w:val="21"/>
                      <w:lang w:val="en-US"/>
                    </w:rPr>
                  </w:pPr>
                  <w:r>
                    <w:rPr>
                      <w:rFonts w:hint="eastAsia"/>
                      <w:bCs/>
                      <w:color w:val="auto"/>
                      <w:szCs w:val="21"/>
                      <w:lang w:val="en-US" w:eastAsia="zh-CN"/>
                    </w:rPr>
                    <w:t>95</w:t>
                  </w:r>
                </w:p>
              </w:tc>
              <w:tc>
                <w:tcPr>
                  <w:tcW w:w="183" w:type="pct"/>
                  <w:vMerge w:val="continue"/>
                  <w:tcBorders>
                    <w:tl2br w:val="nil"/>
                    <w:tr2bl w:val="nil"/>
                  </w:tcBorders>
                  <w:vAlign w:val="center"/>
                </w:tcPr>
                <w:p w14:paraId="0418F574">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3113616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27</w:t>
                  </w:r>
                </w:p>
              </w:tc>
              <w:tc>
                <w:tcPr>
                  <w:tcW w:w="190" w:type="pct"/>
                  <w:tcBorders>
                    <w:tl2br w:val="nil"/>
                    <w:tr2bl w:val="nil"/>
                  </w:tcBorders>
                  <w:vAlign w:val="center"/>
                </w:tcPr>
                <w:p w14:paraId="70EB651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32</w:t>
                  </w:r>
                </w:p>
              </w:tc>
              <w:tc>
                <w:tcPr>
                  <w:tcW w:w="180" w:type="pct"/>
                  <w:tcBorders>
                    <w:tl2br w:val="nil"/>
                    <w:tr2bl w:val="nil"/>
                  </w:tcBorders>
                  <w:vAlign w:val="center"/>
                </w:tcPr>
                <w:p w14:paraId="310D6DD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7667871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29</w:t>
                  </w:r>
                </w:p>
              </w:tc>
              <w:tc>
                <w:tcPr>
                  <w:tcW w:w="173" w:type="pct"/>
                  <w:tcBorders>
                    <w:tl2br w:val="nil"/>
                    <w:tr2bl w:val="nil"/>
                  </w:tcBorders>
                  <w:vAlign w:val="center"/>
                </w:tcPr>
                <w:p w14:paraId="38F1CCD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32</w:t>
                  </w:r>
                </w:p>
              </w:tc>
              <w:tc>
                <w:tcPr>
                  <w:tcW w:w="173" w:type="pct"/>
                  <w:tcBorders>
                    <w:tl2br w:val="nil"/>
                    <w:tr2bl w:val="nil"/>
                  </w:tcBorders>
                  <w:vAlign w:val="center"/>
                </w:tcPr>
                <w:p w14:paraId="5A1CCD4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27</w:t>
                  </w:r>
                </w:p>
              </w:tc>
              <w:tc>
                <w:tcPr>
                  <w:tcW w:w="174" w:type="pct"/>
                  <w:tcBorders>
                    <w:tl2br w:val="nil"/>
                    <w:tr2bl w:val="nil"/>
                  </w:tcBorders>
                  <w:vAlign w:val="center"/>
                </w:tcPr>
                <w:p w14:paraId="7A27751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61</w:t>
                  </w:r>
                </w:p>
              </w:tc>
              <w:tc>
                <w:tcPr>
                  <w:tcW w:w="228" w:type="pct"/>
                  <w:tcBorders>
                    <w:tl2br w:val="nil"/>
                    <w:tr2bl w:val="nil"/>
                  </w:tcBorders>
                  <w:vAlign w:val="center"/>
                </w:tcPr>
                <w:p w14:paraId="09B1FBE2">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66.3 </w:t>
                  </w:r>
                </w:p>
              </w:tc>
              <w:tc>
                <w:tcPr>
                  <w:tcW w:w="173" w:type="pct"/>
                  <w:tcBorders>
                    <w:tl2br w:val="nil"/>
                    <w:tr2bl w:val="nil"/>
                  </w:tcBorders>
                  <w:vAlign w:val="center"/>
                </w:tcPr>
                <w:p w14:paraId="4FBFA07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66.3 </w:t>
                  </w:r>
                </w:p>
              </w:tc>
              <w:tc>
                <w:tcPr>
                  <w:tcW w:w="228" w:type="pct"/>
                  <w:tcBorders>
                    <w:tl2br w:val="nil"/>
                    <w:tr2bl w:val="nil"/>
                  </w:tcBorders>
                  <w:vAlign w:val="center"/>
                </w:tcPr>
                <w:p w14:paraId="75C2EBE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66.4 </w:t>
                  </w:r>
                </w:p>
              </w:tc>
              <w:tc>
                <w:tcPr>
                  <w:tcW w:w="181" w:type="pct"/>
                  <w:tcBorders>
                    <w:tl2br w:val="nil"/>
                    <w:tr2bl w:val="nil"/>
                  </w:tcBorders>
                  <w:vAlign w:val="center"/>
                </w:tcPr>
                <w:p w14:paraId="174CA639">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66.2 </w:t>
                  </w:r>
                </w:p>
              </w:tc>
              <w:tc>
                <w:tcPr>
                  <w:tcW w:w="228" w:type="pct"/>
                  <w:tcBorders>
                    <w:tl2br w:val="nil"/>
                    <w:tr2bl w:val="nil"/>
                  </w:tcBorders>
                  <w:vAlign w:val="center"/>
                </w:tcPr>
                <w:p w14:paraId="50947049">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40F7E17D">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35793594">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1BC28551">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10272DB9">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0C132B47">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2CF30D8A">
                  <w:pPr>
                    <w:spacing w:line="240" w:lineRule="auto"/>
                    <w:ind w:left="0" w:leftChars="0" w:right="0" w:rightChars="0" w:firstLine="0" w:firstLineChars="0"/>
                    <w:jc w:val="center"/>
                    <w:rPr>
                      <w:rFonts w:eastAsia="等线"/>
                      <w:color w:val="auto"/>
                      <w:szCs w:val="21"/>
                    </w:rPr>
                  </w:pPr>
                </w:p>
              </w:tc>
            </w:tr>
            <w:tr w14:paraId="68EEE4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2E9D140F">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4</w:t>
                  </w:r>
                </w:p>
              </w:tc>
              <w:tc>
                <w:tcPr>
                  <w:tcW w:w="160" w:type="pct"/>
                  <w:vMerge w:val="continue"/>
                  <w:tcBorders>
                    <w:tl2br w:val="nil"/>
                    <w:tr2bl w:val="nil"/>
                  </w:tcBorders>
                  <w:vAlign w:val="center"/>
                </w:tcPr>
                <w:p w14:paraId="5DF1B0EB">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203848EF">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剪板机</w:t>
                  </w:r>
                </w:p>
              </w:tc>
              <w:tc>
                <w:tcPr>
                  <w:tcW w:w="351" w:type="pct"/>
                  <w:tcBorders>
                    <w:tl2br w:val="nil"/>
                    <w:tr2bl w:val="nil"/>
                  </w:tcBorders>
                  <w:vAlign w:val="center"/>
                </w:tcPr>
                <w:p w14:paraId="4DC3C3AE">
                  <w:pPr>
                    <w:widowControl/>
                    <w:snapToGrid w:val="0"/>
                    <w:spacing w:line="240" w:lineRule="auto"/>
                    <w:ind w:left="0" w:leftChars="0" w:right="0" w:rightChars="0" w:firstLine="0" w:firstLineChars="0"/>
                    <w:jc w:val="center"/>
                    <w:rPr>
                      <w:bCs/>
                      <w:color w:val="auto"/>
                      <w:szCs w:val="21"/>
                    </w:rPr>
                  </w:pPr>
                  <w:r>
                    <w:rPr>
                      <w:rFonts w:hint="eastAsia"/>
                      <w:bCs/>
                      <w:color w:val="auto"/>
                      <w:szCs w:val="21"/>
                    </w:rPr>
                    <w:t>8</w:t>
                  </w:r>
                  <w:r>
                    <w:rPr>
                      <w:bCs/>
                      <w:color w:val="auto"/>
                      <w:szCs w:val="21"/>
                    </w:rPr>
                    <w:t>0</w:t>
                  </w:r>
                </w:p>
              </w:tc>
              <w:tc>
                <w:tcPr>
                  <w:tcW w:w="183" w:type="pct"/>
                  <w:vMerge w:val="continue"/>
                  <w:tcBorders>
                    <w:tl2br w:val="nil"/>
                    <w:tr2bl w:val="nil"/>
                  </w:tcBorders>
                  <w:vAlign w:val="center"/>
                </w:tcPr>
                <w:p w14:paraId="183F4024">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30174E9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11</w:t>
                  </w:r>
                </w:p>
              </w:tc>
              <w:tc>
                <w:tcPr>
                  <w:tcW w:w="190" w:type="pct"/>
                  <w:tcBorders>
                    <w:tl2br w:val="nil"/>
                    <w:tr2bl w:val="nil"/>
                  </w:tcBorders>
                  <w:vAlign w:val="center"/>
                </w:tcPr>
                <w:p w14:paraId="4BF5CE0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42</w:t>
                  </w:r>
                </w:p>
              </w:tc>
              <w:tc>
                <w:tcPr>
                  <w:tcW w:w="180" w:type="pct"/>
                  <w:tcBorders>
                    <w:tl2br w:val="nil"/>
                    <w:tr2bl w:val="nil"/>
                  </w:tcBorders>
                  <w:vAlign w:val="center"/>
                </w:tcPr>
                <w:p w14:paraId="2243418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3E898DB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45</w:t>
                  </w:r>
                </w:p>
              </w:tc>
              <w:tc>
                <w:tcPr>
                  <w:tcW w:w="173" w:type="pct"/>
                  <w:tcBorders>
                    <w:tl2br w:val="nil"/>
                    <w:tr2bl w:val="nil"/>
                  </w:tcBorders>
                  <w:vAlign w:val="center"/>
                </w:tcPr>
                <w:p w14:paraId="4A68473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42</w:t>
                  </w:r>
                </w:p>
              </w:tc>
              <w:tc>
                <w:tcPr>
                  <w:tcW w:w="173" w:type="pct"/>
                  <w:tcBorders>
                    <w:tl2br w:val="nil"/>
                    <w:tr2bl w:val="nil"/>
                  </w:tcBorders>
                  <w:vAlign w:val="center"/>
                </w:tcPr>
                <w:p w14:paraId="2531A7F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11</w:t>
                  </w:r>
                </w:p>
              </w:tc>
              <w:tc>
                <w:tcPr>
                  <w:tcW w:w="174" w:type="pct"/>
                  <w:tcBorders>
                    <w:tl2br w:val="nil"/>
                    <w:tr2bl w:val="nil"/>
                  </w:tcBorders>
                  <w:vAlign w:val="center"/>
                </w:tcPr>
                <w:p w14:paraId="2AAD075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51</w:t>
                  </w:r>
                </w:p>
              </w:tc>
              <w:tc>
                <w:tcPr>
                  <w:tcW w:w="228" w:type="pct"/>
                  <w:tcBorders>
                    <w:tl2br w:val="nil"/>
                    <w:tr2bl w:val="nil"/>
                  </w:tcBorders>
                  <w:vAlign w:val="center"/>
                </w:tcPr>
                <w:p w14:paraId="13187C7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56.2 </w:t>
                  </w:r>
                </w:p>
              </w:tc>
              <w:tc>
                <w:tcPr>
                  <w:tcW w:w="173" w:type="pct"/>
                  <w:tcBorders>
                    <w:tl2br w:val="nil"/>
                    <w:tr2bl w:val="nil"/>
                  </w:tcBorders>
                  <w:vAlign w:val="center"/>
                </w:tcPr>
                <w:p w14:paraId="303D0E3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56.2 </w:t>
                  </w:r>
                </w:p>
              </w:tc>
              <w:tc>
                <w:tcPr>
                  <w:tcW w:w="228" w:type="pct"/>
                  <w:tcBorders>
                    <w:tl2br w:val="nil"/>
                    <w:tr2bl w:val="nil"/>
                  </w:tcBorders>
                  <w:vAlign w:val="center"/>
                </w:tcPr>
                <w:p w14:paraId="56FEDC4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57.3 </w:t>
                  </w:r>
                </w:p>
              </w:tc>
              <w:tc>
                <w:tcPr>
                  <w:tcW w:w="181" w:type="pct"/>
                  <w:tcBorders>
                    <w:tl2br w:val="nil"/>
                    <w:tr2bl w:val="nil"/>
                  </w:tcBorders>
                  <w:vAlign w:val="center"/>
                </w:tcPr>
                <w:p w14:paraId="67647EB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56.2 </w:t>
                  </w:r>
                </w:p>
              </w:tc>
              <w:tc>
                <w:tcPr>
                  <w:tcW w:w="228" w:type="pct"/>
                  <w:tcBorders>
                    <w:tl2br w:val="nil"/>
                    <w:tr2bl w:val="nil"/>
                  </w:tcBorders>
                  <w:vAlign w:val="center"/>
                </w:tcPr>
                <w:p w14:paraId="2126062E">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0682C83E">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0B0C48BA">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6AF356F2">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2915092D">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2CC96664">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52967504">
                  <w:pPr>
                    <w:spacing w:line="240" w:lineRule="auto"/>
                    <w:ind w:left="0" w:leftChars="0" w:right="0" w:rightChars="0" w:firstLine="0" w:firstLineChars="0"/>
                    <w:jc w:val="center"/>
                    <w:rPr>
                      <w:rFonts w:eastAsia="等线"/>
                      <w:color w:val="auto"/>
                      <w:szCs w:val="21"/>
                    </w:rPr>
                  </w:pPr>
                </w:p>
              </w:tc>
            </w:tr>
            <w:tr w14:paraId="17D6BB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7734F292">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5</w:t>
                  </w:r>
                </w:p>
              </w:tc>
              <w:tc>
                <w:tcPr>
                  <w:tcW w:w="160" w:type="pct"/>
                  <w:vMerge w:val="continue"/>
                  <w:tcBorders>
                    <w:tl2br w:val="nil"/>
                    <w:tr2bl w:val="nil"/>
                  </w:tcBorders>
                  <w:vAlign w:val="center"/>
                </w:tcPr>
                <w:p w14:paraId="1FF9E3B1">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061B65B0">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1#</w:t>
                  </w:r>
                  <w:r>
                    <w:rPr>
                      <w:rFonts w:ascii="Times New Roman" w:hAnsi="Times New Roman" w:cs="Times New Roman"/>
                      <w:color w:val="auto"/>
                      <w:sz w:val="21"/>
                      <w:szCs w:val="21"/>
                    </w:rPr>
                    <w:t>光纤激光切割机</w:t>
                  </w:r>
                </w:p>
              </w:tc>
              <w:tc>
                <w:tcPr>
                  <w:tcW w:w="351" w:type="pct"/>
                  <w:tcBorders>
                    <w:tl2br w:val="nil"/>
                    <w:tr2bl w:val="nil"/>
                  </w:tcBorders>
                  <w:vAlign w:val="center"/>
                </w:tcPr>
                <w:p w14:paraId="3907A89D">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4AC6573F">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24061DF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9</w:t>
                  </w:r>
                </w:p>
              </w:tc>
              <w:tc>
                <w:tcPr>
                  <w:tcW w:w="190" w:type="pct"/>
                  <w:tcBorders>
                    <w:tl2br w:val="nil"/>
                    <w:tr2bl w:val="nil"/>
                  </w:tcBorders>
                  <w:vAlign w:val="center"/>
                </w:tcPr>
                <w:p w14:paraId="491D3A9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55</w:t>
                  </w:r>
                </w:p>
              </w:tc>
              <w:tc>
                <w:tcPr>
                  <w:tcW w:w="180" w:type="pct"/>
                  <w:tcBorders>
                    <w:tl2br w:val="nil"/>
                    <w:tr2bl w:val="nil"/>
                  </w:tcBorders>
                  <w:vAlign w:val="center"/>
                </w:tcPr>
                <w:p w14:paraId="24689F4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538713D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47</w:t>
                  </w:r>
                </w:p>
              </w:tc>
              <w:tc>
                <w:tcPr>
                  <w:tcW w:w="173" w:type="pct"/>
                  <w:tcBorders>
                    <w:tl2br w:val="nil"/>
                    <w:tr2bl w:val="nil"/>
                  </w:tcBorders>
                  <w:vAlign w:val="center"/>
                </w:tcPr>
                <w:p w14:paraId="2511B70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55</w:t>
                  </w:r>
                </w:p>
              </w:tc>
              <w:tc>
                <w:tcPr>
                  <w:tcW w:w="173" w:type="pct"/>
                  <w:tcBorders>
                    <w:tl2br w:val="nil"/>
                    <w:tr2bl w:val="nil"/>
                  </w:tcBorders>
                  <w:vAlign w:val="center"/>
                </w:tcPr>
                <w:p w14:paraId="6FA1C11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9</w:t>
                  </w:r>
                </w:p>
              </w:tc>
              <w:tc>
                <w:tcPr>
                  <w:tcW w:w="174" w:type="pct"/>
                  <w:tcBorders>
                    <w:tl2br w:val="nil"/>
                    <w:tr2bl w:val="nil"/>
                  </w:tcBorders>
                  <w:vAlign w:val="center"/>
                </w:tcPr>
                <w:p w14:paraId="0A979A2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38</w:t>
                  </w:r>
                </w:p>
              </w:tc>
              <w:tc>
                <w:tcPr>
                  <w:tcW w:w="228" w:type="pct"/>
                  <w:tcBorders>
                    <w:tl2br w:val="nil"/>
                    <w:tr2bl w:val="nil"/>
                  </w:tcBorders>
                  <w:vAlign w:val="center"/>
                </w:tcPr>
                <w:p w14:paraId="778E7AD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173" w:type="pct"/>
                  <w:tcBorders>
                    <w:tl2br w:val="nil"/>
                    <w:tr2bl w:val="nil"/>
                  </w:tcBorders>
                  <w:vAlign w:val="center"/>
                </w:tcPr>
                <w:p w14:paraId="4222F86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72B5FEC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52.8 </w:t>
                  </w:r>
                </w:p>
              </w:tc>
              <w:tc>
                <w:tcPr>
                  <w:tcW w:w="181" w:type="pct"/>
                  <w:tcBorders>
                    <w:tl2br w:val="nil"/>
                    <w:tr2bl w:val="nil"/>
                  </w:tcBorders>
                  <w:vAlign w:val="center"/>
                </w:tcPr>
                <w:p w14:paraId="7C32470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27D43523">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76647643">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3AD3874B">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18550184">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79FD4D33">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68954459">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7E2925F7">
                  <w:pPr>
                    <w:spacing w:line="240" w:lineRule="auto"/>
                    <w:ind w:left="0" w:leftChars="0" w:right="0" w:rightChars="0" w:firstLine="0" w:firstLineChars="0"/>
                    <w:jc w:val="center"/>
                    <w:rPr>
                      <w:rFonts w:eastAsia="等线"/>
                      <w:color w:val="auto"/>
                      <w:szCs w:val="21"/>
                    </w:rPr>
                  </w:pPr>
                </w:p>
              </w:tc>
            </w:tr>
            <w:tr w14:paraId="61C69E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31143B14">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6</w:t>
                  </w:r>
                </w:p>
              </w:tc>
              <w:tc>
                <w:tcPr>
                  <w:tcW w:w="160" w:type="pct"/>
                  <w:vMerge w:val="continue"/>
                  <w:tcBorders>
                    <w:tl2br w:val="nil"/>
                    <w:tr2bl w:val="nil"/>
                  </w:tcBorders>
                  <w:vAlign w:val="center"/>
                </w:tcPr>
                <w:p w14:paraId="25F6C570">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33AFAC84">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2#</w:t>
                  </w:r>
                  <w:r>
                    <w:rPr>
                      <w:rFonts w:ascii="Times New Roman" w:hAnsi="Times New Roman" w:cs="Times New Roman"/>
                      <w:color w:val="auto"/>
                      <w:sz w:val="21"/>
                      <w:szCs w:val="21"/>
                    </w:rPr>
                    <w:t>光纤激光切割机</w:t>
                  </w:r>
                </w:p>
              </w:tc>
              <w:tc>
                <w:tcPr>
                  <w:tcW w:w="351" w:type="pct"/>
                  <w:tcBorders>
                    <w:tl2br w:val="nil"/>
                    <w:tr2bl w:val="nil"/>
                  </w:tcBorders>
                  <w:vAlign w:val="center"/>
                </w:tcPr>
                <w:p w14:paraId="3BB31ABE">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4AF739D2">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0D3746A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12</w:t>
                  </w:r>
                </w:p>
              </w:tc>
              <w:tc>
                <w:tcPr>
                  <w:tcW w:w="190" w:type="pct"/>
                  <w:tcBorders>
                    <w:tl2br w:val="nil"/>
                    <w:tr2bl w:val="nil"/>
                  </w:tcBorders>
                  <w:vAlign w:val="center"/>
                </w:tcPr>
                <w:p w14:paraId="60072DF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55</w:t>
                  </w:r>
                </w:p>
              </w:tc>
              <w:tc>
                <w:tcPr>
                  <w:tcW w:w="180" w:type="pct"/>
                  <w:tcBorders>
                    <w:tl2br w:val="nil"/>
                    <w:tr2bl w:val="nil"/>
                  </w:tcBorders>
                  <w:vAlign w:val="center"/>
                </w:tcPr>
                <w:p w14:paraId="3AEAF22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3FEEA62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44</w:t>
                  </w:r>
                </w:p>
              </w:tc>
              <w:tc>
                <w:tcPr>
                  <w:tcW w:w="173" w:type="pct"/>
                  <w:tcBorders>
                    <w:tl2br w:val="nil"/>
                    <w:tr2bl w:val="nil"/>
                  </w:tcBorders>
                  <w:vAlign w:val="center"/>
                </w:tcPr>
                <w:p w14:paraId="35A622E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55</w:t>
                  </w:r>
                </w:p>
              </w:tc>
              <w:tc>
                <w:tcPr>
                  <w:tcW w:w="173" w:type="pct"/>
                  <w:tcBorders>
                    <w:tl2br w:val="nil"/>
                    <w:tr2bl w:val="nil"/>
                  </w:tcBorders>
                  <w:vAlign w:val="center"/>
                </w:tcPr>
                <w:p w14:paraId="11B84E3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12</w:t>
                  </w:r>
                </w:p>
              </w:tc>
              <w:tc>
                <w:tcPr>
                  <w:tcW w:w="174" w:type="pct"/>
                  <w:tcBorders>
                    <w:tl2br w:val="nil"/>
                    <w:tr2bl w:val="nil"/>
                  </w:tcBorders>
                  <w:vAlign w:val="center"/>
                </w:tcPr>
                <w:p w14:paraId="51E09E6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38</w:t>
                  </w:r>
                </w:p>
              </w:tc>
              <w:tc>
                <w:tcPr>
                  <w:tcW w:w="228" w:type="pct"/>
                  <w:tcBorders>
                    <w:tl2br w:val="nil"/>
                    <w:tr2bl w:val="nil"/>
                  </w:tcBorders>
                  <w:vAlign w:val="center"/>
                </w:tcPr>
                <w:p w14:paraId="7286F01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173" w:type="pct"/>
                  <w:tcBorders>
                    <w:tl2br w:val="nil"/>
                    <w:tr2bl w:val="nil"/>
                  </w:tcBorders>
                  <w:vAlign w:val="center"/>
                </w:tcPr>
                <w:p w14:paraId="2700F51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17CDE90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52.2 </w:t>
                  </w:r>
                </w:p>
              </w:tc>
              <w:tc>
                <w:tcPr>
                  <w:tcW w:w="181" w:type="pct"/>
                  <w:tcBorders>
                    <w:tl2br w:val="nil"/>
                    <w:tr2bl w:val="nil"/>
                  </w:tcBorders>
                  <w:vAlign w:val="center"/>
                </w:tcPr>
                <w:p w14:paraId="0C7FB71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731AB68F">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357CE84A">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763415BA">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2DE288B4">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1C393866">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152AA089">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3DB7E858">
                  <w:pPr>
                    <w:spacing w:line="240" w:lineRule="auto"/>
                    <w:ind w:left="0" w:leftChars="0" w:right="0" w:rightChars="0" w:firstLine="0" w:firstLineChars="0"/>
                    <w:jc w:val="center"/>
                    <w:rPr>
                      <w:rFonts w:eastAsia="等线"/>
                      <w:color w:val="auto"/>
                      <w:szCs w:val="21"/>
                    </w:rPr>
                  </w:pPr>
                </w:p>
              </w:tc>
            </w:tr>
            <w:tr w14:paraId="4C83F2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5D48B6E9">
                  <w:pPr>
                    <w:widowControl/>
                    <w:snapToGrid w:val="0"/>
                    <w:spacing w:line="240" w:lineRule="auto"/>
                    <w:ind w:left="0" w:leftChars="0" w:right="0" w:rightChars="0" w:firstLine="0" w:firstLineChars="0"/>
                    <w:jc w:val="center"/>
                    <w:rPr>
                      <w:rFonts w:hint="eastAsia" w:ascii="Times New Roman" w:hAnsi="Times New Roman" w:eastAsiaTheme="minorEastAsia" w:cstheme="minorBidi"/>
                      <w:bCs/>
                      <w:color w:val="auto"/>
                      <w:sz w:val="21"/>
                      <w:szCs w:val="21"/>
                      <w:lang w:val="en-US" w:eastAsia="zh-CN" w:bidi="ar-SA"/>
                    </w:rPr>
                  </w:pPr>
                  <w:r>
                    <w:rPr>
                      <w:rFonts w:hint="eastAsia"/>
                      <w:bCs/>
                      <w:color w:val="auto"/>
                      <w:szCs w:val="21"/>
                      <w:lang w:eastAsia="zh-CN"/>
                    </w:rPr>
                    <w:t>7</w:t>
                  </w:r>
                </w:p>
              </w:tc>
              <w:tc>
                <w:tcPr>
                  <w:tcW w:w="160" w:type="pct"/>
                  <w:vMerge w:val="continue"/>
                  <w:tcBorders>
                    <w:tl2br w:val="nil"/>
                    <w:tr2bl w:val="nil"/>
                  </w:tcBorders>
                  <w:vAlign w:val="center"/>
                </w:tcPr>
                <w:p w14:paraId="34856D36">
                  <w:pPr>
                    <w:widowControl/>
                    <w:snapToGrid w:val="0"/>
                    <w:spacing w:line="240" w:lineRule="auto"/>
                    <w:ind w:left="0" w:leftChars="0" w:right="0" w:rightChars="0" w:firstLine="0" w:firstLineChars="0"/>
                    <w:jc w:val="center"/>
                    <w:rPr>
                      <w:bCs/>
                      <w:color w:val="auto"/>
                      <w:szCs w:val="21"/>
                    </w:rPr>
                  </w:pPr>
                </w:p>
              </w:tc>
              <w:tc>
                <w:tcPr>
                  <w:tcW w:w="1880" w:type="dxa"/>
                  <w:tcBorders>
                    <w:tl2br w:val="nil"/>
                    <w:tr2bl w:val="nil"/>
                  </w:tcBorders>
                  <w:vAlign w:val="center"/>
                </w:tcPr>
                <w:p w14:paraId="73F8DBEA">
                  <w:pPr>
                    <w:pStyle w:val="76"/>
                    <w:kinsoku w:val="0"/>
                    <w:wordWrap w:val="0"/>
                    <w:autoSpaceDE w:val="0"/>
                    <w:autoSpaceDN w:val="0"/>
                    <w:snapToGrid w:val="0"/>
                    <w:spacing w:line="240" w:lineRule="auto"/>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光纤激光切割机</w:t>
                  </w:r>
                </w:p>
              </w:tc>
              <w:tc>
                <w:tcPr>
                  <w:tcW w:w="984" w:type="dxa"/>
                  <w:tcBorders>
                    <w:tl2br w:val="nil"/>
                    <w:tr2bl w:val="nil"/>
                  </w:tcBorders>
                  <w:vAlign w:val="center"/>
                </w:tcPr>
                <w:p w14:paraId="43EE6136">
                  <w:pPr>
                    <w:widowControl/>
                    <w:snapToGrid w:val="0"/>
                    <w:spacing w:line="240" w:lineRule="auto"/>
                    <w:ind w:left="0" w:leftChars="0" w:right="0" w:rightChars="0" w:firstLine="0" w:firstLineChars="0"/>
                    <w:jc w:val="center"/>
                    <w:rPr>
                      <w:rFonts w:hint="eastAsia"/>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047040F7">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76CFF3DB">
                  <w:pPr>
                    <w:widowControl/>
                    <w:spacing w:line="240" w:lineRule="auto"/>
                    <w:ind w:left="0" w:leftChars="0" w:right="0" w:rightChars="0" w:firstLine="0" w:firstLineChars="0"/>
                    <w:jc w:val="center"/>
                    <w:textAlignment w:val="center"/>
                    <w:rPr>
                      <w:rFonts w:hint="default" w:eastAsia="宋体" w:cs="Times New Roman"/>
                      <w:color w:val="auto"/>
                      <w:szCs w:val="21"/>
                      <w:lang w:val="en-US" w:eastAsia="zh-CN" w:bidi="ar"/>
                    </w:rPr>
                  </w:pPr>
                  <w:r>
                    <w:rPr>
                      <w:rFonts w:hint="eastAsia" w:eastAsia="宋体" w:cs="Times New Roman"/>
                      <w:color w:val="auto"/>
                      <w:szCs w:val="21"/>
                      <w:lang w:val="en-US" w:eastAsia="zh-CN" w:bidi="ar"/>
                    </w:rPr>
                    <w:t>15</w:t>
                  </w:r>
                </w:p>
              </w:tc>
              <w:tc>
                <w:tcPr>
                  <w:tcW w:w="190" w:type="pct"/>
                  <w:tcBorders>
                    <w:tl2br w:val="nil"/>
                    <w:tr2bl w:val="nil"/>
                  </w:tcBorders>
                  <w:vAlign w:val="center"/>
                </w:tcPr>
                <w:p w14:paraId="58A4BF98">
                  <w:pPr>
                    <w:widowControl/>
                    <w:spacing w:line="240" w:lineRule="auto"/>
                    <w:ind w:left="0" w:leftChars="0" w:right="0" w:rightChars="0" w:firstLine="0" w:firstLineChars="0"/>
                    <w:jc w:val="center"/>
                    <w:textAlignment w:val="center"/>
                    <w:rPr>
                      <w:rFonts w:hint="default" w:eastAsia="宋体" w:cs="Times New Roman"/>
                      <w:color w:val="auto"/>
                      <w:szCs w:val="21"/>
                      <w:lang w:val="en-US" w:eastAsia="zh-CN" w:bidi="ar"/>
                    </w:rPr>
                  </w:pPr>
                  <w:r>
                    <w:rPr>
                      <w:rFonts w:hint="eastAsia" w:eastAsia="宋体" w:cs="Times New Roman"/>
                      <w:color w:val="auto"/>
                      <w:szCs w:val="21"/>
                      <w:lang w:val="en-US" w:eastAsia="zh-CN" w:bidi="ar"/>
                    </w:rPr>
                    <w:t>55</w:t>
                  </w:r>
                </w:p>
              </w:tc>
              <w:tc>
                <w:tcPr>
                  <w:tcW w:w="180" w:type="pct"/>
                  <w:tcBorders>
                    <w:tl2br w:val="nil"/>
                    <w:tr2bl w:val="nil"/>
                  </w:tcBorders>
                  <w:vAlign w:val="center"/>
                </w:tcPr>
                <w:p w14:paraId="49ADB19D">
                  <w:pPr>
                    <w:widowControl/>
                    <w:spacing w:line="240" w:lineRule="auto"/>
                    <w:ind w:left="0" w:leftChars="0" w:right="0" w:rightChars="0" w:firstLine="0" w:firstLineChars="0"/>
                    <w:jc w:val="center"/>
                    <w:textAlignment w:val="center"/>
                    <w:rPr>
                      <w:rFonts w:hint="default" w:eastAsia="宋体" w:cs="Times New Roman"/>
                      <w:color w:val="auto"/>
                      <w:szCs w:val="21"/>
                      <w:lang w:val="en-US" w:eastAsia="zh-CN" w:bidi="ar"/>
                    </w:rPr>
                  </w:pPr>
                  <w:r>
                    <w:rPr>
                      <w:rFonts w:hint="eastAsia" w:eastAsia="宋体" w:cs="Times New Roman"/>
                      <w:color w:val="auto"/>
                      <w:szCs w:val="21"/>
                      <w:lang w:val="en-US" w:eastAsia="zh-CN" w:bidi="ar"/>
                    </w:rPr>
                    <w:t>1</w:t>
                  </w:r>
                </w:p>
              </w:tc>
              <w:tc>
                <w:tcPr>
                  <w:tcW w:w="171" w:type="pct"/>
                  <w:tcBorders>
                    <w:tl2br w:val="nil"/>
                    <w:tr2bl w:val="nil"/>
                  </w:tcBorders>
                  <w:vAlign w:val="center"/>
                </w:tcPr>
                <w:p w14:paraId="568D142C">
                  <w:pPr>
                    <w:widowControl/>
                    <w:spacing w:line="240" w:lineRule="auto"/>
                    <w:ind w:left="0" w:leftChars="0" w:right="0" w:rightChars="0" w:firstLine="0" w:firstLineChars="0"/>
                    <w:jc w:val="center"/>
                    <w:textAlignment w:val="center"/>
                    <w:rPr>
                      <w:rFonts w:hint="default" w:eastAsia="宋体" w:cs="Times New Roman"/>
                      <w:color w:val="auto"/>
                      <w:szCs w:val="21"/>
                      <w:lang w:val="en-US" w:eastAsia="zh-CN" w:bidi="ar"/>
                    </w:rPr>
                  </w:pPr>
                  <w:r>
                    <w:rPr>
                      <w:rFonts w:hint="eastAsia" w:eastAsia="宋体" w:cs="Times New Roman"/>
                      <w:color w:val="auto"/>
                      <w:szCs w:val="21"/>
                      <w:lang w:val="en-US" w:eastAsia="zh-CN" w:bidi="ar"/>
                    </w:rPr>
                    <w:t>41</w:t>
                  </w:r>
                </w:p>
              </w:tc>
              <w:tc>
                <w:tcPr>
                  <w:tcW w:w="173" w:type="pct"/>
                  <w:tcBorders>
                    <w:tl2br w:val="nil"/>
                    <w:tr2bl w:val="nil"/>
                  </w:tcBorders>
                  <w:vAlign w:val="center"/>
                </w:tcPr>
                <w:p w14:paraId="55B244F1">
                  <w:pPr>
                    <w:widowControl/>
                    <w:spacing w:line="240" w:lineRule="auto"/>
                    <w:ind w:left="0" w:leftChars="0" w:right="0" w:rightChars="0" w:firstLine="0" w:firstLineChars="0"/>
                    <w:jc w:val="center"/>
                    <w:textAlignment w:val="center"/>
                    <w:rPr>
                      <w:rFonts w:hint="default" w:eastAsia="宋体" w:cs="Times New Roman"/>
                      <w:color w:val="auto"/>
                      <w:szCs w:val="21"/>
                      <w:lang w:val="en-US" w:eastAsia="zh-CN" w:bidi="ar"/>
                    </w:rPr>
                  </w:pPr>
                  <w:r>
                    <w:rPr>
                      <w:rFonts w:hint="eastAsia" w:eastAsia="宋体" w:cs="Times New Roman"/>
                      <w:color w:val="auto"/>
                      <w:szCs w:val="21"/>
                      <w:lang w:val="en-US" w:eastAsia="zh-CN" w:bidi="ar"/>
                    </w:rPr>
                    <w:t>55</w:t>
                  </w:r>
                </w:p>
              </w:tc>
              <w:tc>
                <w:tcPr>
                  <w:tcW w:w="173" w:type="pct"/>
                  <w:tcBorders>
                    <w:tl2br w:val="nil"/>
                    <w:tr2bl w:val="nil"/>
                  </w:tcBorders>
                  <w:vAlign w:val="center"/>
                </w:tcPr>
                <w:p w14:paraId="43542A76">
                  <w:pPr>
                    <w:widowControl/>
                    <w:spacing w:line="240" w:lineRule="auto"/>
                    <w:ind w:left="0" w:leftChars="0" w:right="0" w:rightChars="0" w:firstLine="0" w:firstLineChars="0"/>
                    <w:jc w:val="center"/>
                    <w:textAlignment w:val="center"/>
                    <w:rPr>
                      <w:rFonts w:hint="default" w:eastAsia="宋体" w:cs="Times New Roman"/>
                      <w:color w:val="auto"/>
                      <w:szCs w:val="21"/>
                      <w:lang w:val="en-US" w:eastAsia="zh-CN" w:bidi="ar"/>
                    </w:rPr>
                  </w:pPr>
                  <w:r>
                    <w:rPr>
                      <w:rFonts w:hint="eastAsia" w:eastAsia="宋体" w:cs="Times New Roman"/>
                      <w:color w:val="auto"/>
                      <w:szCs w:val="21"/>
                      <w:lang w:val="en-US" w:eastAsia="zh-CN" w:bidi="ar"/>
                    </w:rPr>
                    <w:t>15</w:t>
                  </w:r>
                </w:p>
              </w:tc>
              <w:tc>
                <w:tcPr>
                  <w:tcW w:w="174" w:type="pct"/>
                  <w:tcBorders>
                    <w:tl2br w:val="nil"/>
                    <w:tr2bl w:val="nil"/>
                  </w:tcBorders>
                  <w:vAlign w:val="center"/>
                </w:tcPr>
                <w:p w14:paraId="6D1F8D1A">
                  <w:pPr>
                    <w:widowControl/>
                    <w:spacing w:line="240" w:lineRule="auto"/>
                    <w:ind w:left="0" w:leftChars="0" w:right="0" w:rightChars="0" w:firstLine="0" w:firstLineChars="0"/>
                    <w:jc w:val="center"/>
                    <w:textAlignment w:val="center"/>
                    <w:rPr>
                      <w:rFonts w:hint="default" w:eastAsia="宋体" w:cs="Times New Roman"/>
                      <w:color w:val="auto"/>
                      <w:szCs w:val="21"/>
                      <w:lang w:val="en-US" w:eastAsia="zh-CN" w:bidi="ar"/>
                    </w:rPr>
                  </w:pPr>
                  <w:r>
                    <w:rPr>
                      <w:rFonts w:hint="eastAsia" w:eastAsia="宋体" w:cs="Times New Roman"/>
                      <w:color w:val="auto"/>
                      <w:szCs w:val="21"/>
                      <w:lang w:val="en-US" w:eastAsia="zh-CN" w:bidi="ar"/>
                    </w:rPr>
                    <w:t>38</w:t>
                  </w:r>
                </w:p>
              </w:tc>
              <w:tc>
                <w:tcPr>
                  <w:tcW w:w="228" w:type="pct"/>
                  <w:tcBorders>
                    <w:tl2br w:val="nil"/>
                    <w:tr2bl w:val="nil"/>
                  </w:tcBorders>
                  <w:vAlign w:val="center"/>
                </w:tcPr>
                <w:p w14:paraId="3FB00B4A">
                  <w:pPr>
                    <w:widowControl/>
                    <w:spacing w:line="240" w:lineRule="auto"/>
                    <w:ind w:left="0" w:leftChars="0" w:right="0" w:rightChars="0" w:firstLine="0" w:firstLineChars="0"/>
                    <w:jc w:val="center"/>
                    <w:textAlignment w:val="center"/>
                    <w:rPr>
                      <w:rFonts w:hint="default" w:eastAsia="宋体" w:cs="Times New Roman"/>
                      <w:color w:val="auto"/>
                      <w:szCs w:val="21"/>
                      <w:lang w:val="en-US" w:eastAsia="zh-CN" w:bidi="ar"/>
                    </w:rPr>
                  </w:pPr>
                  <w:r>
                    <w:rPr>
                      <w:rFonts w:hint="eastAsia" w:eastAsia="宋体" w:cs="Times New Roman"/>
                      <w:color w:val="auto"/>
                      <w:szCs w:val="21"/>
                      <w:lang w:val="en-US" w:eastAsia="zh-CN" w:bidi="ar"/>
                    </w:rPr>
                    <w:t>51.2</w:t>
                  </w:r>
                </w:p>
              </w:tc>
              <w:tc>
                <w:tcPr>
                  <w:tcW w:w="485" w:type="dxa"/>
                  <w:tcBorders>
                    <w:tl2br w:val="nil"/>
                    <w:tr2bl w:val="nil"/>
                  </w:tcBorders>
                  <w:vAlign w:val="center"/>
                </w:tcPr>
                <w:p w14:paraId="5471D258">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51.2 </w:t>
                  </w:r>
                </w:p>
              </w:tc>
              <w:tc>
                <w:tcPr>
                  <w:tcW w:w="639" w:type="dxa"/>
                  <w:tcBorders>
                    <w:tl2br w:val="nil"/>
                    <w:tr2bl w:val="nil"/>
                  </w:tcBorders>
                  <w:vAlign w:val="center"/>
                </w:tcPr>
                <w:p w14:paraId="076E605F">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52.2 </w:t>
                  </w:r>
                </w:p>
              </w:tc>
              <w:tc>
                <w:tcPr>
                  <w:tcW w:w="507" w:type="dxa"/>
                  <w:tcBorders>
                    <w:tl2br w:val="nil"/>
                    <w:tr2bl w:val="nil"/>
                  </w:tcBorders>
                  <w:vAlign w:val="center"/>
                </w:tcPr>
                <w:p w14:paraId="272ACA19">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51.2 </w:t>
                  </w:r>
                </w:p>
              </w:tc>
              <w:tc>
                <w:tcPr>
                  <w:tcW w:w="228" w:type="pct"/>
                  <w:tcBorders>
                    <w:tl2br w:val="nil"/>
                    <w:tr2bl w:val="nil"/>
                  </w:tcBorders>
                  <w:vAlign w:val="center"/>
                </w:tcPr>
                <w:p w14:paraId="1D0F3CDC">
                  <w:pPr>
                    <w:widowControl/>
                    <w:snapToGrid w:val="0"/>
                    <w:spacing w:line="240" w:lineRule="auto"/>
                    <w:ind w:left="0" w:leftChars="0" w:right="0" w:rightChars="0" w:firstLine="0" w:firstLineChars="0"/>
                    <w:jc w:val="center"/>
                    <w:rPr>
                      <w:rFonts w:hint="default"/>
                      <w:bCs/>
                      <w:color w:val="auto"/>
                      <w:szCs w:val="21"/>
                      <w:lang w:val="en-US" w:eastAsia="zh-CN"/>
                    </w:rPr>
                  </w:pPr>
                  <w:r>
                    <w:rPr>
                      <w:rFonts w:hint="eastAsia"/>
                      <w:bCs/>
                      <w:color w:val="auto"/>
                      <w:szCs w:val="21"/>
                      <w:lang w:val="en-US" w:eastAsia="zh-CN"/>
                    </w:rPr>
                    <w:t>8h</w:t>
                  </w:r>
                </w:p>
              </w:tc>
              <w:tc>
                <w:tcPr>
                  <w:tcW w:w="185" w:type="pct"/>
                  <w:vMerge w:val="continue"/>
                  <w:tcBorders>
                    <w:tl2br w:val="nil"/>
                    <w:tr2bl w:val="nil"/>
                  </w:tcBorders>
                  <w:vAlign w:val="center"/>
                </w:tcPr>
                <w:p w14:paraId="2C51739C">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2E38E1EC">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7F256131">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3F4681EC">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4E026AA6">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01A82FFA">
                  <w:pPr>
                    <w:spacing w:line="240" w:lineRule="auto"/>
                    <w:ind w:left="0" w:leftChars="0" w:right="0" w:rightChars="0" w:firstLine="0" w:firstLineChars="0"/>
                    <w:jc w:val="center"/>
                    <w:rPr>
                      <w:rFonts w:eastAsia="等线"/>
                      <w:color w:val="auto"/>
                      <w:szCs w:val="21"/>
                    </w:rPr>
                  </w:pPr>
                </w:p>
              </w:tc>
            </w:tr>
            <w:tr w14:paraId="6855EB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0A936394">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8</w:t>
                  </w:r>
                </w:p>
              </w:tc>
              <w:tc>
                <w:tcPr>
                  <w:tcW w:w="160" w:type="pct"/>
                  <w:vMerge w:val="continue"/>
                  <w:tcBorders>
                    <w:tl2br w:val="nil"/>
                    <w:tr2bl w:val="nil"/>
                  </w:tcBorders>
                  <w:vAlign w:val="center"/>
                </w:tcPr>
                <w:p w14:paraId="679BDB05">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1BFC941E">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1#二保焊机</w:t>
                  </w:r>
                </w:p>
              </w:tc>
              <w:tc>
                <w:tcPr>
                  <w:tcW w:w="351" w:type="pct"/>
                  <w:tcBorders>
                    <w:tl2br w:val="nil"/>
                    <w:tr2bl w:val="nil"/>
                  </w:tcBorders>
                  <w:vAlign w:val="center"/>
                </w:tcPr>
                <w:p w14:paraId="508C2912">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304F7074">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54B0597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90" w:type="pct"/>
                  <w:tcBorders>
                    <w:tl2br w:val="nil"/>
                    <w:tr2bl w:val="nil"/>
                  </w:tcBorders>
                  <w:vAlign w:val="center"/>
                </w:tcPr>
                <w:p w14:paraId="1D4329C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40</w:t>
                  </w:r>
                </w:p>
              </w:tc>
              <w:tc>
                <w:tcPr>
                  <w:tcW w:w="180" w:type="pct"/>
                  <w:tcBorders>
                    <w:tl2br w:val="nil"/>
                    <w:tr2bl w:val="nil"/>
                  </w:tcBorders>
                  <w:vAlign w:val="center"/>
                </w:tcPr>
                <w:p w14:paraId="5A52C18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48FD2B6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30</w:t>
                  </w:r>
                </w:p>
              </w:tc>
              <w:tc>
                <w:tcPr>
                  <w:tcW w:w="173" w:type="pct"/>
                  <w:tcBorders>
                    <w:tl2br w:val="nil"/>
                    <w:tr2bl w:val="nil"/>
                  </w:tcBorders>
                  <w:vAlign w:val="center"/>
                </w:tcPr>
                <w:p w14:paraId="21A4D04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40</w:t>
                  </w:r>
                </w:p>
              </w:tc>
              <w:tc>
                <w:tcPr>
                  <w:tcW w:w="173" w:type="pct"/>
                  <w:tcBorders>
                    <w:tl2br w:val="nil"/>
                    <w:tr2bl w:val="nil"/>
                  </w:tcBorders>
                  <w:vAlign w:val="center"/>
                </w:tcPr>
                <w:p w14:paraId="1047C84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74" w:type="pct"/>
                  <w:tcBorders>
                    <w:tl2br w:val="nil"/>
                    <w:tr2bl w:val="nil"/>
                  </w:tcBorders>
                  <w:vAlign w:val="center"/>
                </w:tcPr>
                <w:p w14:paraId="64C6A6C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35</w:t>
                  </w:r>
                </w:p>
              </w:tc>
              <w:tc>
                <w:tcPr>
                  <w:tcW w:w="228" w:type="pct"/>
                  <w:tcBorders>
                    <w:tl2br w:val="nil"/>
                    <w:tr2bl w:val="nil"/>
                  </w:tcBorders>
                  <w:vAlign w:val="center"/>
                </w:tcPr>
                <w:p w14:paraId="3E1D7D6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77D162F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2C7A83E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51.4 </w:t>
                  </w:r>
                </w:p>
              </w:tc>
              <w:tc>
                <w:tcPr>
                  <w:tcW w:w="181" w:type="pct"/>
                  <w:tcBorders>
                    <w:tl2br w:val="nil"/>
                    <w:tr2bl w:val="nil"/>
                  </w:tcBorders>
                  <w:vAlign w:val="center"/>
                </w:tcPr>
                <w:p w14:paraId="5F6A563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1812ABDC">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4A58386F">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49E78A9C">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1823ECAA">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45392E78">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152D1A69">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6118F73E">
                  <w:pPr>
                    <w:spacing w:line="240" w:lineRule="auto"/>
                    <w:ind w:left="0" w:leftChars="0" w:right="0" w:rightChars="0" w:firstLine="0" w:firstLineChars="0"/>
                    <w:jc w:val="center"/>
                    <w:rPr>
                      <w:rFonts w:eastAsia="等线"/>
                      <w:color w:val="auto"/>
                      <w:szCs w:val="21"/>
                    </w:rPr>
                  </w:pPr>
                </w:p>
              </w:tc>
            </w:tr>
            <w:tr w14:paraId="640D1A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20DBE28D">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9</w:t>
                  </w:r>
                </w:p>
              </w:tc>
              <w:tc>
                <w:tcPr>
                  <w:tcW w:w="160" w:type="pct"/>
                  <w:vMerge w:val="continue"/>
                  <w:tcBorders>
                    <w:tl2br w:val="nil"/>
                    <w:tr2bl w:val="nil"/>
                  </w:tcBorders>
                  <w:vAlign w:val="center"/>
                </w:tcPr>
                <w:p w14:paraId="7BB502DE">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1B5FAF39">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2#二保焊机</w:t>
                  </w:r>
                </w:p>
              </w:tc>
              <w:tc>
                <w:tcPr>
                  <w:tcW w:w="351" w:type="pct"/>
                  <w:tcBorders>
                    <w:tl2br w:val="nil"/>
                    <w:tr2bl w:val="nil"/>
                  </w:tcBorders>
                  <w:vAlign w:val="center"/>
                </w:tcPr>
                <w:p w14:paraId="324F4D76">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3DA43588">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15DEB73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90" w:type="pct"/>
                  <w:tcBorders>
                    <w:tl2br w:val="nil"/>
                    <w:tr2bl w:val="nil"/>
                  </w:tcBorders>
                  <w:vAlign w:val="center"/>
                </w:tcPr>
                <w:p w14:paraId="5F2FE22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39</w:t>
                  </w:r>
                </w:p>
              </w:tc>
              <w:tc>
                <w:tcPr>
                  <w:tcW w:w="180" w:type="pct"/>
                  <w:tcBorders>
                    <w:tl2br w:val="nil"/>
                    <w:tr2bl w:val="nil"/>
                  </w:tcBorders>
                  <w:vAlign w:val="center"/>
                </w:tcPr>
                <w:p w14:paraId="51BE9AC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1F43AA6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30</w:t>
                  </w:r>
                </w:p>
              </w:tc>
              <w:tc>
                <w:tcPr>
                  <w:tcW w:w="173" w:type="pct"/>
                  <w:tcBorders>
                    <w:tl2br w:val="nil"/>
                    <w:tr2bl w:val="nil"/>
                  </w:tcBorders>
                  <w:vAlign w:val="center"/>
                </w:tcPr>
                <w:p w14:paraId="117B79B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39</w:t>
                  </w:r>
                </w:p>
              </w:tc>
              <w:tc>
                <w:tcPr>
                  <w:tcW w:w="173" w:type="pct"/>
                  <w:tcBorders>
                    <w:tl2br w:val="nil"/>
                    <w:tr2bl w:val="nil"/>
                  </w:tcBorders>
                  <w:vAlign w:val="center"/>
                </w:tcPr>
                <w:p w14:paraId="5DCC7AD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74" w:type="pct"/>
                  <w:tcBorders>
                    <w:tl2br w:val="nil"/>
                    <w:tr2bl w:val="nil"/>
                  </w:tcBorders>
                  <w:vAlign w:val="center"/>
                </w:tcPr>
                <w:p w14:paraId="087EF811">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36</w:t>
                  </w:r>
                </w:p>
              </w:tc>
              <w:tc>
                <w:tcPr>
                  <w:tcW w:w="228" w:type="pct"/>
                  <w:tcBorders>
                    <w:tl2br w:val="nil"/>
                    <w:tr2bl w:val="nil"/>
                  </w:tcBorders>
                  <w:vAlign w:val="center"/>
                </w:tcPr>
                <w:p w14:paraId="17C82D0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61068B8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5095774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51.4 </w:t>
                  </w:r>
                </w:p>
              </w:tc>
              <w:tc>
                <w:tcPr>
                  <w:tcW w:w="181" w:type="pct"/>
                  <w:tcBorders>
                    <w:tl2br w:val="nil"/>
                    <w:tr2bl w:val="nil"/>
                  </w:tcBorders>
                  <w:vAlign w:val="center"/>
                </w:tcPr>
                <w:p w14:paraId="526FCCC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5EE0F81C">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0884CFDD">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628A7EBD">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62713897">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1B924F9B">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79E0A9CE">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649055D1">
                  <w:pPr>
                    <w:spacing w:line="240" w:lineRule="auto"/>
                    <w:ind w:left="0" w:leftChars="0" w:right="0" w:rightChars="0" w:firstLine="0" w:firstLineChars="0"/>
                    <w:jc w:val="center"/>
                    <w:rPr>
                      <w:rFonts w:eastAsia="等线"/>
                      <w:color w:val="auto"/>
                      <w:szCs w:val="21"/>
                    </w:rPr>
                  </w:pPr>
                </w:p>
              </w:tc>
            </w:tr>
            <w:tr w14:paraId="28E7C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3B81953A">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10</w:t>
                  </w:r>
                </w:p>
              </w:tc>
              <w:tc>
                <w:tcPr>
                  <w:tcW w:w="160" w:type="pct"/>
                  <w:vMerge w:val="continue"/>
                  <w:tcBorders>
                    <w:tl2br w:val="nil"/>
                    <w:tr2bl w:val="nil"/>
                  </w:tcBorders>
                  <w:vAlign w:val="center"/>
                </w:tcPr>
                <w:p w14:paraId="5A500770">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542862DC">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3#二保焊机</w:t>
                  </w:r>
                </w:p>
              </w:tc>
              <w:tc>
                <w:tcPr>
                  <w:tcW w:w="351" w:type="pct"/>
                  <w:tcBorders>
                    <w:tl2br w:val="nil"/>
                    <w:tr2bl w:val="nil"/>
                  </w:tcBorders>
                  <w:vAlign w:val="center"/>
                </w:tcPr>
                <w:p w14:paraId="4B4C90A7">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57DFFA65">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0DEFC20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90" w:type="pct"/>
                  <w:tcBorders>
                    <w:tl2br w:val="nil"/>
                    <w:tr2bl w:val="nil"/>
                  </w:tcBorders>
                  <w:vAlign w:val="center"/>
                </w:tcPr>
                <w:p w14:paraId="6BB083C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38</w:t>
                  </w:r>
                </w:p>
              </w:tc>
              <w:tc>
                <w:tcPr>
                  <w:tcW w:w="180" w:type="pct"/>
                  <w:tcBorders>
                    <w:tl2br w:val="nil"/>
                    <w:tr2bl w:val="nil"/>
                  </w:tcBorders>
                  <w:vAlign w:val="center"/>
                </w:tcPr>
                <w:p w14:paraId="3E3603A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706482C1">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30</w:t>
                  </w:r>
                </w:p>
              </w:tc>
              <w:tc>
                <w:tcPr>
                  <w:tcW w:w="173" w:type="pct"/>
                  <w:tcBorders>
                    <w:tl2br w:val="nil"/>
                    <w:tr2bl w:val="nil"/>
                  </w:tcBorders>
                  <w:vAlign w:val="center"/>
                </w:tcPr>
                <w:p w14:paraId="5AF62B2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38</w:t>
                  </w:r>
                </w:p>
              </w:tc>
              <w:tc>
                <w:tcPr>
                  <w:tcW w:w="173" w:type="pct"/>
                  <w:tcBorders>
                    <w:tl2br w:val="nil"/>
                    <w:tr2bl w:val="nil"/>
                  </w:tcBorders>
                  <w:vAlign w:val="center"/>
                </w:tcPr>
                <w:p w14:paraId="475635E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74" w:type="pct"/>
                  <w:tcBorders>
                    <w:tl2br w:val="nil"/>
                    <w:tr2bl w:val="nil"/>
                  </w:tcBorders>
                  <w:vAlign w:val="center"/>
                </w:tcPr>
                <w:p w14:paraId="778A038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37</w:t>
                  </w:r>
                </w:p>
              </w:tc>
              <w:tc>
                <w:tcPr>
                  <w:tcW w:w="228" w:type="pct"/>
                  <w:tcBorders>
                    <w:tl2br w:val="nil"/>
                    <w:tr2bl w:val="nil"/>
                  </w:tcBorders>
                  <w:vAlign w:val="center"/>
                </w:tcPr>
                <w:p w14:paraId="3939845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2B8D304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7D5A268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51.4 </w:t>
                  </w:r>
                </w:p>
              </w:tc>
              <w:tc>
                <w:tcPr>
                  <w:tcW w:w="181" w:type="pct"/>
                  <w:tcBorders>
                    <w:tl2br w:val="nil"/>
                    <w:tr2bl w:val="nil"/>
                  </w:tcBorders>
                  <w:vAlign w:val="center"/>
                </w:tcPr>
                <w:p w14:paraId="7D73574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55A252D9">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670BFAF8">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11753C22">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53EF8CB6">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4BEAD3CD">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62E637FB">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735ECFE5">
                  <w:pPr>
                    <w:spacing w:line="240" w:lineRule="auto"/>
                    <w:ind w:left="0" w:leftChars="0" w:right="0" w:rightChars="0" w:firstLine="0" w:firstLineChars="0"/>
                    <w:jc w:val="center"/>
                    <w:rPr>
                      <w:rFonts w:eastAsia="等线"/>
                      <w:color w:val="auto"/>
                      <w:szCs w:val="21"/>
                    </w:rPr>
                  </w:pPr>
                </w:p>
              </w:tc>
            </w:tr>
            <w:tr w14:paraId="661CC8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33564A83">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11</w:t>
                  </w:r>
                </w:p>
              </w:tc>
              <w:tc>
                <w:tcPr>
                  <w:tcW w:w="160" w:type="pct"/>
                  <w:vMerge w:val="continue"/>
                  <w:tcBorders>
                    <w:tl2br w:val="nil"/>
                    <w:tr2bl w:val="nil"/>
                  </w:tcBorders>
                  <w:vAlign w:val="center"/>
                </w:tcPr>
                <w:p w14:paraId="364B3526">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691B2E88">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4#二保焊机</w:t>
                  </w:r>
                </w:p>
              </w:tc>
              <w:tc>
                <w:tcPr>
                  <w:tcW w:w="351" w:type="pct"/>
                  <w:tcBorders>
                    <w:tl2br w:val="nil"/>
                    <w:tr2bl w:val="nil"/>
                  </w:tcBorders>
                  <w:vAlign w:val="center"/>
                </w:tcPr>
                <w:p w14:paraId="70DE4D97">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00D1BE79">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78DC775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90" w:type="pct"/>
                  <w:tcBorders>
                    <w:tl2br w:val="nil"/>
                    <w:tr2bl w:val="nil"/>
                  </w:tcBorders>
                  <w:vAlign w:val="center"/>
                </w:tcPr>
                <w:p w14:paraId="6CAF8F5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37</w:t>
                  </w:r>
                </w:p>
              </w:tc>
              <w:tc>
                <w:tcPr>
                  <w:tcW w:w="180" w:type="pct"/>
                  <w:tcBorders>
                    <w:tl2br w:val="nil"/>
                    <w:tr2bl w:val="nil"/>
                  </w:tcBorders>
                  <w:vAlign w:val="center"/>
                </w:tcPr>
                <w:p w14:paraId="00F3E8B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7305335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30</w:t>
                  </w:r>
                </w:p>
              </w:tc>
              <w:tc>
                <w:tcPr>
                  <w:tcW w:w="173" w:type="pct"/>
                  <w:tcBorders>
                    <w:tl2br w:val="nil"/>
                    <w:tr2bl w:val="nil"/>
                  </w:tcBorders>
                  <w:vAlign w:val="center"/>
                </w:tcPr>
                <w:p w14:paraId="43A0566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37</w:t>
                  </w:r>
                </w:p>
              </w:tc>
              <w:tc>
                <w:tcPr>
                  <w:tcW w:w="173" w:type="pct"/>
                  <w:tcBorders>
                    <w:tl2br w:val="nil"/>
                    <w:tr2bl w:val="nil"/>
                  </w:tcBorders>
                  <w:vAlign w:val="center"/>
                </w:tcPr>
                <w:p w14:paraId="4A271641">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74" w:type="pct"/>
                  <w:tcBorders>
                    <w:tl2br w:val="nil"/>
                    <w:tr2bl w:val="nil"/>
                  </w:tcBorders>
                  <w:vAlign w:val="center"/>
                </w:tcPr>
                <w:p w14:paraId="1C12685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38</w:t>
                  </w:r>
                </w:p>
              </w:tc>
              <w:tc>
                <w:tcPr>
                  <w:tcW w:w="228" w:type="pct"/>
                  <w:tcBorders>
                    <w:tl2br w:val="nil"/>
                    <w:tr2bl w:val="nil"/>
                  </w:tcBorders>
                  <w:vAlign w:val="center"/>
                </w:tcPr>
                <w:p w14:paraId="7783F5B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5A54300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07E8691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51.4 </w:t>
                  </w:r>
                </w:p>
              </w:tc>
              <w:tc>
                <w:tcPr>
                  <w:tcW w:w="181" w:type="pct"/>
                  <w:tcBorders>
                    <w:tl2br w:val="nil"/>
                    <w:tr2bl w:val="nil"/>
                  </w:tcBorders>
                  <w:vAlign w:val="center"/>
                </w:tcPr>
                <w:p w14:paraId="1A75753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28CFDAC3">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6A9FF663">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1C389EAD">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56DE67E7">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265FA5C4">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7DB41196">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2D2ED7CA">
                  <w:pPr>
                    <w:spacing w:line="240" w:lineRule="auto"/>
                    <w:ind w:left="0" w:leftChars="0" w:right="0" w:rightChars="0" w:firstLine="0" w:firstLineChars="0"/>
                    <w:jc w:val="center"/>
                    <w:rPr>
                      <w:rFonts w:eastAsia="等线"/>
                      <w:color w:val="auto"/>
                      <w:szCs w:val="21"/>
                    </w:rPr>
                  </w:pPr>
                </w:p>
              </w:tc>
            </w:tr>
            <w:tr w14:paraId="0F60E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71415655">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12</w:t>
                  </w:r>
                </w:p>
              </w:tc>
              <w:tc>
                <w:tcPr>
                  <w:tcW w:w="160" w:type="pct"/>
                  <w:vMerge w:val="continue"/>
                  <w:tcBorders>
                    <w:tl2br w:val="nil"/>
                    <w:tr2bl w:val="nil"/>
                  </w:tcBorders>
                  <w:vAlign w:val="center"/>
                </w:tcPr>
                <w:p w14:paraId="667593E0">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7732C5E6">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5#二保焊机</w:t>
                  </w:r>
                </w:p>
              </w:tc>
              <w:tc>
                <w:tcPr>
                  <w:tcW w:w="351" w:type="pct"/>
                  <w:tcBorders>
                    <w:tl2br w:val="nil"/>
                    <w:tr2bl w:val="nil"/>
                  </w:tcBorders>
                  <w:vAlign w:val="center"/>
                </w:tcPr>
                <w:p w14:paraId="29DE0B03">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7010F238">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7D4A13A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90" w:type="pct"/>
                  <w:tcBorders>
                    <w:tl2br w:val="nil"/>
                    <w:tr2bl w:val="nil"/>
                  </w:tcBorders>
                  <w:vAlign w:val="center"/>
                </w:tcPr>
                <w:p w14:paraId="109EFE5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36</w:t>
                  </w:r>
                </w:p>
              </w:tc>
              <w:tc>
                <w:tcPr>
                  <w:tcW w:w="180" w:type="pct"/>
                  <w:tcBorders>
                    <w:tl2br w:val="nil"/>
                    <w:tr2bl w:val="nil"/>
                  </w:tcBorders>
                  <w:vAlign w:val="center"/>
                </w:tcPr>
                <w:p w14:paraId="43CD845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2E0B295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30</w:t>
                  </w:r>
                </w:p>
              </w:tc>
              <w:tc>
                <w:tcPr>
                  <w:tcW w:w="173" w:type="pct"/>
                  <w:tcBorders>
                    <w:tl2br w:val="nil"/>
                    <w:tr2bl w:val="nil"/>
                  </w:tcBorders>
                  <w:vAlign w:val="center"/>
                </w:tcPr>
                <w:p w14:paraId="21F7F04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36</w:t>
                  </w:r>
                </w:p>
              </w:tc>
              <w:tc>
                <w:tcPr>
                  <w:tcW w:w="173" w:type="pct"/>
                  <w:tcBorders>
                    <w:tl2br w:val="nil"/>
                    <w:tr2bl w:val="nil"/>
                  </w:tcBorders>
                  <w:vAlign w:val="center"/>
                </w:tcPr>
                <w:p w14:paraId="256BF1A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74" w:type="pct"/>
                  <w:tcBorders>
                    <w:tl2br w:val="nil"/>
                    <w:tr2bl w:val="nil"/>
                  </w:tcBorders>
                  <w:vAlign w:val="center"/>
                </w:tcPr>
                <w:p w14:paraId="46623A4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39</w:t>
                  </w:r>
                </w:p>
              </w:tc>
              <w:tc>
                <w:tcPr>
                  <w:tcW w:w="228" w:type="pct"/>
                  <w:tcBorders>
                    <w:tl2br w:val="nil"/>
                    <w:tr2bl w:val="nil"/>
                  </w:tcBorders>
                  <w:vAlign w:val="center"/>
                </w:tcPr>
                <w:p w14:paraId="564E35C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4295EFF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3351837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51.4 </w:t>
                  </w:r>
                </w:p>
              </w:tc>
              <w:tc>
                <w:tcPr>
                  <w:tcW w:w="181" w:type="pct"/>
                  <w:tcBorders>
                    <w:tl2br w:val="nil"/>
                    <w:tr2bl w:val="nil"/>
                  </w:tcBorders>
                  <w:vAlign w:val="center"/>
                </w:tcPr>
                <w:p w14:paraId="6CC2602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4EA52F41">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22718E8B">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4F49EC1A">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67EF8EC2">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046A01F3">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38333E20">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339AE70E">
                  <w:pPr>
                    <w:spacing w:line="240" w:lineRule="auto"/>
                    <w:ind w:left="0" w:leftChars="0" w:right="0" w:rightChars="0" w:firstLine="0" w:firstLineChars="0"/>
                    <w:jc w:val="center"/>
                    <w:rPr>
                      <w:rFonts w:eastAsia="等线"/>
                      <w:color w:val="auto"/>
                      <w:szCs w:val="21"/>
                    </w:rPr>
                  </w:pPr>
                </w:p>
              </w:tc>
            </w:tr>
            <w:tr w14:paraId="639DC0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79498189">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13</w:t>
                  </w:r>
                </w:p>
              </w:tc>
              <w:tc>
                <w:tcPr>
                  <w:tcW w:w="160" w:type="pct"/>
                  <w:vMerge w:val="continue"/>
                  <w:tcBorders>
                    <w:tl2br w:val="nil"/>
                    <w:tr2bl w:val="nil"/>
                  </w:tcBorders>
                  <w:vAlign w:val="center"/>
                </w:tcPr>
                <w:p w14:paraId="51CA406D">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2D98E8D8">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6#二保焊机</w:t>
                  </w:r>
                </w:p>
              </w:tc>
              <w:tc>
                <w:tcPr>
                  <w:tcW w:w="351" w:type="pct"/>
                  <w:tcBorders>
                    <w:tl2br w:val="nil"/>
                    <w:tr2bl w:val="nil"/>
                  </w:tcBorders>
                  <w:vAlign w:val="center"/>
                </w:tcPr>
                <w:p w14:paraId="0CE31505">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094C29E7">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03FB843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90" w:type="pct"/>
                  <w:tcBorders>
                    <w:tl2br w:val="nil"/>
                    <w:tr2bl w:val="nil"/>
                  </w:tcBorders>
                  <w:vAlign w:val="center"/>
                </w:tcPr>
                <w:p w14:paraId="4123BB5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35</w:t>
                  </w:r>
                </w:p>
              </w:tc>
              <w:tc>
                <w:tcPr>
                  <w:tcW w:w="180" w:type="pct"/>
                  <w:tcBorders>
                    <w:tl2br w:val="nil"/>
                    <w:tr2bl w:val="nil"/>
                  </w:tcBorders>
                  <w:vAlign w:val="center"/>
                </w:tcPr>
                <w:p w14:paraId="3F227F9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227B63D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30</w:t>
                  </w:r>
                </w:p>
              </w:tc>
              <w:tc>
                <w:tcPr>
                  <w:tcW w:w="173" w:type="pct"/>
                  <w:tcBorders>
                    <w:tl2br w:val="nil"/>
                    <w:tr2bl w:val="nil"/>
                  </w:tcBorders>
                  <w:vAlign w:val="center"/>
                </w:tcPr>
                <w:p w14:paraId="7CCB946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35</w:t>
                  </w:r>
                </w:p>
              </w:tc>
              <w:tc>
                <w:tcPr>
                  <w:tcW w:w="173" w:type="pct"/>
                  <w:tcBorders>
                    <w:tl2br w:val="nil"/>
                    <w:tr2bl w:val="nil"/>
                  </w:tcBorders>
                  <w:vAlign w:val="center"/>
                </w:tcPr>
                <w:p w14:paraId="0A21220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74" w:type="pct"/>
                  <w:tcBorders>
                    <w:tl2br w:val="nil"/>
                    <w:tr2bl w:val="nil"/>
                  </w:tcBorders>
                  <w:vAlign w:val="center"/>
                </w:tcPr>
                <w:p w14:paraId="3847037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40</w:t>
                  </w:r>
                </w:p>
              </w:tc>
              <w:tc>
                <w:tcPr>
                  <w:tcW w:w="228" w:type="pct"/>
                  <w:tcBorders>
                    <w:tl2br w:val="nil"/>
                    <w:tr2bl w:val="nil"/>
                  </w:tcBorders>
                  <w:vAlign w:val="center"/>
                </w:tcPr>
                <w:p w14:paraId="0DF6553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55EBB26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1790EF6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51.4 </w:t>
                  </w:r>
                </w:p>
              </w:tc>
              <w:tc>
                <w:tcPr>
                  <w:tcW w:w="181" w:type="pct"/>
                  <w:tcBorders>
                    <w:tl2br w:val="nil"/>
                    <w:tr2bl w:val="nil"/>
                  </w:tcBorders>
                  <w:vAlign w:val="center"/>
                </w:tcPr>
                <w:p w14:paraId="08BD8A9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6A55FFA4">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62A7BA58">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57C1F6EE">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1CCF1F9E">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5928ABC1">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59EB26A9">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18663C66">
                  <w:pPr>
                    <w:spacing w:line="240" w:lineRule="auto"/>
                    <w:ind w:left="0" w:leftChars="0" w:right="0" w:rightChars="0" w:firstLine="0" w:firstLineChars="0"/>
                    <w:jc w:val="center"/>
                    <w:rPr>
                      <w:rFonts w:eastAsia="等线"/>
                      <w:color w:val="auto"/>
                      <w:szCs w:val="21"/>
                    </w:rPr>
                  </w:pPr>
                </w:p>
              </w:tc>
            </w:tr>
            <w:tr w14:paraId="4391F3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532A9E3A">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14</w:t>
                  </w:r>
                </w:p>
              </w:tc>
              <w:tc>
                <w:tcPr>
                  <w:tcW w:w="160" w:type="pct"/>
                  <w:vMerge w:val="continue"/>
                  <w:tcBorders>
                    <w:tl2br w:val="nil"/>
                    <w:tr2bl w:val="nil"/>
                  </w:tcBorders>
                  <w:vAlign w:val="center"/>
                </w:tcPr>
                <w:p w14:paraId="3B7051DA">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30AB0DD9">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7#二保焊机</w:t>
                  </w:r>
                </w:p>
              </w:tc>
              <w:tc>
                <w:tcPr>
                  <w:tcW w:w="351" w:type="pct"/>
                  <w:tcBorders>
                    <w:tl2br w:val="nil"/>
                    <w:tr2bl w:val="nil"/>
                  </w:tcBorders>
                  <w:vAlign w:val="center"/>
                </w:tcPr>
                <w:p w14:paraId="1F1AC7F4">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69E7946B">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691DA38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90" w:type="pct"/>
                  <w:tcBorders>
                    <w:tl2br w:val="nil"/>
                    <w:tr2bl w:val="nil"/>
                  </w:tcBorders>
                  <w:vAlign w:val="center"/>
                </w:tcPr>
                <w:p w14:paraId="33C70D2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34</w:t>
                  </w:r>
                </w:p>
              </w:tc>
              <w:tc>
                <w:tcPr>
                  <w:tcW w:w="180" w:type="pct"/>
                  <w:tcBorders>
                    <w:tl2br w:val="nil"/>
                    <w:tr2bl w:val="nil"/>
                  </w:tcBorders>
                  <w:vAlign w:val="center"/>
                </w:tcPr>
                <w:p w14:paraId="39D4620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4627663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30</w:t>
                  </w:r>
                </w:p>
              </w:tc>
              <w:tc>
                <w:tcPr>
                  <w:tcW w:w="173" w:type="pct"/>
                  <w:tcBorders>
                    <w:tl2br w:val="nil"/>
                    <w:tr2bl w:val="nil"/>
                  </w:tcBorders>
                  <w:vAlign w:val="center"/>
                </w:tcPr>
                <w:p w14:paraId="7E513F7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34</w:t>
                  </w:r>
                </w:p>
              </w:tc>
              <w:tc>
                <w:tcPr>
                  <w:tcW w:w="173" w:type="pct"/>
                  <w:tcBorders>
                    <w:tl2br w:val="nil"/>
                    <w:tr2bl w:val="nil"/>
                  </w:tcBorders>
                  <w:vAlign w:val="center"/>
                </w:tcPr>
                <w:p w14:paraId="6E8F07C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74" w:type="pct"/>
                  <w:tcBorders>
                    <w:tl2br w:val="nil"/>
                    <w:tr2bl w:val="nil"/>
                  </w:tcBorders>
                  <w:vAlign w:val="center"/>
                </w:tcPr>
                <w:p w14:paraId="22DCE04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41</w:t>
                  </w:r>
                </w:p>
              </w:tc>
              <w:tc>
                <w:tcPr>
                  <w:tcW w:w="228" w:type="pct"/>
                  <w:tcBorders>
                    <w:tl2br w:val="nil"/>
                    <w:tr2bl w:val="nil"/>
                  </w:tcBorders>
                  <w:vAlign w:val="center"/>
                </w:tcPr>
                <w:p w14:paraId="5D27B82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0BDE917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10FA4FD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51.4 </w:t>
                  </w:r>
                </w:p>
              </w:tc>
              <w:tc>
                <w:tcPr>
                  <w:tcW w:w="181" w:type="pct"/>
                  <w:tcBorders>
                    <w:tl2br w:val="nil"/>
                    <w:tr2bl w:val="nil"/>
                  </w:tcBorders>
                  <w:vAlign w:val="center"/>
                </w:tcPr>
                <w:p w14:paraId="0AFDAA2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0E2E01D2">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1A07A83B">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58BE262E">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1CB16F93">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143FA437">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1CCB68D1">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36063C62">
                  <w:pPr>
                    <w:spacing w:line="240" w:lineRule="auto"/>
                    <w:ind w:left="0" w:leftChars="0" w:right="0" w:rightChars="0" w:firstLine="0" w:firstLineChars="0"/>
                    <w:jc w:val="center"/>
                    <w:rPr>
                      <w:rFonts w:eastAsia="等线"/>
                      <w:color w:val="auto"/>
                      <w:szCs w:val="21"/>
                    </w:rPr>
                  </w:pPr>
                </w:p>
              </w:tc>
            </w:tr>
            <w:tr w14:paraId="12D028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0124F727">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15</w:t>
                  </w:r>
                </w:p>
              </w:tc>
              <w:tc>
                <w:tcPr>
                  <w:tcW w:w="160" w:type="pct"/>
                  <w:vMerge w:val="continue"/>
                  <w:tcBorders>
                    <w:tl2br w:val="nil"/>
                    <w:tr2bl w:val="nil"/>
                  </w:tcBorders>
                  <w:vAlign w:val="center"/>
                </w:tcPr>
                <w:p w14:paraId="622302C5">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59D2A91D">
                  <w:pPr>
                    <w:kinsoku w:val="0"/>
                    <w:wordWrap w:val="0"/>
                    <w:autoSpaceDE w:val="0"/>
                    <w:autoSpaceDN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8#二保焊机</w:t>
                  </w:r>
                </w:p>
              </w:tc>
              <w:tc>
                <w:tcPr>
                  <w:tcW w:w="351" w:type="pct"/>
                  <w:tcBorders>
                    <w:tl2br w:val="nil"/>
                    <w:tr2bl w:val="nil"/>
                  </w:tcBorders>
                  <w:vAlign w:val="center"/>
                </w:tcPr>
                <w:p w14:paraId="7954E8C1">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73EA1FF0">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2D4DCFF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90" w:type="pct"/>
                  <w:tcBorders>
                    <w:tl2br w:val="nil"/>
                    <w:tr2bl w:val="nil"/>
                  </w:tcBorders>
                  <w:vAlign w:val="center"/>
                </w:tcPr>
                <w:p w14:paraId="57DFE9C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33</w:t>
                  </w:r>
                </w:p>
              </w:tc>
              <w:tc>
                <w:tcPr>
                  <w:tcW w:w="180" w:type="pct"/>
                  <w:tcBorders>
                    <w:tl2br w:val="nil"/>
                    <w:tr2bl w:val="nil"/>
                  </w:tcBorders>
                  <w:vAlign w:val="center"/>
                </w:tcPr>
                <w:p w14:paraId="3F8AA33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4D59705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30</w:t>
                  </w:r>
                </w:p>
              </w:tc>
              <w:tc>
                <w:tcPr>
                  <w:tcW w:w="173" w:type="pct"/>
                  <w:tcBorders>
                    <w:tl2br w:val="nil"/>
                    <w:tr2bl w:val="nil"/>
                  </w:tcBorders>
                  <w:vAlign w:val="center"/>
                </w:tcPr>
                <w:p w14:paraId="7545BE2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33</w:t>
                  </w:r>
                </w:p>
              </w:tc>
              <w:tc>
                <w:tcPr>
                  <w:tcW w:w="173" w:type="pct"/>
                  <w:tcBorders>
                    <w:tl2br w:val="nil"/>
                    <w:tr2bl w:val="nil"/>
                  </w:tcBorders>
                  <w:vAlign w:val="center"/>
                </w:tcPr>
                <w:p w14:paraId="34FE1DF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26</w:t>
                  </w:r>
                </w:p>
              </w:tc>
              <w:tc>
                <w:tcPr>
                  <w:tcW w:w="174" w:type="pct"/>
                  <w:tcBorders>
                    <w:tl2br w:val="nil"/>
                    <w:tr2bl w:val="nil"/>
                  </w:tcBorders>
                  <w:vAlign w:val="center"/>
                </w:tcPr>
                <w:p w14:paraId="45732C9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42</w:t>
                  </w:r>
                </w:p>
              </w:tc>
              <w:tc>
                <w:tcPr>
                  <w:tcW w:w="228" w:type="pct"/>
                  <w:tcBorders>
                    <w:tl2br w:val="nil"/>
                    <w:tr2bl w:val="nil"/>
                  </w:tcBorders>
                  <w:vAlign w:val="center"/>
                </w:tcPr>
                <w:p w14:paraId="19B38C3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1E27F90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0710272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51.4 </w:t>
                  </w:r>
                </w:p>
              </w:tc>
              <w:tc>
                <w:tcPr>
                  <w:tcW w:w="181" w:type="pct"/>
                  <w:tcBorders>
                    <w:tl2br w:val="nil"/>
                    <w:tr2bl w:val="nil"/>
                  </w:tcBorders>
                  <w:vAlign w:val="center"/>
                </w:tcPr>
                <w:p w14:paraId="180E4CF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4003E47A">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6F06FAC7">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0A9CFD36">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0211F5D2">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7184FAA2">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5D9B7DC2">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0CFD4CB0">
                  <w:pPr>
                    <w:spacing w:line="240" w:lineRule="auto"/>
                    <w:ind w:left="0" w:leftChars="0" w:right="0" w:rightChars="0" w:firstLine="0" w:firstLineChars="0"/>
                    <w:jc w:val="center"/>
                    <w:rPr>
                      <w:rFonts w:eastAsia="等线"/>
                      <w:color w:val="auto"/>
                      <w:szCs w:val="21"/>
                    </w:rPr>
                  </w:pPr>
                </w:p>
              </w:tc>
            </w:tr>
            <w:tr w14:paraId="3E8E7F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0C518EA7">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16</w:t>
                  </w:r>
                </w:p>
              </w:tc>
              <w:tc>
                <w:tcPr>
                  <w:tcW w:w="160" w:type="pct"/>
                  <w:vMerge w:val="continue"/>
                  <w:tcBorders>
                    <w:tl2br w:val="nil"/>
                    <w:tr2bl w:val="nil"/>
                  </w:tcBorders>
                  <w:vAlign w:val="center"/>
                </w:tcPr>
                <w:p w14:paraId="2C354C79">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2AE08497">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1#</w:t>
                  </w:r>
                  <w:r>
                    <w:rPr>
                      <w:rFonts w:ascii="Times New Roman" w:hAnsi="Times New Roman" w:cs="Times New Roman"/>
                      <w:color w:val="auto"/>
                      <w:sz w:val="21"/>
                      <w:szCs w:val="21"/>
                    </w:rPr>
                    <w:t>氩弧焊机</w:t>
                  </w:r>
                </w:p>
              </w:tc>
              <w:tc>
                <w:tcPr>
                  <w:tcW w:w="351" w:type="pct"/>
                  <w:tcBorders>
                    <w:tl2br w:val="nil"/>
                    <w:tr2bl w:val="nil"/>
                  </w:tcBorders>
                  <w:vAlign w:val="center"/>
                </w:tcPr>
                <w:p w14:paraId="0E8F93A7">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75</w:t>
                  </w:r>
                </w:p>
              </w:tc>
              <w:tc>
                <w:tcPr>
                  <w:tcW w:w="183" w:type="pct"/>
                  <w:vMerge w:val="continue"/>
                  <w:tcBorders>
                    <w:tl2br w:val="nil"/>
                    <w:tr2bl w:val="nil"/>
                  </w:tcBorders>
                  <w:vAlign w:val="center"/>
                </w:tcPr>
                <w:p w14:paraId="5B67900F">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4224759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14903AB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40</w:t>
                  </w:r>
                </w:p>
              </w:tc>
              <w:tc>
                <w:tcPr>
                  <w:tcW w:w="180" w:type="pct"/>
                  <w:tcBorders>
                    <w:tl2br w:val="nil"/>
                    <w:tr2bl w:val="nil"/>
                  </w:tcBorders>
                  <w:vAlign w:val="center"/>
                </w:tcPr>
                <w:p w14:paraId="5B4318B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0775B5D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1F7B56A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40</w:t>
                  </w:r>
                </w:p>
              </w:tc>
              <w:tc>
                <w:tcPr>
                  <w:tcW w:w="173" w:type="pct"/>
                  <w:tcBorders>
                    <w:tl2br w:val="nil"/>
                    <w:tr2bl w:val="nil"/>
                  </w:tcBorders>
                  <w:vAlign w:val="center"/>
                </w:tcPr>
                <w:p w14:paraId="0713C04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5DD1CFB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35</w:t>
                  </w:r>
                </w:p>
              </w:tc>
              <w:tc>
                <w:tcPr>
                  <w:tcW w:w="228" w:type="pct"/>
                  <w:tcBorders>
                    <w:tl2br w:val="nil"/>
                    <w:tr2bl w:val="nil"/>
                  </w:tcBorders>
                  <w:vAlign w:val="center"/>
                </w:tcPr>
                <w:p w14:paraId="1C5FF22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493D427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65745BE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585BC6B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14FA40B0">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46ACACF7">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1332D0D0">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59C566B8">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7D8CB0C5">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68CCA692">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7307FB87">
                  <w:pPr>
                    <w:spacing w:line="240" w:lineRule="auto"/>
                    <w:ind w:left="0" w:leftChars="0" w:right="0" w:rightChars="0" w:firstLine="0" w:firstLineChars="0"/>
                    <w:jc w:val="center"/>
                    <w:rPr>
                      <w:rFonts w:eastAsia="等线"/>
                      <w:color w:val="auto"/>
                      <w:szCs w:val="21"/>
                    </w:rPr>
                  </w:pPr>
                </w:p>
              </w:tc>
            </w:tr>
            <w:tr w14:paraId="67BDBE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131AD087">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17</w:t>
                  </w:r>
                </w:p>
              </w:tc>
              <w:tc>
                <w:tcPr>
                  <w:tcW w:w="160" w:type="pct"/>
                  <w:vMerge w:val="continue"/>
                  <w:tcBorders>
                    <w:tl2br w:val="nil"/>
                    <w:tr2bl w:val="nil"/>
                  </w:tcBorders>
                  <w:vAlign w:val="center"/>
                </w:tcPr>
                <w:p w14:paraId="34A7D058">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781BE8C1">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color w:val="auto"/>
                      <w:szCs w:val="21"/>
                      <w:lang w:eastAsia="zh-CN"/>
                    </w:rPr>
                    <w:t>2#</w:t>
                  </w:r>
                  <w:r>
                    <w:rPr>
                      <w:rFonts w:eastAsia="宋体" w:cs="Times New Roman"/>
                      <w:color w:val="auto"/>
                      <w:szCs w:val="21"/>
                    </w:rPr>
                    <w:t>氩弧焊机</w:t>
                  </w:r>
                </w:p>
              </w:tc>
              <w:tc>
                <w:tcPr>
                  <w:tcW w:w="351" w:type="pct"/>
                  <w:tcBorders>
                    <w:tl2br w:val="nil"/>
                    <w:tr2bl w:val="nil"/>
                  </w:tcBorders>
                  <w:vAlign w:val="center"/>
                </w:tcPr>
                <w:p w14:paraId="11EECFEC">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61EFB06E">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5E65060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4FF9EFF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39</w:t>
                  </w:r>
                </w:p>
              </w:tc>
              <w:tc>
                <w:tcPr>
                  <w:tcW w:w="180" w:type="pct"/>
                  <w:tcBorders>
                    <w:tl2br w:val="nil"/>
                    <w:tr2bl w:val="nil"/>
                  </w:tcBorders>
                  <w:vAlign w:val="center"/>
                </w:tcPr>
                <w:p w14:paraId="462D59C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28DC1B3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4B749FC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39</w:t>
                  </w:r>
                </w:p>
              </w:tc>
              <w:tc>
                <w:tcPr>
                  <w:tcW w:w="173" w:type="pct"/>
                  <w:tcBorders>
                    <w:tl2br w:val="nil"/>
                    <w:tr2bl w:val="nil"/>
                  </w:tcBorders>
                  <w:vAlign w:val="center"/>
                </w:tcPr>
                <w:p w14:paraId="1E3C51B1">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259FAFE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36</w:t>
                  </w:r>
                </w:p>
              </w:tc>
              <w:tc>
                <w:tcPr>
                  <w:tcW w:w="228" w:type="pct"/>
                  <w:tcBorders>
                    <w:tl2br w:val="nil"/>
                    <w:tr2bl w:val="nil"/>
                  </w:tcBorders>
                  <w:vAlign w:val="center"/>
                </w:tcPr>
                <w:p w14:paraId="69D4311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773428A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7079701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47526FA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5DCF1DFE">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207C4D05">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03439AF2">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0E397F8F">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06C49344">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7C199161">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10792028">
                  <w:pPr>
                    <w:spacing w:line="240" w:lineRule="auto"/>
                    <w:ind w:left="0" w:leftChars="0" w:right="0" w:rightChars="0" w:firstLine="0" w:firstLineChars="0"/>
                    <w:jc w:val="center"/>
                    <w:rPr>
                      <w:rFonts w:eastAsia="等线"/>
                      <w:color w:val="auto"/>
                      <w:szCs w:val="21"/>
                    </w:rPr>
                  </w:pPr>
                </w:p>
              </w:tc>
            </w:tr>
            <w:tr w14:paraId="5D7111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3F33959B">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18</w:t>
                  </w:r>
                </w:p>
              </w:tc>
              <w:tc>
                <w:tcPr>
                  <w:tcW w:w="160" w:type="pct"/>
                  <w:vMerge w:val="continue"/>
                  <w:tcBorders>
                    <w:tl2br w:val="nil"/>
                    <w:tr2bl w:val="nil"/>
                  </w:tcBorders>
                  <w:vAlign w:val="center"/>
                </w:tcPr>
                <w:p w14:paraId="02521DE4">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4B901ED9">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color w:val="auto"/>
                      <w:szCs w:val="21"/>
                      <w:lang w:eastAsia="zh-CN"/>
                    </w:rPr>
                    <w:t>3#</w:t>
                  </w:r>
                  <w:r>
                    <w:rPr>
                      <w:rFonts w:eastAsia="宋体" w:cs="Times New Roman"/>
                      <w:color w:val="auto"/>
                      <w:szCs w:val="21"/>
                    </w:rPr>
                    <w:t>氩弧焊机</w:t>
                  </w:r>
                </w:p>
              </w:tc>
              <w:tc>
                <w:tcPr>
                  <w:tcW w:w="351" w:type="pct"/>
                  <w:tcBorders>
                    <w:tl2br w:val="nil"/>
                    <w:tr2bl w:val="nil"/>
                  </w:tcBorders>
                  <w:vAlign w:val="center"/>
                </w:tcPr>
                <w:p w14:paraId="6657379E">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3857BFDC">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3C5820B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6881175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38</w:t>
                  </w:r>
                </w:p>
              </w:tc>
              <w:tc>
                <w:tcPr>
                  <w:tcW w:w="180" w:type="pct"/>
                  <w:tcBorders>
                    <w:tl2br w:val="nil"/>
                    <w:tr2bl w:val="nil"/>
                  </w:tcBorders>
                  <w:vAlign w:val="center"/>
                </w:tcPr>
                <w:p w14:paraId="7C184C6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1D72D9D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752337F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38</w:t>
                  </w:r>
                </w:p>
              </w:tc>
              <w:tc>
                <w:tcPr>
                  <w:tcW w:w="173" w:type="pct"/>
                  <w:tcBorders>
                    <w:tl2br w:val="nil"/>
                    <w:tr2bl w:val="nil"/>
                  </w:tcBorders>
                  <w:vAlign w:val="center"/>
                </w:tcPr>
                <w:p w14:paraId="20E51DF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7EF019F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37</w:t>
                  </w:r>
                </w:p>
              </w:tc>
              <w:tc>
                <w:tcPr>
                  <w:tcW w:w="228" w:type="pct"/>
                  <w:tcBorders>
                    <w:tl2br w:val="nil"/>
                    <w:tr2bl w:val="nil"/>
                  </w:tcBorders>
                  <w:vAlign w:val="center"/>
                </w:tcPr>
                <w:p w14:paraId="132A32D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0A33FBC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57ADDE8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44E8911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0A56893E">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68E2FE2D">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698BF911">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7C48633D">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1A10EC0F">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3865C1A2">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4B362C15">
                  <w:pPr>
                    <w:spacing w:line="240" w:lineRule="auto"/>
                    <w:ind w:left="0" w:leftChars="0" w:right="0" w:rightChars="0" w:firstLine="0" w:firstLineChars="0"/>
                    <w:jc w:val="center"/>
                    <w:rPr>
                      <w:rFonts w:eastAsia="等线"/>
                      <w:color w:val="auto"/>
                      <w:szCs w:val="21"/>
                    </w:rPr>
                  </w:pPr>
                </w:p>
              </w:tc>
            </w:tr>
            <w:tr w14:paraId="25A5F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340F4449">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19</w:t>
                  </w:r>
                </w:p>
              </w:tc>
              <w:tc>
                <w:tcPr>
                  <w:tcW w:w="160" w:type="pct"/>
                  <w:vMerge w:val="continue"/>
                  <w:tcBorders>
                    <w:tl2br w:val="nil"/>
                    <w:tr2bl w:val="nil"/>
                  </w:tcBorders>
                  <w:vAlign w:val="center"/>
                </w:tcPr>
                <w:p w14:paraId="3B88FDAD">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3D5258A7">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color w:val="auto"/>
                      <w:szCs w:val="21"/>
                      <w:lang w:eastAsia="zh-CN"/>
                    </w:rPr>
                    <w:t>4#</w:t>
                  </w:r>
                  <w:r>
                    <w:rPr>
                      <w:rFonts w:eastAsia="宋体" w:cs="Times New Roman"/>
                      <w:color w:val="auto"/>
                      <w:szCs w:val="21"/>
                    </w:rPr>
                    <w:t>氩弧焊机</w:t>
                  </w:r>
                </w:p>
              </w:tc>
              <w:tc>
                <w:tcPr>
                  <w:tcW w:w="351" w:type="pct"/>
                  <w:tcBorders>
                    <w:tl2br w:val="nil"/>
                    <w:tr2bl w:val="nil"/>
                  </w:tcBorders>
                  <w:vAlign w:val="center"/>
                </w:tcPr>
                <w:p w14:paraId="705C74E1">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75EC2F36">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6116AD9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2BE15D0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37</w:t>
                  </w:r>
                </w:p>
              </w:tc>
              <w:tc>
                <w:tcPr>
                  <w:tcW w:w="180" w:type="pct"/>
                  <w:tcBorders>
                    <w:tl2br w:val="nil"/>
                    <w:tr2bl w:val="nil"/>
                  </w:tcBorders>
                  <w:vAlign w:val="center"/>
                </w:tcPr>
                <w:p w14:paraId="54C55BE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11DF596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5B364DE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37</w:t>
                  </w:r>
                </w:p>
              </w:tc>
              <w:tc>
                <w:tcPr>
                  <w:tcW w:w="173" w:type="pct"/>
                  <w:tcBorders>
                    <w:tl2br w:val="nil"/>
                    <w:tr2bl w:val="nil"/>
                  </w:tcBorders>
                  <w:vAlign w:val="center"/>
                </w:tcPr>
                <w:p w14:paraId="21F1BFA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460887E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38</w:t>
                  </w:r>
                </w:p>
              </w:tc>
              <w:tc>
                <w:tcPr>
                  <w:tcW w:w="228" w:type="pct"/>
                  <w:tcBorders>
                    <w:tl2br w:val="nil"/>
                    <w:tr2bl w:val="nil"/>
                  </w:tcBorders>
                  <w:vAlign w:val="center"/>
                </w:tcPr>
                <w:p w14:paraId="626EF13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3BF15DD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6C960AB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002937D1">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136E4302">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0E684784">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4E5FCE23">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4FA8D621">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4E2CF5C8">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54BFA208">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4050E7D9">
                  <w:pPr>
                    <w:spacing w:line="240" w:lineRule="auto"/>
                    <w:ind w:left="0" w:leftChars="0" w:right="0" w:rightChars="0" w:firstLine="0" w:firstLineChars="0"/>
                    <w:jc w:val="center"/>
                    <w:rPr>
                      <w:rFonts w:eastAsia="等线"/>
                      <w:color w:val="auto"/>
                      <w:szCs w:val="21"/>
                    </w:rPr>
                  </w:pPr>
                </w:p>
              </w:tc>
            </w:tr>
            <w:tr w14:paraId="196D5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1B841396">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20</w:t>
                  </w:r>
                </w:p>
              </w:tc>
              <w:tc>
                <w:tcPr>
                  <w:tcW w:w="160" w:type="pct"/>
                  <w:vMerge w:val="continue"/>
                  <w:tcBorders>
                    <w:tl2br w:val="nil"/>
                    <w:tr2bl w:val="nil"/>
                  </w:tcBorders>
                  <w:vAlign w:val="center"/>
                </w:tcPr>
                <w:p w14:paraId="364CB5EA">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632B4774">
                  <w:pPr>
                    <w:kinsoku w:val="0"/>
                    <w:wordWrap w:val="0"/>
                    <w:autoSpaceDE w:val="0"/>
                    <w:autoSpaceDN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color w:val="auto"/>
                      <w:szCs w:val="21"/>
                      <w:lang w:eastAsia="zh-CN"/>
                    </w:rPr>
                    <w:t>5#</w:t>
                  </w:r>
                  <w:r>
                    <w:rPr>
                      <w:rFonts w:eastAsia="宋体" w:cs="Times New Roman"/>
                      <w:color w:val="auto"/>
                      <w:szCs w:val="21"/>
                    </w:rPr>
                    <w:t>氩弧焊机</w:t>
                  </w:r>
                </w:p>
              </w:tc>
              <w:tc>
                <w:tcPr>
                  <w:tcW w:w="351" w:type="pct"/>
                  <w:tcBorders>
                    <w:tl2br w:val="nil"/>
                    <w:tr2bl w:val="nil"/>
                  </w:tcBorders>
                  <w:vAlign w:val="center"/>
                </w:tcPr>
                <w:p w14:paraId="24D4B474">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6B68EECE">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37E9A99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682A29D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36</w:t>
                  </w:r>
                </w:p>
              </w:tc>
              <w:tc>
                <w:tcPr>
                  <w:tcW w:w="180" w:type="pct"/>
                  <w:tcBorders>
                    <w:tl2br w:val="nil"/>
                    <w:tr2bl w:val="nil"/>
                  </w:tcBorders>
                  <w:vAlign w:val="center"/>
                </w:tcPr>
                <w:p w14:paraId="5C92529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56E0CE8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0810CBC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36</w:t>
                  </w:r>
                </w:p>
              </w:tc>
              <w:tc>
                <w:tcPr>
                  <w:tcW w:w="173" w:type="pct"/>
                  <w:tcBorders>
                    <w:tl2br w:val="nil"/>
                    <w:tr2bl w:val="nil"/>
                  </w:tcBorders>
                  <w:vAlign w:val="center"/>
                </w:tcPr>
                <w:p w14:paraId="76D7AFA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217B4C2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39</w:t>
                  </w:r>
                </w:p>
              </w:tc>
              <w:tc>
                <w:tcPr>
                  <w:tcW w:w="228" w:type="pct"/>
                  <w:tcBorders>
                    <w:tl2br w:val="nil"/>
                    <w:tr2bl w:val="nil"/>
                  </w:tcBorders>
                  <w:vAlign w:val="center"/>
                </w:tcPr>
                <w:p w14:paraId="64E0314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644AD37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15FE71F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451A145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398355B0">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0D9FDC96">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4A1019F7">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5886F5E0">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7C30677C">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66ED1092">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6CC36841">
                  <w:pPr>
                    <w:spacing w:line="240" w:lineRule="auto"/>
                    <w:ind w:left="0" w:leftChars="0" w:right="0" w:rightChars="0" w:firstLine="0" w:firstLineChars="0"/>
                    <w:jc w:val="center"/>
                    <w:rPr>
                      <w:rFonts w:eastAsia="等线"/>
                      <w:color w:val="auto"/>
                      <w:szCs w:val="21"/>
                    </w:rPr>
                  </w:pPr>
                </w:p>
              </w:tc>
            </w:tr>
            <w:tr w14:paraId="3A3A8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10BD2541">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21</w:t>
                  </w:r>
                </w:p>
              </w:tc>
              <w:tc>
                <w:tcPr>
                  <w:tcW w:w="160" w:type="pct"/>
                  <w:vMerge w:val="continue"/>
                  <w:tcBorders>
                    <w:tl2br w:val="nil"/>
                    <w:tr2bl w:val="nil"/>
                  </w:tcBorders>
                  <w:vAlign w:val="center"/>
                </w:tcPr>
                <w:p w14:paraId="7762DFDB">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14BD52CB">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1#</w:t>
                  </w:r>
                  <w:r>
                    <w:rPr>
                      <w:rFonts w:ascii="Times New Roman" w:hAnsi="Times New Roman" w:cs="Times New Roman"/>
                      <w:color w:val="auto"/>
                      <w:sz w:val="21"/>
                      <w:szCs w:val="21"/>
                    </w:rPr>
                    <w:t>激光焊机</w:t>
                  </w:r>
                </w:p>
              </w:tc>
              <w:tc>
                <w:tcPr>
                  <w:tcW w:w="351" w:type="pct"/>
                  <w:tcBorders>
                    <w:tl2br w:val="nil"/>
                    <w:tr2bl w:val="nil"/>
                  </w:tcBorders>
                  <w:vAlign w:val="center"/>
                </w:tcPr>
                <w:p w14:paraId="53897C96">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75</w:t>
                  </w:r>
                </w:p>
              </w:tc>
              <w:tc>
                <w:tcPr>
                  <w:tcW w:w="183" w:type="pct"/>
                  <w:vMerge w:val="continue"/>
                  <w:tcBorders>
                    <w:tl2br w:val="nil"/>
                    <w:tr2bl w:val="nil"/>
                  </w:tcBorders>
                  <w:vAlign w:val="center"/>
                </w:tcPr>
                <w:p w14:paraId="5F08C235">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3A5C490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353671D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35</w:t>
                  </w:r>
                </w:p>
              </w:tc>
              <w:tc>
                <w:tcPr>
                  <w:tcW w:w="180" w:type="pct"/>
                  <w:tcBorders>
                    <w:tl2br w:val="nil"/>
                    <w:tr2bl w:val="nil"/>
                  </w:tcBorders>
                  <w:vAlign w:val="center"/>
                </w:tcPr>
                <w:p w14:paraId="2DD98F1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697C739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5F07408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35</w:t>
                  </w:r>
                </w:p>
              </w:tc>
              <w:tc>
                <w:tcPr>
                  <w:tcW w:w="173" w:type="pct"/>
                  <w:tcBorders>
                    <w:tl2br w:val="nil"/>
                    <w:tr2bl w:val="nil"/>
                  </w:tcBorders>
                  <w:vAlign w:val="center"/>
                </w:tcPr>
                <w:p w14:paraId="06B9514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1BE2DFD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40</w:t>
                  </w:r>
                </w:p>
              </w:tc>
              <w:tc>
                <w:tcPr>
                  <w:tcW w:w="228" w:type="pct"/>
                  <w:tcBorders>
                    <w:tl2br w:val="nil"/>
                    <w:tr2bl w:val="nil"/>
                  </w:tcBorders>
                  <w:vAlign w:val="center"/>
                </w:tcPr>
                <w:p w14:paraId="6E5F641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30647F9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7A14A58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3E0171B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7AF34AD2">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64613DB8">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557A076C">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4B7775E4">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11B840F3">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18E67147">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784A9965">
                  <w:pPr>
                    <w:spacing w:line="240" w:lineRule="auto"/>
                    <w:ind w:left="0" w:leftChars="0" w:right="0" w:rightChars="0" w:firstLine="0" w:firstLineChars="0"/>
                    <w:jc w:val="center"/>
                    <w:rPr>
                      <w:rFonts w:eastAsia="等线"/>
                      <w:color w:val="auto"/>
                      <w:szCs w:val="21"/>
                    </w:rPr>
                  </w:pPr>
                </w:p>
              </w:tc>
            </w:tr>
            <w:tr w14:paraId="7B709A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042B3DD5">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22</w:t>
                  </w:r>
                </w:p>
              </w:tc>
              <w:tc>
                <w:tcPr>
                  <w:tcW w:w="160" w:type="pct"/>
                  <w:vMerge w:val="continue"/>
                  <w:tcBorders>
                    <w:tl2br w:val="nil"/>
                    <w:tr2bl w:val="nil"/>
                  </w:tcBorders>
                  <w:vAlign w:val="center"/>
                </w:tcPr>
                <w:p w14:paraId="56883298">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47023D34">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2#</w:t>
                  </w:r>
                  <w:r>
                    <w:rPr>
                      <w:rFonts w:ascii="Times New Roman" w:hAnsi="Times New Roman" w:cs="Times New Roman"/>
                      <w:color w:val="auto"/>
                      <w:sz w:val="21"/>
                      <w:szCs w:val="21"/>
                    </w:rPr>
                    <w:t>激光焊机</w:t>
                  </w:r>
                </w:p>
              </w:tc>
              <w:tc>
                <w:tcPr>
                  <w:tcW w:w="351" w:type="pct"/>
                  <w:tcBorders>
                    <w:tl2br w:val="nil"/>
                    <w:tr2bl w:val="nil"/>
                  </w:tcBorders>
                  <w:vAlign w:val="center"/>
                </w:tcPr>
                <w:p w14:paraId="3F666882">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48D96085">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70AE7E1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06D0991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34</w:t>
                  </w:r>
                </w:p>
              </w:tc>
              <w:tc>
                <w:tcPr>
                  <w:tcW w:w="180" w:type="pct"/>
                  <w:tcBorders>
                    <w:tl2br w:val="nil"/>
                    <w:tr2bl w:val="nil"/>
                  </w:tcBorders>
                  <w:vAlign w:val="center"/>
                </w:tcPr>
                <w:p w14:paraId="068D650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062D19E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5440B75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34</w:t>
                  </w:r>
                </w:p>
              </w:tc>
              <w:tc>
                <w:tcPr>
                  <w:tcW w:w="173" w:type="pct"/>
                  <w:tcBorders>
                    <w:tl2br w:val="nil"/>
                    <w:tr2bl w:val="nil"/>
                  </w:tcBorders>
                  <w:vAlign w:val="center"/>
                </w:tcPr>
                <w:p w14:paraId="49ED0B7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1CE2938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41</w:t>
                  </w:r>
                </w:p>
              </w:tc>
              <w:tc>
                <w:tcPr>
                  <w:tcW w:w="228" w:type="pct"/>
                  <w:tcBorders>
                    <w:tl2br w:val="nil"/>
                    <w:tr2bl w:val="nil"/>
                  </w:tcBorders>
                  <w:vAlign w:val="center"/>
                </w:tcPr>
                <w:p w14:paraId="7C721C4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5851B59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0CF14DD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385AC94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25CDD350">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0C3FD4EC">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2DD57DB8">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55C433C0">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6AF00F7D">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4E60808D">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0C79A7BD">
                  <w:pPr>
                    <w:spacing w:line="240" w:lineRule="auto"/>
                    <w:ind w:left="0" w:leftChars="0" w:right="0" w:rightChars="0" w:firstLine="0" w:firstLineChars="0"/>
                    <w:jc w:val="center"/>
                    <w:rPr>
                      <w:rFonts w:eastAsia="等线"/>
                      <w:color w:val="auto"/>
                      <w:szCs w:val="21"/>
                    </w:rPr>
                  </w:pPr>
                </w:p>
              </w:tc>
            </w:tr>
            <w:tr w14:paraId="71815C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08F869E1">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23</w:t>
                  </w:r>
                </w:p>
              </w:tc>
              <w:tc>
                <w:tcPr>
                  <w:tcW w:w="160" w:type="pct"/>
                  <w:vMerge w:val="continue"/>
                  <w:tcBorders>
                    <w:tl2br w:val="nil"/>
                    <w:tr2bl w:val="nil"/>
                  </w:tcBorders>
                  <w:vAlign w:val="center"/>
                </w:tcPr>
                <w:p w14:paraId="5D8A1A1F">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7C4E5C39">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1#</w:t>
                  </w:r>
                  <w:r>
                    <w:rPr>
                      <w:rFonts w:ascii="Times New Roman" w:hAnsi="Times New Roman" w:cs="Times New Roman"/>
                      <w:color w:val="auto"/>
                      <w:sz w:val="21"/>
                      <w:szCs w:val="21"/>
                    </w:rPr>
                    <w:t>点焊机</w:t>
                  </w:r>
                </w:p>
              </w:tc>
              <w:tc>
                <w:tcPr>
                  <w:tcW w:w="351" w:type="pct"/>
                  <w:tcBorders>
                    <w:tl2br w:val="nil"/>
                    <w:tr2bl w:val="nil"/>
                  </w:tcBorders>
                  <w:vAlign w:val="center"/>
                </w:tcPr>
                <w:p w14:paraId="076DD5B8">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7D0BB55A">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102BA9D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313B51F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33</w:t>
                  </w:r>
                </w:p>
              </w:tc>
              <w:tc>
                <w:tcPr>
                  <w:tcW w:w="180" w:type="pct"/>
                  <w:tcBorders>
                    <w:tl2br w:val="nil"/>
                    <w:tr2bl w:val="nil"/>
                  </w:tcBorders>
                  <w:vAlign w:val="center"/>
                </w:tcPr>
                <w:p w14:paraId="07D0FD40">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5170745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4801E62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33</w:t>
                  </w:r>
                </w:p>
              </w:tc>
              <w:tc>
                <w:tcPr>
                  <w:tcW w:w="173" w:type="pct"/>
                  <w:tcBorders>
                    <w:tl2br w:val="nil"/>
                    <w:tr2bl w:val="nil"/>
                  </w:tcBorders>
                  <w:vAlign w:val="center"/>
                </w:tcPr>
                <w:p w14:paraId="281C357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1C1DFC1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42</w:t>
                  </w:r>
                </w:p>
              </w:tc>
              <w:tc>
                <w:tcPr>
                  <w:tcW w:w="228" w:type="pct"/>
                  <w:tcBorders>
                    <w:tl2br w:val="nil"/>
                    <w:tr2bl w:val="nil"/>
                  </w:tcBorders>
                  <w:vAlign w:val="center"/>
                </w:tcPr>
                <w:p w14:paraId="29BE2BE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288CEBBB">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13A85F9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5788C30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44F2AA4C">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21DF780A">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6F654A72">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2191ACC9">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34DB2ED3">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12B6199F">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7A8387EE">
                  <w:pPr>
                    <w:spacing w:line="240" w:lineRule="auto"/>
                    <w:ind w:left="0" w:leftChars="0" w:right="0" w:rightChars="0" w:firstLine="0" w:firstLineChars="0"/>
                    <w:jc w:val="center"/>
                    <w:rPr>
                      <w:rFonts w:eastAsia="等线"/>
                      <w:color w:val="auto"/>
                      <w:szCs w:val="21"/>
                    </w:rPr>
                  </w:pPr>
                </w:p>
              </w:tc>
            </w:tr>
            <w:tr w14:paraId="41D5EF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3DE8A1AE">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24</w:t>
                  </w:r>
                </w:p>
              </w:tc>
              <w:tc>
                <w:tcPr>
                  <w:tcW w:w="160" w:type="pct"/>
                  <w:vMerge w:val="continue"/>
                  <w:tcBorders>
                    <w:tl2br w:val="nil"/>
                    <w:tr2bl w:val="nil"/>
                  </w:tcBorders>
                  <w:vAlign w:val="center"/>
                </w:tcPr>
                <w:p w14:paraId="6E2CA2BC">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52F9E4EA">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2#</w:t>
                  </w:r>
                  <w:r>
                    <w:rPr>
                      <w:rFonts w:ascii="Times New Roman" w:hAnsi="Times New Roman" w:cs="Times New Roman"/>
                      <w:color w:val="auto"/>
                      <w:sz w:val="21"/>
                      <w:szCs w:val="21"/>
                    </w:rPr>
                    <w:t>点焊机</w:t>
                  </w:r>
                </w:p>
              </w:tc>
              <w:tc>
                <w:tcPr>
                  <w:tcW w:w="351" w:type="pct"/>
                  <w:tcBorders>
                    <w:tl2br w:val="nil"/>
                    <w:tr2bl w:val="nil"/>
                  </w:tcBorders>
                  <w:vAlign w:val="center"/>
                </w:tcPr>
                <w:p w14:paraId="78B36A3F">
                  <w:pPr>
                    <w:widowControl/>
                    <w:snapToGrid w:val="0"/>
                    <w:spacing w:line="240" w:lineRule="auto"/>
                    <w:ind w:left="0" w:leftChars="0" w:right="0" w:rightChars="0" w:firstLine="0" w:firstLineChars="0"/>
                    <w:jc w:val="center"/>
                    <w:rPr>
                      <w:bCs/>
                      <w:color w:val="auto"/>
                      <w:szCs w:val="21"/>
                    </w:rPr>
                  </w:pPr>
                  <w:r>
                    <w:rPr>
                      <w:rFonts w:hint="eastAsia"/>
                      <w:bCs/>
                      <w:color w:val="auto"/>
                      <w:szCs w:val="21"/>
                    </w:rPr>
                    <w:t>7</w:t>
                  </w:r>
                  <w:r>
                    <w:rPr>
                      <w:bCs/>
                      <w:color w:val="auto"/>
                      <w:szCs w:val="21"/>
                    </w:rPr>
                    <w:t>5</w:t>
                  </w:r>
                </w:p>
              </w:tc>
              <w:tc>
                <w:tcPr>
                  <w:tcW w:w="183" w:type="pct"/>
                  <w:vMerge w:val="continue"/>
                  <w:tcBorders>
                    <w:tl2br w:val="nil"/>
                    <w:tr2bl w:val="nil"/>
                  </w:tcBorders>
                  <w:vAlign w:val="center"/>
                </w:tcPr>
                <w:p w14:paraId="60E95155">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6AA4995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90" w:type="pct"/>
                  <w:tcBorders>
                    <w:tl2br w:val="nil"/>
                    <w:tr2bl w:val="nil"/>
                  </w:tcBorders>
                  <w:vAlign w:val="center"/>
                </w:tcPr>
                <w:p w14:paraId="0D0E3B3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32</w:t>
                  </w:r>
                </w:p>
              </w:tc>
              <w:tc>
                <w:tcPr>
                  <w:tcW w:w="180" w:type="pct"/>
                  <w:tcBorders>
                    <w:tl2br w:val="nil"/>
                    <w:tr2bl w:val="nil"/>
                  </w:tcBorders>
                  <w:vAlign w:val="center"/>
                </w:tcPr>
                <w:p w14:paraId="53B851E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63D0C4B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47B94D3A">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32</w:t>
                  </w:r>
                </w:p>
              </w:tc>
              <w:tc>
                <w:tcPr>
                  <w:tcW w:w="173" w:type="pct"/>
                  <w:tcBorders>
                    <w:tl2br w:val="nil"/>
                    <w:tr2bl w:val="nil"/>
                  </w:tcBorders>
                  <w:vAlign w:val="center"/>
                </w:tcPr>
                <w:p w14:paraId="66D11C3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4" w:type="pct"/>
                  <w:tcBorders>
                    <w:tl2br w:val="nil"/>
                    <w:tr2bl w:val="nil"/>
                  </w:tcBorders>
                  <w:vAlign w:val="center"/>
                </w:tcPr>
                <w:p w14:paraId="79B8537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43</w:t>
                  </w:r>
                </w:p>
              </w:tc>
              <w:tc>
                <w:tcPr>
                  <w:tcW w:w="228" w:type="pct"/>
                  <w:tcBorders>
                    <w:tl2br w:val="nil"/>
                    <w:tr2bl w:val="nil"/>
                  </w:tcBorders>
                  <w:vAlign w:val="center"/>
                </w:tcPr>
                <w:p w14:paraId="11610C59">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73" w:type="pct"/>
                  <w:tcBorders>
                    <w:tl2br w:val="nil"/>
                    <w:tr2bl w:val="nil"/>
                  </w:tcBorders>
                  <w:vAlign w:val="center"/>
                </w:tcPr>
                <w:p w14:paraId="6C0FFED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228" w:type="pct"/>
                  <w:tcBorders>
                    <w:tl2br w:val="nil"/>
                    <w:tr2bl w:val="nil"/>
                  </w:tcBorders>
                  <w:vAlign w:val="center"/>
                </w:tcPr>
                <w:p w14:paraId="522D9CF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51.3 </w:t>
                  </w:r>
                </w:p>
              </w:tc>
              <w:tc>
                <w:tcPr>
                  <w:tcW w:w="181" w:type="pct"/>
                  <w:tcBorders>
                    <w:tl2br w:val="nil"/>
                    <w:tr2bl w:val="nil"/>
                  </w:tcBorders>
                  <w:vAlign w:val="center"/>
                </w:tcPr>
                <w:p w14:paraId="4CED309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51.2 </w:t>
                  </w:r>
                </w:p>
              </w:tc>
              <w:tc>
                <w:tcPr>
                  <w:tcW w:w="228" w:type="pct"/>
                  <w:tcBorders>
                    <w:tl2br w:val="nil"/>
                    <w:tr2bl w:val="nil"/>
                  </w:tcBorders>
                  <w:vAlign w:val="center"/>
                </w:tcPr>
                <w:p w14:paraId="34953A00">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6A3CE802">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62D097D0">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26433224">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5A60204F">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34F20768">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2D10B12A">
                  <w:pPr>
                    <w:spacing w:line="240" w:lineRule="auto"/>
                    <w:ind w:left="0" w:leftChars="0" w:right="0" w:rightChars="0" w:firstLine="0" w:firstLineChars="0"/>
                    <w:jc w:val="center"/>
                    <w:rPr>
                      <w:rFonts w:eastAsia="等线"/>
                      <w:color w:val="auto"/>
                      <w:szCs w:val="21"/>
                    </w:rPr>
                  </w:pPr>
                </w:p>
              </w:tc>
            </w:tr>
            <w:tr w14:paraId="020984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4D449E79">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25</w:t>
                  </w:r>
                </w:p>
              </w:tc>
              <w:tc>
                <w:tcPr>
                  <w:tcW w:w="160" w:type="pct"/>
                  <w:vMerge w:val="continue"/>
                  <w:tcBorders>
                    <w:tl2br w:val="nil"/>
                    <w:tr2bl w:val="nil"/>
                  </w:tcBorders>
                  <w:vAlign w:val="center"/>
                </w:tcPr>
                <w:p w14:paraId="69D55C25">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2121F79E">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1#</w:t>
                  </w:r>
                  <w:r>
                    <w:rPr>
                      <w:rFonts w:ascii="Times New Roman" w:hAnsi="Times New Roman" w:cs="Times New Roman"/>
                      <w:color w:val="auto"/>
                      <w:sz w:val="21"/>
                      <w:szCs w:val="21"/>
                    </w:rPr>
                    <w:t>刨槽机</w:t>
                  </w:r>
                </w:p>
              </w:tc>
              <w:tc>
                <w:tcPr>
                  <w:tcW w:w="351" w:type="pct"/>
                  <w:tcBorders>
                    <w:tl2br w:val="nil"/>
                    <w:tr2bl w:val="nil"/>
                  </w:tcBorders>
                  <w:vAlign w:val="center"/>
                </w:tcPr>
                <w:p w14:paraId="0E2628BB">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80</w:t>
                  </w:r>
                </w:p>
              </w:tc>
              <w:tc>
                <w:tcPr>
                  <w:tcW w:w="183" w:type="pct"/>
                  <w:vMerge w:val="continue"/>
                  <w:tcBorders>
                    <w:tl2br w:val="nil"/>
                    <w:tr2bl w:val="nil"/>
                  </w:tcBorders>
                  <w:vAlign w:val="center"/>
                </w:tcPr>
                <w:p w14:paraId="398E5718">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086A334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9</w:t>
                  </w:r>
                </w:p>
              </w:tc>
              <w:tc>
                <w:tcPr>
                  <w:tcW w:w="190" w:type="pct"/>
                  <w:tcBorders>
                    <w:tl2br w:val="nil"/>
                    <w:tr2bl w:val="nil"/>
                  </w:tcBorders>
                  <w:vAlign w:val="center"/>
                </w:tcPr>
                <w:p w14:paraId="7CF5F7F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24</w:t>
                  </w:r>
                </w:p>
              </w:tc>
              <w:tc>
                <w:tcPr>
                  <w:tcW w:w="180" w:type="pct"/>
                  <w:tcBorders>
                    <w:tl2br w:val="nil"/>
                    <w:tr2bl w:val="nil"/>
                  </w:tcBorders>
                  <w:vAlign w:val="center"/>
                </w:tcPr>
                <w:p w14:paraId="56D4DAE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75CD6C8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47</w:t>
                  </w:r>
                </w:p>
              </w:tc>
              <w:tc>
                <w:tcPr>
                  <w:tcW w:w="173" w:type="pct"/>
                  <w:tcBorders>
                    <w:tl2br w:val="nil"/>
                    <w:tr2bl w:val="nil"/>
                  </w:tcBorders>
                  <w:vAlign w:val="center"/>
                </w:tcPr>
                <w:p w14:paraId="456B48B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24</w:t>
                  </w:r>
                </w:p>
              </w:tc>
              <w:tc>
                <w:tcPr>
                  <w:tcW w:w="173" w:type="pct"/>
                  <w:tcBorders>
                    <w:tl2br w:val="nil"/>
                    <w:tr2bl w:val="nil"/>
                  </w:tcBorders>
                  <w:vAlign w:val="center"/>
                </w:tcPr>
                <w:p w14:paraId="066290A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9</w:t>
                  </w:r>
                </w:p>
              </w:tc>
              <w:tc>
                <w:tcPr>
                  <w:tcW w:w="174" w:type="pct"/>
                  <w:tcBorders>
                    <w:tl2br w:val="nil"/>
                    <w:tr2bl w:val="nil"/>
                  </w:tcBorders>
                  <w:vAlign w:val="center"/>
                </w:tcPr>
                <w:p w14:paraId="39B87FD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69</w:t>
                  </w:r>
                </w:p>
              </w:tc>
              <w:tc>
                <w:tcPr>
                  <w:tcW w:w="228" w:type="pct"/>
                  <w:tcBorders>
                    <w:tl2br w:val="nil"/>
                    <w:tr2bl w:val="nil"/>
                  </w:tcBorders>
                  <w:vAlign w:val="center"/>
                </w:tcPr>
                <w:p w14:paraId="1AC2922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56.2 </w:t>
                  </w:r>
                </w:p>
              </w:tc>
              <w:tc>
                <w:tcPr>
                  <w:tcW w:w="173" w:type="pct"/>
                  <w:tcBorders>
                    <w:tl2br w:val="nil"/>
                    <w:tr2bl w:val="nil"/>
                  </w:tcBorders>
                  <w:vAlign w:val="center"/>
                </w:tcPr>
                <w:p w14:paraId="7BEF2A6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56.4 </w:t>
                  </w:r>
                </w:p>
              </w:tc>
              <w:tc>
                <w:tcPr>
                  <w:tcW w:w="228" w:type="pct"/>
                  <w:tcBorders>
                    <w:tl2br w:val="nil"/>
                    <w:tr2bl w:val="nil"/>
                  </w:tcBorders>
                  <w:vAlign w:val="center"/>
                </w:tcPr>
                <w:p w14:paraId="557ADF9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57.8 </w:t>
                  </w:r>
                </w:p>
              </w:tc>
              <w:tc>
                <w:tcPr>
                  <w:tcW w:w="181" w:type="pct"/>
                  <w:tcBorders>
                    <w:tl2br w:val="nil"/>
                    <w:tr2bl w:val="nil"/>
                  </w:tcBorders>
                  <w:vAlign w:val="center"/>
                </w:tcPr>
                <w:p w14:paraId="5433137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56.2 </w:t>
                  </w:r>
                </w:p>
              </w:tc>
              <w:tc>
                <w:tcPr>
                  <w:tcW w:w="228" w:type="pct"/>
                  <w:tcBorders>
                    <w:tl2br w:val="nil"/>
                    <w:tr2bl w:val="nil"/>
                  </w:tcBorders>
                  <w:vAlign w:val="center"/>
                </w:tcPr>
                <w:p w14:paraId="07931AF3">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456A51C6">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24206C8C">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0B35EFF5">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395AE953">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07BC7868">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0E639A93">
                  <w:pPr>
                    <w:spacing w:line="240" w:lineRule="auto"/>
                    <w:ind w:left="0" w:leftChars="0" w:right="0" w:rightChars="0" w:firstLine="0" w:firstLineChars="0"/>
                    <w:jc w:val="center"/>
                    <w:rPr>
                      <w:rFonts w:eastAsia="等线"/>
                      <w:color w:val="auto"/>
                      <w:szCs w:val="21"/>
                    </w:rPr>
                  </w:pPr>
                </w:p>
              </w:tc>
            </w:tr>
            <w:tr w14:paraId="1CFB1A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2923EF5A">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26</w:t>
                  </w:r>
                </w:p>
              </w:tc>
              <w:tc>
                <w:tcPr>
                  <w:tcW w:w="160" w:type="pct"/>
                  <w:vMerge w:val="continue"/>
                  <w:tcBorders>
                    <w:tl2br w:val="nil"/>
                    <w:tr2bl w:val="nil"/>
                  </w:tcBorders>
                  <w:vAlign w:val="center"/>
                </w:tcPr>
                <w:p w14:paraId="5ECEE1EB">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4DC1846D">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2#</w:t>
                  </w:r>
                  <w:r>
                    <w:rPr>
                      <w:rFonts w:ascii="Times New Roman" w:hAnsi="Times New Roman" w:cs="Times New Roman"/>
                      <w:color w:val="auto"/>
                      <w:sz w:val="21"/>
                      <w:szCs w:val="21"/>
                    </w:rPr>
                    <w:t>刨槽机</w:t>
                  </w:r>
                </w:p>
              </w:tc>
              <w:tc>
                <w:tcPr>
                  <w:tcW w:w="351" w:type="pct"/>
                  <w:tcBorders>
                    <w:tl2br w:val="nil"/>
                    <w:tr2bl w:val="nil"/>
                  </w:tcBorders>
                  <w:vAlign w:val="center"/>
                </w:tcPr>
                <w:p w14:paraId="22DA85B2">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80</w:t>
                  </w:r>
                </w:p>
              </w:tc>
              <w:tc>
                <w:tcPr>
                  <w:tcW w:w="183" w:type="pct"/>
                  <w:vMerge w:val="continue"/>
                  <w:tcBorders>
                    <w:tl2br w:val="nil"/>
                    <w:tr2bl w:val="nil"/>
                  </w:tcBorders>
                  <w:vAlign w:val="center"/>
                </w:tcPr>
                <w:p w14:paraId="208C0711">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5D439C6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12</w:t>
                  </w:r>
                </w:p>
              </w:tc>
              <w:tc>
                <w:tcPr>
                  <w:tcW w:w="190" w:type="pct"/>
                  <w:tcBorders>
                    <w:tl2br w:val="nil"/>
                    <w:tr2bl w:val="nil"/>
                  </w:tcBorders>
                  <w:vAlign w:val="center"/>
                </w:tcPr>
                <w:p w14:paraId="35496F0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24</w:t>
                  </w:r>
                </w:p>
              </w:tc>
              <w:tc>
                <w:tcPr>
                  <w:tcW w:w="180" w:type="pct"/>
                  <w:tcBorders>
                    <w:tl2br w:val="nil"/>
                    <w:tr2bl w:val="nil"/>
                  </w:tcBorders>
                  <w:vAlign w:val="center"/>
                </w:tcPr>
                <w:p w14:paraId="7BD5B07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7C0BF0E5">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44</w:t>
                  </w:r>
                </w:p>
              </w:tc>
              <w:tc>
                <w:tcPr>
                  <w:tcW w:w="173" w:type="pct"/>
                  <w:tcBorders>
                    <w:tl2br w:val="nil"/>
                    <w:tr2bl w:val="nil"/>
                  </w:tcBorders>
                  <w:vAlign w:val="center"/>
                </w:tcPr>
                <w:p w14:paraId="2B7898F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24</w:t>
                  </w:r>
                </w:p>
              </w:tc>
              <w:tc>
                <w:tcPr>
                  <w:tcW w:w="173" w:type="pct"/>
                  <w:tcBorders>
                    <w:tl2br w:val="nil"/>
                    <w:tr2bl w:val="nil"/>
                  </w:tcBorders>
                  <w:vAlign w:val="center"/>
                </w:tcPr>
                <w:p w14:paraId="75DF2DF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12</w:t>
                  </w:r>
                </w:p>
              </w:tc>
              <w:tc>
                <w:tcPr>
                  <w:tcW w:w="174" w:type="pct"/>
                  <w:tcBorders>
                    <w:tl2br w:val="nil"/>
                    <w:tr2bl w:val="nil"/>
                  </w:tcBorders>
                  <w:vAlign w:val="center"/>
                </w:tcPr>
                <w:p w14:paraId="0497477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69</w:t>
                  </w:r>
                </w:p>
              </w:tc>
              <w:tc>
                <w:tcPr>
                  <w:tcW w:w="228" w:type="pct"/>
                  <w:tcBorders>
                    <w:tl2br w:val="nil"/>
                    <w:tr2bl w:val="nil"/>
                  </w:tcBorders>
                  <w:vAlign w:val="center"/>
                </w:tcPr>
                <w:p w14:paraId="6057AC9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56.2 </w:t>
                  </w:r>
                </w:p>
              </w:tc>
              <w:tc>
                <w:tcPr>
                  <w:tcW w:w="173" w:type="pct"/>
                  <w:tcBorders>
                    <w:tl2br w:val="nil"/>
                    <w:tr2bl w:val="nil"/>
                  </w:tcBorders>
                  <w:vAlign w:val="center"/>
                </w:tcPr>
                <w:p w14:paraId="58D126C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56.4 </w:t>
                  </w:r>
                </w:p>
              </w:tc>
              <w:tc>
                <w:tcPr>
                  <w:tcW w:w="228" w:type="pct"/>
                  <w:tcBorders>
                    <w:tl2br w:val="nil"/>
                    <w:tr2bl w:val="nil"/>
                  </w:tcBorders>
                  <w:vAlign w:val="center"/>
                </w:tcPr>
                <w:p w14:paraId="3C35114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57.2 </w:t>
                  </w:r>
                </w:p>
              </w:tc>
              <w:tc>
                <w:tcPr>
                  <w:tcW w:w="181" w:type="pct"/>
                  <w:tcBorders>
                    <w:tl2br w:val="nil"/>
                    <w:tr2bl w:val="nil"/>
                  </w:tcBorders>
                  <w:vAlign w:val="center"/>
                </w:tcPr>
                <w:p w14:paraId="4ACE085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56.2 </w:t>
                  </w:r>
                </w:p>
              </w:tc>
              <w:tc>
                <w:tcPr>
                  <w:tcW w:w="228" w:type="pct"/>
                  <w:tcBorders>
                    <w:tl2br w:val="nil"/>
                    <w:tr2bl w:val="nil"/>
                  </w:tcBorders>
                  <w:vAlign w:val="center"/>
                </w:tcPr>
                <w:p w14:paraId="29C16F98">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2B94C80C">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6B78F84C">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08E4002C">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30E92CCC">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754D6D0A">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1AD35696">
                  <w:pPr>
                    <w:spacing w:line="240" w:lineRule="auto"/>
                    <w:ind w:left="0" w:leftChars="0" w:right="0" w:rightChars="0" w:firstLine="0" w:firstLineChars="0"/>
                    <w:jc w:val="center"/>
                    <w:rPr>
                      <w:rFonts w:eastAsia="等线"/>
                      <w:color w:val="auto"/>
                      <w:szCs w:val="21"/>
                    </w:rPr>
                  </w:pPr>
                </w:p>
              </w:tc>
            </w:tr>
            <w:tr w14:paraId="6E9318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078C7288">
                  <w:pPr>
                    <w:widowControl/>
                    <w:snapToGrid w:val="0"/>
                    <w:spacing w:line="240" w:lineRule="auto"/>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27</w:t>
                  </w:r>
                </w:p>
              </w:tc>
              <w:tc>
                <w:tcPr>
                  <w:tcW w:w="160" w:type="pct"/>
                  <w:vMerge w:val="continue"/>
                  <w:tcBorders>
                    <w:tl2br w:val="nil"/>
                    <w:tr2bl w:val="nil"/>
                  </w:tcBorders>
                  <w:vAlign w:val="center"/>
                </w:tcPr>
                <w:p w14:paraId="208DEDEF">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595BC164">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w:t>
                  </w:r>
                  <w:r>
                    <w:rPr>
                      <w:rFonts w:ascii="Times New Roman" w:hAnsi="Times New Roman" w:cs="Times New Roman"/>
                      <w:color w:val="auto"/>
                      <w:sz w:val="21"/>
                      <w:szCs w:val="21"/>
                    </w:rPr>
                    <w:t>下料线</w:t>
                  </w:r>
                </w:p>
              </w:tc>
              <w:tc>
                <w:tcPr>
                  <w:tcW w:w="351" w:type="pct"/>
                  <w:tcBorders>
                    <w:tl2br w:val="nil"/>
                    <w:tr2bl w:val="nil"/>
                  </w:tcBorders>
                  <w:vAlign w:val="center"/>
                </w:tcPr>
                <w:p w14:paraId="139B7EF4">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85</w:t>
                  </w:r>
                </w:p>
              </w:tc>
              <w:tc>
                <w:tcPr>
                  <w:tcW w:w="183" w:type="pct"/>
                  <w:vMerge w:val="continue"/>
                  <w:tcBorders>
                    <w:tl2br w:val="nil"/>
                    <w:tr2bl w:val="nil"/>
                  </w:tcBorders>
                  <w:vAlign w:val="center"/>
                </w:tcPr>
                <w:p w14:paraId="77915E7B">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1D1176D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9</w:t>
                  </w:r>
                </w:p>
              </w:tc>
              <w:tc>
                <w:tcPr>
                  <w:tcW w:w="190" w:type="pct"/>
                  <w:tcBorders>
                    <w:tl2br w:val="nil"/>
                    <w:tr2bl w:val="nil"/>
                  </w:tcBorders>
                  <w:vAlign w:val="center"/>
                </w:tcPr>
                <w:p w14:paraId="658D8A27">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80" w:type="pct"/>
                  <w:tcBorders>
                    <w:tl2br w:val="nil"/>
                    <w:tr2bl w:val="nil"/>
                  </w:tcBorders>
                  <w:vAlign w:val="center"/>
                </w:tcPr>
                <w:p w14:paraId="23EF989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24C58684">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47</w:t>
                  </w:r>
                </w:p>
              </w:tc>
              <w:tc>
                <w:tcPr>
                  <w:tcW w:w="173" w:type="pct"/>
                  <w:tcBorders>
                    <w:tl2br w:val="nil"/>
                    <w:tr2bl w:val="nil"/>
                  </w:tcBorders>
                  <w:vAlign w:val="center"/>
                </w:tcPr>
                <w:p w14:paraId="6D4BA70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209A0DD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9</w:t>
                  </w:r>
                </w:p>
              </w:tc>
              <w:tc>
                <w:tcPr>
                  <w:tcW w:w="174" w:type="pct"/>
                  <w:tcBorders>
                    <w:tl2br w:val="nil"/>
                    <w:tr2bl w:val="nil"/>
                  </w:tcBorders>
                  <w:vAlign w:val="center"/>
                </w:tcPr>
                <w:p w14:paraId="658E6FE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65</w:t>
                  </w:r>
                </w:p>
              </w:tc>
              <w:tc>
                <w:tcPr>
                  <w:tcW w:w="228" w:type="pct"/>
                  <w:tcBorders>
                    <w:tl2br w:val="nil"/>
                    <w:tr2bl w:val="nil"/>
                  </w:tcBorders>
                  <w:vAlign w:val="center"/>
                </w:tcPr>
                <w:p w14:paraId="5EC98CE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61.2 </w:t>
                  </w:r>
                </w:p>
              </w:tc>
              <w:tc>
                <w:tcPr>
                  <w:tcW w:w="173" w:type="pct"/>
                  <w:tcBorders>
                    <w:tl2br w:val="nil"/>
                    <w:tr2bl w:val="nil"/>
                  </w:tcBorders>
                  <w:vAlign w:val="center"/>
                </w:tcPr>
                <w:p w14:paraId="298E1AB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61.3 </w:t>
                  </w:r>
                </w:p>
              </w:tc>
              <w:tc>
                <w:tcPr>
                  <w:tcW w:w="228" w:type="pct"/>
                  <w:tcBorders>
                    <w:tl2br w:val="nil"/>
                    <w:tr2bl w:val="nil"/>
                  </w:tcBorders>
                  <w:vAlign w:val="center"/>
                </w:tcPr>
                <w:p w14:paraId="1EFD9963">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62.8 </w:t>
                  </w:r>
                </w:p>
              </w:tc>
              <w:tc>
                <w:tcPr>
                  <w:tcW w:w="181" w:type="pct"/>
                  <w:tcBorders>
                    <w:tl2br w:val="nil"/>
                    <w:tr2bl w:val="nil"/>
                  </w:tcBorders>
                  <w:vAlign w:val="center"/>
                </w:tcPr>
                <w:p w14:paraId="6F85593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61.2 </w:t>
                  </w:r>
                </w:p>
              </w:tc>
              <w:tc>
                <w:tcPr>
                  <w:tcW w:w="228" w:type="pct"/>
                  <w:tcBorders>
                    <w:tl2br w:val="nil"/>
                    <w:tr2bl w:val="nil"/>
                  </w:tcBorders>
                  <w:vAlign w:val="center"/>
                </w:tcPr>
                <w:p w14:paraId="5EF80EF5">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586E79BE">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301B42D1">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48D6267F">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3F331DB3">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1DB63999">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7B0A3F96">
                  <w:pPr>
                    <w:spacing w:line="240" w:lineRule="auto"/>
                    <w:ind w:left="0" w:leftChars="0" w:right="0" w:rightChars="0" w:firstLine="0" w:firstLineChars="0"/>
                    <w:jc w:val="center"/>
                    <w:rPr>
                      <w:rFonts w:eastAsia="等线"/>
                      <w:color w:val="auto"/>
                      <w:szCs w:val="21"/>
                    </w:rPr>
                  </w:pPr>
                </w:p>
              </w:tc>
            </w:tr>
            <w:tr w14:paraId="0CD27D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1B6A6D52">
                  <w:pPr>
                    <w:widowControl/>
                    <w:snapToGrid w:val="0"/>
                    <w:spacing w:line="20" w:lineRule="atLeast"/>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28</w:t>
                  </w:r>
                </w:p>
              </w:tc>
              <w:tc>
                <w:tcPr>
                  <w:tcW w:w="160" w:type="pct"/>
                  <w:vMerge w:val="continue"/>
                  <w:tcBorders>
                    <w:tl2br w:val="nil"/>
                    <w:tr2bl w:val="nil"/>
                  </w:tcBorders>
                  <w:vAlign w:val="center"/>
                </w:tcPr>
                <w:p w14:paraId="54A655BA">
                  <w:pPr>
                    <w:widowControl/>
                    <w:snapToGrid w:val="0"/>
                    <w:spacing w:line="240" w:lineRule="auto"/>
                    <w:ind w:left="0" w:leftChars="0" w:right="0" w:rightChars="0" w:firstLine="0" w:firstLineChars="0"/>
                    <w:jc w:val="center"/>
                    <w:rPr>
                      <w:bCs/>
                      <w:color w:val="auto"/>
                      <w:szCs w:val="21"/>
                    </w:rPr>
                  </w:pPr>
                </w:p>
              </w:tc>
              <w:tc>
                <w:tcPr>
                  <w:tcW w:w="671" w:type="pct"/>
                  <w:tcBorders>
                    <w:tl2br w:val="nil"/>
                    <w:tr2bl w:val="nil"/>
                  </w:tcBorders>
                  <w:vAlign w:val="center"/>
                </w:tcPr>
                <w:p w14:paraId="791BDB47">
                  <w:pPr>
                    <w:pStyle w:val="76"/>
                    <w:kinsoku w:val="0"/>
                    <w:wordWrap w:val="0"/>
                    <w:autoSpaceDE w:val="0"/>
                    <w:autoSpaceDN w:val="0"/>
                    <w:snapToGrid w:val="0"/>
                    <w:spacing w:line="240" w:lineRule="auto"/>
                    <w:ind w:left="0" w:leftChars="0" w:right="0" w:rightChars="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2#</w:t>
                  </w:r>
                  <w:r>
                    <w:rPr>
                      <w:rFonts w:ascii="Times New Roman" w:hAnsi="Times New Roman" w:cs="Times New Roman"/>
                      <w:color w:val="auto"/>
                      <w:sz w:val="21"/>
                      <w:szCs w:val="21"/>
                    </w:rPr>
                    <w:t>下料线</w:t>
                  </w:r>
                </w:p>
              </w:tc>
              <w:tc>
                <w:tcPr>
                  <w:tcW w:w="351" w:type="pct"/>
                  <w:tcBorders>
                    <w:tl2br w:val="nil"/>
                    <w:tr2bl w:val="nil"/>
                  </w:tcBorders>
                  <w:vAlign w:val="center"/>
                </w:tcPr>
                <w:p w14:paraId="3A40A2CD">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85</w:t>
                  </w:r>
                </w:p>
              </w:tc>
              <w:tc>
                <w:tcPr>
                  <w:tcW w:w="183" w:type="pct"/>
                  <w:vMerge w:val="continue"/>
                  <w:tcBorders>
                    <w:tl2br w:val="nil"/>
                    <w:tr2bl w:val="nil"/>
                  </w:tcBorders>
                  <w:vAlign w:val="center"/>
                </w:tcPr>
                <w:p w14:paraId="5D33602C">
                  <w:pPr>
                    <w:widowControl/>
                    <w:snapToGrid w:val="0"/>
                    <w:spacing w:line="240" w:lineRule="auto"/>
                    <w:ind w:left="0" w:leftChars="0" w:right="0" w:rightChars="0" w:firstLine="0" w:firstLineChars="0"/>
                    <w:jc w:val="center"/>
                    <w:rPr>
                      <w:color w:val="auto"/>
                      <w:szCs w:val="21"/>
                    </w:rPr>
                  </w:pPr>
                </w:p>
              </w:tc>
              <w:tc>
                <w:tcPr>
                  <w:tcW w:w="239" w:type="pct"/>
                  <w:tcBorders>
                    <w:tl2br w:val="nil"/>
                    <w:tr2bl w:val="nil"/>
                  </w:tcBorders>
                  <w:vAlign w:val="center"/>
                </w:tcPr>
                <w:p w14:paraId="0B45529C">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12</w:t>
                  </w:r>
                </w:p>
              </w:tc>
              <w:tc>
                <w:tcPr>
                  <w:tcW w:w="190" w:type="pct"/>
                  <w:tcBorders>
                    <w:tl2br w:val="nil"/>
                    <w:tr2bl w:val="nil"/>
                  </w:tcBorders>
                  <w:vAlign w:val="center"/>
                </w:tcPr>
                <w:p w14:paraId="61C749F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80" w:type="pct"/>
                  <w:tcBorders>
                    <w:tl2br w:val="nil"/>
                    <w:tr2bl w:val="nil"/>
                  </w:tcBorders>
                  <w:vAlign w:val="center"/>
                </w:tcPr>
                <w:p w14:paraId="7B4CF08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w:t>
                  </w:r>
                </w:p>
              </w:tc>
              <w:tc>
                <w:tcPr>
                  <w:tcW w:w="171" w:type="pct"/>
                  <w:tcBorders>
                    <w:tl2br w:val="nil"/>
                    <w:tr2bl w:val="nil"/>
                  </w:tcBorders>
                  <w:vAlign w:val="center"/>
                </w:tcPr>
                <w:p w14:paraId="4C248F06">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44</w:t>
                  </w:r>
                </w:p>
              </w:tc>
              <w:tc>
                <w:tcPr>
                  <w:tcW w:w="173" w:type="pct"/>
                  <w:tcBorders>
                    <w:tl2br w:val="nil"/>
                    <w:tr2bl w:val="nil"/>
                  </w:tcBorders>
                  <w:vAlign w:val="center"/>
                </w:tcPr>
                <w:p w14:paraId="16AE5C2E">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28</w:t>
                  </w:r>
                </w:p>
              </w:tc>
              <w:tc>
                <w:tcPr>
                  <w:tcW w:w="173" w:type="pct"/>
                  <w:tcBorders>
                    <w:tl2br w:val="nil"/>
                    <w:tr2bl w:val="nil"/>
                  </w:tcBorders>
                  <w:vAlign w:val="center"/>
                </w:tcPr>
                <w:p w14:paraId="44246E2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12</w:t>
                  </w:r>
                </w:p>
              </w:tc>
              <w:tc>
                <w:tcPr>
                  <w:tcW w:w="174" w:type="pct"/>
                  <w:tcBorders>
                    <w:tl2br w:val="nil"/>
                    <w:tr2bl w:val="nil"/>
                  </w:tcBorders>
                  <w:vAlign w:val="center"/>
                </w:tcPr>
                <w:p w14:paraId="29ECEC7F">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65</w:t>
                  </w:r>
                </w:p>
              </w:tc>
              <w:tc>
                <w:tcPr>
                  <w:tcW w:w="228" w:type="pct"/>
                  <w:tcBorders>
                    <w:tl2br w:val="nil"/>
                    <w:tr2bl w:val="nil"/>
                  </w:tcBorders>
                  <w:vAlign w:val="center"/>
                </w:tcPr>
                <w:p w14:paraId="00CFCF6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61.2 </w:t>
                  </w:r>
                </w:p>
              </w:tc>
              <w:tc>
                <w:tcPr>
                  <w:tcW w:w="173" w:type="pct"/>
                  <w:tcBorders>
                    <w:tl2br w:val="nil"/>
                    <w:tr2bl w:val="nil"/>
                  </w:tcBorders>
                  <w:vAlign w:val="center"/>
                </w:tcPr>
                <w:p w14:paraId="3640F5E8">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61.3 </w:t>
                  </w:r>
                </w:p>
              </w:tc>
              <w:tc>
                <w:tcPr>
                  <w:tcW w:w="228" w:type="pct"/>
                  <w:tcBorders>
                    <w:tl2br w:val="nil"/>
                    <w:tr2bl w:val="nil"/>
                  </w:tcBorders>
                  <w:vAlign w:val="center"/>
                </w:tcPr>
                <w:p w14:paraId="2738D902">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62.2 </w:t>
                  </w:r>
                </w:p>
              </w:tc>
              <w:tc>
                <w:tcPr>
                  <w:tcW w:w="181" w:type="pct"/>
                  <w:tcBorders>
                    <w:tl2br w:val="nil"/>
                    <w:tr2bl w:val="nil"/>
                  </w:tcBorders>
                  <w:vAlign w:val="center"/>
                </w:tcPr>
                <w:p w14:paraId="5F5ED2AD">
                  <w:pPr>
                    <w:widowControl/>
                    <w:spacing w:line="240" w:lineRule="auto"/>
                    <w:ind w:left="0" w:leftChars="0" w:right="0" w:rightChars="0" w:firstLine="0" w:firstLineChars="0"/>
                    <w:jc w:val="center"/>
                    <w:textAlignment w:val="center"/>
                    <w:rPr>
                      <w:color w:val="auto"/>
                      <w:szCs w:val="21"/>
                    </w:rPr>
                  </w:pPr>
                  <w:r>
                    <w:rPr>
                      <w:rFonts w:eastAsia="宋体" w:cs="Times New Roman"/>
                      <w:color w:val="auto"/>
                      <w:szCs w:val="21"/>
                      <w:lang w:eastAsia="zh-CN" w:bidi="ar"/>
                    </w:rPr>
                    <w:t xml:space="preserve">61.2 </w:t>
                  </w:r>
                </w:p>
              </w:tc>
              <w:tc>
                <w:tcPr>
                  <w:tcW w:w="228" w:type="pct"/>
                  <w:tcBorders>
                    <w:tl2br w:val="nil"/>
                    <w:tr2bl w:val="nil"/>
                  </w:tcBorders>
                  <w:vAlign w:val="center"/>
                </w:tcPr>
                <w:p w14:paraId="00A82A25">
                  <w:pPr>
                    <w:widowControl/>
                    <w:snapToGrid w:val="0"/>
                    <w:spacing w:line="240" w:lineRule="auto"/>
                    <w:ind w:left="0" w:leftChars="0" w:right="0" w:rightChars="0" w:firstLine="0" w:firstLineChars="0"/>
                    <w:jc w:val="center"/>
                    <w:rPr>
                      <w:bCs/>
                      <w:color w:val="auto"/>
                      <w:szCs w:val="21"/>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561F54D6">
                  <w:pPr>
                    <w:spacing w:line="240" w:lineRule="auto"/>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0FBF3BB8">
                  <w:pPr>
                    <w:spacing w:line="240" w:lineRule="auto"/>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262F9130">
                  <w:pPr>
                    <w:spacing w:line="240" w:lineRule="auto"/>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06B7AAE8">
                  <w:pPr>
                    <w:spacing w:line="240" w:lineRule="auto"/>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649B3B59">
                  <w:pPr>
                    <w:spacing w:line="240" w:lineRule="auto"/>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4E5C9DFA">
                  <w:pPr>
                    <w:spacing w:line="240" w:lineRule="auto"/>
                    <w:ind w:left="0" w:leftChars="0" w:right="0" w:rightChars="0" w:firstLine="0" w:firstLineChars="0"/>
                    <w:jc w:val="center"/>
                    <w:rPr>
                      <w:rFonts w:eastAsia="等线"/>
                      <w:color w:val="auto"/>
                      <w:szCs w:val="21"/>
                    </w:rPr>
                  </w:pPr>
                </w:p>
              </w:tc>
            </w:tr>
            <w:tr w14:paraId="53E3C6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260D3949">
                  <w:pPr>
                    <w:widowControl/>
                    <w:snapToGrid w:val="0"/>
                    <w:spacing w:line="20" w:lineRule="atLeast"/>
                    <w:ind w:left="0" w:leftChars="0" w:right="0" w:rightChars="0" w:firstLine="0" w:firstLineChars="0"/>
                    <w:jc w:val="center"/>
                    <w:rPr>
                      <w:rFonts w:ascii="Times New Roman" w:hAnsi="Times New Roman" w:eastAsiaTheme="minorEastAsia" w:cstheme="minorBidi"/>
                      <w:bCs/>
                      <w:color w:val="auto"/>
                      <w:sz w:val="21"/>
                      <w:szCs w:val="21"/>
                      <w:lang w:val="en-US" w:eastAsia="zh-CN" w:bidi="ar-SA"/>
                    </w:rPr>
                  </w:pPr>
                  <w:r>
                    <w:rPr>
                      <w:rFonts w:hint="eastAsia"/>
                      <w:bCs/>
                      <w:color w:val="auto"/>
                      <w:szCs w:val="21"/>
                      <w:lang w:eastAsia="zh-CN"/>
                    </w:rPr>
                    <w:t>29</w:t>
                  </w:r>
                </w:p>
              </w:tc>
              <w:tc>
                <w:tcPr>
                  <w:tcW w:w="160" w:type="pct"/>
                  <w:tcBorders>
                    <w:tl2br w:val="nil"/>
                    <w:tr2bl w:val="nil"/>
                  </w:tcBorders>
                  <w:vAlign w:val="center"/>
                </w:tcPr>
                <w:p w14:paraId="2C3980C1">
                  <w:pPr>
                    <w:widowControl/>
                    <w:snapToGrid w:val="0"/>
                    <w:spacing w:line="20" w:lineRule="atLeast"/>
                    <w:ind w:left="0" w:leftChars="0" w:right="0" w:rightChars="0" w:firstLine="0" w:firstLineChars="0"/>
                    <w:jc w:val="center"/>
                    <w:rPr>
                      <w:bCs/>
                      <w:color w:val="auto"/>
                      <w:szCs w:val="21"/>
                    </w:rPr>
                  </w:pPr>
                </w:p>
              </w:tc>
              <w:tc>
                <w:tcPr>
                  <w:tcW w:w="671" w:type="pct"/>
                  <w:tcBorders>
                    <w:tl2br w:val="nil"/>
                    <w:tr2bl w:val="nil"/>
                  </w:tcBorders>
                  <w:vAlign w:val="center"/>
                </w:tcPr>
                <w:p w14:paraId="76427933">
                  <w:pPr>
                    <w:widowControl/>
                    <w:spacing w:line="20" w:lineRule="atLeast"/>
                    <w:ind w:left="0" w:leftChars="0" w:right="0" w:rightChars="0" w:firstLine="0" w:firstLineChars="0"/>
                    <w:jc w:val="center"/>
                    <w:textAlignment w:val="center"/>
                    <w:rPr>
                      <w:rFonts w:cs="Times New Roman"/>
                      <w:color w:val="auto"/>
                      <w:szCs w:val="21"/>
                      <w:lang w:eastAsia="zh-CN"/>
                    </w:rPr>
                  </w:pPr>
                  <w:r>
                    <w:rPr>
                      <w:rFonts w:hint="eastAsia" w:cs="Times New Roman"/>
                      <w:color w:val="auto"/>
                      <w:szCs w:val="21"/>
                      <w:lang w:eastAsia="zh-CN"/>
                    </w:rPr>
                    <w:t>1#螺杆空压机</w:t>
                  </w:r>
                </w:p>
              </w:tc>
              <w:tc>
                <w:tcPr>
                  <w:tcW w:w="351" w:type="pct"/>
                  <w:tcBorders>
                    <w:tl2br w:val="nil"/>
                    <w:tr2bl w:val="nil"/>
                  </w:tcBorders>
                  <w:vAlign w:val="center"/>
                </w:tcPr>
                <w:p w14:paraId="5A21DDEE">
                  <w:pPr>
                    <w:widowControl/>
                    <w:snapToGrid w:val="0"/>
                    <w:spacing w:line="20" w:lineRule="atLeast"/>
                    <w:ind w:left="0" w:leftChars="0" w:right="0" w:rightChars="0" w:firstLine="0" w:firstLineChars="0"/>
                    <w:jc w:val="center"/>
                    <w:rPr>
                      <w:bCs/>
                      <w:color w:val="auto"/>
                      <w:szCs w:val="21"/>
                      <w:lang w:eastAsia="zh-CN"/>
                    </w:rPr>
                  </w:pPr>
                  <w:r>
                    <w:rPr>
                      <w:rFonts w:hint="eastAsia"/>
                      <w:bCs/>
                      <w:color w:val="auto"/>
                      <w:szCs w:val="21"/>
                      <w:lang w:eastAsia="zh-CN"/>
                    </w:rPr>
                    <w:t>85</w:t>
                  </w:r>
                </w:p>
              </w:tc>
              <w:tc>
                <w:tcPr>
                  <w:tcW w:w="183" w:type="pct"/>
                  <w:vMerge w:val="continue"/>
                  <w:tcBorders>
                    <w:tl2br w:val="nil"/>
                    <w:tr2bl w:val="nil"/>
                  </w:tcBorders>
                  <w:vAlign w:val="center"/>
                </w:tcPr>
                <w:p w14:paraId="1D1AC350">
                  <w:pPr>
                    <w:widowControl/>
                    <w:snapToGrid w:val="0"/>
                    <w:spacing w:line="20" w:lineRule="atLeast"/>
                    <w:ind w:left="0" w:leftChars="0" w:right="0" w:rightChars="0" w:firstLine="0" w:firstLineChars="0"/>
                    <w:jc w:val="center"/>
                    <w:rPr>
                      <w:color w:val="auto"/>
                      <w:szCs w:val="21"/>
                    </w:rPr>
                  </w:pPr>
                </w:p>
              </w:tc>
              <w:tc>
                <w:tcPr>
                  <w:tcW w:w="239" w:type="pct"/>
                  <w:tcBorders>
                    <w:tl2br w:val="nil"/>
                    <w:tr2bl w:val="nil"/>
                  </w:tcBorders>
                  <w:vAlign w:val="center"/>
                </w:tcPr>
                <w:p w14:paraId="7A0E565B">
                  <w:pPr>
                    <w:widowControl/>
                    <w:spacing w:line="20" w:lineRule="atLeast"/>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28</w:t>
                  </w:r>
                </w:p>
              </w:tc>
              <w:tc>
                <w:tcPr>
                  <w:tcW w:w="190" w:type="pct"/>
                  <w:tcBorders>
                    <w:tl2br w:val="nil"/>
                    <w:tr2bl w:val="nil"/>
                  </w:tcBorders>
                  <w:vAlign w:val="center"/>
                </w:tcPr>
                <w:p w14:paraId="15C5BB08">
                  <w:pPr>
                    <w:widowControl/>
                    <w:spacing w:line="20" w:lineRule="atLeast"/>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50</w:t>
                  </w:r>
                </w:p>
              </w:tc>
              <w:tc>
                <w:tcPr>
                  <w:tcW w:w="180" w:type="pct"/>
                  <w:tcBorders>
                    <w:tl2br w:val="nil"/>
                    <w:tr2bl w:val="nil"/>
                  </w:tcBorders>
                  <w:vAlign w:val="center"/>
                </w:tcPr>
                <w:p w14:paraId="232DB54C">
                  <w:pPr>
                    <w:widowControl/>
                    <w:spacing w:line="20" w:lineRule="atLeast"/>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1</w:t>
                  </w:r>
                </w:p>
              </w:tc>
              <w:tc>
                <w:tcPr>
                  <w:tcW w:w="171" w:type="pct"/>
                  <w:tcBorders>
                    <w:tl2br w:val="nil"/>
                    <w:tr2bl w:val="nil"/>
                  </w:tcBorders>
                  <w:vAlign w:val="center"/>
                </w:tcPr>
                <w:p w14:paraId="78B26CF5">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28</w:t>
                  </w:r>
                </w:p>
              </w:tc>
              <w:tc>
                <w:tcPr>
                  <w:tcW w:w="173" w:type="pct"/>
                  <w:tcBorders>
                    <w:tl2br w:val="nil"/>
                    <w:tr2bl w:val="nil"/>
                  </w:tcBorders>
                  <w:vAlign w:val="center"/>
                </w:tcPr>
                <w:p w14:paraId="22AA43E2">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50</w:t>
                  </w:r>
                </w:p>
              </w:tc>
              <w:tc>
                <w:tcPr>
                  <w:tcW w:w="173" w:type="pct"/>
                  <w:tcBorders>
                    <w:tl2br w:val="nil"/>
                    <w:tr2bl w:val="nil"/>
                  </w:tcBorders>
                  <w:vAlign w:val="center"/>
                </w:tcPr>
                <w:p w14:paraId="64B60560">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28</w:t>
                  </w:r>
                </w:p>
              </w:tc>
              <w:tc>
                <w:tcPr>
                  <w:tcW w:w="174" w:type="pct"/>
                  <w:tcBorders>
                    <w:tl2br w:val="nil"/>
                    <w:tr2bl w:val="nil"/>
                  </w:tcBorders>
                  <w:vAlign w:val="center"/>
                </w:tcPr>
                <w:p w14:paraId="76F1F64F">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43</w:t>
                  </w:r>
                </w:p>
              </w:tc>
              <w:tc>
                <w:tcPr>
                  <w:tcW w:w="228" w:type="pct"/>
                  <w:tcBorders>
                    <w:tl2br w:val="nil"/>
                    <w:tr2bl w:val="nil"/>
                  </w:tcBorders>
                  <w:vAlign w:val="center"/>
                </w:tcPr>
                <w:p w14:paraId="6359A9DD">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61.3 </w:t>
                  </w:r>
                </w:p>
              </w:tc>
              <w:tc>
                <w:tcPr>
                  <w:tcW w:w="173" w:type="pct"/>
                  <w:tcBorders>
                    <w:tl2br w:val="nil"/>
                    <w:tr2bl w:val="nil"/>
                  </w:tcBorders>
                  <w:vAlign w:val="center"/>
                </w:tcPr>
                <w:p w14:paraId="7109B600">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61.2 </w:t>
                  </w:r>
                </w:p>
              </w:tc>
              <w:tc>
                <w:tcPr>
                  <w:tcW w:w="228" w:type="pct"/>
                  <w:tcBorders>
                    <w:tl2br w:val="nil"/>
                    <w:tr2bl w:val="nil"/>
                  </w:tcBorders>
                  <w:vAlign w:val="center"/>
                </w:tcPr>
                <w:p w14:paraId="09D73182">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61.3 </w:t>
                  </w:r>
                </w:p>
              </w:tc>
              <w:tc>
                <w:tcPr>
                  <w:tcW w:w="181" w:type="pct"/>
                  <w:tcBorders>
                    <w:tl2br w:val="nil"/>
                    <w:tr2bl w:val="nil"/>
                  </w:tcBorders>
                  <w:vAlign w:val="center"/>
                </w:tcPr>
                <w:p w14:paraId="4FA32125">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61.2 </w:t>
                  </w:r>
                </w:p>
              </w:tc>
              <w:tc>
                <w:tcPr>
                  <w:tcW w:w="228" w:type="pct"/>
                  <w:tcBorders>
                    <w:tl2br w:val="nil"/>
                    <w:tr2bl w:val="nil"/>
                  </w:tcBorders>
                  <w:vAlign w:val="center"/>
                </w:tcPr>
                <w:p w14:paraId="0843D495">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417DC5BA">
                  <w:pPr>
                    <w:spacing w:line="20" w:lineRule="atLeast"/>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34D9EC62">
                  <w:pPr>
                    <w:spacing w:line="20" w:lineRule="atLeast"/>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2F728B05">
                  <w:pPr>
                    <w:spacing w:line="20" w:lineRule="atLeast"/>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16020F8F">
                  <w:pPr>
                    <w:spacing w:line="20" w:lineRule="atLeast"/>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4B87C3DE">
                  <w:pPr>
                    <w:spacing w:line="20" w:lineRule="atLeast"/>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77205BB0">
                  <w:pPr>
                    <w:spacing w:line="20" w:lineRule="atLeast"/>
                    <w:ind w:left="0" w:leftChars="0" w:right="0" w:rightChars="0" w:firstLine="0" w:firstLineChars="0"/>
                    <w:jc w:val="center"/>
                    <w:rPr>
                      <w:rFonts w:eastAsia="等线"/>
                      <w:color w:val="auto"/>
                      <w:szCs w:val="21"/>
                    </w:rPr>
                  </w:pPr>
                </w:p>
              </w:tc>
            </w:tr>
            <w:tr w14:paraId="694194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43" w:type="pct"/>
                  <w:tcBorders>
                    <w:tl2br w:val="nil"/>
                    <w:tr2bl w:val="nil"/>
                  </w:tcBorders>
                  <w:vAlign w:val="center"/>
                </w:tcPr>
                <w:p w14:paraId="4CA247A5">
                  <w:pPr>
                    <w:widowControl/>
                    <w:snapToGrid w:val="0"/>
                    <w:spacing w:line="20" w:lineRule="atLeast"/>
                    <w:ind w:left="0" w:leftChars="0" w:right="0" w:rightChars="0" w:firstLine="0" w:firstLineChars="0"/>
                    <w:jc w:val="center"/>
                    <w:rPr>
                      <w:rFonts w:hint="default"/>
                      <w:bCs/>
                      <w:color w:val="auto"/>
                      <w:szCs w:val="21"/>
                      <w:lang w:val="en-US" w:eastAsia="zh-CN"/>
                    </w:rPr>
                  </w:pPr>
                  <w:r>
                    <w:rPr>
                      <w:rFonts w:hint="eastAsia"/>
                      <w:bCs/>
                      <w:color w:val="auto"/>
                      <w:szCs w:val="21"/>
                      <w:lang w:val="en-US" w:eastAsia="zh-CN"/>
                    </w:rPr>
                    <w:t>30</w:t>
                  </w:r>
                </w:p>
              </w:tc>
              <w:tc>
                <w:tcPr>
                  <w:tcW w:w="160" w:type="pct"/>
                  <w:tcBorders>
                    <w:tl2br w:val="nil"/>
                    <w:tr2bl w:val="nil"/>
                  </w:tcBorders>
                  <w:vAlign w:val="center"/>
                </w:tcPr>
                <w:p w14:paraId="081AF523">
                  <w:pPr>
                    <w:widowControl/>
                    <w:snapToGrid w:val="0"/>
                    <w:spacing w:line="20" w:lineRule="atLeast"/>
                    <w:ind w:left="0" w:leftChars="0" w:right="0" w:rightChars="0" w:firstLine="0" w:firstLineChars="0"/>
                    <w:jc w:val="center"/>
                    <w:rPr>
                      <w:bCs/>
                      <w:color w:val="auto"/>
                      <w:szCs w:val="21"/>
                    </w:rPr>
                  </w:pPr>
                </w:p>
              </w:tc>
              <w:tc>
                <w:tcPr>
                  <w:tcW w:w="671" w:type="pct"/>
                  <w:tcBorders>
                    <w:tl2br w:val="nil"/>
                    <w:tr2bl w:val="nil"/>
                  </w:tcBorders>
                  <w:vAlign w:val="center"/>
                </w:tcPr>
                <w:p w14:paraId="036AF28E">
                  <w:pPr>
                    <w:widowControl/>
                    <w:spacing w:line="20" w:lineRule="atLeast"/>
                    <w:ind w:left="0" w:leftChars="0" w:right="0" w:rightChars="0" w:firstLine="0" w:firstLineChars="0"/>
                    <w:jc w:val="center"/>
                    <w:textAlignment w:val="center"/>
                    <w:rPr>
                      <w:rFonts w:cs="Times New Roman"/>
                      <w:color w:val="auto"/>
                      <w:szCs w:val="21"/>
                      <w:lang w:eastAsia="zh-CN"/>
                    </w:rPr>
                  </w:pPr>
                  <w:r>
                    <w:rPr>
                      <w:rFonts w:hint="eastAsia" w:eastAsia="宋体" w:cs="Times New Roman"/>
                      <w:color w:val="auto"/>
                      <w:szCs w:val="21"/>
                      <w:lang w:eastAsia="zh-CN"/>
                    </w:rPr>
                    <w:t>2#</w:t>
                  </w:r>
                  <w:r>
                    <w:rPr>
                      <w:rFonts w:eastAsia="宋体" w:cs="Times New Roman"/>
                      <w:color w:val="auto"/>
                      <w:szCs w:val="21"/>
                    </w:rPr>
                    <w:t>螺杆空压机</w:t>
                  </w:r>
                </w:p>
              </w:tc>
              <w:tc>
                <w:tcPr>
                  <w:tcW w:w="351" w:type="pct"/>
                  <w:tcBorders>
                    <w:tl2br w:val="nil"/>
                    <w:tr2bl w:val="nil"/>
                  </w:tcBorders>
                  <w:vAlign w:val="center"/>
                </w:tcPr>
                <w:p w14:paraId="563C6E3D">
                  <w:pPr>
                    <w:widowControl/>
                    <w:snapToGrid w:val="0"/>
                    <w:spacing w:line="20" w:lineRule="atLeast"/>
                    <w:ind w:left="0" w:leftChars="0" w:right="0" w:rightChars="0" w:firstLine="0" w:firstLineChars="0"/>
                    <w:jc w:val="center"/>
                    <w:rPr>
                      <w:bCs/>
                      <w:color w:val="auto"/>
                      <w:szCs w:val="21"/>
                      <w:lang w:eastAsia="zh-CN"/>
                    </w:rPr>
                  </w:pPr>
                  <w:r>
                    <w:rPr>
                      <w:rFonts w:hint="eastAsia"/>
                      <w:bCs/>
                      <w:color w:val="auto"/>
                      <w:szCs w:val="21"/>
                      <w:lang w:eastAsia="zh-CN"/>
                    </w:rPr>
                    <w:t>85</w:t>
                  </w:r>
                </w:p>
              </w:tc>
              <w:tc>
                <w:tcPr>
                  <w:tcW w:w="183" w:type="pct"/>
                  <w:vMerge w:val="continue"/>
                  <w:tcBorders>
                    <w:tl2br w:val="nil"/>
                    <w:tr2bl w:val="nil"/>
                  </w:tcBorders>
                  <w:vAlign w:val="center"/>
                </w:tcPr>
                <w:p w14:paraId="69D5EF6D">
                  <w:pPr>
                    <w:widowControl/>
                    <w:snapToGrid w:val="0"/>
                    <w:spacing w:line="20" w:lineRule="atLeast"/>
                    <w:ind w:left="0" w:leftChars="0" w:right="0" w:rightChars="0" w:firstLine="0" w:firstLineChars="0"/>
                    <w:jc w:val="center"/>
                    <w:rPr>
                      <w:color w:val="auto"/>
                      <w:szCs w:val="21"/>
                    </w:rPr>
                  </w:pPr>
                </w:p>
              </w:tc>
              <w:tc>
                <w:tcPr>
                  <w:tcW w:w="239" w:type="pct"/>
                  <w:tcBorders>
                    <w:tl2br w:val="nil"/>
                    <w:tr2bl w:val="nil"/>
                  </w:tcBorders>
                  <w:vAlign w:val="center"/>
                </w:tcPr>
                <w:p w14:paraId="6928216E">
                  <w:pPr>
                    <w:widowControl/>
                    <w:spacing w:line="20" w:lineRule="atLeast"/>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30</w:t>
                  </w:r>
                </w:p>
              </w:tc>
              <w:tc>
                <w:tcPr>
                  <w:tcW w:w="190" w:type="pct"/>
                  <w:tcBorders>
                    <w:tl2br w:val="nil"/>
                    <w:tr2bl w:val="nil"/>
                  </w:tcBorders>
                  <w:vAlign w:val="center"/>
                </w:tcPr>
                <w:p w14:paraId="37A8759C">
                  <w:pPr>
                    <w:widowControl/>
                    <w:spacing w:line="20" w:lineRule="atLeast"/>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50</w:t>
                  </w:r>
                </w:p>
              </w:tc>
              <w:tc>
                <w:tcPr>
                  <w:tcW w:w="180" w:type="pct"/>
                  <w:tcBorders>
                    <w:tl2br w:val="nil"/>
                    <w:tr2bl w:val="nil"/>
                  </w:tcBorders>
                  <w:vAlign w:val="center"/>
                </w:tcPr>
                <w:p w14:paraId="34110265">
                  <w:pPr>
                    <w:widowControl/>
                    <w:spacing w:line="20" w:lineRule="atLeast"/>
                    <w:ind w:left="0" w:leftChars="0" w:right="0" w:rightChars="0" w:firstLine="0" w:firstLineChars="0"/>
                    <w:jc w:val="center"/>
                    <w:textAlignment w:val="center"/>
                    <w:rPr>
                      <w:rFonts w:eastAsia="宋体" w:cs="Times New Roman"/>
                      <w:color w:val="auto"/>
                      <w:szCs w:val="21"/>
                      <w:lang w:eastAsia="zh-CN" w:bidi="ar"/>
                    </w:rPr>
                  </w:pPr>
                  <w:r>
                    <w:rPr>
                      <w:rFonts w:hint="eastAsia" w:eastAsia="宋体" w:cs="Times New Roman"/>
                      <w:color w:val="auto"/>
                      <w:szCs w:val="21"/>
                      <w:lang w:eastAsia="zh-CN" w:bidi="ar"/>
                    </w:rPr>
                    <w:t>1</w:t>
                  </w:r>
                </w:p>
              </w:tc>
              <w:tc>
                <w:tcPr>
                  <w:tcW w:w="171" w:type="pct"/>
                  <w:tcBorders>
                    <w:tl2br w:val="nil"/>
                    <w:tr2bl w:val="nil"/>
                  </w:tcBorders>
                  <w:vAlign w:val="center"/>
                </w:tcPr>
                <w:p w14:paraId="11A7B987">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26</w:t>
                  </w:r>
                </w:p>
              </w:tc>
              <w:tc>
                <w:tcPr>
                  <w:tcW w:w="173" w:type="pct"/>
                  <w:tcBorders>
                    <w:tl2br w:val="nil"/>
                    <w:tr2bl w:val="nil"/>
                  </w:tcBorders>
                  <w:vAlign w:val="center"/>
                </w:tcPr>
                <w:p w14:paraId="0F372453">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50</w:t>
                  </w:r>
                </w:p>
              </w:tc>
              <w:tc>
                <w:tcPr>
                  <w:tcW w:w="173" w:type="pct"/>
                  <w:tcBorders>
                    <w:tl2br w:val="nil"/>
                    <w:tr2bl w:val="nil"/>
                  </w:tcBorders>
                  <w:vAlign w:val="center"/>
                </w:tcPr>
                <w:p w14:paraId="36D08D59">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30</w:t>
                  </w:r>
                </w:p>
              </w:tc>
              <w:tc>
                <w:tcPr>
                  <w:tcW w:w="174" w:type="pct"/>
                  <w:tcBorders>
                    <w:tl2br w:val="nil"/>
                    <w:tr2bl w:val="nil"/>
                  </w:tcBorders>
                  <w:vAlign w:val="center"/>
                </w:tcPr>
                <w:p w14:paraId="1B9EA6BF">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43</w:t>
                  </w:r>
                </w:p>
              </w:tc>
              <w:tc>
                <w:tcPr>
                  <w:tcW w:w="228" w:type="pct"/>
                  <w:tcBorders>
                    <w:tl2br w:val="nil"/>
                    <w:tr2bl w:val="nil"/>
                  </w:tcBorders>
                  <w:vAlign w:val="center"/>
                </w:tcPr>
                <w:p w14:paraId="4E9D060F">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61.4 </w:t>
                  </w:r>
                </w:p>
              </w:tc>
              <w:tc>
                <w:tcPr>
                  <w:tcW w:w="173" w:type="pct"/>
                  <w:tcBorders>
                    <w:tl2br w:val="nil"/>
                    <w:tr2bl w:val="nil"/>
                  </w:tcBorders>
                  <w:vAlign w:val="center"/>
                </w:tcPr>
                <w:p w14:paraId="7F433052">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61.2 </w:t>
                  </w:r>
                </w:p>
              </w:tc>
              <w:tc>
                <w:tcPr>
                  <w:tcW w:w="228" w:type="pct"/>
                  <w:tcBorders>
                    <w:tl2br w:val="nil"/>
                    <w:tr2bl w:val="nil"/>
                  </w:tcBorders>
                  <w:vAlign w:val="center"/>
                </w:tcPr>
                <w:p w14:paraId="05C02DEE">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61.3 </w:t>
                  </w:r>
                </w:p>
              </w:tc>
              <w:tc>
                <w:tcPr>
                  <w:tcW w:w="181" w:type="pct"/>
                  <w:tcBorders>
                    <w:tl2br w:val="nil"/>
                    <w:tr2bl w:val="nil"/>
                  </w:tcBorders>
                  <w:vAlign w:val="center"/>
                </w:tcPr>
                <w:p w14:paraId="5DC4DD02">
                  <w:pPr>
                    <w:widowControl/>
                    <w:spacing w:line="240" w:lineRule="auto"/>
                    <w:ind w:left="0" w:leftChars="0" w:right="0" w:rightChars="0" w:firstLine="0" w:firstLineChars="0"/>
                    <w:jc w:val="center"/>
                    <w:textAlignment w:val="center"/>
                    <w:rPr>
                      <w:rFonts w:eastAsia="宋体" w:cs="Times New Roman"/>
                      <w:color w:val="auto"/>
                      <w:szCs w:val="21"/>
                      <w:lang w:eastAsia="zh-CN" w:bidi="ar"/>
                    </w:rPr>
                  </w:pPr>
                  <w:r>
                    <w:rPr>
                      <w:rFonts w:eastAsia="宋体" w:cs="Times New Roman"/>
                      <w:color w:val="auto"/>
                      <w:szCs w:val="21"/>
                      <w:lang w:eastAsia="zh-CN" w:bidi="ar"/>
                    </w:rPr>
                    <w:t xml:space="preserve">61.2 </w:t>
                  </w:r>
                </w:p>
              </w:tc>
              <w:tc>
                <w:tcPr>
                  <w:tcW w:w="228" w:type="pct"/>
                  <w:tcBorders>
                    <w:tl2br w:val="nil"/>
                    <w:tr2bl w:val="nil"/>
                  </w:tcBorders>
                  <w:vAlign w:val="center"/>
                </w:tcPr>
                <w:p w14:paraId="0905F117">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w:t>
                  </w:r>
                  <w:r>
                    <w:rPr>
                      <w:bCs/>
                      <w:color w:val="auto"/>
                      <w:szCs w:val="21"/>
                    </w:rPr>
                    <w:t>h</w:t>
                  </w:r>
                </w:p>
              </w:tc>
              <w:tc>
                <w:tcPr>
                  <w:tcW w:w="185" w:type="pct"/>
                  <w:vMerge w:val="continue"/>
                  <w:tcBorders>
                    <w:tl2br w:val="nil"/>
                    <w:tr2bl w:val="nil"/>
                  </w:tcBorders>
                  <w:vAlign w:val="center"/>
                </w:tcPr>
                <w:p w14:paraId="438F3190">
                  <w:pPr>
                    <w:spacing w:line="20" w:lineRule="atLeast"/>
                    <w:ind w:left="0" w:leftChars="0" w:right="0" w:rightChars="0" w:firstLine="0" w:firstLineChars="0"/>
                    <w:jc w:val="center"/>
                    <w:rPr>
                      <w:rFonts w:eastAsia="等线"/>
                      <w:color w:val="auto"/>
                      <w:szCs w:val="21"/>
                    </w:rPr>
                  </w:pPr>
                </w:p>
              </w:tc>
              <w:tc>
                <w:tcPr>
                  <w:tcW w:w="178" w:type="pct"/>
                  <w:vMerge w:val="continue"/>
                  <w:tcBorders>
                    <w:tl2br w:val="nil"/>
                    <w:tr2bl w:val="nil"/>
                  </w:tcBorders>
                  <w:vAlign w:val="center"/>
                </w:tcPr>
                <w:p w14:paraId="18466DA4">
                  <w:pPr>
                    <w:spacing w:line="20" w:lineRule="atLeast"/>
                    <w:ind w:left="0" w:leftChars="0" w:right="0" w:rightChars="0" w:firstLine="0" w:firstLineChars="0"/>
                    <w:jc w:val="center"/>
                    <w:rPr>
                      <w:rFonts w:eastAsia="等线"/>
                      <w:color w:val="auto"/>
                      <w:szCs w:val="21"/>
                    </w:rPr>
                  </w:pPr>
                </w:p>
              </w:tc>
              <w:tc>
                <w:tcPr>
                  <w:tcW w:w="191" w:type="pct"/>
                  <w:vMerge w:val="continue"/>
                  <w:tcBorders>
                    <w:tl2br w:val="nil"/>
                    <w:tr2bl w:val="nil"/>
                  </w:tcBorders>
                  <w:vAlign w:val="center"/>
                </w:tcPr>
                <w:p w14:paraId="776071AC">
                  <w:pPr>
                    <w:spacing w:line="20" w:lineRule="atLeast"/>
                    <w:ind w:left="0" w:leftChars="0" w:right="0" w:rightChars="0" w:firstLine="0" w:firstLineChars="0"/>
                    <w:jc w:val="center"/>
                    <w:rPr>
                      <w:rFonts w:eastAsia="等线"/>
                      <w:color w:val="auto"/>
                      <w:szCs w:val="21"/>
                    </w:rPr>
                  </w:pPr>
                </w:p>
              </w:tc>
              <w:tc>
                <w:tcPr>
                  <w:tcW w:w="210" w:type="pct"/>
                  <w:vMerge w:val="continue"/>
                  <w:tcBorders>
                    <w:tl2br w:val="nil"/>
                    <w:tr2bl w:val="nil"/>
                  </w:tcBorders>
                  <w:vAlign w:val="center"/>
                </w:tcPr>
                <w:p w14:paraId="45918919">
                  <w:pPr>
                    <w:spacing w:line="20" w:lineRule="atLeast"/>
                    <w:ind w:left="0" w:leftChars="0" w:right="0" w:rightChars="0" w:firstLine="0" w:firstLineChars="0"/>
                    <w:jc w:val="center"/>
                    <w:rPr>
                      <w:rFonts w:eastAsia="等线"/>
                      <w:color w:val="auto"/>
                      <w:szCs w:val="21"/>
                    </w:rPr>
                  </w:pPr>
                </w:p>
              </w:tc>
              <w:tc>
                <w:tcPr>
                  <w:tcW w:w="199" w:type="pct"/>
                  <w:vMerge w:val="continue"/>
                  <w:tcBorders>
                    <w:tl2br w:val="nil"/>
                    <w:tr2bl w:val="nil"/>
                  </w:tcBorders>
                  <w:vAlign w:val="center"/>
                </w:tcPr>
                <w:p w14:paraId="679A8C27">
                  <w:pPr>
                    <w:spacing w:line="20" w:lineRule="atLeast"/>
                    <w:ind w:left="0" w:leftChars="0" w:right="0" w:rightChars="0" w:firstLine="0" w:firstLineChars="0"/>
                    <w:jc w:val="center"/>
                    <w:rPr>
                      <w:rFonts w:eastAsia="等线"/>
                      <w:color w:val="auto"/>
                      <w:szCs w:val="21"/>
                    </w:rPr>
                  </w:pPr>
                </w:p>
              </w:tc>
              <w:tc>
                <w:tcPr>
                  <w:tcW w:w="185" w:type="pct"/>
                  <w:vMerge w:val="continue"/>
                  <w:tcBorders>
                    <w:tl2br w:val="nil"/>
                    <w:tr2bl w:val="nil"/>
                  </w:tcBorders>
                  <w:vAlign w:val="center"/>
                </w:tcPr>
                <w:p w14:paraId="66DB0F60">
                  <w:pPr>
                    <w:spacing w:line="20" w:lineRule="atLeast"/>
                    <w:ind w:left="0" w:leftChars="0" w:right="0" w:rightChars="0" w:firstLine="0" w:firstLineChars="0"/>
                    <w:jc w:val="center"/>
                    <w:rPr>
                      <w:rFonts w:eastAsia="等线"/>
                      <w:color w:val="auto"/>
                      <w:szCs w:val="21"/>
                    </w:rPr>
                  </w:pPr>
                </w:p>
              </w:tc>
            </w:tr>
          </w:tbl>
          <w:p w14:paraId="213A41C1">
            <w:pPr>
              <w:spacing w:line="240" w:lineRule="auto"/>
              <w:ind w:left="0" w:leftChars="0" w:right="0" w:rightChars="0" w:firstLine="0" w:firstLineChars="0"/>
              <w:jc w:val="center"/>
              <w:rPr>
                <w:b/>
                <w:color w:val="auto"/>
                <w:szCs w:val="21"/>
              </w:rPr>
            </w:pPr>
            <w:r>
              <w:rPr>
                <w:rFonts w:hint="eastAsia"/>
                <w:b/>
                <w:color w:val="auto"/>
                <w:szCs w:val="21"/>
              </w:rPr>
              <w:t>表4-</w:t>
            </w:r>
            <w:r>
              <w:rPr>
                <w:rFonts w:hint="eastAsia"/>
                <w:b/>
                <w:color w:val="auto"/>
                <w:szCs w:val="21"/>
                <w:lang w:eastAsia="zh-CN"/>
              </w:rPr>
              <w:t>11</w:t>
            </w:r>
            <w:r>
              <w:rPr>
                <w:rFonts w:hint="eastAsia"/>
                <w:b/>
                <w:color w:val="auto"/>
                <w:szCs w:val="21"/>
              </w:rPr>
              <w:t xml:space="preserve">  项目噪声源强调查清单（室外声源）  </w:t>
            </w:r>
            <w:r>
              <w:rPr>
                <w:b/>
                <w:color w:val="auto"/>
                <w:szCs w:val="21"/>
              </w:rPr>
              <w:t xml:space="preserve">            </w:t>
            </w:r>
            <w:r>
              <w:rPr>
                <w:rFonts w:hint="eastAsia"/>
                <w:b/>
                <w:color w:val="auto"/>
                <w:szCs w:val="21"/>
              </w:rPr>
              <w:t xml:space="preserve">   单位：dB(A)</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5" w:type="dxa"/>
                <w:left w:w="0" w:type="dxa"/>
                <w:bottom w:w="15" w:type="dxa"/>
                <w:right w:w="0" w:type="dxa"/>
              </w:tblCellMar>
            </w:tblPr>
            <w:tblGrid>
              <w:gridCol w:w="543"/>
              <w:gridCol w:w="1375"/>
              <w:gridCol w:w="521"/>
              <w:gridCol w:w="510"/>
              <w:gridCol w:w="443"/>
              <w:gridCol w:w="1613"/>
              <w:gridCol w:w="1804"/>
              <w:gridCol w:w="1274"/>
              <w:gridCol w:w="907"/>
              <w:gridCol w:w="1174"/>
              <w:gridCol w:w="1280"/>
              <w:gridCol w:w="1384"/>
              <w:gridCol w:w="1168"/>
            </w:tblGrid>
            <w:tr w14:paraId="6D222C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94" w:type="pct"/>
                  <w:vMerge w:val="restart"/>
                  <w:tcBorders>
                    <w:tl2br w:val="nil"/>
                    <w:tr2bl w:val="nil"/>
                  </w:tcBorders>
                  <w:vAlign w:val="center"/>
                </w:tcPr>
                <w:p w14:paraId="1DDE6B84">
                  <w:pPr>
                    <w:widowControl/>
                    <w:snapToGrid w:val="0"/>
                    <w:spacing w:line="240" w:lineRule="auto"/>
                    <w:ind w:left="0" w:leftChars="0" w:right="0" w:rightChars="0" w:firstLine="0" w:firstLineChars="0"/>
                    <w:jc w:val="center"/>
                    <w:rPr>
                      <w:b/>
                      <w:bCs/>
                      <w:color w:val="auto"/>
                      <w:szCs w:val="21"/>
                    </w:rPr>
                  </w:pPr>
                  <w:r>
                    <w:rPr>
                      <w:b/>
                      <w:bCs/>
                      <w:color w:val="auto"/>
                      <w:szCs w:val="21"/>
                    </w:rPr>
                    <w:t>序号</w:t>
                  </w:r>
                </w:p>
              </w:tc>
              <w:tc>
                <w:tcPr>
                  <w:tcW w:w="491" w:type="pct"/>
                  <w:vMerge w:val="restart"/>
                  <w:tcBorders>
                    <w:tl2br w:val="nil"/>
                    <w:tr2bl w:val="nil"/>
                  </w:tcBorders>
                  <w:vAlign w:val="center"/>
                </w:tcPr>
                <w:p w14:paraId="7F548766">
                  <w:pPr>
                    <w:widowControl/>
                    <w:snapToGrid w:val="0"/>
                    <w:spacing w:line="240" w:lineRule="auto"/>
                    <w:ind w:left="0" w:leftChars="0" w:right="0" w:rightChars="0" w:firstLine="0" w:firstLineChars="0"/>
                    <w:jc w:val="center"/>
                    <w:rPr>
                      <w:b/>
                      <w:bCs/>
                      <w:color w:val="auto"/>
                      <w:szCs w:val="21"/>
                    </w:rPr>
                  </w:pPr>
                  <w:r>
                    <w:rPr>
                      <w:rFonts w:hint="eastAsia"/>
                      <w:b/>
                      <w:bCs/>
                      <w:color w:val="auto"/>
                      <w:szCs w:val="21"/>
                    </w:rPr>
                    <w:t>声源</w:t>
                  </w:r>
                  <w:r>
                    <w:rPr>
                      <w:b/>
                      <w:bCs/>
                      <w:color w:val="auto"/>
                      <w:szCs w:val="21"/>
                    </w:rPr>
                    <w:t>名称</w:t>
                  </w:r>
                </w:p>
              </w:tc>
              <w:tc>
                <w:tcPr>
                  <w:tcW w:w="526" w:type="pct"/>
                  <w:gridSpan w:val="3"/>
                  <w:tcBorders>
                    <w:tl2br w:val="nil"/>
                    <w:tr2bl w:val="nil"/>
                  </w:tcBorders>
                  <w:vAlign w:val="center"/>
                </w:tcPr>
                <w:p w14:paraId="4BEFC2C8">
                  <w:pPr>
                    <w:widowControl/>
                    <w:snapToGrid w:val="0"/>
                    <w:spacing w:line="240" w:lineRule="auto"/>
                    <w:ind w:left="0" w:leftChars="0" w:right="0" w:rightChars="0" w:firstLine="0" w:firstLineChars="0"/>
                    <w:jc w:val="center"/>
                    <w:rPr>
                      <w:b/>
                      <w:bCs/>
                      <w:color w:val="auto"/>
                      <w:szCs w:val="21"/>
                    </w:rPr>
                  </w:pPr>
                  <w:r>
                    <w:rPr>
                      <w:b/>
                      <w:bCs/>
                      <w:color w:val="auto"/>
                      <w:szCs w:val="21"/>
                    </w:rPr>
                    <w:t>空间相对位置/m</w:t>
                  </w:r>
                </w:p>
              </w:tc>
              <w:tc>
                <w:tcPr>
                  <w:tcW w:w="576" w:type="pct"/>
                  <w:tcBorders>
                    <w:tl2br w:val="nil"/>
                    <w:tr2bl w:val="nil"/>
                  </w:tcBorders>
                  <w:vAlign w:val="center"/>
                </w:tcPr>
                <w:p w14:paraId="53144DBB">
                  <w:pPr>
                    <w:widowControl/>
                    <w:snapToGrid w:val="0"/>
                    <w:spacing w:line="240" w:lineRule="auto"/>
                    <w:ind w:left="0" w:leftChars="0" w:right="0" w:rightChars="0" w:firstLine="0" w:firstLineChars="0"/>
                    <w:jc w:val="center"/>
                    <w:rPr>
                      <w:b/>
                      <w:color w:val="auto"/>
                      <w:szCs w:val="21"/>
                    </w:rPr>
                  </w:pPr>
                  <w:r>
                    <w:rPr>
                      <w:rFonts w:hint="eastAsia"/>
                      <w:b/>
                      <w:bCs/>
                      <w:color w:val="auto"/>
                      <w:szCs w:val="21"/>
                    </w:rPr>
                    <w:t>声源源强</w:t>
                  </w:r>
                </w:p>
              </w:tc>
              <w:tc>
                <w:tcPr>
                  <w:tcW w:w="644" w:type="pct"/>
                  <w:vMerge w:val="restart"/>
                  <w:tcBorders>
                    <w:tl2br w:val="nil"/>
                    <w:tr2bl w:val="nil"/>
                  </w:tcBorders>
                  <w:vAlign w:val="center"/>
                </w:tcPr>
                <w:p w14:paraId="04DC1C32">
                  <w:pPr>
                    <w:widowControl/>
                    <w:snapToGrid w:val="0"/>
                    <w:spacing w:line="240" w:lineRule="auto"/>
                    <w:ind w:left="0" w:leftChars="0" w:right="0" w:rightChars="0" w:firstLine="0" w:firstLineChars="0"/>
                    <w:jc w:val="center"/>
                    <w:rPr>
                      <w:b/>
                      <w:bCs/>
                      <w:color w:val="auto"/>
                      <w:szCs w:val="21"/>
                    </w:rPr>
                  </w:pPr>
                  <w:r>
                    <w:rPr>
                      <w:rFonts w:hint="eastAsia"/>
                      <w:b/>
                      <w:color w:val="auto"/>
                      <w:szCs w:val="21"/>
                    </w:rPr>
                    <w:t>声源控制</w:t>
                  </w:r>
                  <w:r>
                    <w:rPr>
                      <w:b/>
                      <w:color w:val="auto"/>
                      <w:szCs w:val="21"/>
                    </w:rPr>
                    <w:t>措施</w:t>
                  </w:r>
                </w:p>
              </w:tc>
              <w:tc>
                <w:tcPr>
                  <w:tcW w:w="455" w:type="pct"/>
                  <w:vMerge w:val="restart"/>
                  <w:tcBorders>
                    <w:tl2br w:val="nil"/>
                    <w:tr2bl w:val="nil"/>
                  </w:tcBorders>
                  <w:vAlign w:val="center"/>
                </w:tcPr>
                <w:p w14:paraId="6903E79A">
                  <w:pPr>
                    <w:widowControl/>
                    <w:snapToGrid w:val="0"/>
                    <w:spacing w:line="240" w:lineRule="auto"/>
                    <w:ind w:left="0" w:leftChars="0" w:right="0" w:rightChars="0" w:firstLine="0" w:firstLineChars="0"/>
                    <w:jc w:val="center"/>
                    <w:rPr>
                      <w:b/>
                      <w:bCs/>
                      <w:color w:val="auto"/>
                      <w:szCs w:val="21"/>
                      <w:lang w:eastAsia="zh-CN"/>
                    </w:rPr>
                  </w:pPr>
                  <w:r>
                    <w:rPr>
                      <w:rFonts w:hint="eastAsia"/>
                      <w:b/>
                      <w:bCs/>
                      <w:color w:val="auto"/>
                      <w:szCs w:val="21"/>
                      <w:lang w:eastAsia="zh-CN"/>
                    </w:rPr>
                    <w:t>治理后声级</w:t>
                  </w:r>
                </w:p>
                <w:p w14:paraId="5F63ED23">
                  <w:pPr>
                    <w:widowControl/>
                    <w:snapToGrid w:val="0"/>
                    <w:spacing w:line="240" w:lineRule="auto"/>
                    <w:ind w:left="0" w:leftChars="0" w:right="0" w:rightChars="0" w:firstLine="0" w:firstLineChars="0"/>
                    <w:jc w:val="center"/>
                    <w:rPr>
                      <w:b/>
                      <w:bCs/>
                      <w:color w:val="auto"/>
                      <w:szCs w:val="21"/>
                      <w:lang w:eastAsia="zh-CN"/>
                    </w:rPr>
                  </w:pPr>
                  <w:r>
                    <w:rPr>
                      <w:rFonts w:hint="eastAsia"/>
                      <w:b/>
                      <w:bCs/>
                      <w:color w:val="auto"/>
                      <w:szCs w:val="21"/>
                      <w:lang w:eastAsia="zh-CN"/>
                    </w:rPr>
                    <w:t>dB（A）</w:t>
                  </w:r>
                </w:p>
              </w:tc>
              <w:tc>
                <w:tcPr>
                  <w:tcW w:w="324" w:type="pct"/>
                  <w:vMerge w:val="restart"/>
                  <w:tcBorders>
                    <w:tl2br w:val="nil"/>
                    <w:tr2bl w:val="nil"/>
                  </w:tcBorders>
                  <w:vAlign w:val="center"/>
                </w:tcPr>
                <w:p w14:paraId="6AEE8C33">
                  <w:pPr>
                    <w:widowControl/>
                    <w:snapToGrid w:val="0"/>
                    <w:spacing w:line="240" w:lineRule="auto"/>
                    <w:ind w:left="0" w:leftChars="0" w:right="0" w:rightChars="0" w:firstLine="0" w:firstLineChars="0"/>
                    <w:jc w:val="center"/>
                    <w:rPr>
                      <w:b/>
                      <w:bCs/>
                      <w:color w:val="auto"/>
                      <w:szCs w:val="21"/>
                    </w:rPr>
                  </w:pPr>
                  <w:r>
                    <w:rPr>
                      <w:b/>
                      <w:bCs/>
                      <w:color w:val="auto"/>
                      <w:szCs w:val="21"/>
                    </w:rPr>
                    <w:t>运行时段</w:t>
                  </w:r>
                </w:p>
              </w:tc>
              <w:tc>
                <w:tcPr>
                  <w:tcW w:w="1787" w:type="pct"/>
                  <w:gridSpan w:val="4"/>
                  <w:tcBorders>
                    <w:tl2br w:val="nil"/>
                    <w:tr2bl w:val="nil"/>
                  </w:tcBorders>
                  <w:vAlign w:val="center"/>
                </w:tcPr>
                <w:p w14:paraId="5690C102">
                  <w:pPr>
                    <w:widowControl/>
                    <w:snapToGrid w:val="0"/>
                    <w:spacing w:line="240" w:lineRule="auto"/>
                    <w:ind w:left="0" w:leftChars="0" w:right="0" w:rightChars="0" w:firstLine="0" w:firstLineChars="0"/>
                    <w:jc w:val="center"/>
                    <w:rPr>
                      <w:b/>
                      <w:bCs/>
                      <w:color w:val="auto"/>
                      <w:szCs w:val="21"/>
                      <w:lang w:eastAsia="zh-CN"/>
                    </w:rPr>
                  </w:pPr>
                  <w:r>
                    <w:rPr>
                      <w:rFonts w:hint="eastAsia"/>
                      <w:b/>
                      <w:bCs/>
                      <w:color w:val="auto"/>
                      <w:szCs w:val="21"/>
                      <w:lang w:eastAsia="zh-CN"/>
                    </w:rPr>
                    <w:t>距离衰减后各厂界噪声</w:t>
                  </w:r>
                </w:p>
              </w:tc>
            </w:tr>
            <w:tr w14:paraId="25D32C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94" w:type="pct"/>
                  <w:vMerge w:val="continue"/>
                  <w:tcBorders>
                    <w:tl2br w:val="nil"/>
                    <w:tr2bl w:val="nil"/>
                  </w:tcBorders>
                  <w:vAlign w:val="center"/>
                </w:tcPr>
                <w:p w14:paraId="4E6C1680">
                  <w:pPr>
                    <w:widowControl/>
                    <w:snapToGrid w:val="0"/>
                    <w:spacing w:line="240" w:lineRule="auto"/>
                    <w:ind w:left="0" w:leftChars="0" w:right="0" w:rightChars="0" w:firstLine="0" w:firstLineChars="0"/>
                    <w:jc w:val="center"/>
                    <w:rPr>
                      <w:b/>
                      <w:bCs/>
                      <w:color w:val="auto"/>
                      <w:szCs w:val="21"/>
                      <w:lang w:eastAsia="zh-CN"/>
                    </w:rPr>
                  </w:pPr>
                </w:p>
              </w:tc>
              <w:tc>
                <w:tcPr>
                  <w:tcW w:w="491" w:type="pct"/>
                  <w:vMerge w:val="continue"/>
                  <w:tcBorders>
                    <w:tl2br w:val="nil"/>
                    <w:tr2bl w:val="nil"/>
                  </w:tcBorders>
                  <w:vAlign w:val="center"/>
                </w:tcPr>
                <w:p w14:paraId="72522B7E">
                  <w:pPr>
                    <w:widowControl/>
                    <w:snapToGrid w:val="0"/>
                    <w:spacing w:line="240" w:lineRule="auto"/>
                    <w:ind w:left="0" w:leftChars="0" w:right="0" w:rightChars="0" w:firstLine="0" w:firstLineChars="0"/>
                    <w:jc w:val="center"/>
                    <w:rPr>
                      <w:b/>
                      <w:bCs/>
                      <w:color w:val="auto"/>
                      <w:szCs w:val="21"/>
                      <w:lang w:eastAsia="zh-CN"/>
                    </w:rPr>
                  </w:pPr>
                </w:p>
              </w:tc>
              <w:tc>
                <w:tcPr>
                  <w:tcW w:w="186" w:type="pct"/>
                  <w:tcBorders>
                    <w:tl2br w:val="nil"/>
                    <w:tr2bl w:val="nil"/>
                  </w:tcBorders>
                  <w:vAlign w:val="center"/>
                </w:tcPr>
                <w:p w14:paraId="253BCCC1">
                  <w:pPr>
                    <w:widowControl/>
                    <w:snapToGrid w:val="0"/>
                    <w:spacing w:line="240" w:lineRule="auto"/>
                    <w:ind w:left="0" w:leftChars="0" w:right="0" w:rightChars="0" w:firstLine="0" w:firstLineChars="0"/>
                    <w:jc w:val="center"/>
                    <w:rPr>
                      <w:b/>
                      <w:bCs/>
                      <w:color w:val="auto"/>
                      <w:szCs w:val="21"/>
                      <w:lang w:eastAsia="zh-CN"/>
                    </w:rPr>
                  </w:pPr>
                  <w:r>
                    <w:rPr>
                      <w:b/>
                      <w:bCs/>
                      <w:color w:val="auto"/>
                      <w:szCs w:val="21"/>
                      <w:lang w:eastAsia="zh-CN"/>
                    </w:rPr>
                    <w:t>X</w:t>
                  </w:r>
                </w:p>
              </w:tc>
              <w:tc>
                <w:tcPr>
                  <w:tcW w:w="182" w:type="pct"/>
                  <w:tcBorders>
                    <w:tl2br w:val="nil"/>
                    <w:tr2bl w:val="nil"/>
                  </w:tcBorders>
                  <w:vAlign w:val="center"/>
                </w:tcPr>
                <w:p w14:paraId="355BEE3F">
                  <w:pPr>
                    <w:widowControl/>
                    <w:snapToGrid w:val="0"/>
                    <w:spacing w:line="240" w:lineRule="auto"/>
                    <w:ind w:left="0" w:leftChars="0" w:right="0" w:rightChars="0" w:firstLine="0" w:firstLineChars="0"/>
                    <w:jc w:val="center"/>
                    <w:rPr>
                      <w:b/>
                      <w:bCs/>
                      <w:color w:val="auto"/>
                      <w:szCs w:val="21"/>
                      <w:lang w:eastAsia="zh-CN"/>
                    </w:rPr>
                  </w:pPr>
                  <w:r>
                    <w:rPr>
                      <w:b/>
                      <w:bCs/>
                      <w:color w:val="auto"/>
                      <w:szCs w:val="21"/>
                      <w:lang w:eastAsia="zh-CN"/>
                    </w:rPr>
                    <w:t>Y</w:t>
                  </w:r>
                </w:p>
              </w:tc>
              <w:tc>
                <w:tcPr>
                  <w:tcW w:w="158" w:type="pct"/>
                  <w:tcBorders>
                    <w:tl2br w:val="nil"/>
                    <w:tr2bl w:val="nil"/>
                  </w:tcBorders>
                  <w:vAlign w:val="center"/>
                </w:tcPr>
                <w:p w14:paraId="35EAB7E7">
                  <w:pPr>
                    <w:widowControl/>
                    <w:snapToGrid w:val="0"/>
                    <w:spacing w:line="240" w:lineRule="auto"/>
                    <w:ind w:left="0" w:leftChars="0" w:right="0" w:rightChars="0" w:firstLine="0" w:firstLineChars="0"/>
                    <w:jc w:val="center"/>
                    <w:rPr>
                      <w:b/>
                      <w:bCs/>
                      <w:color w:val="auto"/>
                      <w:szCs w:val="21"/>
                      <w:lang w:eastAsia="zh-CN"/>
                    </w:rPr>
                  </w:pPr>
                  <w:r>
                    <w:rPr>
                      <w:b/>
                      <w:bCs/>
                      <w:color w:val="auto"/>
                      <w:szCs w:val="21"/>
                      <w:lang w:eastAsia="zh-CN"/>
                    </w:rPr>
                    <w:t>Z</w:t>
                  </w:r>
                </w:p>
              </w:tc>
              <w:tc>
                <w:tcPr>
                  <w:tcW w:w="576" w:type="pct"/>
                  <w:tcBorders>
                    <w:tl2br w:val="nil"/>
                    <w:tr2bl w:val="nil"/>
                  </w:tcBorders>
                  <w:vAlign w:val="center"/>
                </w:tcPr>
                <w:p w14:paraId="7BC3560E">
                  <w:pPr>
                    <w:widowControl/>
                    <w:snapToGrid w:val="0"/>
                    <w:spacing w:line="240" w:lineRule="auto"/>
                    <w:ind w:left="0" w:leftChars="0" w:right="0" w:rightChars="0" w:firstLine="0" w:firstLineChars="0"/>
                    <w:jc w:val="center"/>
                    <w:rPr>
                      <w:b/>
                      <w:bCs/>
                      <w:color w:val="auto"/>
                      <w:szCs w:val="21"/>
                      <w:lang w:eastAsia="zh-CN"/>
                    </w:rPr>
                  </w:pPr>
                  <w:r>
                    <w:rPr>
                      <w:rFonts w:hint="eastAsia"/>
                      <w:b/>
                      <w:bCs/>
                      <w:color w:val="auto"/>
                      <w:szCs w:val="21"/>
                      <w:lang w:eastAsia="zh-CN"/>
                    </w:rPr>
                    <w:t>声功率级dB（A）</w:t>
                  </w:r>
                </w:p>
              </w:tc>
              <w:tc>
                <w:tcPr>
                  <w:tcW w:w="644" w:type="pct"/>
                  <w:vMerge w:val="continue"/>
                  <w:tcBorders>
                    <w:tl2br w:val="nil"/>
                    <w:tr2bl w:val="nil"/>
                  </w:tcBorders>
                  <w:vAlign w:val="center"/>
                </w:tcPr>
                <w:p w14:paraId="5085B170">
                  <w:pPr>
                    <w:widowControl/>
                    <w:snapToGrid w:val="0"/>
                    <w:spacing w:line="240" w:lineRule="auto"/>
                    <w:ind w:left="0" w:leftChars="0" w:right="0" w:rightChars="0" w:firstLine="0" w:firstLineChars="0"/>
                    <w:jc w:val="center"/>
                    <w:rPr>
                      <w:b/>
                      <w:bCs/>
                      <w:color w:val="auto"/>
                      <w:szCs w:val="21"/>
                      <w:lang w:eastAsia="zh-CN"/>
                    </w:rPr>
                  </w:pPr>
                </w:p>
              </w:tc>
              <w:tc>
                <w:tcPr>
                  <w:tcW w:w="455" w:type="pct"/>
                  <w:vMerge w:val="continue"/>
                  <w:tcBorders>
                    <w:tl2br w:val="nil"/>
                    <w:tr2bl w:val="nil"/>
                  </w:tcBorders>
                  <w:vAlign w:val="center"/>
                </w:tcPr>
                <w:p w14:paraId="061AB501">
                  <w:pPr>
                    <w:widowControl/>
                    <w:snapToGrid w:val="0"/>
                    <w:spacing w:line="240" w:lineRule="auto"/>
                    <w:ind w:left="0" w:leftChars="0" w:right="0" w:rightChars="0" w:firstLine="0" w:firstLineChars="0"/>
                    <w:jc w:val="center"/>
                    <w:rPr>
                      <w:b/>
                      <w:bCs/>
                      <w:color w:val="auto"/>
                      <w:szCs w:val="21"/>
                      <w:lang w:eastAsia="zh-CN"/>
                    </w:rPr>
                  </w:pPr>
                </w:p>
              </w:tc>
              <w:tc>
                <w:tcPr>
                  <w:tcW w:w="324" w:type="pct"/>
                  <w:vMerge w:val="continue"/>
                  <w:tcBorders>
                    <w:tl2br w:val="nil"/>
                    <w:tr2bl w:val="nil"/>
                  </w:tcBorders>
                  <w:vAlign w:val="center"/>
                </w:tcPr>
                <w:p w14:paraId="2C442CF6">
                  <w:pPr>
                    <w:widowControl/>
                    <w:snapToGrid w:val="0"/>
                    <w:spacing w:line="240" w:lineRule="auto"/>
                    <w:ind w:left="0" w:leftChars="0" w:right="0" w:rightChars="0" w:firstLine="0" w:firstLineChars="0"/>
                    <w:jc w:val="center"/>
                    <w:rPr>
                      <w:b/>
                      <w:bCs/>
                      <w:color w:val="auto"/>
                      <w:szCs w:val="21"/>
                      <w:lang w:eastAsia="zh-CN"/>
                    </w:rPr>
                  </w:pPr>
                </w:p>
              </w:tc>
              <w:tc>
                <w:tcPr>
                  <w:tcW w:w="419" w:type="pct"/>
                  <w:tcBorders>
                    <w:tl2br w:val="nil"/>
                    <w:tr2bl w:val="nil"/>
                  </w:tcBorders>
                  <w:vAlign w:val="center"/>
                </w:tcPr>
                <w:p w14:paraId="03D734AD">
                  <w:pPr>
                    <w:snapToGrid w:val="0"/>
                    <w:spacing w:line="240" w:lineRule="auto"/>
                    <w:ind w:left="0" w:leftChars="0" w:right="0" w:rightChars="0" w:firstLine="0" w:firstLineChars="0"/>
                    <w:jc w:val="center"/>
                    <w:rPr>
                      <w:b/>
                      <w:bCs/>
                      <w:color w:val="auto"/>
                      <w:szCs w:val="21"/>
                      <w:lang w:eastAsia="zh-CN"/>
                    </w:rPr>
                  </w:pPr>
                  <w:r>
                    <w:rPr>
                      <w:rFonts w:hint="eastAsia"/>
                      <w:b/>
                      <w:bCs/>
                      <w:color w:val="auto"/>
                      <w:szCs w:val="21"/>
                      <w:lang w:eastAsia="zh-CN"/>
                    </w:rPr>
                    <w:t>东</w:t>
                  </w:r>
                </w:p>
              </w:tc>
              <w:tc>
                <w:tcPr>
                  <w:tcW w:w="457" w:type="pct"/>
                  <w:tcBorders>
                    <w:tl2br w:val="nil"/>
                    <w:tr2bl w:val="nil"/>
                  </w:tcBorders>
                  <w:vAlign w:val="center"/>
                </w:tcPr>
                <w:p w14:paraId="41906090">
                  <w:pPr>
                    <w:snapToGrid w:val="0"/>
                    <w:spacing w:line="240" w:lineRule="auto"/>
                    <w:ind w:left="0" w:leftChars="0" w:right="0" w:rightChars="0" w:firstLine="0" w:firstLineChars="0"/>
                    <w:jc w:val="center"/>
                    <w:rPr>
                      <w:b/>
                      <w:bCs/>
                      <w:color w:val="auto"/>
                      <w:szCs w:val="21"/>
                      <w:lang w:eastAsia="zh-CN"/>
                    </w:rPr>
                  </w:pPr>
                  <w:r>
                    <w:rPr>
                      <w:rFonts w:hint="eastAsia"/>
                      <w:b/>
                      <w:bCs/>
                      <w:color w:val="auto"/>
                      <w:szCs w:val="21"/>
                      <w:lang w:eastAsia="zh-CN"/>
                    </w:rPr>
                    <w:t>南</w:t>
                  </w:r>
                </w:p>
              </w:tc>
              <w:tc>
                <w:tcPr>
                  <w:tcW w:w="494" w:type="pct"/>
                  <w:tcBorders>
                    <w:tl2br w:val="nil"/>
                    <w:tr2bl w:val="nil"/>
                  </w:tcBorders>
                  <w:vAlign w:val="center"/>
                </w:tcPr>
                <w:p w14:paraId="549E67E8">
                  <w:pPr>
                    <w:snapToGrid w:val="0"/>
                    <w:spacing w:line="240" w:lineRule="auto"/>
                    <w:ind w:left="0" w:leftChars="0" w:right="0" w:rightChars="0" w:firstLine="0" w:firstLineChars="0"/>
                    <w:jc w:val="center"/>
                    <w:rPr>
                      <w:b/>
                      <w:bCs/>
                      <w:color w:val="auto"/>
                      <w:szCs w:val="21"/>
                      <w:lang w:eastAsia="zh-CN"/>
                    </w:rPr>
                  </w:pPr>
                  <w:r>
                    <w:rPr>
                      <w:rFonts w:hint="eastAsia"/>
                      <w:b/>
                      <w:bCs/>
                      <w:color w:val="auto"/>
                      <w:szCs w:val="21"/>
                      <w:lang w:eastAsia="zh-CN"/>
                    </w:rPr>
                    <w:t>西</w:t>
                  </w:r>
                </w:p>
              </w:tc>
              <w:tc>
                <w:tcPr>
                  <w:tcW w:w="416" w:type="pct"/>
                  <w:tcBorders>
                    <w:tl2br w:val="nil"/>
                    <w:tr2bl w:val="nil"/>
                  </w:tcBorders>
                  <w:vAlign w:val="center"/>
                </w:tcPr>
                <w:p w14:paraId="632688DC">
                  <w:pPr>
                    <w:snapToGrid w:val="0"/>
                    <w:spacing w:line="240" w:lineRule="auto"/>
                    <w:ind w:left="0" w:leftChars="0" w:right="0" w:rightChars="0" w:firstLine="0" w:firstLineChars="0"/>
                    <w:jc w:val="center"/>
                    <w:rPr>
                      <w:b/>
                      <w:bCs/>
                      <w:color w:val="auto"/>
                      <w:szCs w:val="21"/>
                      <w:lang w:eastAsia="zh-CN"/>
                    </w:rPr>
                  </w:pPr>
                  <w:r>
                    <w:rPr>
                      <w:rFonts w:hint="eastAsia"/>
                      <w:b/>
                      <w:bCs/>
                      <w:color w:val="auto"/>
                      <w:szCs w:val="21"/>
                      <w:lang w:eastAsia="zh-CN"/>
                    </w:rPr>
                    <w:t>北</w:t>
                  </w:r>
                </w:p>
              </w:tc>
            </w:tr>
            <w:tr w14:paraId="630207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0" w:type="dxa"/>
                  <w:bottom w:w="15" w:type="dxa"/>
                  <w:right w:w="0" w:type="dxa"/>
                </w:tblCellMar>
              </w:tblPrEx>
              <w:trPr>
                <w:trHeight w:val="397" w:hRule="atLeast"/>
                <w:jc w:val="center"/>
              </w:trPr>
              <w:tc>
                <w:tcPr>
                  <w:tcW w:w="194" w:type="pct"/>
                  <w:tcBorders>
                    <w:tl2br w:val="nil"/>
                    <w:tr2bl w:val="nil"/>
                  </w:tcBorders>
                  <w:vAlign w:val="center"/>
                </w:tcPr>
                <w:p w14:paraId="0ECAA1C1">
                  <w:pPr>
                    <w:widowControl/>
                    <w:snapToGrid w:val="0"/>
                    <w:spacing w:line="240" w:lineRule="auto"/>
                    <w:ind w:left="0" w:leftChars="0" w:right="0" w:rightChars="0" w:firstLine="0" w:firstLineChars="0"/>
                    <w:jc w:val="center"/>
                    <w:rPr>
                      <w:bCs/>
                      <w:color w:val="auto"/>
                      <w:szCs w:val="21"/>
                      <w:lang w:eastAsia="zh-CN"/>
                    </w:rPr>
                  </w:pPr>
                  <w:r>
                    <w:rPr>
                      <w:bCs/>
                      <w:color w:val="auto"/>
                      <w:szCs w:val="21"/>
                      <w:lang w:eastAsia="zh-CN"/>
                    </w:rPr>
                    <w:t>1</w:t>
                  </w:r>
                </w:p>
              </w:tc>
              <w:tc>
                <w:tcPr>
                  <w:tcW w:w="491" w:type="pct"/>
                  <w:tcBorders>
                    <w:tl2br w:val="nil"/>
                    <w:tr2bl w:val="nil"/>
                  </w:tcBorders>
                  <w:vAlign w:val="center"/>
                </w:tcPr>
                <w:p w14:paraId="78859078">
                  <w:pPr>
                    <w:snapToGrid w:val="0"/>
                    <w:spacing w:line="240" w:lineRule="auto"/>
                    <w:ind w:left="0" w:leftChars="0" w:right="0" w:rightChars="0" w:firstLine="0" w:firstLineChars="0"/>
                    <w:jc w:val="center"/>
                    <w:rPr>
                      <w:color w:val="auto"/>
                      <w:szCs w:val="21"/>
                      <w:lang w:eastAsia="zh-CN"/>
                    </w:rPr>
                  </w:pPr>
                  <w:r>
                    <w:rPr>
                      <w:rFonts w:hint="eastAsia"/>
                      <w:color w:val="auto"/>
                      <w:szCs w:val="21"/>
                      <w:lang w:eastAsia="zh-CN"/>
                    </w:rPr>
                    <w:t>废气处理风机</w:t>
                  </w:r>
                </w:p>
              </w:tc>
              <w:tc>
                <w:tcPr>
                  <w:tcW w:w="186" w:type="pct"/>
                  <w:tcBorders>
                    <w:tl2br w:val="nil"/>
                    <w:tr2bl w:val="nil"/>
                  </w:tcBorders>
                  <w:vAlign w:val="center"/>
                </w:tcPr>
                <w:p w14:paraId="33BF26AE">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40</w:t>
                  </w:r>
                </w:p>
              </w:tc>
              <w:tc>
                <w:tcPr>
                  <w:tcW w:w="182" w:type="pct"/>
                  <w:tcBorders>
                    <w:tl2br w:val="nil"/>
                    <w:tr2bl w:val="nil"/>
                  </w:tcBorders>
                  <w:vAlign w:val="center"/>
                </w:tcPr>
                <w:p w14:paraId="546FFFBF">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50</w:t>
                  </w:r>
                </w:p>
              </w:tc>
              <w:tc>
                <w:tcPr>
                  <w:tcW w:w="158" w:type="pct"/>
                  <w:tcBorders>
                    <w:tl2br w:val="nil"/>
                    <w:tr2bl w:val="nil"/>
                  </w:tcBorders>
                  <w:vAlign w:val="center"/>
                </w:tcPr>
                <w:p w14:paraId="54F86B08">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3</w:t>
                  </w:r>
                </w:p>
              </w:tc>
              <w:tc>
                <w:tcPr>
                  <w:tcW w:w="576" w:type="pct"/>
                  <w:tcBorders>
                    <w:tl2br w:val="nil"/>
                    <w:tr2bl w:val="nil"/>
                  </w:tcBorders>
                  <w:vAlign w:val="center"/>
                </w:tcPr>
                <w:p w14:paraId="541AEDA8">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9</w:t>
                  </w:r>
                  <w:r>
                    <w:rPr>
                      <w:bCs/>
                      <w:color w:val="auto"/>
                      <w:szCs w:val="21"/>
                      <w:lang w:eastAsia="zh-CN"/>
                    </w:rPr>
                    <w:t>0</w:t>
                  </w:r>
                </w:p>
              </w:tc>
              <w:tc>
                <w:tcPr>
                  <w:tcW w:w="644" w:type="pct"/>
                  <w:tcBorders>
                    <w:tl2br w:val="nil"/>
                    <w:tr2bl w:val="nil"/>
                  </w:tcBorders>
                  <w:vAlign w:val="center"/>
                </w:tcPr>
                <w:p w14:paraId="1E66EB55">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基础减振、消声器</w:t>
                  </w:r>
                </w:p>
              </w:tc>
              <w:tc>
                <w:tcPr>
                  <w:tcW w:w="455" w:type="pct"/>
                  <w:tcBorders>
                    <w:tl2br w:val="nil"/>
                    <w:tr2bl w:val="nil"/>
                  </w:tcBorders>
                  <w:vAlign w:val="center"/>
                </w:tcPr>
                <w:p w14:paraId="3F862B57">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80</w:t>
                  </w:r>
                </w:p>
              </w:tc>
              <w:tc>
                <w:tcPr>
                  <w:tcW w:w="324" w:type="pct"/>
                  <w:tcBorders>
                    <w:tl2br w:val="nil"/>
                    <w:tr2bl w:val="nil"/>
                  </w:tcBorders>
                  <w:vAlign w:val="center"/>
                </w:tcPr>
                <w:p w14:paraId="4F32484B">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8h</w:t>
                  </w:r>
                </w:p>
              </w:tc>
              <w:tc>
                <w:tcPr>
                  <w:tcW w:w="419" w:type="pct"/>
                  <w:tcBorders>
                    <w:tl2br w:val="nil"/>
                    <w:tr2bl w:val="nil"/>
                  </w:tcBorders>
                  <w:vAlign w:val="center"/>
                </w:tcPr>
                <w:p w14:paraId="6F2E51B4">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42</w:t>
                  </w:r>
                </w:p>
              </w:tc>
              <w:tc>
                <w:tcPr>
                  <w:tcW w:w="457" w:type="pct"/>
                  <w:tcBorders>
                    <w:tl2br w:val="nil"/>
                    <w:tr2bl w:val="nil"/>
                  </w:tcBorders>
                  <w:vAlign w:val="center"/>
                </w:tcPr>
                <w:p w14:paraId="43CBEA47">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36</w:t>
                  </w:r>
                </w:p>
              </w:tc>
              <w:tc>
                <w:tcPr>
                  <w:tcW w:w="494" w:type="pct"/>
                  <w:tcBorders>
                    <w:tl2br w:val="nil"/>
                    <w:tr2bl w:val="nil"/>
                  </w:tcBorders>
                  <w:vAlign w:val="center"/>
                </w:tcPr>
                <w:p w14:paraId="46EA40C3">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44</w:t>
                  </w:r>
                </w:p>
              </w:tc>
              <w:tc>
                <w:tcPr>
                  <w:tcW w:w="416" w:type="pct"/>
                  <w:tcBorders>
                    <w:tl2br w:val="nil"/>
                    <w:tr2bl w:val="nil"/>
                  </w:tcBorders>
                  <w:vAlign w:val="center"/>
                </w:tcPr>
                <w:p w14:paraId="1BF9CEE5">
                  <w:pPr>
                    <w:widowControl/>
                    <w:snapToGrid w:val="0"/>
                    <w:spacing w:line="240" w:lineRule="auto"/>
                    <w:ind w:left="0" w:leftChars="0" w:right="0" w:rightChars="0" w:firstLine="0" w:firstLineChars="0"/>
                    <w:jc w:val="center"/>
                    <w:rPr>
                      <w:bCs/>
                      <w:color w:val="auto"/>
                      <w:szCs w:val="21"/>
                      <w:lang w:eastAsia="zh-CN"/>
                    </w:rPr>
                  </w:pPr>
                  <w:r>
                    <w:rPr>
                      <w:rFonts w:hint="eastAsia"/>
                      <w:bCs/>
                      <w:color w:val="auto"/>
                      <w:szCs w:val="21"/>
                      <w:lang w:eastAsia="zh-CN"/>
                    </w:rPr>
                    <w:t>42</w:t>
                  </w:r>
                </w:p>
              </w:tc>
            </w:tr>
          </w:tbl>
          <w:p w14:paraId="60DC5A5C">
            <w:pPr>
              <w:spacing w:line="240" w:lineRule="auto"/>
              <w:ind w:left="0" w:leftChars="0" w:right="0" w:rightChars="0" w:firstLine="0" w:firstLineChars="0"/>
              <w:jc w:val="both"/>
              <w:rPr>
                <w:color w:val="auto"/>
                <w:lang w:eastAsia="zh-CN"/>
              </w:rPr>
            </w:pPr>
            <w:r>
              <w:rPr>
                <w:color w:val="auto"/>
                <w:szCs w:val="21"/>
                <w:lang w:eastAsia="zh-CN"/>
              </w:rPr>
              <w:t>注：表中坐标以</w:t>
            </w:r>
            <w:r>
              <w:rPr>
                <w:rFonts w:hint="eastAsia"/>
                <w:color w:val="auto"/>
                <w:szCs w:val="21"/>
                <w:lang w:eastAsia="zh-CN"/>
              </w:rPr>
              <w:t>加工车间顺时针旋转45°后的</w:t>
            </w:r>
            <w:r>
              <w:rPr>
                <w:color w:val="auto"/>
                <w:szCs w:val="21"/>
                <w:lang w:eastAsia="zh-CN"/>
              </w:rPr>
              <w:t>西南角为0点</w:t>
            </w:r>
            <w:r>
              <w:rPr>
                <w:rFonts w:hint="eastAsia"/>
                <w:color w:val="auto"/>
                <w:szCs w:val="21"/>
                <w:lang w:eastAsia="zh-CN"/>
              </w:rPr>
              <w:t xml:space="preserve">。 </w:t>
            </w:r>
          </w:p>
        </w:tc>
      </w:tr>
    </w:tbl>
    <w:p w14:paraId="15723193">
      <w:pPr>
        <w:ind w:firstLine="420"/>
        <w:rPr>
          <w:color w:val="auto"/>
          <w:lang w:eastAsia="zh-CN"/>
        </w:rPr>
        <w:sectPr>
          <w:pgSz w:w="16838" w:h="11910" w:orient="landscape"/>
          <w:pgMar w:top="1417" w:right="1417" w:bottom="1417" w:left="1417" w:header="720" w:footer="1043" w:gutter="0"/>
          <w:cols w:space="0" w:num="1"/>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675"/>
      </w:tblGrid>
      <w:tr w14:paraId="520F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14:paraId="0B040A81">
            <w:pPr>
              <w:pStyle w:val="38"/>
              <w:spacing w:line="240" w:lineRule="auto"/>
              <w:ind w:left="0" w:leftChars="0" w:right="0" w:rightChars="0" w:firstLine="0" w:firstLineChars="0"/>
              <w:jc w:val="center"/>
              <w:rPr>
                <w:rFonts w:eastAsia="宋体" w:cs="Times New Roman"/>
                <w:b/>
                <w:bCs/>
                <w:color w:val="auto"/>
                <w:sz w:val="24"/>
                <w:szCs w:val="24"/>
                <w:lang w:eastAsia="zh-CN"/>
              </w:rPr>
            </w:pPr>
          </w:p>
        </w:tc>
        <w:tc>
          <w:tcPr>
            <w:tcW w:w="4667" w:type="pct"/>
          </w:tcPr>
          <w:p w14:paraId="51569F79">
            <w:pPr>
              <w:keepNext/>
              <w:keepLines/>
              <w:ind w:firstLine="482"/>
              <w:jc w:val="both"/>
              <w:outlineLvl w:val="1"/>
              <w:rPr>
                <w:b/>
                <w:bCs/>
                <w:color w:val="auto"/>
                <w:sz w:val="24"/>
                <w:lang w:eastAsia="zh-CN"/>
              </w:rPr>
            </w:pPr>
            <w:r>
              <w:rPr>
                <w:b/>
                <w:bCs/>
                <w:color w:val="auto"/>
                <w:sz w:val="24"/>
                <w:lang w:eastAsia="zh-CN"/>
              </w:rPr>
              <w:t>3.2预测基础数据</w:t>
            </w:r>
          </w:p>
          <w:p w14:paraId="2AA33B85">
            <w:pPr>
              <w:autoSpaceDE w:val="0"/>
              <w:autoSpaceDN w:val="0"/>
              <w:adjustRightInd w:val="0"/>
              <w:snapToGrid w:val="0"/>
              <w:ind w:firstLine="480"/>
              <w:jc w:val="both"/>
              <w:rPr>
                <w:color w:val="auto"/>
                <w:sz w:val="24"/>
                <w:lang w:eastAsia="zh-CN"/>
              </w:rPr>
            </w:pPr>
            <w:r>
              <w:rPr>
                <w:color w:val="auto"/>
                <w:sz w:val="24"/>
                <w:lang w:eastAsia="zh-CN"/>
              </w:rPr>
              <w:t>项目噪声环境影响预测基础数据见</w:t>
            </w:r>
            <w:r>
              <w:rPr>
                <w:rFonts w:hint="eastAsia"/>
                <w:color w:val="auto"/>
                <w:sz w:val="24"/>
                <w:lang w:eastAsia="zh-CN"/>
              </w:rPr>
              <w:t>下</w:t>
            </w:r>
            <w:r>
              <w:rPr>
                <w:color w:val="auto"/>
                <w:sz w:val="24"/>
                <w:lang w:eastAsia="zh-CN"/>
              </w:rPr>
              <w:t>表。</w:t>
            </w:r>
          </w:p>
          <w:p w14:paraId="5780D176">
            <w:pPr>
              <w:widowControl/>
              <w:spacing w:line="240" w:lineRule="auto"/>
              <w:ind w:left="0" w:leftChars="0" w:right="0" w:rightChars="0" w:firstLine="0" w:firstLineChars="0"/>
              <w:jc w:val="center"/>
              <w:rPr>
                <w:b/>
                <w:color w:val="auto"/>
                <w:szCs w:val="21"/>
                <w:lang w:eastAsia="zh-CN"/>
              </w:rPr>
            </w:pPr>
            <w:r>
              <w:rPr>
                <w:b/>
                <w:color w:val="auto"/>
                <w:szCs w:val="21"/>
                <w:lang w:eastAsia="zh-CN"/>
              </w:rPr>
              <w:t>表4</w:t>
            </w:r>
            <w:r>
              <w:rPr>
                <w:rFonts w:hint="eastAsia"/>
                <w:b/>
                <w:color w:val="auto"/>
                <w:szCs w:val="21"/>
                <w:lang w:eastAsia="zh-CN"/>
              </w:rPr>
              <w:t>-12</w:t>
            </w:r>
            <w:r>
              <w:rPr>
                <w:b/>
                <w:color w:val="auto"/>
                <w:szCs w:val="21"/>
                <w:lang w:eastAsia="zh-CN"/>
              </w:rPr>
              <w:t xml:space="preserve">    项目噪声环境影响预测基础数据表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769"/>
              <w:gridCol w:w="2116"/>
              <w:gridCol w:w="2116"/>
            </w:tblGrid>
            <w:tr w14:paraId="38CF5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Align w:val="center"/>
                </w:tcPr>
                <w:p w14:paraId="527D838A">
                  <w:pPr>
                    <w:spacing w:line="240" w:lineRule="auto"/>
                    <w:ind w:left="0" w:leftChars="0" w:right="0" w:rightChars="0" w:firstLine="0" w:firstLineChars="0"/>
                    <w:jc w:val="center"/>
                    <w:rPr>
                      <w:rFonts w:eastAsia="宋体" w:cs="Times New Roman"/>
                      <w:b/>
                      <w:bCs/>
                      <w:color w:val="auto"/>
                      <w:szCs w:val="21"/>
                      <w:lang w:eastAsia="zh-CN"/>
                    </w:rPr>
                  </w:pPr>
                  <w:bookmarkStart w:id="11" w:name="PT_4"/>
                  <w:r>
                    <w:rPr>
                      <w:rFonts w:eastAsia="宋体" w:cs="Times New Roman"/>
                      <w:b/>
                      <w:bCs/>
                      <w:color w:val="auto"/>
                      <w:szCs w:val="21"/>
                      <w:lang w:eastAsia="zh-CN"/>
                    </w:rPr>
                    <w:t>序号</w:t>
                  </w:r>
                </w:p>
              </w:tc>
              <w:tc>
                <w:tcPr>
                  <w:tcW w:w="1637" w:type="pct"/>
                  <w:vAlign w:val="center"/>
                </w:tcPr>
                <w:p w14:paraId="09EE59D5">
                  <w:pPr>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名称</w:t>
                  </w:r>
                </w:p>
              </w:tc>
              <w:tc>
                <w:tcPr>
                  <w:tcW w:w="1250" w:type="pct"/>
                  <w:vAlign w:val="center"/>
                </w:tcPr>
                <w:p w14:paraId="5136B56C">
                  <w:pPr>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单位</w:t>
                  </w:r>
                </w:p>
              </w:tc>
              <w:tc>
                <w:tcPr>
                  <w:tcW w:w="1250" w:type="pct"/>
                  <w:vAlign w:val="center"/>
                </w:tcPr>
                <w:p w14:paraId="39CA7E0D">
                  <w:pPr>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数据</w:t>
                  </w:r>
                </w:p>
              </w:tc>
            </w:tr>
            <w:tr w14:paraId="1CA6A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Align w:val="center"/>
                </w:tcPr>
                <w:p w14:paraId="77BC7DA3">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1</w:t>
                  </w:r>
                </w:p>
              </w:tc>
              <w:tc>
                <w:tcPr>
                  <w:tcW w:w="1637" w:type="pct"/>
                  <w:vAlign w:val="center"/>
                </w:tcPr>
                <w:p w14:paraId="2AB361C6">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年平均风速</w:t>
                  </w:r>
                </w:p>
              </w:tc>
              <w:tc>
                <w:tcPr>
                  <w:tcW w:w="1250" w:type="pct"/>
                  <w:vAlign w:val="center"/>
                </w:tcPr>
                <w:p w14:paraId="74389D4C">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m/s</w:t>
                  </w:r>
                </w:p>
              </w:tc>
              <w:tc>
                <w:tcPr>
                  <w:tcW w:w="1250" w:type="pct"/>
                  <w:vAlign w:val="center"/>
                </w:tcPr>
                <w:p w14:paraId="5C4FB115">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2.1</w:t>
                  </w:r>
                </w:p>
              </w:tc>
            </w:tr>
            <w:tr w14:paraId="4065C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Align w:val="center"/>
                </w:tcPr>
                <w:p w14:paraId="12F38B5E">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2</w:t>
                  </w:r>
                </w:p>
              </w:tc>
              <w:tc>
                <w:tcPr>
                  <w:tcW w:w="1637" w:type="pct"/>
                  <w:vAlign w:val="center"/>
                </w:tcPr>
                <w:p w14:paraId="15C07489">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主导风向</w:t>
                  </w:r>
                </w:p>
              </w:tc>
              <w:tc>
                <w:tcPr>
                  <w:tcW w:w="1250" w:type="pct"/>
                  <w:vAlign w:val="center"/>
                </w:tcPr>
                <w:p w14:paraId="2702BE04">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250" w:type="pct"/>
                  <w:vAlign w:val="center"/>
                </w:tcPr>
                <w:p w14:paraId="1DABF58F">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东北风（NE）</w:t>
                  </w:r>
                </w:p>
              </w:tc>
            </w:tr>
            <w:tr w14:paraId="6E47D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Align w:val="center"/>
                </w:tcPr>
                <w:p w14:paraId="1E5A62F9">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3</w:t>
                  </w:r>
                </w:p>
              </w:tc>
              <w:tc>
                <w:tcPr>
                  <w:tcW w:w="1637" w:type="pct"/>
                  <w:vAlign w:val="center"/>
                </w:tcPr>
                <w:p w14:paraId="755504D6">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年平均气温</w:t>
                  </w:r>
                </w:p>
              </w:tc>
              <w:tc>
                <w:tcPr>
                  <w:tcW w:w="1250" w:type="pct"/>
                  <w:vAlign w:val="center"/>
                </w:tcPr>
                <w:p w14:paraId="47584202">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250" w:type="pct"/>
                  <w:vAlign w:val="center"/>
                </w:tcPr>
                <w:p w14:paraId="65466C5C">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13.6</w:t>
                  </w:r>
                </w:p>
              </w:tc>
            </w:tr>
            <w:tr w14:paraId="79657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Align w:val="center"/>
                </w:tcPr>
                <w:p w14:paraId="3ACD583C">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4</w:t>
                  </w:r>
                </w:p>
              </w:tc>
              <w:tc>
                <w:tcPr>
                  <w:tcW w:w="1637" w:type="pct"/>
                  <w:vAlign w:val="center"/>
                </w:tcPr>
                <w:p w14:paraId="12891A87">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年平均相对湿度</w:t>
                  </w:r>
                </w:p>
              </w:tc>
              <w:tc>
                <w:tcPr>
                  <w:tcW w:w="1250" w:type="pct"/>
                  <w:vAlign w:val="center"/>
                </w:tcPr>
                <w:p w14:paraId="7349AFA5">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250" w:type="pct"/>
                  <w:vAlign w:val="center"/>
                </w:tcPr>
                <w:p w14:paraId="0E3F3372">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50</w:t>
                  </w:r>
                </w:p>
              </w:tc>
            </w:tr>
            <w:tr w14:paraId="0DC3B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Align w:val="center"/>
                </w:tcPr>
                <w:p w14:paraId="3B08EB07">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5</w:t>
                  </w:r>
                </w:p>
              </w:tc>
              <w:tc>
                <w:tcPr>
                  <w:tcW w:w="1637" w:type="pct"/>
                  <w:vAlign w:val="center"/>
                </w:tcPr>
                <w:p w14:paraId="2D8C2D0C">
                  <w:pPr>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大气压强</w:t>
                  </w:r>
                </w:p>
              </w:tc>
              <w:tc>
                <w:tcPr>
                  <w:tcW w:w="1250" w:type="pct"/>
                  <w:vAlign w:val="center"/>
                </w:tcPr>
                <w:p w14:paraId="1281AE3B">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atm</w:t>
                  </w:r>
                </w:p>
              </w:tc>
              <w:tc>
                <w:tcPr>
                  <w:tcW w:w="1250" w:type="pct"/>
                  <w:vAlign w:val="center"/>
                </w:tcPr>
                <w:p w14:paraId="29F4FD98">
                  <w:pPr>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w:t>
                  </w:r>
                </w:p>
              </w:tc>
            </w:tr>
            <w:bookmarkEnd w:id="11"/>
          </w:tbl>
          <w:p w14:paraId="6A56BBE5">
            <w:pPr>
              <w:adjustRightInd w:val="0"/>
              <w:snapToGrid w:val="0"/>
              <w:ind w:left="0" w:leftChars="0" w:right="0" w:rightChars="0" w:firstLine="480"/>
              <w:jc w:val="both"/>
              <w:rPr>
                <w:rFonts w:eastAsia="宋体" w:cs="Times New Roman"/>
                <w:b/>
                <w:bCs/>
                <w:color w:val="auto"/>
                <w:sz w:val="24"/>
                <w:szCs w:val="24"/>
                <w:lang w:eastAsia="zh-CN"/>
              </w:rPr>
            </w:pPr>
            <w:r>
              <w:rPr>
                <w:color w:val="auto"/>
                <w:sz w:val="24"/>
                <w:lang w:eastAsia="zh-CN"/>
              </w:rPr>
              <w:t>声源和预测点间地形平坦，无高差。根据现场踏勘、项目总平图等，并结合卫星图片地理信息数据确定，数据精度为10m。</w:t>
            </w:r>
          </w:p>
          <w:p w14:paraId="31C69365">
            <w:pPr>
              <w:adjustRightInd w:val="0"/>
              <w:snapToGrid w:val="0"/>
              <w:ind w:left="0" w:leftChars="0" w:right="0" w:rightChars="0" w:firstLine="482"/>
              <w:jc w:val="both"/>
              <w:rPr>
                <w:rFonts w:eastAsia="宋体" w:cs="Times New Roman"/>
                <w:b/>
                <w:bCs/>
                <w:color w:val="auto"/>
                <w:sz w:val="24"/>
                <w:szCs w:val="24"/>
                <w:lang w:eastAsia="zh-CN"/>
              </w:rPr>
            </w:pPr>
            <w:r>
              <w:rPr>
                <w:rFonts w:hint="eastAsia" w:eastAsia="宋体" w:cs="Times New Roman"/>
                <w:b/>
                <w:bCs/>
                <w:color w:val="auto"/>
                <w:sz w:val="24"/>
                <w:szCs w:val="24"/>
                <w:lang w:eastAsia="zh-CN"/>
              </w:rPr>
              <w:t>3.3</w:t>
            </w:r>
            <w:r>
              <w:rPr>
                <w:rFonts w:eastAsia="宋体" w:cs="Times New Roman"/>
                <w:b/>
                <w:bCs/>
                <w:color w:val="auto"/>
                <w:sz w:val="24"/>
                <w:szCs w:val="24"/>
                <w:lang w:eastAsia="zh-CN"/>
              </w:rPr>
              <w:t>主要噪声设备噪声影响分析</w:t>
            </w:r>
          </w:p>
          <w:p w14:paraId="759A59EC">
            <w:pPr>
              <w:ind w:left="0" w:leftChars="0" w:right="0" w:rightChars="0" w:firstLine="480"/>
              <w:jc w:val="both"/>
              <w:rPr>
                <w:color w:val="auto"/>
                <w:sz w:val="24"/>
                <w:lang w:eastAsia="zh-CN"/>
              </w:rPr>
            </w:pPr>
            <w:r>
              <w:rPr>
                <w:rFonts w:hint="eastAsia"/>
                <w:color w:val="auto"/>
                <w:sz w:val="24"/>
                <w:lang w:eastAsia="zh-CN"/>
              </w:rPr>
              <w:t>根据项目建设内容及《环境影响评价技术导则声环境》（</w:t>
            </w:r>
            <w:r>
              <w:rPr>
                <w:color w:val="auto"/>
                <w:sz w:val="24"/>
                <w:lang w:eastAsia="zh-CN"/>
              </w:rPr>
              <w:t>HJ2.4-2021</w:t>
            </w:r>
            <w:r>
              <w:rPr>
                <w:rFonts w:hint="eastAsia"/>
                <w:color w:val="auto"/>
                <w:sz w:val="24"/>
                <w:lang w:eastAsia="zh-CN"/>
              </w:rPr>
              <w:t>）的要求，项目环评噪声预测采用的模型为《环境影响评价技术导则声环境》（</w:t>
            </w:r>
            <w:r>
              <w:rPr>
                <w:color w:val="auto"/>
                <w:sz w:val="24"/>
                <w:lang w:eastAsia="zh-CN"/>
              </w:rPr>
              <w:t>HJ2.4-2021</w:t>
            </w:r>
            <w:r>
              <w:rPr>
                <w:rFonts w:hint="eastAsia"/>
                <w:color w:val="auto"/>
                <w:sz w:val="24"/>
                <w:lang w:eastAsia="zh-CN"/>
              </w:rPr>
              <w:t>）附录</w:t>
            </w:r>
            <w:r>
              <w:rPr>
                <w:color w:val="auto"/>
                <w:sz w:val="24"/>
                <w:lang w:eastAsia="zh-CN"/>
              </w:rPr>
              <w:t>A</w:t>
            </w:r>
            <w:r>
              <w:rPr>
                <w:rFonts w:hint="eastAsia"/>
                <w:color w:val="auto"/>
                <w:sz w:val="24"/>
                <w:lang w:eastAsia="zh-CN"/>
              </w:rPr>
              <w:t>（规范性附录）户外声传播的衰减和附录</w:t>
            </w:r>
            <w:r>
              <w:rPr>
                <w:color w:val="auto"/>
                <w:sz w:val="24"/>
                <w:lang w:eastAsia="zh-CN"/>
              </w:rPr>
              <w:t>B</w:t>
            </w:r>
            <w:r>
              <w:rPr>
                <w:rFonts w:hint="eastAsia"/>
                <w:color w:val="auto"/>
                <w:sz w:val="24"/>
                <w:lang w:eastAsia="zh-CN"/>
              </w:rPr>
              <w:t>（规范性附录）中“</w:t>
            </w:r>
            <w:r>
              <w:rPr>
                <w:color w:val="auto"/>
                <w:sz w:val="24"/>
                <w:lang w:eastAsia="zh-CN"/>
              </w:rPr>
              <w:t>B.1</w:t>
            </w:r>
            <w:r>
              <w:rPr>
                <w:rFonts w:hint="eastAsia"/>
                <w:color w:val="auto"/>
                <w:sz w:val="24"/>
                <w:lang w:eastAsia="zh-CN"/>
              </w:rPr>
              <w:t>工业噪声预测计算模型”。</w:t>
            </w:r>
          </w:p>
          <w:p w14:paraId="705BBF65">
            <w:pPr>
              <w:ind w:left="0" w:leftChars="0" w:right="0" w:rightChars="0" w:firstLine="480"/>
              <w:jc w:val="both"/>
              <w:rPr>
                <w:color w:val="auto"/>
                <w:sz w:val="24"/>
                <w:szCs w:val="24"/>
                <w:lang w:eastAsia="zh-CN"/>
              </w:rPr>
            </w:pPr>
            <w:r>
              <w:rPr>
                <w:rFonts w:hint="eastAsia"/>
                <w:color w:val="auto"/>
                <w:sz w:val="24"/>
                <w:szCs w:val="24"/>
                <w:lang w:eastAsia="zh-CN"/>
              </w:rPr>
              <w:t>（</w:t>
            </w:r>
            <w:r>
              <w:rPr>
                <w:color w:val="auto"/>
                <w:sz w:val="24"/>
                <w:szCs w:val="24"/>
                <w:lang w:eastAsia="zh-CN"/>
              </w:rPr>
              <w:t>1</w:t>
            </w:r>
            <w:r>
              <w:rPr>
                <w:rFonts w:hint="eastAsia"/>
                <w:color w:val="auto"/>
                <w:sz w:val="24"/>
                <w:szCs w:val="24"/>
                <w:lang w:eastAsia="zh-CN"/>
              </w:rPr>
              <w:t>）室外声源</w:t>
            </w:r>
          </w:p>
          <w:p w14:paraId="26425F25">
            <w:pPr>
              <w:ind w:left="0" w:leftChars="0" w:right="0" w:rightChars="0" w:firstLine="480"/>
              <w:jc w:val="both"/>
              <w:rPr>
                <w:color w:val="auto"/>
                <w:sz w:val="24"/>
                <w:szCs w:val="24"/>
                <w:lang w:eastAsia="zh-CN"/>
              </w:rPr>
            </w:pPr>
            <w:r>
              <w:rPr>
                <w:rFonts w:hint="eastAsia"/>
                <w:color w:val="auto"/>
                <w:sz w:val="24"/>
                <w:szCs w:val="24"/>
                <w:lang w:eastAsia="zh-CN"/>
              </w:rPr>
              <w:t>无指向性点声源的几何发散衰减公式：</w:t>
            </w:r>
          </w:p>
          <w:p w14:paraId="0F0B0A4F">
            <w:pPr>
              <w:widowControl/>
              <w:ind w:left="0" w:leftChars="0" w:right="0" w:rightChars="0" w:firstLine="480"/>
              <w:jc w:val="center"/>
              <w:rPr>
                <w:color w:val="auto"/>
                <w:sz w:val="24"/>
                <w:szCs w:val="24"/>
              </w:rPr>
            </w:pPr>
            <w:r>
              <w:rPr>
                <w:color w:val="auto"/>
                <w:sz w:val="24"/>
                <w:szCs w:val="24"/>
                <w:lang w:bidi="ar"/>
              </w:rPr>
              <w:t>L</w:t>
            </w:r>
            <w:r>
              <w:rPr>
                <w:rFonts w:hint="eastAsia"/>
                <w:color w:val="auto"/>
                <w:sz w:val="24"/>
                <w:szCs w:val="24"/>
                <w:vertAlign w:val="subscript"/>
                <w:lang w:bidi="ar"/>
              </w:rPr>
              <w:t>p</w:t>
            </w:r>
            <w:r>
              <w:rPr>
                <w:rFonts w:hint="eastAsia" w:ascii="宋体" w:hAnsi="宋体" w:cs="宋体"/>
                <w:color w:val="auto"/>
                <w:sz w:val="24"/>
                <w:szCs w:val="24"/>
                <w:lang w:bidi="ar"/>
              </w:rPr>
              <w:t>（</w:t>
            </w:r>
            <w:r>
              <w:rPr>
                <w:color w:val="auto"/>
                <w:sz w:val="24"/>
                <w:szCs w:val="24"/>
                <w:lang w:bidi="ar"/>
              </w:rPr>
              <w:t>r</w:t>
            </w:r>
            <w:r>
              <w:rPr>
                <w:rFonts w:hint="eastAsia" w:ascii="宋体" w:hAnsi="宋体" w:cs="宋体"/>
                <w:color w:val="auto"/>
                <w:sz w:val="24"/>
                <w:szCs w:val="24"/>
                <w:lang w:bidi="ar"/>
              </w:rPr>
              <w:t>）</w:t>
            </w:r>
            <w:r>
              <w:rPr>
                <w:color w:val="auto"/>
                <w:sz w:val="24"/>
                <w:szCs w:val="24"/>
                <w:lang w:bidi="ar"/>
              </w:rPr>
              <w:t>= L</w:t>
            </w:r>
            <w:r>
              <w:rPr>
                <w:rFonts w:hint="eastAsia"/>
                <w:color w:val="auto"/>
                <w:sz w:val="24"/>
                <w:szCs w:val="24"/>
                <w:vertAlign w:val="subscript"/>
                <w:lang w:bidi="ar"/>
              </w:rPr>
              <w:t>p</w:t>
            </w:r>
            <w:r>
              <w:rPr>
                <w:rFonts w:hint="eastAsia" w:ascii="宋体" w:hAnsi="宋体" w:cs="宋体"/>
                <w:color w:val="auto"/>
                <w:sz w:val="24"/>
                <w:szCs w:val="24"/>
                <w:lang w:bidi="ar"/>
              </w:rPr>
              <w:t>（</w:t>
            </w:r>
            <w:r>
              <w:rPr>
                <w:color w:val="auto"/>
                <w:sz w:val="24"/>
                <w:szCs w:val="24"/>
                <w:lang w:bidi="ar"/>
              </w:rPr>
              <w:t>r0</w:t>
            </w:r>
            <w:r>
              <w:rPr>
                <w:rFonts w:hint="eastAsia" w:ascii="宋体" w:hAnsi="宋体" w:cs="宋体"/>
                <w:color w:val="auto"/>
                <w:sz w:val="24"/>
                <w:szCs w:val="24"/>
                <w:lang w:bidi="ar"/>
              </w:rPr>
              <w:t>）</w:t>
            </w:r>
            <w:r>
              <w:rPr>
                <w:color w:val="auto"/>
                <w:sz w:val="24"/>
                <w:szCs w:val="24"/>
                <w:lang w:bidi="ar"/>
              </w:rPr>
              <w:t>-20lg</w:t>
            </w:r>
            <w:r>
              <w:rPr>
                <w:rFonts w:hint="eastAsia" w:ascii="宋体" w:hAnsi="宋体" w:cs="宋体"/>
                <w:color w:val="auto"/>
                <w:sz w:val="24"/>
                <w:szCs w:val="24"/>
                <w:lang w:bidi="ar"/>
              </w:rPr>
              <w:t>（</w:t>
            </w:r>
            <w:r>
              <w:rPr>
                <w:color w:val="auto"/>
                <w:sz w:val="24"/>
                <w:szCs w:val="24"/>
                <w:lang w:bidi="ar"/>
              </w:rPr>
              <w:t>r/r0</w:t>
            </w:r>
            <w:r>
              <w:rPr>
                <w:rFonts w:hint="eastAsia" w:ascii="宋体" w:hAnsi="宋体" w:cs="宋体"/>
                <w:color w:val="auto"/>
                <w:sz w:val="24"/>
                <w:szCs w:val="24"/>
                <w:lang w:bidi="ar"/>
              </w:rPr>
              <w:t>）</w:t>
            </w:r>
          </w:p>
          <w:p w14:paraId="1BB5E657">
            <w:pPr>
              <w:ind w:left="0" w:leftChars="0" w:right="0" w:rightChars="0" w:firstLine="480"/>
              <w:jc w:val="both"/>
              <w:rPr>
                <w:color w:val="auto"/>
                <w:sz w:val="24"/>
                <w:szCs w:val="24"/>
                <w:lang w:eastAsia="zh-CN"/>
              </w:rPr>
            </w:pPr>
            <w:r>
              <w:rPr>
                <w:rFonts w:hint="eastAsia"/>
                <w:color w:val="auto"/>
                <w:sz w:val="24"/>
                <w:szCs w:val="24"/>
                <w:lang w:eastAsia="zh-CN"/>
              </w:rPr>
              <w:t>式中：</w:t>
            </w:r>
          </w:p>
          <w:p w14:paraId="3747FFBE">
            <w:pPr>
              <w:ind w:left="0" w:leftChars="0" w:right="0" w:rightChars="0" w:firstLine="480"/>
              <w:jc w:val="both"/>
              <w:rPr>
                <w:color w:val="auto"/>
                <w:sz w:val="24"/>
                <w:szCs w:val="24"/>
                <w:lang w:eastAsia="zh-CN"/>
              </w:rPr>
            </w:pPr>
            <w:r>
              <w:rPr>
                <w:color w:val="auto"/>
                <w:sz w:val="24"/>
                <w:szCs w:val="24"/>
                <w:lang w:eastAsia="zh-CN"/>
              </w:rPr>
              <w:t>L</w:t>
            </w:r>
            <w:r>
              <w:rPr>
                <w:color w:val="auto"/>
                <w:sz w:val="24"/>
                <w:szCs w:val="24"/>
                <w:vertAlign w:val="subscript"/>
                <w:lang w:eastAsia="zh-CN"/>
              </w:rPr>
              <w:t>P</w:t>
            </w:r>
            <w:r>
              <w:rPr>
                <w:rFonts w:hint="eastAsia"/>
                <w:color w:val="auto"/>
                <w:sz w:val="24"/>
                <w:szCs w:val="24"/>
                <w:lang w:eastAsia="zh-CN"/>
              </w:rPr>
              <w:t>（</w:t>
            </w:r>
            <w:r>
              <w:rPr>
                <w:color w:val="auto"/>
                <w:sz w:val="24"/>
                <w:szCs w:val="24"/>
                <w:lang w:eastAsia="zh-CN"/>
              </w:rPr>
              <w:t>r</w:t>
            </w:r>
            <w:r>
              <w:rPr>
                <w:rFonts w:hint="eastAsia"/>
                <w:color w:val="auto"/>
                <w:sz w:val="24"/>
                <w:szCs w:val="24"/>
                <w:lang w:eastAsia="zh-CN"/>
              </w:rPr>
              <w:t>）</w:t>
            </w:r>
            <w:r>
              <w:rPr>
                <w:color w:val="auto"/>
                <w:sz w:val="24"/>
                <w:szCs w:val="24"/>
                <w:lang w:eastAsia="zh-CN"/>
              </w:rPr>
              <w:t>—</w:t>
            </w:r>
            <w:r>
              <w:rPr>
                <w:rFonts w:hint="eastAsia"/>
                <w:color w:val="auto"/>
                <w:sz w:val="24"/>
                <w:szCs w:val="24"/>
                <w:lang w:eastAsia="zh-CN"/>
              </w:rPr>
              <w:t>预测点处声压级，</w:t>
            </w:r>
            <w:r>
              <w:rPr>
                <w:color w:val="auto"/>
                <w:sz w:val="24"/>
                <w:szCs w:val="24"/>
                <w:lang w:eastAsia="zh-CN"/>
              </w:rPr>
              <w:t>dB</w:t>
            </w:r>
            <w:r>
              <w:rPr>
                <w:rFonts w:hint="eastAsia"/>
                <w:color w:val="auto"/>
                <w:sz w:val="24"/>
                <w:szCs w:val="24"/>
                <w:lang w:eastAsia="zh-CN"/>
              </w:rPr>
              <w:t>；</w:t>
            </w:r>
          </w:p>
          <w:p w14:paraId="5ED4B247">
            <w:pPr>
              <w:ind w:left="0" w:leftChars="0" w:right="0" w:rightChars="0" w:firstLine="480"/>
              <w:jc w:val="both"/>
              <w:rPr>
                <w:color w:val="auto"/>
                <w:sz w:val="24"/>
                <w:szCs w:val="24"/>
                <w:lang w:eastAsia="zh-CN"/>
              </w:rPr>
            </w:pPr>
            <w:r>
              <w:rPr>
                <w:color w:val="auto"/>
                <w:sz w:val="24"/>
                <w:szCs w:val="24"/>
                <w:lang w:eastAsia="zh-CN"/>
              </w:rPr>
              <w:t>L</w:t>
            </w:r>
            <w:r>
              <w:rPr>
                <w:color w:val="auto"/>
                <w:sz w:val="24"/>
                <w:szCs w:val="24"/>
                <w:vertAlign w:val="subscript"/>
                <w:lang w:eastAsia="zh-CN"/>
              </w:rPr>
              <w:t>P</w:t>
            </w:r>
            <w:r>
              <w:rPr>
                <w:rFonts w:hint="eastAsia"/>
                <w:color w:val="auto"/>
                <w:sz w:val="24"/>
                <w:szCs w:val="24"/>
                <w:lang w:eastAsia="zh-CN"/>
              </w:rPr>
              <w:t>（</w:t>
            </w:r>
            <w:r>
              <w:rPr>
                <w:color w:val="auto"/>
                <w:sz w:val="24"/>
                <w:szCs w:val="24"/>
                <w:lang w:eastAsia="zh-CN"/>
              </w:rPr>
              <w:t>r</w:t>
            </w:r>
            <w:r>
              <w:rPr>
                <w:color w:val="auto"/>
                <w:sz w:val="24"/>
                <w:szCs w:val="24"/>
                <w:vertAlign w:val="subscript"/>
                <w:lang w:eastAsia="zh-CN"/>
              </w:rPr>
              <w:t>0</w:t>
            </w:r>
            <w:r>
              <w:rPr>
                <w:rFonts w:hint="eastAsia"/>
                <w:color w:val="auto"/>
                <w:sz w:val="24"/>
                <w:szCs w:val="24"/>
                <w:lang w:eastAsia="zh-CN"/>
              </w:rPr>
              <w:t>）</w:t>
            </w:r>
            <w:r>
              <w:rPr>
                <w:color w:val="auto"/>
                <w:sz w:val="24"/>
                <w:szCs w:val="24"/>
                <w:lang w:eastAsia="zh-CN"/>
              </w:rPr>
              <w:t>—</w:t>
            </w:r>
            <w:r>
              <w:rPr>
                <w:rFonts w:hint="eastAsia"/>
                <w:color w:val="auto"/>
                <w:sz w:val="24"/>
                <w:szCs w:val="24"/>
                <w:lang w:eastAsia="zh-CN"/>
              </w:rPr>
              <w:t>参考位置</w:t>
            </w:r>
            <w:r>
              <w:rPr>
                <w:color w:val="auto"/>
                <w:sz w:val="24"/>
                <w:szCs w:val="24"/>
                <w:lang w:eastAsia="zh-CN"/>
              </w:rPr>
              <w:t>r</w:t>
            </w:r>
            <w:r>
              <w:rPr>
                <w:color w:val="auto"/>
                <w:sz w:val="24"/>
                <w:szCs w:val="24"/>
                <w:vertAlign w:val="subscript"/>
                <w:lang w:eastAsia="zh-CN"/>
              </w:rPr>
              <w:t>0</w:t>
            </w:r>
            <w:r>
              <w:rPr>
                <w:rFonts w:hint="eastAsia"/>
                <w:color w:val="auto"/>
                <w:sz w:val="24"/>
                <w:szCs w:val="24"/>
                <w:lang w:eastAsia="zh-CN"/>
              </w:rPr>
              <w:t>处的声压级，</w:t>
            </w:r>
            <w:r>
              <w:rPr>
                <w:color w:val="auto"/>
                <w:sz w:val="24"/>
                <w:szCs w:val="24"/>
                <w:lang w:eastAsia="zh-CN"/>
              </w:rPr>
              <w:t>dB</w:t>
            </w:r>
            <w:r>
              <w:rPr>
                <w:rFonts w:hint="eastAsia"/>
                <w:color w:val="auto"/>
                <w:sz w:val="24"/>
                <w:szCs w:val="24"/>
                <w:lang w:eastAsia="zh-CN"/>
              </w:rPr>
              <w:t>；</w:t>
            </w:r>
          </w:p>
          <w:p w14:paraId="46B92DF3">
            <w:pPr>
              <w:ind w:left="0" w:leftChars="0" w:right="0" w:rightChars="0" w:firstLine="480"/>
              <w:jc w:val="both"/>
              <w:rPr>
                <w:color w:val="auto"/>
                <w:sz w:val="24"/>
                <w:szCs w:val="24"/>
                <w:lang w:eastAsia="zh-CN"/>
              </w:rPr>
            </w:pPr>
            <w:r>
              <w:rPr>
                <w:color w:val="auto"/>
                <w:sz w:val="24"/>
                <w:szCs w:val="24"/>
                <w:lang w:eastAsia="zh-CN"/>
              </w:rPr>
              <w:t>r—</w:t>
            </w:r>
            <w:r>
              <w:rPr>
                <w:rFonts w:hint="eastAsia"/>
                <w:color w:val="auto"/>
                <w:sz w:val="24"/>
                <w:szCs w:val="24"/>
                <w:lang w:eastAsia="zh-CN"/>
              </w:rPr>
              <w:t>预测点距声源的距离；</w:t>
            </w:r>
          </w:p>
          <w:p w14:paraId="4EA0F8B3">
            <w:pPr>
              <w:ind w:left="0" w:leftChars="0" w:right="0" w:rightChars="0" w:firstLine="480"/>
              <w:jc w:val="both"/>
              <w:rPr>
                <w:color w:val="auto"/>
                <w:sz w:val="24"/>
                <w:szCs w:val="24"/>
                <w:lang w:eastAsia="zh-CN"/>
              </w:rPr>
            </w:pPr>
            <w:r>
              <w:rPr>
                <w:color w:val="auto"/>
                <w:sz w:val="24"/>
                <w:szCs w:val="24"/>
                <w:lang w:eastAsia="zh-CN"/>
              </w:rPr>
              <w:t>r</w:t>
            </w:r>
            <w:r>
              <w:rPr>
                <w:color w:val="auto"/>
                <w:sz w:val="24"/>
                <w:szCs w:val="24"/>
                <w:vertAlign w:val="subscript"/>
                <w:lang w:eastAsia="zh-CN"/>
              </w:rPr>
              <w:t>0</w:t>
            </w:r>
            <w:r>
              <w:rPr>
                <w:color w:val="auto"/>
                <w:sz w:val="24"/>
                <w:szCs w:val="24"/>
                <w:lang w:eastAsia="zh-CN"/>
              </w:rPr>
              <w:t>—</w:t>
            </w:r>
            <w:r>
              <w:rPr>
                <w:rFonts w:hint="eastAsia"/>
                <w:color w:val="auto"/>
                <w:sz w:val="24"/>
                <w:szCs w:val="24"/>
                <w:lang w:eastAsia="zh-CN"/>
              </w:rPr>
              <w:t>参考位置距声源的距离。</w:t>
            </w:r>
          </w:p>
          <w:p w14:paraId="1FEC5578">
            <w:pPr>
              <w:ind w:left="0" w:leftChars="0" w:right="0" w:rightChars="0" w:firstLine="480"/>
              <w:jc w:val="both"/>
              <w:rPr>
                <w:color w:val="auto"/>
                <w:sz w:val="24"/>
                <w:szCs w:val="24"/>
                <w:lang w:eastAsia="zh-CN"/>
              </w:rPr>
            </w:pPr>
            <w:r>
              <w:rPr>
                <w:rFonts w:hint="eastAsia"/>
                <w:color w:val="auto"/>
                <w:sz w:val="24"/>
                <w:szCs w:val="24"/>
                <w:lang w:eastAsia="zh-CN"/>
              </w:rPr>
              <w:t>（</w:t>
            </w:r>
            <w:r>
              <w:rPr>
                <w:color w:val="auto"/>
                <w:sz w:val="24"/>
                <w:szCs w:val="24"/>
                <w:lang w:eastAsia="zh-CN"/>
              </w:rPr>
              <w:t>2</w:t>
            </w:r>
            <w:r>
              <w:rPr>
                <w:rFonts w:hint="eastAsia"/>
                <w:color w:val="auto"/>
                <w:sz w:val="24"/>
                <w:szCs w:val="24"/>
                <w:lang w:eastAsia="zh-CN"/>
              </w:rPr>
              <w:t>）室内声源</w:t>
            </w:r>
          </w:p>
          <w:p w14:paraId="76160E91">
            <w:pPr>
              <w:ind w:left="0" w:leftChars="0" w:right="0" w:rightChars="0" w:firstLine="480"/>
              <w:jc w:val="both"/>
              <w:rPr>
                <w:color w:val="auto"/>
                <w:sz w:val="24"/>
                <w:szCs w:val="24"/>
                <w:lang w:eastAsia="zh-CN"/>
              </w:rPr>
            </w:pPr>
            <w:r>
              <w:rPr>
                <w:rFonts w:hint="eastAsia"/>
                <w:color w:val="auto"/>
                <w:sz w:val="24"/>
                <w:szCs w:val="24"/>
                <w:lang w:eastAsia="zh-CN"/>
              </w:rPr>
              <w:t>如图所示，声源位于室内，室内声源可采用等效室外声源声功率级法进行计算。设靠近开口处（或窗户）室内、室外某倍频带的声压级或</w:t>
            </w:r>
            <w:r>
              <w:rPr>
                <w:color w:val="auto"/>
                <w:sz w:val="24"/>
                <w:szCs w:val="24"/>
                <w:lang w:eastAsia="zh-CN"/>
              </w:rPr>
              <w:t>A</w:t>
            </w:r>
            <w:r>
              <w:rPr>
                <w:rFonts w:hint="eastAsia"/>
                <w:color w:val="auto"/>
                <w:sz w:val="24"/>
                <w:szCs w:val="24"/>
                <w:lang w:eastAsia="zh-CN"/>
              </w:rPr>
              <w:t>声级分别为</w:t>
            </w:r>
            <w:r>
              <w:rPr>
                <w:color w:val="auto"/>
                <w:sz w:val="24"/>
                <w:szCs w:val="24"/>
                <w:lang w:eastAsia="zh-CN"/>
              </w:rPr>
              <w:t>Lp1</w:t>
            </w:r>
            <w:r>
              <w:rPr>
                <w:rFonts w:hint="eastAsia"/>
                <w:color w:val="auto"/>
                <w:sz w:val="24"/>
                <w:szCs w:val="24"/>
                <w:lang w:eastAsia="zh-CN"/>
              </w:rPr>
              <w:t>和</w:t>
            </w:r>
            <w:r>
              <w:rPr>
                <w:color w:val="auto"/>
                <w:sz w:val="24"/>
                <w:szCs w:val="24"/>
                <w:lang w:eastAsia="zh-CN"/>
              </w:rPr>
              <w:t>Lp2</w:t>
            </w:r>
            <w:r>
              <w:rPr>
                <w:rFonts w:hint="eastAsia"/>
                <w:color w:val="auto"/>
                <w:sz w:val="24"/>
                <w:szCs w:val="24"/>
                <w:lang w:eastAsia="zh-CN"/>
              </w:rPr>
              <w:t>。若声源所在室内声场为近似扩散声场，则室外的倍频带声压级可以下按式</w:t>
            </w:r>
            <w:r>
              <w:rPr>
                <w:color w:val="auto"/>
                <w:sz w:val="24"/>
                <w:szCs w:val="24"/>
                <w:lang w:eastAsia="zh-CN"/>
              </w:rPr>
              <w:t>1</w:t>
            </w:r>
            <w:r>
              <w:rPr>
                <w:rFonts w:hint="eastAsia"/>
                <w:color w:val="auto"/>
                <w:sz w:val="24"/>
                <w:szCs w:val="24"/>
                <w:lang w:eastAsia="zh-CN"/>
              </w:rPr>
              <w:t>近似求出：</w:t>
            </w:r>
          </w:p>
          <w:p w14:paraId="7CAF8CBA">
            <w:pPr>
              <w:ind w:firstLine="480"/>
              <w:jc w:val="center"/>
              <w:rPr>
                <w:color w:val="auto"/>
                <w:sz w:val="24"/>
              </w:rPr>
            </w:pPr>
            <w:r>
              <w:rPr>
                <w:color w:val="auto"/>
                <w:sz w:val="24"/>
                <w:lang w:bidi="ar"/>
              </w:rPr>
              <w:t>L</w:t>
            </w:r>
            <w:r>
              <w:rPr>
                <w:color w:val="auto"/>
                <w:sz w:val="24"/>
                <w:vertAlign w:val="subscript"/>
              </w:rPr>
              <w:t>p2</w:t>
            </w:r>
            <w:r>
              <w:rPr>
                <w:color w:val="auto"/>
                <w:sz w:val="24"/>
                <w:lang w:bidi="ar"/>
              </w:rPr>
              <w:t xml:space="preserve">= </w:t>
            </w:r>
            <w:r>
              <w:rPr>
                <w:color w:val="auto"/>
                <w:sz w:val="24"/>
              </w:rPr>
              <w:t>L</w:t>
            </w:r>
            <w:r>
              <w:rPr>
                <w:color w:val="auto"/>
                <w:sz w:val="24"/>
                <w:vertAlign w:val="subscript"/>
              </w:rPr>
              <w:t>p1</w:t>
            </w:r>
            <w:r>
              <w:rPr>
                <w:rFonts w:hint="eastAsia"/>
                <w:color w:val="auto"/>
                <w:sz w:val="24"/>
              </w:rPr>
              <w:t>-</w:t>
            </w:r>
            <w:r>
              <w:rPr>
                <w:rFonts w:hint="eastAsia" w:ascii="宋体" w:hAnsi="宋体" w:cs="宋体"/>
                <w:color w:val="auto"/>
                <w:sz w:val="24"/>
                <w:lang w:bidi="ar"/>
              </w:rPr>
              <w:t>（</w:t>
            </w:r>
            <w:r>
              <w:rPr>
                <w:color w:val="auto"/>
                <w:sz w:val="24"/>
                <w:lang w:bidi="ar"/>
              </w:rPr>
              <w:t>TL+6</w:t>
            </w:r>
            <w:r>
              <w:rPr>
                <w:rFonts w:hint="eastAsia" w:ascii="宋体" w:hAnsi="宋体" w:cs="宋体"/>
                <w:color w:val="auto"/>
                <w:sz w:val="24"/>
                <w:lang w:bidi="ar"/>
              </w:rPr>
              <w:t xml:space="preserve">）                 </w:t>
            </w:r>
            <w:r>
              <w:rPr>
                <w:rFonts w:hint="eastAsia"/>
                <w:color w:val="auto"/>
                <w:sz w:val="24"/>
              </w:rPr>
              <w:t>（式1）</w:t>
            </w:r>
          </w:p>
          <w:p w14:paraId="2CEC3E68">
            <w:pPr>
              <w:ind w:firstLine="480"/>
              <w:jc w:val="both"/>
              <w:rPr>
                <w:color w:val="auto"/>
                <w:sz w:val="24"/>
                <w:lang w:eastAsia="zh-CN"/>
              </w:rPr>
            </w:pPr>
            <w:r>
              <w:rPr>
                <w:rFonts w:hint="eastAsia"/>
                <w:color w:val="auto"/>
                <w:sz w:val="24"/>
                <w:lang w:eastAsia="zh-CN"/>
              </w:rPr>
              <w:t>式中：</w:t>
            </w:r>
            <w:r>
              <w:rPr>
                <w:color w:val="auto"/>
                <w:sz w:val="24"/>
                <w:lang w:eastAsia="zh-CN"/>
              </w:rPr>
              <w:t>L</w:t>
            </w:r>
            <w:r>
              <w:rPr>
                <w:color w:val="auto"/>
                <w:sz w:val="24"/>
                <w:vertAlign w:val="subscript"/>
                <w:lang w:eastAsia="zh-CN"/>
              </w:rPr>
              <w:t>p1</w:t>
            </w:r>
            <w:r>
              <w:rPr>
                <w:color w:val="auto"/>
                <w:sz w:val="24"/>
                <w:lang w:eastAsia="zh-CN"/>
              </w:rPr>
              <w:t>—</w:t>
            </w:r>
            <w:r>
              <w:rPr>
                <w:rFonts w:hint="eastAsia"/>
                <w:color w:val="auto"/>
                <w:sz w:val="24"/>
                <w:lang w:eastAsia="zh-CN"/>
              </w:rPr>
              <w:t>靠近开口处（或窗户）室内某倍频带的声压级或</w:t>
            </w:r>
            <w:r>
              <w:rPr>
                <w:color w:val="auto"/>
                <w:sz w:val="24"/>
                <w:lang w:eastAsia="zh-CN"/>
              </w:rPr>
              <w:t>A</w:t>
            </w:r>
            <w:r>
              <w:rPr>
                <w:rFonts w:hint="eastAsia"/>
                <w:color w:val="auto"/>
                <w:sz w:val="24"/>
                <w:lang w:eastAsia="zh-CN"/>
              </w:rPr>
              <w:t>声级，</w:t>
            </w:r>
            <w:r>
              <w:rPr>
                <w:color w:val="auto"/>
                <w:sz w:val="24"/>
                <w:lang w:eastAsia="zh-CN"/>
              </w:rPr>
              <w:t>dB</w:t>
            </w:r>
            <w:r>
              <w:rPr>
                <w:rFonts w:hint="eastAsia"/>
                <w:color w:val="auto"/>
                <w:sz w:val="24"/>
                <w:lang w:eastAsia="zh-CN"/>
              </w:rPr>
              <w:t>；</w:t>
            </w:r>
          </w:p>
          <w:p w14:paraId="617940F5">
            <w:pPr>
              <w:ind w:firstLine="480"/>
              <w:jc w:val="both"/>
              <w:rPr>
                <w:color w:val="auto"/>
                <w:sz w:val="24"/>
                <w:lang w:eastAsia="zh-CN"/>
              </w:rPr>
            </w:pPr>
            <w:r>
              <w:rPr>
                <w:color w:val="auto"/>
                <w:sz w:val="24"/>
                <w:lang w:eastAsia="zh-CN"/>
              </w:rPr>
              <w:t>L</w:t>
            </w:r>
            <w:r>
              <w:rPr>
                <w:color w:val="auto"/>
                <w:sz w:val="24"/>
                <w:vertAlign w:val="subscript"/>
                <w:lang w:eastAsia="zh-CN"/>
              </w:rPr>
              <w:t>p2</w:t>
            </w:r>
            <w:r>
              <w:rPr>
                <w:color w:val="auto"/>
                <w:sz w:val="24"/>
                <w:lang w:eastAsia="zh-CN"/>
              </w:rPr>
              <w:t>—</w:t>
            </w:r>
            <w:r>
              <w:rPr>
                <w:rFonts w:hint="eastAsia"/>
                <w:color w:val="auto"/>
                <w:sz w:val="24"/>
                <w:lang w:eastAsia="zh-CN"/>
              </w:rPr>
              <w:t>靠近开口处（或窗户）室外某倍频带的声压级或</w:t>
            </w:r>
            <w:r>
              <w:rPr>
                <w:color w:val="auto"/>
                <w:sz w:val="24"/>
                <w:lang w:eastAsia="zh-CN"/>
              </w:rPr>
              <w:t>A</w:t>
            </w:r>
            <w:r>
              <w:rPr>
                <w:rFonts w:hint="eastAsia"/>
                <w:color w:val="auto"/>
                <w:sz w:val="24"/>
                <w:lang w:eastAsia="zh-CN"/>
              </w:rPr>
              <w:t>声级，</w:t>
            </w:r>
            <w:r>
              <w:rPr>
                <w:color w:val="auto"/>
                <w:sz w:val="24"/>
                <w:lang w:eastAsia="zh-CN"/>
              </w:rPr>
              <w:t>dB</w:t>
            </w:r>
            <w:r>
              <w:rPr>
                <w:rFonts w:hint="eastAsia"/>
                <w:color w:val="auto"/>
                <w:sz w:val="24"/>
                <w:lang w:eastAsia="zh-CN"/>
              </w:rPr>
              <w:t>；</w:t>
            </w:r>
          </w:p>
          <w:p w14:paraId="1A1A5C9E">
            <w:pPr>
              <w:ind w:firstLine="480"/>
              <w:jc w:val="both"/>
              <w:rPr>
                <w:color w:val="auto"/>
                <w:sz w:val="24"/>
                <w:lang w:eastAsia="zh-CN"/>
              </w:rPr>
            </w:pPr>
            <w:r>
              <w:rPr>
                <w:color w:val="auto"/>
                <w:sz w:val="24"/>
                <w:lang w:eastAsia="zh-CN"/>
              </w:rPr>
              <w:t>TL—</w:t>
            </w:r>
            <w:r>
              <w:rPr>
                <w:rFonts w:hint="eastAsia"/>
                <w:color w:val="auto"/>
                <w:sz w:val="24"/>
                <w:lang w:eastAsia="zh-CN"/>
              </w:rPr>
              <w:t>隔墙（或窗户）倍频带或</w:t>
            </w:r>
            <w:r>
              <w:rPr>
                <w:color w:val="auto"/>
                <w:sz w:val="24"/>
                <w:lang w:eastAsia="zh-CN"/>
              </w:rPr>
              <w:t>A</w:t>
            </w:r>
            <w:r>
              <w:rPr>
                <w:rFonts w:hint="eastAsia"/>
                <w:color w:val="auto"/>
                <w:sz w:val="24"/>
                <w:lang w:eastAsia="zh-CN"/>
              </w:rPr>
              <w:t>声级的隔声量，</w:t>
            </w:r>
            <w:r>
              <w:rPr>
                <w:color w:val="auto"/>
                <w:sz w:val="24"/>
                <w:lang w:eastAsia="zh-CN"/>
              </w:rPr>
              <w:t>dB</w:t>
            </w:r>
            <w:r>
              <w:rPr>
                <w:rFonts w:hint="eastAsia"/>
                <w:color w:val="auto"/>
                <w:sz w:val="24"/>
                <w:lang w:eastAsia="zh-CN"/>
              </w:rPr>
              <w:t>。</w:t>
            </w:r>
          </w:p>
          <w:p w14:paraId="57ADA920">
            <w:pPr>
              <w:pStyle w:val="50"/>
              <w:ind w:left="0" w:leftChars="0" w:right="0" w:rightChars="0" w:firstLine="0" w:firstLineChars="0"/>
              <w:jc w:val="center"/>
              <w:rPr>
                <w:color w:val="auto"/>
              </w:rPr>
            </w:pPr>
            <w:r>
              <w:rPr>
                <w:color w:val="auto"/>
                <w:lang w:eastAsia="zh-CN"/>
              </w:rPr>
              <w:drawing>
                <wp:inline distT="0" distB="0" distL="114300" distR="114300">
                  <wp:extent cx="1962150" cy="922020"/>
                  <wp:effectExtent l="0" t="0" r="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1962150" cy="922020"/>
                          </a:xfrm>
                          <a:prstGeom prst="rect">
                            <a:avLst/>
                          </a:prstGeom>
                          <a:noFill/>
                          <a:ln>
                            <a:noFill/>
                          </a:ln>
                        </pic:spPr>
                      </pic:pic>
                    </a:graphicData>
                  </a:graphic>
                </wp:inline>
              </w:drawing>
            </w:r>
          </w:p>
          <w:p w14:paraId="21FDA7F0">
            <w:pPr>
              <w:ind w:left="0" w:leftChars="0" w:right="0" w:rightChars="0" w:firstLine="480"/>
              <w:jc w:val="both"/>
              <w:rPr>
                <w:color w:val="auto"/>
                <w:sz w:val="24"/>
                <w:lang w:eastAsia="zh-CN"/>
              </w:rPr>
            </w:pPr>
            <w:r>
              <w:rPr>
                <w:rFonts w:hint="eastAsia"/>
                <w:color w:val="auto"/>
                <w:sz w:val="24"/>
                <w:lang w:eastAsia="zh-CN"/>
              </w:rPr>
              <w:t>也可按式2计算某一室内声源靠近围护结构处产生的倍频带声压级或A声级：</w:t>
            </w:r>
          </w:p>
          <w:p w14:paraId="22F823E2">
            <w:pPr>
              <w:widowControl/>
              <w:ind w:firstLine="480"/>
              <w:jc w:val="center"/>
              <w:rPr>
                <w:color w:val="auto"/>
              </w:rPr>
            </w:pPr>
            <w:r>
              <w:rPr>
                <w:color w:val="auto"/>
                <w:sz w:val="24"/>
                <w:lang w:bidi="ar"/>
              </w:rPr>
              <w:t>L</w:t>
            </w:r>
            <w:r>
              <w:rPr>
                <w:color w:val="auto"/>
                <w:sz w:val="15"/>
                <w:szCs w:val="15"/>
                <w:lang w:bidi="ar"/>
              </w:rPr>
              <w:t>p1</w:t>
            </w:r>
            <w:r>
              <w:rPr>
                <w:color w:val="auto"/>
                <w:sz w:val="24"/>
                <w:lang w:bidi="ar"/>
              </w:rPr>
              <w:t>= Lw+10lg[Q/4πr</w:t>
            </w:r>
            <w:r>
              <w:rPr>
                <w:color w:val="auto"/>
                <w:sz w:val="24"/>
                <w:vertAlign w:val="subscript"/>
                <w:lang w:bidi="ar"/>
              </w:rPr>
              <w:t>1</w:t>
            </w:r>
            <w:r>
              <w:rPr>
                <w:color w:val="auto"/>
                <w:sz w:val="24"/>
                <w:vertAlign w:val="superscript"/>
                <w:lang w:bidi="ar"/>
              </w:rPr>
              <w:t>2</w:t>
            </w:r>
            <w:r>
              <w:rPr>
                <w:color w:val="auto"/>
                <w:sz w:val="24"/>
                <w:lang w:bidi="ar"/>
              </w:rPr>
              <w:t>+4/R]</w:t>
            </w:r>
            <w:r>
              <w:rPr>
                <w:rFonts w:hint="eastAsia"/>
                <w:color w:val="auto"/>
                <w:sz w:val="24"/>
                <w:lang w:bidi="ar"/>
              </w:rPr>
              <w:t xml:space="preserve">    </w:t>
            </w:r>
            <w:r>
              <w:rPr>
                <w:rFonts w:hint="eastAsia" w:ascii="宋体" w:hAnsi="宋体" w:cs="宋体"/>
                <w:color w:val="auto"/>
                <w:sz w:val="24"/>
                <w:lang w:bidi="ar"/>
              </w:rPr>
              <w:t xml:space="preserve">   </w:t>
            </w:r>
            <w:r>
              <w:rPr>
                <w:rFonts w:hint="eastAsia"/>
                <w:color w:val="auto"/>
                <w:sz w:val="24"/>
              </w:rPr>
              <w:t>（式2）</w:t>
            </w:r>
          </w:p>
          <w:p w14:paraId="77BFFDB4">
            <w:pPr>
              <w:widowControl/>
              <w:ind w:firstLine="480"/>
              <w:jc w:val="both"/>
              <w:rPr>
                <w:rFonts w:ascii="宋体" w:hAnsi="宋体" w:cs="宋体"/>
                <w:color w:val="auto"/>
                <w:sz w:val="24"/>
                <w:szCs w:val="24"/>
                <w:lang w:eastAsia="zh-CN" w:bidi="ar"/>
              </w:rPr>
            </w:pPr>
            <w:r>
              <w:rPr>
                <w:rFonts w:hint="eastAsia" w:ascii="宋体" w:hAnsi="宋体" w:cs="宋体"/>
                <w:color w:val="auto"/>
                <w:sz w:val="24"/>
                <w:szCs w:val="24"/>
                <w:lang w:eastAsia="zh-CN" w:bidi="ar"/>
              </w:rPr>
              <w:t>式中：</w:t>
            </w:r>
          </w:p>
          <w:p w14:paraId="6503A3CC">
            <w:pPr>
              <w:widowControl/>
              <w:ind w:firstLine="480"/>
              <w:jc w:val="both"/>
              <w:rPr>
                <w:color w:val="auto"/>
                <w:sz w:val="24"/>
                <w:szCs w:val="24"/>
                <w:lang w:eastAsia="zh-CN"/>
              </w:rPr>
            </w:pPr>
            <w:r>
              <w:rPr>
                <w:color w:val="auto"/>
                <w:sz w:val="24"/>
                <w:szCs w:val="24"/>
                <w:lang w:eastAsia="zh-CN" w:bidi="ar"/>
              </w:rPr>
              <w:t>Lp1—</w:t>
            </w:r>
            <w:r>
              <w:rPr>
                <w:rFonts w:hint="eastAsia" w:ascii="宋体" w:hAnsi="宋体" w:cs="宋体"/>
                <w:color w:val="auto"/>
                <w:sz w:val="24"/>
                <w:szCs w:val="24"/>
                <w:lang w:eastAsia="zh-CN" w:bidi="ar"/>
              </w:rPr>
              <w:t>靠近开口处（或窗户）室内某倍频带的声压级或</w:t>
            </w:r>
            <w:r>
              <w:rPr>
                <w:color w:val="auto"/>
                <w:sz w:val="24"/>
                <w:szCs w:val="24"/>
                <w:lang w:eastAsia="zh-CN" w:bidi="ar"/>
              </w:rPr>
              <w:t>A</w:t>
            </w:r>
            <w:r>
              <w:rPr>
                <w:rFonts w:hint="eastAsia" w:ascii="宋体" w:hAnsi="宋体" w:cs="宋体"/>
                <w:color w:val="auto"/>
                <w:sz w:val="24"/>
                <w:szCs w:val="24"/>
                <w:lang w:eastAsia="zh-CN" w:bidi="ar"/>
              </w:rPr>
              <w:t>声级，</w:t>
            </w:r>
            <w:r>
              <w:rPr>
                <w:color w:val="auto"/>
                <w:sz w:val="24"/>
                <w:szCs w:val="24"/>
                <w:lang w:eastAsia="zh-CN" w:bidi="ar"/>
              </w:rPr>
              <w:t>dB</w:t>
            </w:r>
            <w:r>
              <w:rPr>
                <w:rFonts w:hint="eastAsia" w:ascii="宋体" w:hAnsi="宋体" w:cs="宋体"/>
                <w:color w:val="auto"/>
                <w:sz w:val="24"/>
                <w:szCs w:val="24"/>
                <w:lang w:eastAsia="zh-CN" w:bidi="ar"/>
              </w:rPr>
              <w:t>；</w:t>
            </w:r>
          </w:p>
          <w:p w14:paraId="70C60AF1">
            <w:pPr>
              <w:widowControl/>
              <w:ind w:firstLine="480"/>
              <w:jc w:val="both"/>
              <w:rPr>
                <w:color w:val="auto"/>
                <w:sz w:val="24"/>
                <w:szCs w:val="24"/>
                <w:lang w:eastAsia="zh-CN"/>
              </w:rPr>
            </w:pPr>
            <w:r>
              <w:rPr>
                <w:color w:val="auto"/>
                <w:sz w:val="24"/>
                <w:szCs w:val="24"/>
                <w:lang w:eastAsia="zh-CN" w:bidi="ar"/>
              </w:rPr>
              <w:t>Lw—</w:t>
            </w:r>
            <w:r>
              <w:rPr>
                <w:rFonts w:hint="eastAsia" w:ascii="宋体" w:hAnsi="宋体" w:cs="宋体"/>
                <w:color w:val="auto"/>
                <w:sz w:val="24"/>
                <w:szCs w:val="24"/>
                <w:lang w:eastAsia="zh-CN" w:bidi="ar"/>
              </w:rPr>
              <w:t>点声源声功率级（</w:t>
            </w:r>
            <w:r>
              <w:rPr>
                <w:color w:val="auto"/>
                <w:sz w:val="24"/>
                <w:szCs w:val="24"/>
                <w:lang w:eastAsia="zh-CN" w:bidi="ar"/>
              </w:rPr>
              <w:t xml:space="preserve">A </w:t>
            </w:r>
            <w:r>
              <w:rPr>
                <w:rFonts w:hint="eastAsia" w:ascii="宋体" w:hAnsi="宋体" w:cs="宋体"/>
                <w:color w:val="auto"/>
                <w:sz w:val="24"/>
                <w:szCs w:val="24"/>
                <w:lang w:eastAsia="zh-CN" w:bidi="ar"/>
              </w:rPr>
              <w:t>计权或倍频带），</w:t>
            </w:r>
            <w:r>
              <w:rPr>
                <w:color w:val="auto"/>
                <w:sz w:val="24"/>
                <w:szCs w:val="24"/>
                <w:lang w:eastAsia="zh-CN" w:bidi="ar"/>
              </w:rPr>
              <w:t>dB</w:t>
            </w:r>
            <w:r>
              <w:rPr>
                <w:rFonts w:hint="eastAsia" w:ascii="宋体" w:hAnsi="宋体" w:cs="宋体"/>
                <w:color w:val="auto"/>
                <w:sz w:val="24"/>
                <w:szCs w:val="24"/>
                <w:lang w:eastAsia="zh-CN" w:bidi="ar"/>
              </w:rPr>
              <w:t>；</w:t>
            </w:r>
          </w:p>
          <w:p w14:paraId="35367D2A">
            <w:pPr>
              <w:widowControl/>
              <w:ind w:firstLine="480"/>
              <w:jc w:val="both"/>
              <w:rPr>
                <w:color w:val="auto"/>
                <w:sz w:val="24"/>
                <w:szCs w:val="24"/>
                <w:lang w:eastAsia="zh-CN"/>
              </w:rPr>
            </w:pPr>
            <w:r>
              <w:rPr>
                <w:color w:val="auto"/>
                <w:sz w:val="24"/>
                <w:szCs w:val="24"/>
                <w:lang w:eastAsia="zh-CN" w:bidi="ar"/>
              </w:rPr>
              <w:t>Q—</w:t>
            </w:r>
            <w:r>
              <w:rPr>
                <w:rFonts w:hint="eastAsia" w:ascii="宋体" w:hAnsi="宋体" w:cs="宋体"/>
                <w:color w:val="auto"/>
                <w:sz w:val="24"/>
                <w:szCs w:val="24"/>
                <w:lang w:eastAsia="zh-CN" w:bidi="ar"/>
              </w:rPr>
              <w:t>指向性因数；通常对无指向性声源，当声源放在房间中心时，</w:t>
            </w:r>
            <w:r>
              <w:rPr>
                <w:color w:val="auto"/>
                <w:sz w:val="24"/>
                <w:szCs w:val="24"/>
                <w:lang w:eastAsia="zh-CN" w:bidi="ar"/>
              </w:rPr>
              <w:t>Q=1</w:t>
            </w:r>
            <w:r>
              <w:rPr>
                <w:rFonts w:hint="eastAsia" w:ascii="宋体" w:hAnsi="宋体" w:cs="宋体"/>
                <w:color w:val="auto"/>
                <w:sz w:val="24"/>
                <w:szCs w:val="24"/>
                <w:lang w:eastAsia="zh-CN" w:bidi="ar"/>
              </w:rPr>
              <w:t>；当放在一面墙的中心时，</w:t>
            </w:r>
            <w:r>
              <w:rPr>
                <w:color w:val="auto"/>
                <w:sz w:val="24"/>
                <w:szCs w:val="24"/>
                <w:lang w:eastAsia="zh-CN" w:bidi="ar"/>
              </w:rPr>
              <w:t>Q=2</w:t>
            </w:r>
            <w:r>
              <w:rPr>
                <w:rFonts w:hint="eastAsia" w:ascii="宋体" w:hAnsi="宋体" w:cs="宋体"/>
                <w:color w:val="auto"/>
                <w:sz w:val="24"/>
                <w:szCs w:val="24"/>
                <w:lang w:eastAsia="zh-CN" w:bidi="ar"/>
              </w:rPr>
              <w:t>；当放在两面墙夹角处时，</w:t>
            </w:r>
            <w:r>
              <w:rPr>
                <w:color w:val="auto"/>
                <w:sz w:val="24"/>
                <w:szCs w:val="24"/>
                <w:lang w:eastAsia="zh-CN" w:bidi="ar"/>
              </w:rPr>
              <w:t>Q=4</w:t>
            </w:r>
            <w:r>
              <w:rPr>
                <w:rFonts w:hint="eastAsia" w:ascii="宋体" w:hAnsi="宋体" w:cs="宋体"/>
                <w:color w:val="auto"/>
                <w:sz w:val="24"/>
                <w:szCs w:val="24"/>
                <w:lang w:eastAsia="zh-CN" w:bidi="ar"/>
              </w:rPr>
              <w:t>；当放在三面墙夹角处时，</w:t>
            </w:r>
            <w:r>
              <w:rPr>
                <w:color w:val="auto"/>
                <w:sz w:val="24"/>
                <w:szCs w:val="24"/>
                <w:lang w:eastAsia="zh-CN" w:bidi="ar"/>
              </w:rPr>
              <w:t>Q=8</w:t>
            </w:r>
            <w:r>
              <w:rPr>
                <w:rFonts w:hint="eastAsia" w:ascii="宋体" w:hAnsi="宋体" w:cs="宋体"/>
                <w:color w:val="auto"/>
                <w:sz w:val="24"/>
                <w:szCs w:val="24"/>
                <w:lang w:eastAsia="zh-CN" w:bidi="ar"/>
              </w:rPr>
              <w:t>；</w:t>
            </w:r>
          </w:p>
          <w:p w14:paraId="7DBA82D8">
            <w:pPr>
              <w:widowControl/>
              <w:ind w:firstLine="480"/>
              <w:jc w:val="both"/>
              <w:rPr>
                <w:color w:val="auto"/>
                <w:sz w:val="24"/>
                <w:szCs w:val="24"/>
                <w:lang w:eastAsia="zh-CN"/>
              </w:rPr>
            </w:pPr>
            <w:r>
              <w:rPr>
                <w:color w:val="auto"/>
                <w:sz w:val="24"/>
                <w:szCs w:val="24"/>
                <w:lang w:eastAsia="zh-CN" w:bidi="ar"/>
              </w:rPr>
              <w:t>R—</w:t>
            </w:r>
            <w:r>
              <w:rPr>
                <w:rFonts w:hint="eastAsia" w:ascii="宋体" w:hAnsi="宋体" w:cs="宋体"/>
                <w:color w:val="auto"/>
                <w:sz w:val="24"/>
                <w:szCs w:val="24"/>
                <w:lang w:eastAsia="zh-CN" w:bidi="ar"/>
              </w:rPr>
              <w:t>房间常数；</w:t>
            </w:r>
            <w:r>
              <w:rPr>
                <w:color w:val="auto"/>
                <w:sz w:val="24"/>
                <w:szCs w:val="24"/>
                <w:lang w:eastAsia="zh-CN" w:bidi="ar"/>
              </w:rPr>
              <w:t>R=S</w:t>
            </w:r>
            <w:r>
              <w:rPr>
                <w:i/>
                <w:iCs/>
                <w:color w:val="auto"/>
                <w:sz w:val="24"/>
                <w:szCs w:val="24"/>
                <w:lang w:bidi="ar"/>
              </w:rPr>
              <w:t>α</w:t>
            </w:r>
            <w:r>
              <w:rPr>
                <w:color w:val="auto"/>
                <w:sz w:val="24"/>
                <w:szCs w:val="24"/>
                <w:lang w:eastAsia="zh-CN" w:bidi="ar"/>
              </w:rPr>
              <w:t>/(1-</w:t>
            </w:r>
            <w:r>
              <w:rPr>
                <w:color w:val="auto"/>
                <w:sz w:val="24"/>
                <w:szCs w:val="24"/>
                <w:lang w:bidi="ar"/>
              </w:rPr>
              <w:t>α</w:t>
            </w:r>
            <w:r>
              <w:rPr>
                <w:color w:val="auto"/>
                <w:sz w:val="24"/>
                <w:szCs w:val="24"/>
                <w:lang w:eastAsia="zh-CN" w:bidi="ar"/>
              </w:rPr>
              <w:t>)</w:t>
            </w:r>
            <w:r>
              <w:rPr>
                <w:rFonts w:hint="eastAsia" w:ascii="宋体" w:hAnsi="宋体" w:cs="宋体"/>
                <w:color w:val="auto"/>
                <w:sz w:val="24"/>
                <w:szCs w:val="24"/>
                <w:lang w:eastAsia="zh-CN" w:bidi="ar"/>
              </w:rPr>
              <w:t>，</w:t>
            </w:r>
            <w:r>
              <w:rPr>
                <w:color w:val="auto"/>
                <w:sz w:val="24"/>
                <w:szCs w:val="24"/>
                <w:lang w:eastAsia="zh-CN" w:bidi="ar"/>
              </w:rPr>
              <w:t>S</w:t>
            </w:r>
            <w:r>
              <w:rPr>
                <w:rFonts w:hint="eastAsia" w:ascii="宋体" w:hAnsi="宋体" w:cs="宋体"/>
                <w:color w:val="auto"/>
                <w:sz w:val="24"/>
                <w:szCs w:val="24"/>
                <w:lang w:eastAsia="zh-CN" w:bidi="ar"/>
              </w:rPr>
              <w:t>为房间内表面面积，</w:t>
            </w:r>
            <w:r>
              <w:rPr>
                <w:color w:val="auto"/>
                <w:sz w:val="24"/>
                <w:szCs w:val="24"/>
                <w:lang w:eastAsia="zh-CN" w:bidi="ar"/>
              </w:rPr>
              <w:t>m</w:t>
            </w:r>
            <w:r>
              <w:rPr>
                <w:rFonts w:hint="eastAsia"/>
                <w:color w:val="auto"/>
                <w:sz w:val="24"/>
                <w:szCs w:val="24"/>
                <w:vertAlign w:val="superscript"/>
                <w:lang w:eastAsia="zh-CN" w:bidi="ar"/>
              </w:rPr>
              <w:t>2</w:t>
            </w:r>
            <w:r>
              <w:rPr>
                <w:rFonts w:hint="eastAsia" w:ascii="宋体" w:hAnsi="宋体" w:cs="宋体"/>
                <w:color w:val="auto"/>
                <w:sz w:val="24"/>
                <w:szCs w:val="24"/>
                <w:lang w:eastAsia="zh-CN" w:bidi="ar"/>
              </w:rPr>
              <w:t>；</w:t>
            </w:r>
            <w:r>
              <w:rPr>
                <w:color w:val="auto"/>
                <w:sz w:val="24"/>
                <w:szCs w:val="24"/>
                <w:lang w:bidi="ar"/>
              </w:rPr>
              <w:t>α</w:t>
            </w:r>
            <w:r>
              <w:rPr>
                <w:rFonts w:hint="eastAsia" w:ascii="宋体" w:hAnsi="宋体" w:cs="宋体"/>
                <w:color w:val="auto"/>
                <w:sz w:val="24"/>
                <w:szCs w:val="24"/>
                <w:lang w:eastAsia="zh-CN" w:bidi="ar"/>
              </w:rPr>
              <w:t>为平均吸声系数，本评价</w:t>
            </w:r>
            <w:r>
              <w:rPr>
                <w:color w:val="auto"/>
                <w:sz w:val="24"/>
                <w:szCs w:val="24"/>
                <w:lang w:bidi="ar"/>
              </w:rPr>
              <w:t>α</w:t>
            </w:r>
            <w:r>
              <w:rPr>
                <w:rFonts w:hint="eastAsia" w:ascii="宋体" w:hAnsi="宋体" w:cs="宋体"/>
                <w:color w:val="auto"/>
                <w:sz w:val="24"/>
                <w:szCs w:val="24"/>
                <w:lang w:eastAsia="zh-CN" w:bidi="ar"/>
              </w:rPr>
              <w:t>取</w:t>
            </w:r>
            <w:r>
              <w:rPr>
                <w:color w:val="auto"/>
                <w:sz w:val="24"/>
                <w:szCs w:val="24"/>
                <w:lang w:eastAsia="zh-CN" w:bidi="ar"/>
              </w:rPr>
              <w:t>0.15</w:t>
            </w:r>
            <w:r>
              <w:rPr>
                <w:rFonts w:hint="eastAsia" w:ascii="宋体" w:hAnsi="宋体" w:cs="宋体"/>
                <w:color w:val="auto"/>
                <w:sz w:val="24"/>
                <w:szCs w:val="24"/>
                <w:lang w:eastAsia="zh-CN" w:bidi="ar"/>
              </w:rPr>
              <w:t>；</w:t>
            </w:r>
          </w:p>
          <w:p w14:paraId="29E1B649">
            <w:pPr>
              <w:widowControl/>
              <w:ind w:firstLine="480"/>
              <w:jc w:val="both"/>
              <w:rPr>
                <w:color w:val="auto"/>
                <w:sz w:val="24"/>
                <w:szCs w:val="24"/>
                <w:lang w:eastAsia="zh-CN"/>
              </w:rPr>
            </w:pPr>
            <w:r>
              <w:rPr>
                <w:color w:val="auto"/>
                <w:sz w:val="24"/>
                <w:szCs w:val="24"/>
                <w:lang w:eastAsia="zh-CN" w:bidi="ar"/>
              </w:rPr>
              <w:t>r—</w:t>
            </w:r>
            <w:r>
              <w:rPr>
                <w:rFonts w:hint="eastAsia" w:ascii="宋体" w:hAnsi="宋体" w:cs="宋体"/>
                <w:color w:val="auto"/>
                <w:sz w:val="24"/>
                <w:szCs w:val="24"/>
                <w:lang w:eastAsia="zh-CN" w:bidi="ar"/>
              </w:rPr>
              <w:t>声源到靠近围护结构某点处的距离，</w:t>
            </w:r>
            <w:r>
              <w:rPr>
                <w:color w:val="auto"/>
                <w:sz w:val="24"/>
                <w:szCs w:val="24"/>
                <w:lang w:eastAsia="zh-CN" w:bidi="ar"/>
              </w:rPr>
              <w:t>m</w:t>
            </w:r>
            <w:r>
              <w:rPr>
                <w:rFonts w:hint="eastAsia" w:ascii="宋体" w:hAnsi="宋体" w:cs="宋体"/>
                <w:color w:val="auto"/>
                <w:sz w:val="24"/>
                <w:szCs w:val="24"/>
                <w:lang w:eastAsia="zh-CN" w:bidi="ar"/>
              </w:rPr>
              <w:t>。</w:t>
            </w:r>
          </w:p>
          <w:p w14:paraId="7A3C68F0">
            <w:pPr>
              <w:widowControl/>
              <w:ind w:firstLine="480"/>
              <w:jc w:val="both"/>
              <w:rPr>
                <w:color w:val="auto"/>
                <w:sz w:val="24"/>
                <w:szCs w:val="24"/>
                <w:lang w:eastAsia="zh-CN"/>
              </w:rPr>
            </w:pPr>
            <w:r>
              <w:rPr>
                <w:rFonts w:hint="eastAsia" w:ascii="宋体" w:hAnsi="宋体" w:cs="宋体"/>
                <w:color w:val="auto"/>
                <w:sz w:val="24"/>
                <w:szCs w:val="24"/>
                <w:lang w:eastAsia="zh-CN" w:bidi="ar"/>
              </w:rPr>
              <w:t>然后按式</w:t>
            </w:r>
            <w:r>
              <w:rPr>
                <w:color w:val="auto"/>
                <w:sz w:val="24"/>
                <w:szCs w:val="24"/>
                <w:lang w:eastAsia="zh-CN" w:bidi="ar"/>
              </w:rPr>
              <w:t>3</w:t>
            </w:r>
            <w:r>
              <w:rPr>
                <w:rFonts w:hint="eastAsia" w:ascii="宋体" w:hAnsi="宋体" w:cs="宋体"/>
                <w:color w:val="auto"/>
                <w:sz w:val="24"/>
                <w:szCs w:val="24"/>
                <w:lang w:eastAsia="zh-CN" w:bidi="ar"/>
              </w:rPr>
              <w:t>计算出所有室内声源在靠近围护结构处产生的</w:t>
            </w:r>
            <w:r>
              <w:rPr>
                <w:i/>
                <w:iCs/>
                <w:color w:val="auto"/>
                <w:sz w:val="24"/>
                <w:szCs w:val="24"/>
                <w:lang w:eastAsia="zh-CN" w:bidi="ar"/>
              </w:rPr>
              <w:t>i</w:t>
            </w:r>
            <w:r>
              <w:rPr>
                <w:rFonts w:hint="eastAsia" w:ascii="宋体" w:hAnsi="宋体" w:cs="宋体"/>
                <w:color w:val="auto"/>
                <w:sz w:val="24"/>
                <w:szCs w:val="24"/>
                <w:lang w:eastAsia="zh-CN" w:bidi="ar"/>
              </w:rPr>
              <w:t>倍频带叠加声压级：</w:t>
            </w:r>
          </w:p>
          <w:p w14:paraId="26FB41DE">
            <w:pPr>
              <w:widowControl/>
              <w:ind w:firstLine="480"/>
              <w:jc w:val="center"/>
              <w:rPr>
                <w:color w:val="auto"/>
                <w:sz w:val="24"/>
                <w:szCs w:val="24"/>
              </w:rPr>
            </w:pPr>
            <w:r>
              <w:rPr>
                <w:color w:val="auto"/>
                <w:sz w:val="24"/>
                <w:szCs w:val="24"/>
                <w:lang w:bidi="ar"/>
              </w:rPr>
              <w:t>L</w:t>
            </w:r>
            <w:r>
              <w:rPr>
                <w:i/>
                <w:iCs/>
                <w:color w:val="auto"/>
                <w:sz w:val="24"/>
                <w:szCs w:val="24"/>
                <w:lang w:bidi="ar"/>
              </w:rPr>
              <w:t>p1i(T)</w:t>
            </w:r>
            <w:r>
              <w:rPr>
                <w:color w:val="auto"/>
                <w:sz w:val="24"/>
                <w:szCs w:val="24"/>
                <w:lang w:bidi="ar"/>
              </w:rPr>
              <w:t>=10lg[∑10</w:t>
            </w:r>
            <w:r>
              <w:rPr>
                <w:color w:val="auto"/>
                <w:sz w:val="24"/>
                <w:szCs w:val="24"/>
                <w:vertAlign w:val="superscript"/>
                <w:lang w:bidi="ar"/>
              </w:rPr>
              <w:t>0.1Lp1ij</w:t>
            </w:r>
            <w:r>
              <w:rPr>
                <w:color w:val="auto"/>
                <w:sz w:val="24"/>
                <w:szCs w:val="24"/>
                <w:lang w:bidi="ar"/>
              </w:rPr>
              <w:t>]      （式3）</w:t>
            </w:r>
          </w:p>
          <w:p w14:paraId="089BDA2E">
            <w:pPr>
              <w:widowControl/>
              <w:ind w:firstLine="480"/>
              <w:jc w:val="both"/>
              <w:rPr>
                <w:color w:val="auto"/>
                <w:sz w:val="24"/>
                <w:szCs w:val="24"/>
                <w:lang w:eastAsia="zh-CN"/>
              </w:rPr>
            </w:pPr>
            <w:r>
              <w:rPr>
                <w:color w:val="auto"/>
                <w:sz w:val="24"/>
                <w:szCs w:val="24"/>
                <w:lang w:eastAsia="zh-CN" w:bidi="ar"/>
              </w:rPr>
              <w:t>式中：L</w:t>
            </w:r>
            <w:r>
              <w:rPr>
                <w:i/>
                <w:iCs/>
                <w:color w:val="auto"/>
                <w:sz w:val="24"/>
                <w:szCs w:val="24"/>
                <w:lang w:eastAsia="zh-CN" w:bidi="ar"/>
              </w:rPr>
              <w:t>p1i(T)</w:t>
            </w:r>
            <w:r>
              <w:rPr>
                <w:color w:val="auto"/>
                <w:sz w:val="24"/>
                <w:szCs w:val="24"/>
                <w:lang w:eastAsia="zh-CN" w:bidi="ar"/>
              </w:rPr>
              <w:t>—靠近围护结构处室内N个声源</w:t>
            </w:r>
            <w:r>
              <w:rPr>
                <w:i/>
                <w:iCs/>
                <w:color w:val="auto"/>
                <w:sz w:val="24"/>
                <w:szCs w:val="24"/>
                <w:lang w:eastAsia="zh-CN" w:bidi="ar"/>
              </w:rPr>
              <w:t>i</w:t>
            </w:r>
            <w:r>
              <w:rPr>
                <w:color w:val="auto"/>
                <w:sz w:val="24"/>
                <w:szCs w:val="24"/>
                <w:lang w:eastAsia="zh-CN" w:bidi="ar"/>
              </w:rPr>
              <w:t>倍频带叠加声压级，dB；</w:t>
            </w:r>
          </w:p>
          <w:p w14:paraId="53BD1CC4">
            <w:pPr>
              <w:widowControl/>
              <w:ind w:firstLine="480"/>
              <w:jc w:val="both"/>
              <w:rPr>
                <w:color w:val="auto"/>
                <w:sz w:val="24"/>
                <w:szCs w:val="24"/>
                <w:lang w:eastAsia="zh-CN"/>
              </w:rPr>
            </w:pPr>
            <w:r>
              <w:rPr>
                <w:color w:val="auto"/>
                <w:sz w:val="24"/>
                <w:szCs w:val="24"/>
                <w:lang w:eastAsia="zh-CN" w:bidi="ar"/>
              </w:rPr>
              <w:t>L</w:t>
            </w:r>
            <w:r>
              <w:rPr>
                <w:i/>
                <w:iCs/>
                <w:color w:val="auto"/>
                <w:sz w:val="24"/>
                <w:szCs w:val="24"/>
                <w:lang w:eastAsia="zh-CN" w:bidi="ar"/>
              </w:rPr>
              <w:t>p1ij</w:t>
            </w:r>
            <w:r>
              <w:rPr>
                <w:color w:val="auto"/>
                <w:sz w:val="24"/>
                <w:szCs w:val="24"/>
                <w:lang w:eastAsia="zh-CN" w:bidi="ar"/>
              </w:rPr>
              <w:t>—室内</w:t>
            </w:r>
            <w:r>
              <w:rPr>
                <w:i/>
                <w:iCs/>
                <w:color w:val="auto"/>
                <w:sz w:val="24"/>
                <w:szCs w:val="24"/>
                <w:lang w:eastAsia="zh-CN" w:bidi="ar"/>
              </w:rPr>
              <w:t>j</w:t>
            </w:r>
            <w:r>
              <w:rPr>
                <w:color w:val="auto"/>
                <w:sz w:val="24"/>
                <w:szCs w:val="24"/>
                <w:lang w:eastAsia="zh-CN" w:bidi="ar"/>
              </w:rPr>
              <w:t>声源</w:t>
            </w:r>
            <w:r>
              <w:rPr>
                <w:i/>
                <w:iCs/>
                <w:color w:val="auto"/>
                <w:sz w:val="24"/>
                <w:szCs w:val="24"/>
                <w:lang w:eastAsia="zh-CN" w:bidi="ar"/>
              </w:rPr>
              <w:t>i</w:t>
            </w:r>
            <w:r>
              <w:rPr>
                <w:color w:val="auto"/>
                <w:sz w:val="24"/>
                <w:szCs w:val="24"/>
                <w:lang w:eastAsia="zh-CN" w:bidi="ar"/>
              </w:rPr>
              <w:t>倍频带的声压级，dB；</w:t>
            </w:r>
          </w:p>
          <w:p w14:paraId="79C01F1A">
            <w:pPr>
              <w:widowControl/>
              <w:ind w:firstLine="480"/>
              <w:jc w:val="both"/>
              <w:rPr>
                <w:color w:val="auto"/>
                <w:sz w:val="24"/>
                <w:szCs w:val="24"/>
                <w:lang w:eastAsia="zh-CN"/>
              </w:rPr>
            </w:pPr>
            <w:r>
              <w:rPr>
                <w:color w:val="auto"/>
                <w:sz w:val="24"/>
                <w:szCs w:val="24"/>
                <w:lang w:eastAsia="zh-CN" w:bidi="ar"/>
              </w:rPr>
              <w:t>N—室内声源总数。</w:t>
            </w:r>
          </w:p>
          <w:p w14:paraId="7F997EF5">
            <w:pPr>
              <w:widowControl/>
              <w:ind w:firstLine="480"/>
              <w:jc w:val="both"/>
              <w:rPr>
                <w:color w:val="auto"/>
                <w:sz w:val="24"/>
                <w:szCs w:val="24"/>
                <w:lang w:eastAsia="zh-CN"/>
              </w:rPr>
            </w:pPr>
            <w:r>
              <w:rPr>
                <w:color w:val="auto"/>
                <w:sz w:val="24"/>
                <w:szCs w:val="24"/>
                <w:lang w:eastAsia="zh-CN" w:bidi="ar"/>
              </w:rPr>
              <w:t>在室内近似为扩散声场时，按式4计算出靠近室外围护结构处的声压级</w:t>
            </w:r>
          </w:p>
          <w:p w14:paraId="0C6EBE45">
            <w:pPr>
              <w:widowControl/>
              <w:ind w:firstLine="480"/>
              <w:jc w:val="center"/>
              <w:rPr>
                <w:color w:val="auto"/>
                <w:sz w:val="24"/>
                <w:szCs w:val="24"/>
                <w:lang w:bidi="ar"/>
              </w:rPr>
            </w:pPr>
            <w:r>
              <w:rPr>
                <w:i/>
                <w:iCs/>
                <w:color w:val="auto"/>
                <w:sz w:val="24"/>
                <w:szCs w:val="24"/>
                <w:lang w:bidi="ar"/>
              </w:rPr>
              <w:t>Lp</w:t>
            </w:r>
            <w:r>
              <w:rPr>
                <w:color w:val="auto"/>
                <w:sz w:val="24"/>
                <w:szCs w:val="24"/>
                <w:lang w:bidi="ar"/>
              </w:rPr>
              <w:t>2</w:t>
            </w:r>
            <w:r>
              <w:rPr>
                <w:i/>
                <w:iCs/>
                <w:color w:val="auto"/>
                <w:sz w:val="24"/>
                <w:szCs w:val="24"/>
                <w:lang w:bidi="ar"/>
              </w:rPr>
              <w:t>i</w:t>
            </w:r>
            <w:r>
              <w:rPr>
                <w:color w:val="auto"/>
                <w:sz w:val="24"/>
                <w:szCs w:val="24"/>
                <w:lang w:bidi="ar"/>
              </w:rPr>
              <w:t>(</w:t>
            </w:r>
            <w:r>
              <w:rPr>
                <w:i/>
                <w:iCs/>
                <w:color w:val="auto"/>
                <w:sz w:val="24"/>
                <w:szCs w:val="24"/>
                <w:lang w:bidi="ar"/>
              </w:rPr>
              <w:t>T</w:t>
            </w:r>
            <w:r>
              <w:rPr>
                <w:color w:val="auto"/>
                <w:sz w:val="24"/>
                <w:szCs w:val="24"/>
                <w:lang w:bidi="ar"/>
              </w:rPr>
              <w:t>)=</w:t>
            </w:r>
            <w:r>
              <w:rPr>
                <w:i/>
                <w:iCs/>
                <w:color w:val="auto"/>
                <w:sz w:val="24"/>
                <w:szCs w:val="24"/>
                <w:lang w:bidi="ar"/>
              </w:rPr>
              <w:t>Lp</w:t>
            </w:r>
            <w:r>
              <w:rPr>
                <w:color w:val="auto"/>
                <w:sz w:val="24"/>
                <w:szCs w:val="24"/>
                <w:lang w:bidi="ar"/>
              </w:rPr>
              <w:t>1</w:t>
            </w:r>
            <w:r>
              <w:rPr>
                <w:i/>
                <w:iCs/>
                <w:color w:val="auto"/>
                <w:sz w:val="24"/>
                <w:szCs w:val="24"/>
                <w:lang w:bidi="ar"/>
              </w:rPr>
              <w:t>i</w:t>
            </w:r>
            <w:r>
              <w:rPr>
                <w:color w:val="auto"/>
                <w:sz w:val="24"/>
                <w:szCs w:val="24"/>
                <w:lang w:bidi="ar"/>
              </w:rPr>
              <w:t>(</w:t>
            </w:r>
            <w:r>
              <w:rPr>
                <w:i/>
                <w:iCs/>
                <w:color w:val="auto"/>
                <w:sz w:val="24"/>
                <w:szCs w:val="24"/>
                <w:lang w:bidi="ar"/>
              </w:rPr>
              <w:t>T</w:t>
            </w:r>
            <w:r>
              <w:rPr>
                <w:color w:val="auto"/>
                <w:sz w:val="24"/>
                <w:szCs w:val="24"/>
                <w:lang w:bidi="ar"/>
              </w:rPr>
              <w:t>)</w:t>
            </w:r>
            <w:r>
              <w:rPr>
                <w:rFonts w:hint="eastAsia"/>
                <w:color w:val="auto"/>
                <w:sz w:val="24"/>
                <w:szCs w:val="24"/>
                <w:lang w:bidi="ar"/>
              </w:rPr>
              <w:t>-</w:t>
            </w:r>
            <w:r>
              <w:rPr>
                <w:color w:val="auto"/>
                <w:sz w:val="24"/>
                <w:szCs w:val="24"/>
                <w:lang w:bidi="ar"/>
              </w:rPr>
              <w:t>(</w:t>
            </w:r>
            <w:r>
              <w:rPr>
                <w:i/>
                <w:iCs/>
                <w:color w:val="auto"/>
                <w:sz w:val="24"/>
                <w:szCs w:val="24"/>
                <w:lang w:bidi="ar"/>
              </w:rPr>
              <w:t>TLi</w:t>
            </w:r>
            <w:r>
              <w:rPr>
                <w:rFonts w:hint="eastAsia"/>
                <w:color w:val="auto"/>
                <w:sz w:val="24"/>
                <w:szCs w:val="24"/>
                <w:lang w:bidi="ar"/>
              </w:rPr>
              <w:t>+</w:t>
            </w:r>
            <w:r>
              <w:rPr>
                <w:color w:val="auto"/>
                <w:sz w:val="24"/>
                <w:szCs w:val="24"/>
                <w:lang w:bidi="ar"/>
              </w:rPr>
              <w:t>6)     （式4）</w:t>
            </w:r>
          </w:p>
          <w:p w14:paraId="6E49C65E">
            <w:pPr>
              <w:widowControl/>
              <w:ind w:firstLine="480"/>
              <w:jc w:val="both"/>
              <w:rPr>
                <w:color w:val="auto"/>
                <w:sz w:val="24"/>
                <w:szCs w:val="24"/>
                <w:lang w:eastAsia="zh-CN" w:bidi="ar"/>
              </w:rPr>
            </w:pPr>
            <w:r>
              <w:rPr>
                <w:color w:val="auto"/>
                <w:sz w:val="24"/>
                <w:szCs w:val="24"/>
                <w:lang w:eastAsia="zh-CN" w:bidi="ar"/>
              </w:rPr>
              <w:t>式中：</w:t>
            </w:r>
          </w:p>
          <w:p w14:paraId="073A68BA">
            <w:pPr>
              <w:widowControl/>
              <w:ind w:firstLine="480"/>
              <w:jc w:val="both"/>
              <w:rPr>
                <w:color w:val="auto"/>
                <w:sz w:val="24"/>
                <w:szCs w:val="24"/>
                <w:lang w:eastAsia="zh-CN"/>
              </w:rPr>
            </w:pPr>
            <w:r>
              <w:rPr>
                <w:i/>
                <w:iCs/>
                <w:color w:val="auto"/>
                <w:sz w:val="24"/>
                <w:szCs w:val="24"/>
                <w:lang w:eastAsia="zh-CN" w:bidi="ar"/>
              </w:rPr>
              <w:t>Lp</w:t>
            </w:r>
            <w:r>
              <w:rPr>
                <w:color w:val="auto"/>
                <w:sz w:val="24"/>
                <w:szCs w:val="24"/>
                <w:lang w:eastAsia="zh-CN" w:bidi="ar"/>
              </w:rPr>
              <w:t>2</w:t>
            </w:r>
            <w:r>
              <w:rPr>
                <w:i/>
                <w:iCs/>
                <w:color w:val="auto"/>
                <w:sz w:val="24"/>
                <w:szCs w:val="24"/>
                <w:lang w:eastAsia="zh-CN" w:bidi="ar"/>
              </w:rPr>
              <w:t>i</w:t>
            </w:r>
            <w:r>
              <w:rPr>
                <w:color w:val="auto"/>
                <w:sz w:val="24"/>
                <w:szCs w:val="24"/>
                <w:lang w:eastAsia="zh-CN" w:bidi="ar"/>
              </w:rPr>
              <w:t>(</w:t>
            </w:r>
            <w:r>
              <w:rPr>
                <w:i/>
                <w:iCs/>
                <w:color w:val="auto"/>
                <w:sz w:val="24"/>
                <w:szCs w:val="24"/>
                <w:lang w:eastAsia="zh-CN" w:bidi="ar"/>
              </w:rPr>
              <w:t>T</w:t>
            </w:r>
            <w:r>
              <w:rPr>
                <w:color w:val="auto"/>
                <w:sz w:val="24"/>
                <w:szCs w:val="24"/>
                <w:lang w:eastAsia="zh-CN" w:bidi="ar"/>
              </w:rPr>
              <w:t>)——</w:t>
            </w:r>
            <w:r>
              <w:rPr>
                <w:rFonts w:hint="eastAsia" w:ascii="宋体" w:hAnsi="宋体" w:cs="宋体"/>
                <w:color w:val="auto"/>
                <w:sz w:val="24"/>
                <w:szCs w:val="24"/>
                <w:lang w:eastAsia="zh-CN" w:bidi="ar"/>
              </w:rPr>
              <w:t>靠近围护结构处室外</w:t>
            </w:r>
            <w:r>
              <w:rPr>
                <w:color w:val="auto"/>
                <w:sz w:val="24"/>
                <w:szCs w:val="24"/>
                <w:lang w:eastAsia="zh-CN" w:bidi="ar"/>
              </w:rPr>
              <w:t>N</w:t>
            </w:r>
            <w:r>
              <w:rPr>
                <w:rFonts w:hint="eastAsia" w:ascii="宋体" w:hAnsi="宋体" w:cs="宋体"/>
                <w:color w:val="auto"/>
                <w:sz w:val="24"/>
                <w:szCs w:val="24"/>
                <w:lang w:eastAsia="zh-CN" w:bidi="ar"/>
              </w:rPr>
              <w:t>个声源</w:t>
            </w:r>
            <w:r>
              <w:rPr>
                <w:i/>
                <w:iCs/>
                <w:color w:val="auto"/>
                <w:sz w:val="24"/>
                <w:szCs w:val="24"/>
                <w:lang w:eastAsia="zh-CN" w:bidi="ar"/>
              </w:rPr>
              <w:t>i</w:t>
            </w:r>
            <w:r>
              <w:rPr>
                <w:rFonts w:hint="eastAsia" w:ascii="宋体" w:hAnsi="宋体" w:cs="宋体"/>
                <w:color w:val="auto"/>
                <w:sz w:val="24"/>
                <w:szCs w:val="24"/>
                <w:lang w:eastAsia="zh-CN" w:bidi="ar"/>
              </w:rPr>
              <w:t>倍频带的叠加声压级，</w:t>
            </w:r>
            <w:r>
              <w:rPr>
                <w:color w:val="auto"/>
                <w:sz w:val="24"/>
                <w:szCs w:val="24"/>
                <w:lang w:eastAsia="zh-CN" w:bidi="ar"/>
              </w:rPr>
              <w:t>dB</w:t>
            </w:r>
            <w:r>
              <w:rPr>
                <w:rFonts w:hint="eastAsia" w:ascii="宋体" w:hAnsi="宋体" w:cs="宋体"/>
                <w:color w:val="auto"/>
                <w:sz w:val="24"/>
                <w:szCs w:val="24"/>
                <w:lang w:eastAsia="zh-CN" w:bidi="ar"/>
              </w:rPr>
              <w:t>；</w:t>
            </w:r>
          </w:p>
          <w:p w14:paraId="08C95B24">
            <w:pPr>
              <w:widowControl/>
              <w:ind w:firstLine="480"/>
              <w:jc w:val="both"/>
              <w:rPr>
                <w:color w:val="auto"/>
                <w:sz w:val="24"/>
                <w:szCs w:val="24"/>
                <w:lang w:eastAsia="zh-CN"/>
              </w:rPr>
            </w:pPr>
            <w:r>
              <w:rPr>
                <w:i/>
                <w:iCs/>
                <w:color w:val="auto"/>
                <w:sz w:val="24"/>
                <w:szCs w:val="24"/>
                <w:lang w:eastAsia="zh-CN" w:bidi="ar"/>
              </w:rPr>
              <w:t>Lp</w:t>
            </w:r>
            <w:r>
              <w:rPr>
                <w:color w:val="auto"/>
                <w:sz w:val="24"/>
                <w:szCs w:val="24"/>
                <w:lang w:eastAsia="zh-CN" w:bidi="ar"/>
              </w:rPr>
              <w:t>1</w:t>
            </w:r>
            <w:r>
              <w:rPr>
                <w:i/>
                <w:iCs/>
                <w:color w:val="auto"/>
                <w:sz w:val="24"/>
                <w:szCs w:val="24"/>
                <w:lang w:eastAsia="zh-CN" w:bidi="ar"/>
              </w:rPr>
              <w:t xml:space="preserve">i T </w:t>
            </w:r>
            <w:r>
              <w:rPr>
                <w:color w:val="auto"/>
                <w:sz w:val="24"/>
                <w:szCs w:val="24"/>
                <w:lang w:eastAsia="zh-CN" w:bidi="ar"/>
              </w:rPr>
              <w:t>——</w:t>
            </w:r>
            <w:r>
              <w:rPr>
                <w:rFonts w:hint="eastAsia" w:ascii="宋体" w:hAnsi="宋体" w:cs="宋体"/>
                <w:color w:val="auto"/>
                <w:sz w:val="24"/>
                <w:szCs w:val="24"/>
                <w:lang w:eastAsia="zh-CN" w:bidi="ar"/>
              </w:rPr>
              <w:t>靠近围护结构处室内</w:t>
            </w:r>
            <w:r>
              <w:rPr>
                <w:color w:val="auto"/>
                <w:sz w:val="24"/>
                <w:szCs w:val="24"/>
                <w:lang w:eastAsia="zh-CN" w:bidi="ar"/>
              </w:rPr>
              <w:t>N</w:t>
            </w:r>
            <w:r>
              <w:rPr>
                <w:rFonts w:hint="eastAsia" w:ascii="宋体" w:hAnsi="宋体" w:cs="宋体"/>
                <w:color w:val="auto"/>
                <w:sz w:val="24"/>
                <w:szCs w:val="24"/>
                <w:lang w:eastAsia="zh-CN" w:bidi="ar"/>
              </w:rPr>
              <w:t>个声源</w:t>
            </w:r>
            <w:r>
              <w:rPr>
                <w:i/>
                <w:iCs/>
                <w:color w:val="auto"/>
                <w:sz w:val="24"/>
                <w:szCs w:val="24"/>
                <w:lang w:eastAsia="zh-CN" w:bidi="ar"/>
              </w:rPr>
              <w:t>i</w:t>
            </w:r>
            <w:r>
              <w:rPr>
                <w:rFonts w:hint="eastAsia" w:ascii="宋体" w:hAnsi="宋体" w:cs="宋体"/>
                <w:color w:val="auto"/>
                <w:sz w:val="24"/>
                <w:szCs w:val="24"/>
                <w:lang w:eastAsia="zh-CN" w:bidi="ar"/>
              </w:rPr>
              <w:t>倍频带的叠加声压级，</w:t>
            </w:r>
            <w:r>
              <w:rPr>
                <w:color w:val="auto"/>
                <w:sz w:val="24"/>
                <w:szCs w:val="24"/>
                <w:lang w:eastAsia="zh-CN" w:bidi="ar"/>
              </w:rPr>
              <w:t>dB</w:t>
            </w:r>
            <w:r>
              <w:rPr>
                <w:rFonts w:hint="eastAsia" w:ascii="宋体" w:hAnsi="宋体" w:cs="宋体"/>
                <w:color w:val="auto"/>
                <w:sz w:val="24"/>
                <w:szCs w:val="24"/>
                <w:lang w:eastAsia="zh-CN" w:bidi="ar"/>
              </w:rPr>
              <w:t>；</w:t>
            </w:r>
          </w:p>
          <w:p w14:paraId="519C86D2">
            <w:pPr>
              <w:widowControl/>
              <w:ind w:firstLine="480"/>
              <w:jc w:val="left"/>
              <w:rPr>
                <w:color w:val="auto"/>
                <w:lang w:eastAsia="zh-CN"/>
              </w:rPr>
            </w:pPr>
            <w:r>
              <w:rPr>
                <w:i/>
                <w:iCs/>
                <w:color w:val="auto"/>
                <w:sz w:val="24"/>
                <w:lang w:eastAsia="zh-CN" w:bidi="ar"/>
              </w:rPr>
              <w:t>TL</w:t>
            </w:r>
            <w:r>
              <w:rPr>
                <w:i/>
                <w:iCs/>
                <w:color w:val="auto"/>
                <w:sz w:val="15"/>
                <w:szCs w:val="15"/>
                <w:lang w:eastAsia="zh-CN" w:bidi="ar"/>
              </w:rPr>
              <w:t>i</w:t>
            </w:r>
            <w:r>
              <w:rPr>
                <w:color w:val="auto"/>
                <w:sz w:val="24"/>
                <w:lang w:eastAsia="zh-CN" w:bidi="ar"/>
              </w:rPr>
              <w:t>——</w:t>
            </w:r>
            <w:r>
              <w:rPr>
                <w:rFonts w:hint="eastAsia" w:ascii="宋体" w:hAnsi="宋体" w:cs="宋体"/>
                <w:color w:val="auto"/>
                <w:sz w:val="24"/>
                <w:lang w:eastAsia="zh-CN" w:bidi="ar"/>
              </w:rPr>
              <w:t>围护结构</w:t>
            </w:r>
            <w:r>
              <w:rPr>
                <w:i/>
                <w:iCs/>
                <w:color w:val="auto"/>
                <w:sz w:val="24"/>
                <w:lang w:eastAsia="zh-CN" w:bidi="ar"/>
              </w:rPr>
              <w:t>i</w:t>
            </w:r>
            <w:r>
              <w:rPr>
                <w:rFonts w:hint="eastAsia" w:ascii="宋体" w:hAnsi="宋体" w:cs="宋体"/>
                <w:color w:val="auto"/>
                <w:sz w:val="24"/>
                <w:lang w:eastAsia="zh-CN" w:bidi="ar"/>
              </w:rPr>
              <w:t>倍频带的隔声量，</w:t>
            </w:r>
            <w:r>
              <w:rPr>
                <w:color w:val="auto"/>
                <w:sz w:val="24"/>
                <w:lang w:eastAsia="zh-CN" w:bidi="ar"/>
              </w:rPr>
              <w:t>dB</w:t>
            </w:r>
            <w:r>
              <w:rPr>
                <w:rFonts w:hint="eastAsia" w:ascii="宋体" w:hAnsi="宋体" w:cs="宋体"/>
                <w:color w:val="auto"/>
                <w:sz w:val="24"/>
                <w:lang w:eastAsia="zh-CN" w:bidi="ar"/>
              </w:rPr>
              <w:t>。</w:t>
            </w:r>
          </w:p>
          <w:p w14:paraId="69535335">
            <w:pPr>
              <w:widowControl/>
              <w:ind w:firstLine="480"/>
              <w:jc w:val="both"/>
              <w:rPr>
                <w:color w:val="auto"/>
                <w:sz w:val="24"/>
                <w:szCs w:val="24"/>
                <w:lang w:eastAsia="zh-CN"/>
              </w:rPr>
            </w:pPr>
            <w:r>
              <w:rPr>
                <w:rFonts w:hint="eastAsia" w:ascii="宋体" w:hAnsi="宋体" w:cs="宋体"/>
                <w:color w:val="auto"/>
                <w:sz w:val="24"/>
                <w:szCs w:val="24"/>
                <w:lang w:eastAsia="zh-CN" w:bidi="ar"/>
              </w:rPr>
              <w:t>然后按式</w:t>
            </w:r>
            <w:r>
              <w:rPr>
                <w:color w:val="auto"/>
                <w:sz w:val="24"/>
                <w:szCs w:val="24"/>
                <w:lang w:eastAsia="zh-CN" w:bidi="ar"/>
              </w:rPr>
              <w:t>5</w:t>
            </w:r>
            <w:r>
              <w:rPr>
                <w:rFonts w:hint="eastAsia" w:ascii="宋体" w:hAnsi="宋体" w:cs="宋体"/>
                <w:color w:val="auto"/>
                <w:sz w:val="24"/>
                <w:szCs w:val="24"/>
                <w:lang w:eastAsia="zh-CN" w:bidi="ar"/>
              </w:rPr>
              <w:t>将室外声源的声压级和透过面积换算成等效的室外声源，计算出中心位置位于透声面积（</w:t>
            </w:r>
            <w:r>
              <w:rPr>
                <w:i/>
                <w:iCs/>
                <w:color w:val="auto"/>
                <w:sz w:val="24"/>
                <w:szCs w:val="24"/>
                <w:lang w:eastAsia="zh-CN" w:bidi="ar"/>
              </w:rPr>
              <w:t>S</w:t>
            </w:r>
            <w:r>
              <w:rPr>
                <w:rFonts w:hint="eastAsia" w:ascii="宋体" w:hAnsi="宋体" w:cs="宋体"/>
                <w:color w:val="auto"/>
                <w:sz w:val="24"/>
                <w:szCs w:val="24"/>
                <w:lang w:eastAsia="zh-CN" w:bidi="ar"/>
              </w:rPr>
              <w:t>）处的等效声源的倍频带声功率级。</w:t>
            </w:r>
          </w:p>
          <w:p w14:paraId="4BA91F6D">
            <w:pPr>
              <w:widowControl/>
              <w:ind w:firstLine="520"/>
              <w:jc w:val="center"/>
              <w:rPr>
                <w:color w:val="auto"/>
              </w:rPr>
            </w:pPr>
            <w:r>
              <w:rPr>
                <w:i/>
                <w:iCs/>
                <w:color w:val="auto"/>
                <w:sz w:val="26"/>
                <w:szCs w:val="26"/>
                <w:lang w:bidi="ar"/>
              </w:rPr>
              <w:t>L</w:t>
            </w:r>
            <w:r>
              <w:rPr>
                <w:i/>
                <w:iCs/>
                <w:color w:val="auto"/>
                <w:sz w:val="17"/>
                <w:szCs w:val="17"/>
                <w:lang w:bidi="ar"/>
              </w:rPr>
              <w:t>w</w:t>
            </w:r>
            <w:r>
              <w:rPr>
                <w:rFonts w:ascii="Symbol" w:hAnsi="Symbol" w:cs="Symbol"/>
                <w:color w:val="auto"/>
                <w:sz w:val="26"/>
                <w:szCs w:val="26"/>
                <w:lang w:bidi="ar"/>
              </w:rPr>
              <w:t></w:t>
            </w:r>
            <w:r>
              <w:rPr>
                <w:i/>
                <w:iCs/>
                <w:color w:val="auto"/>
                <w:sz w:val="26"/>
                <w:szCs w:val="26"/>
                <w:lang w:bidi="ar"/>
              </w:rPr>
              <w:t>L</w:t>
            </w:r>
            <w:r>
              <w:rPr>
                <w:i/>
                <w:iCs/>
                <w:color w:val="auto"/>
                <w:sz w:val="17"/>
                <w:szCs w:val="17"/>
                <w:lang w:bidi="ar"/>
              </w:rPr>
              <w:t>p</w:t>
            </w:r>
            <w:r>
              <w:rPr>
                <w:color w:val="auto"/>
                <w:sz w:val="17"/>
                <w:szCs w:val="17"/>
                <w:lang w:bidi="ar"/>
              </w:rPr>
              <w:t>2</w:t>
            </w:r>
            <w:r>
              <w:rPr>
                <w:color w:val="auto"/>
                <w:sz w:val="26"/>
                <w:szCs w:val="26"/>
                <w:lang w:bidi="ar"/>
              </w:rPr>
              <w:t>(</w:t>
            </w:r>
            <w:r>
              <w:rPr>
                <w:i/>
                <w:iCs/>
                <w:color w:val="auto"/>
                <w:sz w:val="26"/>
                <w:szCs w:val="26"/>
                <w:lang w:bidi="ar"/>
              </w:rPr>
              <w:t>T</w:t>
            </w:r>
            <w:r>
              <w:rPr>
                <w:color w:val="auto"/>
                <w:sz w:val="26"/>
                <w:szCs w:val="26"/>
                <w:lang w:bidi="ar"/>
              </w:rPr>
              <w:t>)</w:t>
            </w:r>
            <w:r>
              <w:rPr>
                <w:rFonts w:ascii="Symbol" w:hAnsi="Symbol" w:cs="Symbol"/>
                <w:color w:val="auto"/>
                <w:sz w:val="26"/>
                <w:szCs w:val="26"/>
                <w:lang w:bidi="ar"/>
              </w:rPr>
              <w:t></w:t>
            </w:r>
            <w:r>
              <w:rPr>
                <w:color w:val="auto"/>
                <w:sz w:val="26"/>
                <w:szCs w:val="26"/>
                <w:lang w:bidi="ar"/>
              </w:rPr>
              <w:t>10lg</w:t>
            </w:r>
            <w:r>
              <w:rPr>
                <w:i/>
                <w:iCs/>
                <w:color w:val="auto"/>
                <w:sz w:val="26"/>
                <w:szCs w:val="26"/>
                <w:lang w:bidi="ar"/>
              </w:rPr>
              <w:t>S</w:t>
            </w:r>
            <w:r>
              <w:rPr>
                <w:rFonts w:hint="eastAsia"/>
                <w:i/>
                <w:iCs/>
                <w:color w:val="auto"/>
                <w:sz w:val="26"/>
                <w:szCs w:val="26"/>
                <w:lang w:bidi="ar"/>
              </w:rPr>
              <w:t xml:space="preserve">                </w:t>
            </w:r>
            <w:r>
              <w:rPr>
                <w:rFonts w:hint="eastAsia" w:ascii="宋体" w:hAnsi="宋体" w:cs="宋体"/>
                <w:color w:val="auto"/>
                <w:sz w:val="26"/>
                <w:szCs w:val="26"/>
                <w:lang w:bidi="ar"/>
              </w:rPr>
              <w:t>（式</w:t>
            </w:r>
            <w:r>
              <w:rPr>
                <w:color w:val="auto"/>
                <w:sz w:val="26"/>
                <w:szCs w:val="26"/>
                <w:lang w:bidi="ar"/>
              </w:rPr>
              <w:t>5</w:t>
            </w:r>
            <w:r>
              <w:rPr>
                <w:rFonts w:hint="eastAsia" w:ascii="宋体" w:hAnsi="宋体" w:cs="宋体"/>
                <w:color w:val="auto"/>
                <w:sz w:val="26"/>
                <w:szCs w:val="26"/>
                <w:lang w:bidi="ar"/>
              </w:rPr>
              <w:t>）</w:t>
            </w:r>
          </w:p>
          <w:p w14:paraId="33B8C86B">
            <w:pPr>
              <w:widowControl/>
              <w:ind w:firstLine="480"/>
              <w:jc w:val="both"/>
              <w:rPr>
                <w:color w:val="auto"/>
                <w:sz w:val="24"/>
                <w:szCs w:val="24"/>
                <w:lang w:eastAsia="zh-CN"/>
              </w:rPr>
            </w:pPr>
            <w:r>
              <w:rPr>
                <w:rFonts w:hint="eastAsia" w:ascii="宋体" w:hAnsi="宋体" w:cs="宋体"/>
                <w:color w:val="auto"/>
                <w:sz w:val="24"/>
                <w:szCs w:val="24"/>
                <w:lang w:eastAsia="zh-CN" w:bidi="ar"/>
              </w:rPr>
              <w:t>式中：</w:t>
            </w:r>
          </w:p>
          <w:p w14:paraId="68010761">
            <w:pPr>
              <w:widowControl/>
              <w:ind w:firstLine="480"/>
              <w:jc w:val="both"/>
              <w:rPr>
                <w:color w:val="auto"/>
                <w:sz w:val="24"/>
                <w:szCs w:val="24"/>
                <w:lang w:eastAsia="zh-CN"/>
              </w:rPr>
            </w:pPr>
            <w:r>
              <w:rPr>
                <w:i/>
                <w:iCs/>
                <w:color w:val="auto"/>
                <w:sz w:val="24"/>
                <w:szCs w:val="24"/>
                <w:lang w:eastAsia="zh-CN" w:bidi="ar"/>
              </w:rPr>
              <w:t>Lw</w:t>
            </w:r>
            <w:r>
              <w:rPr>
                <w:color w:val="auto"/>
                <w:sz w:val="24"/>
                <w:szCs w:val="24"/>
                <w:lang w:eastAsia="zh-CN" w:bidi="ar"/>
              </w:rPr>
              <w:t>——</w:t>
            </w:r>
            <w:r>
              <w:rPr>
                <w:rFonts w:hint="eastAsia" w:ascii="宋体" w:hAnsi="宋体" w:cs="宋体"/>
                <w:color w:val="auto"/>
                <w:sz w:val="24"/>
                <w:szCs w:val="24"/>
                <w:lang w:eastAsia="zh-CN" w:bidi="ar"/>
              </w:rPr>
              <w:t>中心位置位于透声面积（</w:t>
            </w:r>
            <w:r>
              <w:rPr>
                <w:i/>
                <w:iCs/>
                <w:color w:val="auto"/>
                <w:sz w:val="24"/>
                <w:szCs w:val="24"/>
                <w:lang w:eastAsia="zh-CN" w:bidi="ar"/>
              </w:rPr>
              <w:t>S</w:t>
            </w:r>
            <w:r>
              <w:rPr>
                <w:rFonts w:hint="eastAsia" w:ascii="宋体" w:hAnsi="宋体" w:cs="宋体"/>
                <w:color w:val="auto"/>
                <w:sz w:val="24"/>
                <w:szCs w:val="24"/>
                <w:lang w:eastAsia="zh-CN" w:bidi="ar"/>
              </w:rPr>
              <w:t>）处的等效声源的倍频带声功率级，</w:t>
            </w:r>
            <w:r>
              <w:rPr>
                <w:color w:val="auto"/>
                <w:sz w:val="24"/>
                <w:szCs w:val="24"/>
                <w:lang w:eastAsia="zh-CN" w:bidi="ar"/>
              </w:rPr>
              <w:t>dB</w:t>
            </w:r>
            <w:r>
              <w:rPr>
                <w:rFonts w:hint="eastAsia" w:ascii="宋体" w:hAnsi="宋体" w:cs="宋体"/>
                <w:color w:val="auto"/>
                <w:sz w:val="24"/>
                <w:szCs w:val="24"/>
                <w:lang w:eastAsia="zh-CN" w:bidi="ar"/>
              </w:rPr>
              <w:t>；</w:t>
            </w:r>
          </w:p>
          <w:p w14:paraId="1A08F73C">
            <w:pPr>
              <w:widowControl/>
              <w:ind w:firstLine="480"/>
              <w:jc w:val="both"/>
              <w:rPr>
                <w:color w:val="auto"/>
                <w:sz w:val="24"/>
                <w:szCs w:val="24"/>
                <w:lang w:eastAsia="zh-CN"/>
              </w:rPr>
            </w:pPr>
            <w:r>
              <w:rPr>
                <w:i/>
                <w:iCs/>
                <w:color w:val="auto"/>
                <w:sz w:val="24"/>
                <w:szCs w:val="24"/>
                <w:lang w:eastAsia="zh-CN" w:bidi="ar"/>
              </w:rPr>
              <w:t>Lp</w:t>
            </w:r>
            <w:r>
              <w:rPr>
                <w:color w:val="auto"/>
                <w:sz w:val="24"/>
                <w:szCs w:val="24"/>
                <w:lang w:eastAsia="zh-CN" w:bidi="ar"/>
              </w:rPr>
              <w:t>2(</w:t>
            </w:r>
            <w:r>
              <w:rPr>
                <w:i/>
                <w:iCs/>
                <w:color w:val="auto"/>
                <w:sz w:val="24"/>
                <w:szCs w:val="24"/>
                <w:lang w:eastAsia="zh-CN" w:bidi="ar"/>
              </w:rPr>
              <w:t>T</w:t>
            </w:r>
            <w:r>
              <w:rPr>
                <w:color w:val="auto"/>
                <w:sz w:val="24"/>
                <w:szCs w:val="24"/>
                <w:lang w:eastAsia="zh-CN" w:bidi="ar"/>
              </w:rPr>
              <w:t>)——</w:t>
            </w:r>
            <w:r>
              <w:rPr>
                <w:rFonts w:hint="eastAsia" w:ascii="宋体" w:hAnsi="宋体" w:cs="宋体"/>
                <w:color w:val="auto"/>
                <w:sz w:val="24"/>
                <w:szCs w:val="24"/>
                <w:lang w:eastAsia="zh-CN" w:bidi="ar"/>
              </w:rPr>
              <w:t>靠近围护结构处室外声源的声压级，</w:t>
            </w:r>
            <w:r>
              <w:rPr>
                <w:color w:val="auto"/>
                <w:sz w:val="24"/>
                <w:szCs w:val="24"/>
                <w:lang w:eastAsia="zh-CN" w:bidi="ar"/>
              </w:rPr>
              <w:t>dB</w:t>
            </w:r>
            <w:r>
              <w:rPr>
                <w:rFonts w:hint="eastAsia" w:ascii="宋体" w:hAnsi="宋体" w:cs="宋体"/>
                <w:color w:val="auto"/>
                <w:sz w:val="24"/>
                <w:szCs w:val="24"/>
                <w:lang w:eastAsia="zh-CN" w:bidi="ar"/>
              </w:rPr>
              <w:t>；</w:t>
            </w:r>
          </w:p>
          <w:p w14:paraId="01D7A662">
            <w:pPr>
              <w:widowControl/>
              <w:ind w:firstLine="480"/>
              <w:jc w:val="both"/>
              <w:rPr>
                <w:rFonts w:ascii="宋体" w:hAnsi="宋体" w:cs="宋体"/>
                <w:color w:val="auto"/>
                <w:sz w:val="24"/>
                <w:szCs w:val="24"/>
                <w:lang w:eastAsia="zh-CN" w:bidi="ar"/>
              </w:rPr>
            </w:pPr>
            <w:r>
              <w:rPr>
                <w:i/>
                <w:iCs/>
                <w:color w:val="auto"/>
                <w:sz w:val="24"/>
                <w:szCs w:val="24"/>
                <w:lang w:eastAsia="zh-CN" w:bidi="ar"/>
              </w:rPr>
              <w:t>S</w:t>
            </w:r>
            <w:r>
              <w:rPr>
                <w:color w:val="auto"/>
                <w:sz w:val="24"/>
                <w:szCs w:val="24"/>
                <w:lang w:eastAsia="zh-CN" w:bidi="ar"/>
              </w:rPr>
              <w:t>——</w:t>
            </w:r>
            <w:r>
              <w:rPr>
                <w:rFonts w:hint="eastAsia" w:ascii="宋体" w:hAnsi="宋体" w:cs="宋体"/>
                <w:color w:val="auto"/>
                <w:sz w:val="24"/>
                <w:szCs w:val="24"/>
                <w:lang w:eastAsia="zh-CN" w:bidi="ar"/>
              </w:rPr>
              <w:t>透声面积，</w:t>
            </w:r>
            <w:r>
              <w:rPr>
                <w:color w:val="auto"/>
                <w:sz w:val="24"/>
                <w:szCs w:val="24"/>
                <w:lang w:eastAsia="zh-CN" w:bidi="ar"/>
              </w:rPr>
              <w:t>m</w:t>
            </w:r>
            <w:r>
              <w:rPr>
                <w:rFonts w:hint="eastAsia"/>
                <w:color w:val="auto"/>
                <w:sz w:val="24"/>
                <w:szCs w:val="24"/>
                <w:vertAlign w:val="superscript"/>
                <w:lang w:eastAsia="zh-CN" w:bidi="ar"/>
              </w:rPr>
              <w:t>2</w:t>
            </w:r>
            <w:r>
              <w:rPr>
                <w:rFonts w:hint="eastAsia" w:ascii="宋体" w:hAnsi="宋体" w:cs="宋体"/>
                <w:color w:val="auto"/>
                <w:sz w:val="24"/>
                <w:szCs w:val="24"/>
                <w:lang w:eastAsia="zh-CN" w:bidi="ar"/>
              </w:rPr>
              <w:t>。</w:t>
            </w:r>
          </w:p>
          <w:p w14:paraId="16BF2297">
            <w:pPr>
              <w:widowControl/>
              <w:ind w:firstLine="480"/>
              <w:jc w:val="both"/>
              <w:rPr>
                <w:color w:val="auto"/>
                <w:sz w:val="24"/>
                <w:szCs w:val="24"/>
                <w:lang w:eastAsia="zh-CN"/>
              </w:rPr>
            </w:pPr>
            <w:r>
              <w:rPr>
                <w:rFonts w:hint="eastAsia" w:ascii="宋体" w:hAnsi="宋体" w:cs="宋体"/>
                <w:color w:val="auto"/>
                <w:sz w:val="24"/>
                <w:szCs w:val="24"/>
                <w:lang w:eastAsia="zh-CN" w:bidi="ar"/>
              </w:rPr>
              <w:t>（</w:t>
            </w:r>
            <w:r>
              <w:rPr>
                <w:color w:val="auto"/>
                <w:sz w:val="24"/>
                <w:szCs w:val="24"/>
                <w:lang w:eastAsia="zh-CN" w:bidi="ar"/>
              </w:rPr>
              <w:t>3</w:t>
            </w:r>
            <w:r>
              <w:rPr>
                <w:rFonts w:hint="eastAsia" w:ascii="宋体" w:hAnsi="宋体" w:cs="宋体"/>
                <w:color w:val="auto"/>
                <w:sz w:val="24"/>
                <w:szCs w:val="24"/>
                <w:lang w:eastAsia="zh-CN" w:bidi="ar"/>
              </w:rPr>
              <w:t>）对预测点多源声影响及背景噪声的叠加：</w:t>
            </w:r>
          </w:p>
          <w:p w14:paraId="12586DDF">
            <w:pPr>
              <w:widowControl/>
              <w:ind w:firstLine="480"/>
              <w:jc w:val="both"/>
              <w:rPr>
                <w:color w:val="auto"/>
                <w:sz w:val="24"/>
                <w:szCs w:val="24"/>
                <w:lang w:eastAsia="zh-CN"/>
              </w:rPr>
            </w:pPr>
            <w:r>
              <w:rPr>
                <w:rFonts w:hint="eastAsia" w:ascii="宋体" w:hAnsi="宋体" w:cs="宋体"/>
                <w:color w:val="auto"/>
                <w:sz w:val="24"/>
                <w:szCs w:val="24"/>
                <w:lang w:eastAsia="zh-CN" w:bidi="ar"/>
              </w:rPr>
              <w:t>工业企业噪声计算：设第</w:t>
            </w:r>
            <w:r>
              <w:rPr>
                <w:color w:val="auto"/>
                <w:sz w:val="24"/>
                <w:szCs w:val="24"/>
                <w:lang w:eastAsia="zh-CN" w:bidi="ar"/>
              </w:rPr>
              <w:t>i</w:t>
            </w:r>
            <w:r>
              <w:rPr>
                <w:rFonts w:hint="eastAsia" w:ascii="宋体" w:hAnsi="宋体" w:cs="宋体"/>
                <w:color w:val="auto"/>
                <w:sz w:val="24"/>
                <w:szCs w:val="24"/>
                <w:lang w:eastAsia="zh-CN" w:bidi="ar"/>
              </w:rPr>
              <w:t>个室外声源在预测点产生的</w:t>
            </w:r>
            <w:r>
              <w:rPr>
                <w:color w:val="auto"/>
                <w:sz w:val="24"/>
                <w:szCs w:val="24"/>
                <w:lang w:eastAsia="zh-CN" w:bidi="ar"/>
              </w:rPr>
              <w:t>A</w:t>
            </w:r>
            <w:r>
              <w:rPr>
                <w:rFonts w:hint="eastAsia" w:ascii="宋体" w:hAnsi="宋体" w:cs="宋体"/>
                <w:color w:val="auto"/>
                <w:sz w:val="24"/>
                <w:szCs w:val="24"/>
                <w:lang w:eastAsia="zh-CN" w:bidi="ar"/>
              </w:rPr>
              <w:t>声级为</w:t>
            </w:r>
            <w:r>
              <w:rPr>
                <w:color w:val="auto"/>
                <w:sz w:val="24"/>
                <w:szCs w:val="24"/>
                <w:lang w:eastAsia="zh-CN" w:bidi="ar"/>
              </w:rPr>
              <w:t>LAi</w:t>
            </w:r>
            <w:r>
              <w:rPr>
                <w:rFonts w:hint="eastAsia" w:ascii="宋体" w:hAnsi="宋体" w:cs="宋体"/>
                <w:color w:val="auto"/>
                <w:sz w:val="24"/>
                <w:szCs w:val="24"/>
                <w:lang w:eastAsia="zh-CN" w:bidi="ar"/>
              </w:rPr>
              <w:t>，在</w:t>
            </w:r>
            <w:r>
              <w:rPr>
                <w:color w:val="auto"/>
                <w:sz w:val="24"/>
                <w:szCs w:val="24"/>
                <w:lang w:eastAsia="zh-CN" w:bidi="ar"/>
              </w:rPr>
              <w:t>T</w:t>
            </w:r>
            <w:r>
              <w:rPr>
                <w:rFonts w:hint="eastAsia" w:ascii="宋体" w:hAnsi="宋体" w:cs="宋体"/>
                <w:color w:val="auto"/>
                <w:sz w:val="24"/>
                <w:szCs w:val="24"/>
                <w:lang w:eastAsia="zh-CN" w:bidi="ar"/>
              </w:rPr>
              <w:t>时间内该声源工作时间为</w:t>
            </w:r>
            <w:r>
              <w:rPr>
                <w:color w:val="auto"/>
                <w:sz w:val="24"/>
                <w:szCs w:val="24"/>
                <w:lang w:eastAsia="zh-CN" w:bidi="ar"/>
              </w:rPr>
              <w:t>ti</w:t>
            </w:r>
            <w:r>
              <w:rPr>
                <w:rFonts w:hint="eastAsia" w:ascii="宋体" w:hAnsi="宋体" w:cs="宋体"/>
                <w:color w:val="auto"/>
                <w:sz w:val="24"/>
                <w:szCs w:val="24"/>
                <w:lang w:eastAsia="zh-CN" w:bidi="ar"/>
              </w:rPr>
              <w:t>；第</w:t>
            </w:r>
            <w:r>
              <w:rPr>
                <w:color w:val="auto"/>
                <w:sz w:val="24"/>
                <w:szCs w:val="24"/>
                <w:lang w:eastAsia="zh-CN" w:bidi="ar"/>
              </w:rPr>
              <w:t>j</w:t>
            </w:r>
            <w:r>
              <w:rPr>
                <w:rFonts w:hint="eastAsia" w:ascii="宋体" w:hAnsi="宋体" w:cs="宋体"/>
                <w:color w:val="auto"/>
                <w:sz w:val="24"/>
                <w:szCs w:val="24"/>
                <w:lang w:eastAsia="zh-CN" w:bidi="ar"/>
              </w:rPr>
              <w:t>个等效室外声源在预测点产生的</w:t>
            </w:r>
            <w:r>
              <w:rPr>
                <w:color w:val="auto"/>
                <w:sz w:val="24"/>
                <w:szCs w:val="24"/>
                <w:lang w:eastAsia="zh-CN" w:bidi="ar"/>
              </w:rPr>
              <w:t>A</w:t>
            </w:r>
            <w:r>
              <w:rPr>
                <w:rFonts w:hint="eastAsia" w:ascii="宋体" w:hAnsi="宋体" w:cs="宋体"/>
                <w:color w:val="auto"/>
                <w:sz w:val="24"/>
                <w:szCs w:val="24"/>
                <w:lang w:eastAsia="zh-CN" w:bidi="ar"/>
              </w:rPr>
              <w:t>声级为</w:t>
            </w:r>
            <w:r>
              <w:rPr>
                <w:color w:val="auto"/>
                <w:sz w:val="24"/>
                <w:szCs w:val="24"/>
                <w:lang w:eastAsia="zh-CN" w:bidi="ar"/>
              </w:rPr>
              <w:t>LAj</w:t>
            </w:r>
            <w:r>
              <w:rPr>
                <w:rFonts w:hint="eastAsia" w:ascii="宋体" w:hAnsi="宋体" w:cs="宋体"/>
                <w:color w:val="auto"/>
                <w:sz w:val="24"/>
                <w:szCs w:val="24"/>
                <w:lang w:eastAsia="zh-CN" w:bidi="ar"/>
              </w:rPr>
              <w:t>，在</w:t>
            </w:r>
            <w:r>
              <w:rPr>
                <w:color w:val="auto"/>
                <w:sz w:val="24"/>
                <w:szCs w:val="24"/>
                <w:lang w:eastAsia="zh-CN" w:bidi="ar"/>
              </w:rPr>
              <w:t>T</w:t>
            </w:r>
            <w:r>
              <w:rPr>
                <w:rFonts w:hint="eastAsia" w:ascii="宋体" w:hAnsi="宋体" w:cs="宋体"/>
                <w:color w:val="auto"/>
                <w:sz w:val="24"/>
                <w:szCs w:val="24"/>
                <w:lang w:eastAsia="zh-CN" w:bidi="ar"/>
              </w:rPr>
              <w:t>时间内该声源工作时间为</w:t>
            </w:r>
            <w:r>
              <w:rPr>
                <w:color w:val="auto"/>
                <w:sz w:val="24"/>
                <w:szCs w:val="24"/>
                <w:lang w:eastAsia="zh-CN" w:bidi="ar"/>
              </w:rPr>
              <w:t>tj</w:t>
            </w:r>
            <w:r>
              <w:rPr>
                <w:rFonts w:hint="eastAsia" w:ascii="宋体" w:hAnsi="宋体" w:cs="宋体"/>
                <w:color w:val="auto"/>
                <w:sz w:val="24"/>
                <w:szCs w:val="24"/>
                <w:lang w:eastAsia="zh-CN" w:bidi="ar"/>
              </w:rPr>
              <w:t>，则建设项目声源对预测点产生的贡献值（</w:t>
            </w:r>
            <w:r>
              <w:rPr>
                <w:color w:val="auto"/>
                <w:sz w:val="24"/>
                <w:szCs w:val="24"/>
                <w:lang w:eastAsia="zh-CN" w:bidi="ar"/>
              </w:rPr>
              <w:t>Leqg</w:t>
            </w:r>
            <w:r>
              <w:rPr>
                <w:rFonts w:hint="eastAsia" w:ascii="宋体" w:hAnsi="宋体" w:cs="宋体"/>
                <w:color w:val="auto"/>
                <w:sz w:val="24"/>
                <w:szCs w:val="24"/>
                <w:lang w:eastAsia="zh-CN" w:bidi="ar"/>
              </w:rPr>
              <w:t>）为：</w:t>
            </w:r>
          </w:p>
          <w:p w14:paraId="53D4B75A">
            <w:pPr>
              <w:widowControl/>
              <w:ind w:left="0" w:leftChars="0" w:firstLine="0" w:firstLineChars="0"/>
              <w:jc w:val="center"/>
              <w:rPr>
                <w:color w:val="auto"/>
              </w:rPr>
            </w:pPr>
            <w:r>
              <w:rPr>
                <w:color w:val="auto"/>
                <w:lang w:eastAsia="zh-CN"/>
              </w:rPr>
              <mc:AlternateContent>
                <mc:Choice Requires="wps">
                  <w:drawing>
                    <wp:anchor distT="0" distB="0" distL="114300" distR="114300" simplePos="0" relativeHeight="251664384" behindDoc="0" locked="0" layoutInCell="1" allowOverlap="1">
                      <wp:simplePos x="0" y="0"/>
                      <wp:positionH relativeFrom="column">
                        <wp:posOffset>4389755</wp:posOffset>
                      </wp:positionH>
                      <wp:positionV relativeFrom="paragraph">
                        <wp:posOffset>131445</wp:posOffset>
                      </wp:positionV>
                      <wp:extent cx="852805" cy="333375"/>
                      <wp:effectExtent l="0" t="0" r="4445" b="9525"/>
                      <wp:wrapNone/>
                      <wp:docPr id="7" name="文本框 7"/>
                      <wp:cNvGraphicFramePr/>
                      <a:graphic xmlns:a="http://schemas.openxmlformats.org/drawingml/2006/main">
                        <a:graphicData uri="http://schemas.microsoft.com/office/word/2010/wordprocessingShape">
                          <wps:wsp>
                            <wps:cNvSpPr txBox="1"/>
                            <wps:spPr>
                              <a:xfrm>
                                <a:off x="0" y="0"/>
                                <a:ext cx="852805" cy="333375"/>
                              </a:xfrm>
                              <a:prstGeom prst="rect">
                                <a:avLst/>
                              </a:prstGeom>
                              <a:solidFill>
                                <a:srgbClr val="FFFFFF"/>
                              </a:solidFill>
                              <a:ln>
                                <a:noFill/>
                              </a:ln>
                            </wps:spPr>
                            <wps:txbx>
                              <w:txbxContent>
                                <w:p w14:paraId="641755B7">
                                  <w:pPr>
                                    <w:ind w:left="0" w:leftChars="0" w:firstLine="0" w:firstLineChars="0"/>
                                    <w:rPr>
                                      <w:sz w:val="24"/>
                                    </w:rPr>
                                  </w:pPr>
                                  <w:r>
                                    <w:rPr>
                                      <w:rFonts w:hint="eastAsia"/>
                                      <w:sz w:val="24"/>
                                    </w:rPr>
                                    <w:t>（式6）</w:t>
                                  </w:r>
                                </w:p>
                              </w:txbxContent>
                            </wps:txbx>
                            <wps:bodyPr upright="1"/>
                          </wps:wsp>
                        </a:graphicData>
                      </a:graphic>
                    </wp:anchor>
                  </w:drawing>
                </mc:Choice>
                <mc:Fallback>
                  <w:pict>
                    <v:shape id="_x0000_s1026" o:spid="_x0000_s1026" o:spt="202" type="#_x0000_t202" style="position:absolute;left:0pt;margin-left:345.65pt;margin-top:10.35pt;height:26.25pt;width:67.15pt;z-index:251664384;mso-width-relative:page;mso-height-relative:page;" fillcolor="#FFFFFF" filled="t" stroked="f" coordsize="21600,21600" o:gfxdata="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bjic2AAAAAkBAAAPAAAAAAAAAAEAIAAAACIAAABkcnMvZG93bnJldi54bWxQ&#10;SwECFAAUAAAACACHTuJAqtN/dL4BAAB2AwAADgAAAAAAAAABACAAAAAnAQAAZHJzL2Uyb0RvYy54&#10;bWxQSwUGAAAAAAYABgBZAQAAVwUAAAAA&#10;">
                      <v:fill on="t" focussize="0,0"/>
                      <v:stroke on="f"/>
                      <v:imagedata o:title=""/>
                      <o:lock v:ext="edit" aspectratio="f"/>
                      <v:textbox>
                        <w:txbxContent>
                          <w:p w14:paraId="641755B7">
                            <w:pPr>
                              <w:ind w:left="0" w:leftChars="0" w:firstLine="0" w:firstLineChars="0"/>
                              <w:rPr>
                                <w:sz w:val="24"/>
                              </w:rPr>
                            </w:pPr>
                            <w:r>
                              <w:rPr>
                                <w:rFonts w:hint="eastAsia"/>
                                <w:sz w:val="24"/>
                              </w:rPr>
                              <w:t>（式6）</w:t>
                            </w:r>
                          </w:p>
                        </w:txbxContent>
                      </v:textbox>
                    </v:shape>
                  </w:pict>
                </mc:Fallback>
              </mc:AlternateContent>
            </w:r>
            <w:r>
              <w:rPr>
                <w:color w:val="auto"/>
                <w:lang w:eastAsia="zh-CN"/>
              </w:rPr>
              <w:drawing>
                <wp:inline distT="0" distB="0" distL="114300" distR="114300">
                  <wp:extent cx="3333750" cy="628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333750" cy="628650"/>
                          </a:xfrm>
                          <a:prstGeom prst="rect">
                            <a:avLst/>
                          </a:prstGeom>
                          <a:noFill/>
                          <a:ln>
                            <a:noFill/>
                          </a:ln>
                        </pic:spPr>
                      </pic:pic>
                    </a:graphicData>
                  </a:graphic>
                </wp:inline>
              </w:drawing>
            </w:r>
          </w:p>
          <w:p w14:paraId="4E151001">
            <w:pPr>
              <w:widowControl/>
              <w:ind w:firstLine="480"/>
              <w:jc w:val="left"/>
              <w:rPr>
                <w:rFonts w:ascii="宋体" w:hAnsi="宋体" w:cs="宋体"/>
                <w:color w:val="auto"/>
                <w:sz w:val="24"/>
                <w:lang w:eastAsia="zh-CN" w:bidi="ar"/>
              </w:rPr>
            </w:pPr>
            <w:r>
              <w:rPr>
                <w:rFonts w:hint="eastAsia" w:ascii="宋体" w:hAnsi="宋体" w:cs="宋体"/>
                <w:color w:val="auto"/>
                <w:sz w:val="24"/>
                <w:lang w:eastAsia="zh-CN" w:bidi="ar"/>
              </w:rPr>
              <w:t>式中：</w:t>
            </w:r>
          </w:p>
          <w:p w14:paraId="6F6A506A">
            <w:pPr>
              <w:widowControl/>
              <w:ind w:firstLine="480"/>
              <w:jc w:val="left"/>
              <w:rPr>
                <w:color w:val="auto"/>
                <w:lang w:eastAsia="zh-CN"/>
              </w:rPr>
            </w:pPr>
            <w:r>
              <w:rPr>
                <w:color w:val="auto"/>
                <w:sz w:val="24"/>
                <w:lang w:eastAsia="zh-CN" w:bidi="ar"/>
              </w:rPr>
              <w:t>L</w:t>
            </w:r>
            <w:r>
              <w:rPr>
                <w:color w:val="auto"/>
                <w:sz w:val="15"/>
                <w:szCs w:val="15"/>
                <w:lang w:eastAsia="zh-CN" w:bidi="ar"/>
              </w:rPr>
              <w:t>eqg</w:t>
            </w:r>
            <w:r>
              <w:rPr>
                <w:color w:val="auto"/>
                <w:sz w:val="24"/>
                <w:lang w:eastAsia="zh-CN" w:bidi="ar"/>
              </w:rPr>
              <w:t>—</w:t>
            </w:r>
            <w:r>
              <w:rPr>
                <w:rFonts w:hint="eastAsia" w:ascii="宋体" w:hAnsi="宋体" w:cs="宋体"/>
                <w:color w:val="auto"/>
                <w:sz w:val="24"/>
                <w:lang w:eastAsia="zh-CN" w:bidi="ar"/>
              </w:rPr>
              <w:t>建设项目声源在预测点产生的噪声贡献值，</w:t>
            </w:r>
            <w:r>
              <w:rPr>
                <w:color w:val="auto"/>
                <w:sz w:val="24"/>
                <w:lang w:eastAsia="zh-CN" w:bidi="ar"/>
              </w:rPr>
              <w:t>dB</w:t>
            </w:r>
            <w:r>
              <w:rPr>
                <w:rFonts w:hint="eastAsia" w:ascii="宋体" w:hAnsi="宋体" w:cs="宋体"/>
                <w:color w:val="auto"/>
                <w:sz w:val="24"/>
                <w:lang w:eastAsia="zh-CN" w:bidi="ar"/>
              </w:rPr>
              <w:t>；</w:t>
            </w:r>
          </w:p>
          <w:p w14:paraId="35E17624">
            <w:pPr>
              <w:widowControl/>
              <w:ind w:firstLine="480"/>
              <w:jc w:val="left"/>
              <w:rPr>
                <w:color w:val="auto"/>
                <w:lang w:eastAsia="zh-CN"/>
              </w:rPr>
            </w:pPr>
            <w:r>
              <w:rPr>
                <w:color w:val="auto"/>
                <w:sz w:val="24"/>
                <w:lang w:eastAsia="zh-CN" w:bidi="ar"/>
              </w:rPr>
              <w:t>T—</w:t>
            </w:r>
            <w:r>
              <w:rPr>
                <w:rFonts w:hint="eastAsia" w:ascii="宋体" w:hAnsi="宋体" w:cs="宋体"/>
                <w:color w:val="auto"/>
                <w:sz w:val="24"/>
                <w:lang w:eastAsia="zh-CN" w:bidi="ar"/>
              </w:rPr>
              <w:t>用于计算等效声级的时间，</w:t>
            </w:r>
            <w:r>
              <w:rPr>
                <w:color w:val="auto"/>
                <w:sz w:val="24"/>
                <w:lang w:eastAsia="zh-CN" w:bidi="ar"/>
              </w:rPr>
              <w:t>s</w:t>
            </w:r>
            <w:r>
              <w:rPr>
                <w:rFonts w:hint="eastAsia" w:ascii="宋体" w:hAnsi="宋体" w:cs="宋体"/>
                <w:color w:val="auto"/>
                <w:sz w:val="24"/>
                <w:lang w:eastAsia="zh-CN" w:bidi="ar"/>
              </w:rPr>
              <w:t>；</w:t>
            </w:r>
          </w:p>
          <w:p w14:paraId="18D3D5FD">
            <w:pPr>
              <w:widowControl/>
              <w:ind w:firstLine="480"/>
              <w:jc w:val="left"/>
              <w:rPr>
                <w:color w:val="auto"/>
                <w:lang w:eastAsia="zh-CN"/>
              </w:rPr>
            </w:pPr>
            <w:r>
              <w:rPr>
                <w:color w:val="auto"/>
                <w:sz w:val="24"/>
                <w:lang w:eastAsia="zh-CN" w:bidi="ar"/>
              </w:rPr>
              <w:t>N—</w:t>
            </w:r>
            <w:r>
              <w:rPr>
                <w:rFonts w:hint="eastAsia" w:ascii="宋体" w:hAnsi="宋体" w:cs="宋体"/>
                <w:color w:val="auto"/>
                <w:sz w:val="24"/>
                <w:lang w:eastAsia="zh-CN" w:bidi="ar"/>
              </w:rPr>
              <w:t>室外声源个数；</w:t>
            </w:r>
          </w:p>
          <w:p w14:paraId="56E2E08A">
            <w:pPr>
              <w:widowControl/>
              <w:ind w:firstLine="480"/>
              <w:jc w:val="left"/>
              <w:rPr>
                <w:color w:val="auto"/>
                <w:lang w:eastAsia="zh-CN"/>
              </w:rPr>
            </w:pPr>
            <w:r>
              <w:rPr>
                <w:color w:val="auto"/>
                <w:sz w:val="24"/>
                <w:lang w:eastAsia="zh-CN" w:bidi="ar"/>
              </w:rPr>
              <w:t>t</w:t>
            </w:r>
            <w:r>
              <w:rPr>
                <w:color w:val="auto"/>
                <w:sz w:val="15"/>
                <w:szCs w:val="15"/>
                <w:lang w:eastAsia="zh-CN" w:bidi="ar"/>
              </w:rPr>
              <w:t>i</w:t>
            </w:r>
            <w:r>
              <w:rPr>
                <w:color w:val="auto"/>
                <w:sz w:val="24"/>
                <w:lang w:eastAsia="zh-CN" w:bidi="ar"/>
              </w:rPr>
              <w:t>—</w:t>
            </w:r>
            <w:r>
              <w:rPr>
                <w:rFonts w:hint="eastAsia" w:ascii="宋体" w:hAnsi="宋体" w:cs="宋体"/>
                <w:color w:val="auto"/>
                <w:sz w:val="24"/>
                <w:lang w:eastAsia="zh-CN" w:bidi="ar"/>
              </w:rPr>
              <w:t>在</w:t>
            </w:r>
            <w:r>
              <w:rPr>
                <w:color w:val="auto"/>
                <w:sz w:val="24"/>
                <w:lang w:eastAsia="zh-CN" w:bidi="ar"/>
              </w:rPr>
              <w:t>T</w:t>
            </w:r>
            <w:r>
              <w:rPr>
                <w:rFonts w:hint="eastAsia" w:ascii="宋体" w:hAnsi="宋体" w:cs="宋体"/>
                <w:color w:val="auto"/>
                <w:sz w:val="24"/>
                <w:lang w:eastAsia="zh-CN" w:bidi="ar"/>
              </w:rPr>
              <w:t>时间内</w:t>
            </w:r>
            <w:r>
              <w:rPr>
                <w:color w:val="auto"/>
                <w:sz w:val="24"/>
                <w:lang w:eastAsia="zh-CN" w:bidi="ar"/>
              </w:rPr>
              <w:t>i</w:t>
            </w:r>
            <w:r>
              <w:rPr>
                <w:rFonts w:hint="eastAsia" w:ascii="宋体" w:hAnsi="宋体" w:cs="宋体"/>
                <w:color w:val="auto"/>
                <w:sz w:val="24"/>
                <w:lang w:eastAsia="zh-CN" w:bidi="ar"/>
              </w:rPr>
              <w:t>声源工作时间，</w:t>
            </w:r>
            <w:r>
              <w:rPr>
                <w:color w:val="auto"/>
                <w:sz w:val="24"/>
                <w:lang w:eastAsia="zh-CN" w:bidi="ar"/>
              </w:rPr>
              <w:t>s</w:t>
            </w:r>
            <w:r>
              <w:rPr>
                <w:rFonts w:hint="eastAsia" w:ascii="宋体" w:hAnsi="宋体" w:cs="宋体"/>
                <w:color w:val="auto"/>
                <w:sz w:val="24"/>
                <w:lang w:eastAsia="zh-CN" w:bidi="ar"/>
              </w:rPr>
              <w:t>；</w:t>
            </w:r>
          </w:p>
          <w:p w14:paraId="066751D5">
            <w:pPr>
              <w:widowControl/>
              <w:ind w:firstLine="480"/>
              <w:jc w:val="left"/>
              <w:rPr>
                <w:color w:val="auto"/>
                <w:lang w:eastAsia="zh-CN"/>
              </w:rPr>
            </w:pPr>
            <w:r>
              <w:rPr>
                <w:color w:val="auto"/>
                <w:sz w:val="24"/>
                <w:lang w:eastAsia="zh-CN" w:bidi="ar"/>
              </w:rPr>
              <w:t>M—</w:t>
            </w:r>
            <w:r>
              <w:rPr>
                <w:rFonts w:hint="eastAsia" w:ascii="宋体" w:hAnsi="宋体" w:cs="宋体"/>
                <w:color w:val="auto"/>
                <w:sz w:val="24"/>
                <w:lang w:eastAsia="zh-CN" w:bidi="ar"/>
              </w:rPr>
              <w:t>等效室外声源个数；</w:t>
            </w:r>
          </w:p>
          <w:p w14:paraId="10A01E84">
            <w:pPr>
              <w:widowControl/>
              <w:ind w:firstLine="480"/>
              <w:jc w:val="left"/>
              <w:rPr>
                <w:color w:val="auto"/>
                <w:lang w:eastAsia="zh-CN"/>
              </w:rPr>
            </w:pPr>
            <w:r>
              <w:rPr>
                <w:color w:val="auto"/>
                <w:sz w:val="24"/>
                <w:lang w:eastAsia="zh-CN" w:bidi="ar"/>
              </w:rPr>
              <w:t>t</w:t>
            </w:r>
            <w:r>
              <w:rPr>
                <w:color w:val="auto"/>
                <w:sz w:val="15"/>
                <w:szCs w:val="15"/>
                <w:lang w:eastAsia="zh-CN" w:bidi="ar"/>
              </w:rPr>
              <w:t>j</w:t>
            </w:r>
            <w:r>
              <w:rPr>
                <w:color w:val="auto"/>
                <w:sz w:val="24"/>
                <w:lang w:eastAsia="zh-CN" w:bidi="ar"/>
              </w:rPr>
              <w:t>—</w:t>
            </w:r>
            <w:r>
              <w:rPr>
                <w:rFonts w:hint="eastAsia" w:ascii="宋体" w:hAnsi="宋体" w:cs="宋体"/>
                <w:color w:val="auto"/>
                <w:sz w:val="24"/>
                <w:lang w:eastAsia="zh-CN" w:bidi="ar"/>
              </w:rPr>
              <w:t>在</w:t>
            </w:r>
            <w:r>
              <w:rPr>
                <w:color w:val="auto"/>
                <w:sz w:val="24"/>
                <w:lang w:eastAsia="zh-CN" w:bidi="ar"/>
              </w:rPr>
              <w:t>T</w:t>
            </w:r>
            <w:r>
              <w:rPr>
                <w:rFonts w:hint="eastAsia" w:ascii="宋体" w:hAnsi="宋体" w:cs="宋体"/>
                <w:color w:val="auto"/>
                <w:sz w:val="24"/>
                <w:lang w:eastAsia="zh-CN" w:bidi="ar"/>
              </w:rPr>
              <w:t>时间内</w:t>
            </w:r>
            <w:r>
              <w:rPr>
                <w:color w:val="auto"/>
                <w:sz w:val="24"/>
                <w:lang w:eastAsia="zh-CN" w:bidi="ar"/>
              </w:rPr>
              <w:t>j</w:t>
            </w:r>
            <w:r>
              <w:rPr>
                <w:rFonts w:hint="eastAsia" w:ascii="宋体" w:hAnsi="宋体" w:cs="宋体"/>
                <w:color w:val="auto"/>
                <w:sz w:val="24"/>
                <w:lang w:eastAsia="zh-CN" w:bidi="ar"/>
              </w:rPr>
              <w:t>声源工作时间，</w:t>
            </w:r>
            <w:r>
              <w:rPr>
                <w:color w:val="auto"/>
                <w:sz w:val="24"/>
                <w:lang w:eastAsia="zh-CN" w:bidi="ar"/>
              </w:rPr>
              <w:t>s</w:t>
            </w:r>
            <w:r>
              <w:rPr>
                <w:rFonts w:hint="eastAsia" w:ascii="宋体" w:hAnsi="宋体" w:cs="宋体"/>
                <w:color w:val="auto"/>
                <w:sz w:val="24"/>
                <w:lang w:eastAsia="zh-CN" w:bidi="ar"/>
              </w:rPr>
              <w:t>；</w:t>
            </w:r>
          </w:p>
          <w:p w14:paraId="5795D44D">
            <w:pPr>
              <w:widowControl/>
              <w:ind w:left="0" w:leftChars="0" w:right="0" w:rightChars="0" w:firstLine="480"/>
              <w:jc w:val="both"/>
              <w:rPr>
                <w:color w:val="auto"/>
                <w:sz w:val="24"/>
                <w:lang w:eastAsia="zh-CN" w:bidi="ar"/>
              </w:rPr>
            </w:pPr>
            <w:r>
              <w:rPr>
                <w:rFonts w:hint="eastAsia"/>
                <w:color w:val="auto"/>
                <w:sz w:val="24"/>
                <w:lang w:eastAsia="zh-CN" w:bidi="ar"/>
              </w:rPr>
              <w:t>（4）</w:t>
            </w:r>
            <w:r>
              <w:rPr>
                <w:color w:val="auto"/>
                <w:sz w:val="24"/>
                <w:lang w:eastAsia="zh-CN" w:bidi="ar"/>
              </w:rPr>
              <w:t>预测结果</w:t>
            </w:r>
          </w:p>
          <w:p w14:paraId="59FF1A16">
            <w:pPr>
              <w:pStyle w:val="50"/>
              <w:ind w:left="0" w:leftChars="0" w:right="0" w:rightChars="0" w:firstLine="480"/>
              <w:jc w:val="both"/>
              <w:rPr>
                <w:rFonts w:cs="Times New Roman"/>
                <w:color w:val="auto"/>
                <w:szCs w:val="24"/>
                <w:lang w:eastAsia="zh-CN"/>
              </w:rPr>
            </w:pPr>
            <w:r>
              <w:rPr>
                <w:rFonts w:eastAsia="宋体" w:cs="Times New Roman"/>
                <w:color w:val="auto"/>
                <w:lang w:eastAsia="zh-CN" w:bidi="ar"/>
              </w:rPr>
              <w:t>利用上述模式可以预测分析该项目主要声源同时排放噪声的最为严重影响状况下，这些声源对边界声环境质量叠加影响，</w:t>
            </w:r>
            <w:r>
              <w:rPr>
                <w:rFonts w:hint="eastAsia" w:eastAsia="宋体" w:cs="Times New Roman"/>
                <w:color w:val="auto"/>
                <w:lang w:eastAsia="zh-CN" w:bidi="ar"/>
              </w:rPr>
              <w:t>企业夜间不运行，</w:t>
            </w:r>
            <w:r>
              <w:rPr>
                <w:rFonts w:eastAsia="宋体" w:cs="Times New Roman"/>
                <w:color w:val="auto"/>
                <w:lang w:eastAsia="zh-CN" w:bidi="ar"/>
              </w:rPr>
              <w:t>各厂界的预测结果见下表。</w:t>
            </w:r>
          </w:p>
          <w:p w14:paraId="31938EA1">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表4-1</w:t>
            </w:r>
            <w:r>
              <w:rPr>
                <w:rFonts w:hint="eastAsia" w:eastAsia="宋体" w:cs="Times New Roman"/>
                <w:b/>
                <w:bCs/>
                <w:color w:val="auto"/>
                <w:szCs w:val="21"/>
                <w:lang w:eastAsia="zh-CN"/>
              </w:rPr>
              <w:t>3</w:t>
            </w:r>
            <w:r>
              <w:rPr>
                <w:rFonts w:eastAsia="宋体" w:cs="Times New Roman"/>
                <w:b/>
                <w:bCs/>
                <w:color w:val="auto"/>
                <w:szCs w:val="21"/>
                <w:lang w:eastAsia="zh-CN"/>
              </w:rPr>
              <w:t xml:space="preserve">      本项目厂界噪声预测结果      单位：Leq[dB(A)]</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5"/>
              <w:gridCol w:w="682"/>
              <w:gridCol w:w="2183"/>
              <w:gridCol w:w="1400"/>
              <w:gridCol w:w="886"/>
              <w:gridCol w:w="1326"/>
              <w:gridCol w:w="1074"/>
            </w:tblGrid>
            <w:tr w14:paraId="2BB227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8" w:type="pct"/>
                  <w:gridSpan w:val="2"/>
                  <w:tcBorders>
                    <w:tl2br w:val="nil"/>
                    <w:tr2bl w:val="nil"/>
                  </w:tcBorders>
                  <w:vAlign w:val="center"/>
                </w:tcPr>
                <w:p w14:paraId="5D7A9545">
                  <w:pPr>
                    <w:autoSpaceDN w:val="0"/>
                    <w:adjustRightInd w:val="0"/>
                    <w:snapToGrid w:val="0"/>
                    <w:spacing w:line="240" w:lineRule="auto"/>
                    <w:ind w:left="0" w:leftChars="0" w:right="0" w:rightChars="0" w:firstLine="0" w:firstLineChars="0"/>
                    <w:jc w:val="center"/>
                    <w:rPr>
                      <w:rFonts w:cs="Times New Roman"/>
                      <w:b/>
                      <w:bCs/>
                      <w:color w:val="auto"/>
                      <w:kern w:val="2"/>
                      <w:szCs w:val="21"/>
                      <w:lang w:eastAsia="zh-CN"/>
                    </w:rPr>
                  </w:pPr>
                  <w:r>
                    <w:rPr>
                      <w:rFonts w:cs="Times New Roman"/>
                      <w:b/>
                      <w:bCs/>
                      <w:color w:val="auto"/>
                      <w:szCs w:val="21"/>
                      <w:lang w:eastAsia="zh-CN"/>
                    </w:rPr>
                    <w:t>预测点</w:t>
                  </w:r>
                </w:p>
              </w:tc>
              <w:tc>
                <w:tcPr>
                  <w:tcW w:w="1290" w:type="pct"/>
                  <w:tcBorders>
                    <w:tl2br w:val="nil"/>
                    <w:tr2bl w:val="nil"/>
                  </w:tcBorders>
                  <w:vAlign w:val="center"/>
                </w:tcPr>
                <w:p w14:paraId="773F2F74">
                  <w:pPr>
                    <w:autoSpaceDN w:val="0"/>
                    <w:adjustRightInd w:val="0"/>
                    <w:snapToGrid w:val="0"/>
                    <w:spacing w:line="240" w:lineRule="auto"/>
                    <w:ind w:left="0" w:leftChars="0" w:right="0" w:rightChars="0" w:firstLine="0" w:firstLineChars="0"/>
                    <w:jc w:val="center"/>
                    <w:rPr>
                      <w:rFonts w:cs="Times New Roman"/>
                      <w:b/>
                      <w:bCs/>
                      <w:color w:val="auto"/>
                      <w:kern w:val="2"/>
                      <w:szCs w:val="21"/>
                      <w:lang w:eastAsia="zh-CN"/>
                    </w:rPr>
                  </w:pPr>
                  <w:r>
                    <w:rPr>
                      <w:rFonts w:hint="eastAsia" w:cs="Times New Roman"/>
                      <w:b/>
                      <w:bCs/>
                      <w:color w:val="auto"/>
                      <w:kern w:val="2"/>
                      <w:szCs w:val="21"/>
                      <w:lang w:eastAsia="zh-CN"/>
                    </w:rPr>
                    <w:t>现有项目厂界贡献值</w:t>
                  </w:r>
                </w:p>
              </w:tc>
              <w:tc>
                <w:tcPr>
                  <w:tcW w:w="827" w:type="pct"/>
                  <w:tcBorders>
                    <w:tl2br w:val="nil"/>
                    <w:tr2bl w:val="nil"/>
                  </w:tcBorders>
                  <w:vAlign w:val="center"/>
                </w:tcPr>
                <w:p w14:paraId="2BC90107">
                  <w:pPr>
                    <w:autoSpaceDN w:val="0"/>
                    <w:adjustRightInd w:val="0"/>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噪声贡献值</w:t>
                  </w:r>
                </w:p>
              </w:tc>
              <w:tc>
                <w:tcPr>
                  <w:tcW w:w="524" w:type="pct"/>
                  <w:tcBorders>
                    <w:tl2br w:val="nil"/>
                    <w:tr2bl w:val="nil"/>
                  </w:tcBorders>
                  <w:vAlign w:val="center"/>
                </w:tcPr>
                <w:p w14:paraId="50DC3281">
                  <w:pPr>
                    <w:autoSpaceDN w:val="0"/>
                    <w:adjustRightInd w:val="0"/>
                    <w:snapToGrid w:val="0"/>
                    <w:spacing w:line="240" w:lineRule="auto"/>
                    <w:ind w:left="0" w:leftChars="0" w:right="0" w:rightChars="0" w:firstLine="0" w:firstLineChars="0"/>
                    <w:jc w:val="center"/>
                    <w:rPr>
                      <w:rFonts w:cs="Times New Roman"/>
                      <w:b/>
                      <w:bCs/>
                      <w:color w:val="auto"/>
                      <w:szCs w:val="21"/>
                      <w:lang w:eastAsia="zh-CN"/>
                    </w:rPr>
                  </w:pPr>
                  <w:r>
                    <w:rPr>
                      <w:rFonts w:hint="eastAsia" w:cs="Times New Roman"/>
                      <w:b/>
                      <w:bCs/>
                      <w:color w:val="auto"/>
                      <w:szCs w:val="21"/>
                      <w:lang w:eastAsia="zh-CN"/>
                    </w:rPr>
                    <w:t>叠加值</w:t>
                  </w:r>
                </w:p>
              </w:tc>
              <w:tc>
                <w:tcPr>
                  <w:tcW w:w="783" w:type="pct"/>
                  <w:tcBorders>
                    <w:tl2br w:val="nil"/>
                    <w:tr2bl w:val="nil"/>
                  </w:tcBorders>
                  <w:vAlign w:val="center"/>
                </w:tcPr>
                <w:p w14:paraId="500D60D4">
                  <w:pPr>
                    <w:autoSpaceDN w:val="0"/>
                    <w:adjustRightInd w:val="0"/>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标准值</w:t>
                  </w:r>
                </w:p>
              </w:tc>
              <w:tc>
                <w:tcPr>
                  <w:tcW w:w="634" w:type="pct"/>
                  <w:tcBorders>
                    <w:tl2br w:val="nil"/>
                    <w:tr2bl w:val="nil"/>
                  </w:tcBorders>
                  <w:vAlign w:val="center"/>
                </w:tcPr>
                <w:p w14:paraId="5D1AC663">
                  <w:pPr>
                    <w:autoSpaceDN w:val="0"/>
                    <w:adjustRightInd w:val="0"/>
                    <w:snapToGri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达标情况</w:t>
                  </w:r>
                </w:p>
              </w:tc>
            </w:tr>
            <w:tr w14:paraId="17C8BB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tcBorders>
                    <w:tl2br w:val="nil"/>
                    <w:tr2bl w:val="nil"/>
                  </w:tcBorders>
                  <w:vAlign w:val="center"/>
                </w:tcPr>
                <w:p w14:paraId="65FAEFFF">
                  <w:pPr>
                    <w:adjustRightInd w:val="0"/>
                    <w:snapToGrid w:val="0"/>
                    <w:spacing w:line="240" w:lineRule="auto"/>
                    <w:ind w:left="0" w:leftChars="0" w:right="0" w:rightChars="0" w:firstLine="0" w:firstLineChars="0"/>
                    <w:jc w:val="center"/>
                    <w:rPr>
                      <w:rFonts w:eastAsia="Calibri" w:cs="Times New Roman"/>
                      <w:b/>
                      <w:color w:val="auto"/>
                      <w:szCs w:val="21"/>
                      <w:lang w:eastAsia="zh-CN"/>
                    </w:rPr>
                  </w:pPr>
                  <w:r>
                    <w:rPr>
                      <w:rFonts w:cs="Times New Roman"/>
                      <w:b/>
                      <w:color w:val="auto"/>
                      <w:szCs w:val="21"/>
                      <w:lang w:eastAsia="zh-CN"/>
                    </w:rPr>
                    <w:t>东厂界</w:t>
                  </w:r>
                </w:p>
              </w:tc>
              <w:tc>
                <w:tcPr>
                  <w:tcW w:w="403" w:type="pct"/>
                  <w:tcBorders>
                    <w:tl2br w:val="nil"/>
                    <w:tr2bl w:val="nil"/>
                  </w:tcBorders>
                  <w:vAlign w:val="center"/>
                </w:tcPr>
                <w:p w14:paraId="086A4996">
                  <w:pPr>
                    <w:adjustRightInd w:val="0"/>
                    <w:snapToGrid w:val="0"/>
                    <w:spacing w:line="240" w:lineRule="auto"/>
                    <w:ind w:left="0" w:leftChars="0" w:right="0" w:rightChars="0" w:firstLine="0" w:firstLineChars="0"/>
                    <w:jc w:val="center"/>
                    <w:rPr>
                      <w:rFonts w:eastAsia="Calibri" w:cs="Times New Roman"/>
                      <w:bCs/>
                      <w:color w:val="auto"/>
                      <w:szCs w:val="21"/>
                      <w:lang w:eastAsia="zh-CN"/>
                    </w:rPr>
                  </w:pPr>
                  <w:r>
                    <w:rPr>
                      <w:rFonts w:hint="eastAsia" w:eastAsia="Calibri" w:cs="Times New Roman"/>
                      <w:bCs/>
                      <w:color w:val="auto"/>
                      <w:szCs w:val="21"/>
                      <w:lang w:eastAsia="zh-CN"/>
                    </w:rPr>
                    <w:t>昼间</w:t>
                  </w:r>
                </w:p>
              </w:tc>
              <w:tc>
                <w:tcPr>
                  <w:tcW w:w="1290" w:type="pct"/>
                  <w:tcBorders>
                    <w:tl2br w:val="nil"/>
                    <w:tr2bl w:val="nil"/>
                  </w:tcBorders>
                  <w:vAlign w:val="center"/>
                </w:tcPr>
                <w:p w14:paraId="29347178">
                  <w:pPr>
                    <w:adjustRightInd w:val="0"/>
                    <w:snapToGrid w:val="0"/>
                    <w:spacing w:line="240" w:lineRule="auto"/>
                    <w:ind w:left="0" w:leftChars="0" w:right="0" w:rightChars="0" w:firstLine="0" w:firstLineChars="0"/>
                    <w:jc w:val="center"/>
                    <w:rPr>
                      <w:rFonts w:eastAsia="Calibri" w:cs="Times New Roman"/>
                      <w:bCs/>
                      <w:color w:val="auto"/>
                      <w:szCs w:val="21"/>
                      <w:lang w:eastAsia="zh-CN"/>
                    </w:rPr>
                  </w:pPr>
                  <w:r>
                    <w:rPr>
                      <w:rFonts w:hint="eastAsia" w:eastAsia="Calibri" w:cs="Times New Roman"/>
                      <w:bCs/>
                      <w:color w:val="auto"/>
                      <w:szCs w:val="21"/>
                      <w:lang w:eastAsia="zh-CN"/>
                    </w:rPr>
                    <w:t>56</w:t>
                  </w:r>
                </w:p>
              </w:tc>
              <w:tc>
                <w:tcPr>
                  <w:tcW w:w="827" w:type="pct"/>
                  <w:tcBorders>
                    <w:tl2br w:val="nil"/>
                    <w:tr2bl w:val="nil"/>
                  </w:tcBorders>
                  <w:vAlign w:val="center"/>
                </w:tcPr>
                <w:p w14:paraId="27068E1F">
                  <w:pPr>
                    <w:adjustRightInd w:val="0"/>
                    <w:snapToGrid w:val="0"/>
                    <w:spacing w:line="240" w:lineRule="auto"/>
                    <w:ind w:left="0" w:leftChars="0" w:right="0" w:rightChars="0" w:firstLine="0" w:firstLineChars="0"/>
                    <w:jc w:val="center"/>
                    <w:rPr>
                      <w:rFonts w:hint="default" w:cs="Times New Roman"/>
                      <w:bCs/>
                      <w:color w:val="auto"/>
                      <w:szCs w:val="21"/>
                      <w:lang w:val="en-US" w:eastAsia="zh-CN"/>
                    </w:rPr>
                  </w:pPr>
                  <w:r>
                    <w:rPr>
                      <w:rFonts w:hint="eastAsia" w:cs="Times New Roman"/>
                      <w:bCs/>
                      <w:color w:val="auto"/>
                      <w:szCs w:val="21"/>
                      <w:lang w:val="en-US" w:eastAsia="zh-CN"/>
                    </w:rPr>
                    <w:t>49</w:t>
                  </w:r>
                </w:p>
              </w:tc>
              <w:tc>
                <w:tcPr>
                  <w:tcW w:w="524" w:type="pct"/>
                  <w:tcBorders>
                    <w:tl2br w:val="nil"/>
                    <w:tr2bl w:val="nil"/>
                  </w:tcBorders>
                  <w:vAlign w:val="center"/>
                </w:tcPr>
                <w:p w14:paraId="50527188">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cs="Times New Roman"/>
                      <w:bCs/>
                      <w:color w:val="auto"/>
                      <w:szCs w:val="21"/>
                      <w:lang w:eastAsia="zh-CN"/>
                    </w:rPr>
                    <w:t>5</w:t>
                  </w:r>
                  <w:r>
                    <w:rPr>
                      <w:rFonts w:hint="eastAsia" w:cs="Times New Roman"/>
                      <w:bCs/>
                      <w:color w:val="auto"/>
                      <w:szCs w:val="21"/>
                      <w:lang w:val="en-US" w:eastAsia="zh-CN"/>
                    </w:rPr>
                    <w:t>7</w:t>
                  </w:r>
                </w:p>
              </w:tc>
              <w:tc>
                <w:tcPr>
                  <w:tcW w:w="783" w:type="pct"/>
                  <w:tcBorders>
                    <w:tl2br w:val="nil"/>
                    <w:tr2bl w:val="nil"/>
                  </w:tcBorders>
                  <w:vAlign w:val="center"/>
                </w:tcPr>
                <w:p w14:paraId="35919930">
                  <w:pPr>
                    <w:adjustRightInd w:val="0"/>
                    <w:snapToGrid w:val="0"/>
                    <w:spacing w:line="240" w:lineRule="auto"/>
                    <w:ind w:left="0" w:leftChars="0" w:right="0" w:rightChars="0" w:firstLine="0" w:firstLineChars="0"/>
                    <w:jc w:val="center"/>
                    <w:rPr>
                      <w:rFonts w:eastAsia="Calibri" w:cs="Times New Roman"/>
                      <w:b/>
                      <w:color w:val="auto"/>
                      <w:szCs w:val="21"/>
                      <w:lang w:eastAsia="zh-CN"/>
                    </w:rPr>
                  </w:pPr>
                  <w:r>
                    <w:rPr>
                      <w:rFonts w:hint="eastAsia" w:eastAsia="Calibri" w:cs="Times New Roman"/>
                      <w:b/>
                      <w:color w:val="auto"/>
                      <w:szCs w:val="21"/>
                      <w:lang w:eastAsia="zh-CN"/>
                    </w:rPr>
                    <w:t>65</w:t>
                  </w:r>
                </w:p>
              </w:tc>
              <w:tc>
                <w:tcPr>
                  <w:tcW w:w="634" w:type="pct"/>
                  <w:tcBorders>
                    <w:tl2br w:val="nil"/>
                    <w:tr2bl w:val="nil"/>
                  </w:tcBorders>
                  <w:vAlign w:val="center"/>
                </w:tcPr>
                <w:p w14:paraId="4F8D19FE">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cs="Times New Roman"/>
                      <w:bCs/>
                      <w:color w:val="auto"/>
                      <w:szCs w:val="21"/>
                      <w:lang w:eastAsia="zh-CN"/>
                    </w:rPr>
                    <w:t>达标</w:t>
                  </w:r>
                </w:p>
              </w:tc>
            </w:tr>
            <w:tr w14:paraId="684C3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tcBorders>
                    <w:tl2br w:val="nil"/>
                    <w:tr2bl w:val="nil"/>
                  </w:tcBorders>
                  <w:vAlign w:val="center"/>
                </w:tcPr>
                <w:p w14:paraId="6D0225A8">
                  <w:pPr>
                    <w:adjustRightInd w:val="0"/>
                    <w:snapToGrid w:val="0"/>
                    <w:spacing w:line="240" w:lineRule="auto"/>
                    <w:ind w:left="0" w:leftChars="0" w:right="0" w:rightChars="0" w:firstLine="0" w:firstLineChars="0"/>
                    <w:jc w:val="center"/>
                    <w:rPr>
                      <w:rFonts w:eastAsia="Calibri" w:cs="Times New Roman"/>
                      <w:b/>
                      <w:color w:val="auto"/>
                      <w:szCs w:val="21"/>
                      <w:lang w:eastAsia="zh-CN"/>
                    </w:rPr>
                  </w:pPr>
                  <w:r>
                    <w:rPr>
                      <w:rFonts w:cs="Times New Roman"/>
                      <w:b/>
                      <w:color w:val="auto"/>
                      <w:szCs w:val="21"/>
                      <w:lang w:eastAsia="zh-CN"/>
                    </w:rPr>
                    <w:t>南厂界</w:t>
                  </w:r>
                </w:p>
              </w:tc>
              <w:tc>
                <w:tcPr>
                  <w:tcW w:w="403" w:type="pct"/>
                  <w:tcBorders>
                    <w:tl2br w:val="nil"/>
                    <w:tr2bl w:val="nil"/>
                  </w:tcBorders>
                  <w:vAlign w:val="center"/>
                </w:tcPr>
                <w:p w14:paraId="44571A77">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eastAsia="Calibri" w:cs="Times New Roman"/>
                      <w:bCs/>
                      <w:color w:val="auto"/>
                      <w:szCs w:val="21"/>
                      <w:lang w:eastAsia="zh-CN"/>
                    </w:rPr>
                    <w:t>昼间</w:t>
                  </w:r>
                </w:p>
              </w:tc>
              <w:tc>
                <w:tcPr>
                  <w:tcW w:w="1290" w:type="pct"/>
                  <w:tcBorders>
                    <w:tl2br w:val="nil"/>
                    <w:tr2bl w:val="nil"/>
                  </w:tcBorders>
                  <w:vAlign w:val="center"/>
                </w:tcPr>
                <w:p w14:paraId="21E70D82">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cs="Times New Roman"/>
                      <w:bCs/>
                      <w:color w:val="auto"/>
                      <w:szCs w:val="21"/>
                      <w:lang w:eastAsia="zh-CN"/>
                    </w:rPr>
                    <w:t>55</w:t>
                  </w:r>
                </w:p>
              </w:tc>
              <w:tc>
                <w:tcPr>
                  <w:tcW w:w="827" w:type="pct"/>
                  <w:tcBorders>
                    <w:tl2br w:val="nil"/>
                    <w:tr2bl w:val="nil"/>
                  </w:tcBorders>
                  <w:vAlign w:val="center"/>
                </w:tcPr>
                <w:p w14:paraId="4EDDE82A">
                  <w:pPr>
                    <w:adjustRightInd w:val="0"/>
                    <w:snapToGrid w:val="0"/>
                    <w:spacing w:line="240" w:lineRule="auto"/>
                    <w:ind w:left="0" w:leftChars="0" w:right="0" w:rightChars="0" w:firstLine="0" w:firstLineChars="0"/>
                    <w:jc w:val="center"/>
                    <w:rPr>
                      <w:rFonts w:hint="default" w:cs="Times New Roman"/>
                      <w:bCs/>
                      <w:color w:val="auto"/>
                      <w:szCs w:val="21"/>
                      <w:lang w:val="en-US" w:eastAsia="zh-CN"/>
                    </w:rPr>
                  </w:pPr>
                  <w:r>
                    <w:rPr>
                      <w:rFonts w:hint="eastAsia" w:cs="Times New Roman"/>
                      <w:bCs/>
                      <w:color w:val="auto"/>
                      <w:szCs w:val="21"/>
                      <w:lang w:val="en-US" w:eastAsia="zh-CN"/>
                    </w:rPr>
                    <w:t>47</w:t>
                  </w:r>
                </w:p>
              </w:tc>
              <w:tc>
                <w:tcPr>
                  <w:tcW w:w="524" w:type="pct"/>
                  <w:tcBorders>
                    <w:tl2br w:val="nil"/>
                    <w:tr2bl w:val="nil"/>
                  </w:tcBorders>
                  <w:vAlign w:val="center"/>
                </w:tcPr>
                <w:p w14:paraId="4327E390">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cs="Times New Roman"/>
                      <w:bCs/>
                      <w:color w:val="auto"/>
                      <w:szCs w:val="21"/>
                      <w:lang w:eastAsia="zh-CN"/>
                    </w:rPr>
                    <w:t>5</w:t>
                  </w:r>
                  <w:r>
                    <w:rPr>
                      <w:rFonts w:hint="eastAsia" w:cs="Times New Roman"/>
                      <w:bCs/>
                      <w:color w:val="auto"/>
                      <w:szCs w:val="21"/>
                      <w:lang w:val="en-US" w:eastAsia="zh-CN"/>
                    </w:rPr>
                    <w:t>6</w:t>
                  </w:r>
                </w:p>
              </w:tc>
              <w:tc>
                <w:tcPr>
                  <w:tcW w:w="783" w:type="pct"/>
                  <w:tcBorders>
                    <w:tl2br w:val="nil"/>
                    <w:tr2bl w:val="nil"/>
                  </w:tcBorders>
                  <w:vAlign w:val="center"/>
                </w:tcPr>
                <w:p w14:paraId="4E35ABA3">
                  <w:pPr>
                    <w:adjustRightInd w:val="0"/>
                    <w:snapToGrid w:val="0"/>
                    <w:spacing w:line="240" w:lineRule="auto"/>
                    <w:ind w:left="0" w:leftChars="0" w:right="0" w:rightChars="0" w:firstLine="0" w:firstLineChars="0"/>
                    <w:jc w:val="center"/>
                    <w:rPr>
                      <w:rFonts w:cs="Times New Roman"/>
                      <w:b/>
                      <w:color w:val="auto"/>
                      <w:szCs w:val="21"/>
                      <w:lang w:eastAsia="zh-CN"/>
                    </w:rPr>
                  </w:pPr>
                  <w:r>
                    <w:rPr>
                      <w:rFonts w:hint="eastAsia" w:eastAsia="Calibri" w:cs="Times New Roman"/>
                      <w:b/>
                      <w:color w:val="auto"/>
                      <w:szCs w:val="21"/>
                      <w:lang w:eastAsia="zh-CN"/>
                    </w:rPr>
                    <w:t>65</w:t>
                  </w:r>
                </w:p>
              </w:tc>
              <w:tc>
                <w:tcPr>
                  <w:tcW w:w="634" w:type="pct"/>
                  <w:tcBorders>
                    <w:tl2br w:val="nil"/>
                    <w:tr2bl w:val="nil"/>
                  </w:tcBorders>
                  <w:vAlign w:val="center"/>
                </w:tcPr>
                <w:p w14:paraId="61A34B1A">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cs="Times New Roman"/>
                      <w:bCs/>
                      <w:color w:val="auto"/>
                      <w:szCs w:val="21"/>
                      <w:lang w:eastAsia="zh-CN"/>
                    </w:rPr>
                    <w:t>达标</w:t>
                  </w:r>
                </w:p>
              </w:tc>
            </w:tr>
            <w:tr w14:paraId="0AF21E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tcBorders>
                    <w:tl2br w:val="nil"/>
                    <w:tr2bl w:val="nil"/>
                  </w:tcBorders>
                  <w:vAlign w:val="center"/>
                </w:tcPr>
                <w:p w14:paraId="297BA07C">
                  <w:pPr>
                    <w:adjustRightInd w:val="0"/>
                    <w:snapToGrid w:val="0"/>
                    <w:spacing w:line="240" w:lineRule="auto"/>
                    <w:ind w:left="0" w:leftChars="0" w:right="0" w:rightChars="0" w:firstLine="0" w:firstLineChars="0"/>
                    <w:jc w:val="center"/>
                    <w:rPr>
                      <w:rFonts w:eastAsia="Calibri" w:cs="Times New Roman"/>
                      <w:b/>
                      <w:color w:val="auto"/>
                      <w:szCs w:val="21"/>
                      <w:lang w:eastAsia="zh-CN"/>
                    </w:rPr>
                  </w:pPr>
                  <w:r>
                    <w:rPr>
                      <w:rFonts w:cs="Times New Roman"/>
                      <w:b/>
                      <w:color w:val="auto"/>
                      <w:szCs w:val="21"/>
                      <w:lang w:eastAsia="zh-CN"/>
                    </w:rPr>
                    <w:t>西厂界</w:t>
                  </w:r>
                </w:p>
              </w:tc>
              <w:tc>
                <w:tcPr>
                  <w:tcW w:w="403" w:type="pct"/>
                  <w:tcBorders>
                    <w:tl2br w:val="nil"/>
                    <w:tr2bl w:val="nil"/>
                  </w:tcBorders>
                  <w:vAlign w:val="center"/>
                </w:tcPr>
                <w:p w14:paraId="5844ACD5">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eastAsia="Calibri" w:cs="Times New Roman"/>
                      <w:bCs/>
                      <w:color w:val="auto"/>
                      <w:szCs w:val="21"/>
                      <w:lang w:eastAsia="zh-CN"/>
                    </w:rPr>
                    <w:t>昼间</w:t>
                  </w:r>
                </w:p>
              </w:tc>
              <w:tc>
                <w:tcPr>
                  <w:tcW w:w="1290" w:type="pct"/>
                  <w:tcBorders>
                    <w:tl2br w:val="nil"/>
                    <w:tr2bl w:val="nil"/>
                  </w:tcBorders>
                  <w:vAlign w:val="center"/>
                </w:tcPr>
                <w:p w14:paraId="24C91F3D">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cs="Times New Roman"/>
                      <w:bCs/>
                      <w:color w:val="auto"/>
                      <w:szCs w:val="21"/>
                      <w:lang w:eastAsia="zh-CN"/>
                    </w:rPr>
                    <w:t>56</w:t>
                  </w:r>
                </w:p>
              </w:tc>
              <w:tc>
                <w:tcPr>
                  <w:tcW w:w="827" w:type="pct"/>
                  <w:tcBorders>
                    <w:tl2br w:val="nil"/>
                    <w:tr2bl w:val="nil"/>
                  </w:tcBorders>
                  <w:vAlign w:val="center"/>
                </w:tcPr>
                <w:p w14:paraId="055433CF">
                  <w:pPr>
                    <w:adjustRightInd w:val="0"/>
                    <w:snapToGrid w:val="0"/>
                    <w:spacing w:line="240" w:lineRule="auto"/>
                    <w:ind w:left="0" w:leftChars="0" w:right="0" w:rightChars="0" w:firstLine="0" w:firstLineChars="0"/>
                    <w:jc w:val="center"/>
                    <w:rPr>
                      <w:rFonts w:hint="default" w:cs="Times New Roman"/>
                      <w:bCs/>
                      <w:color w:val="auto"/>
                      <w:szCs w:val="21"/>
                      <w:lang w:val="en-US" w:eastAsia="zh-CN"/>
                    </w:rPr>
                  </w:pPr>
                  <w:r>
                    <w:rPr>
                      <w:rFonts w:hint="eastAsia" w:cs="Times New Roman"/>
                      <w:bCs/>
                      <w:color w:val="auto"/>
                      <w:szCs w:val="21"/>
                      <w:lang w:val="en-US" w:eastAsia="zh-CN"/>
                    </w:rPr>
                    <w:t>49</w:t>
                  </w:r>
                </w:p>
              </w:tc>
              <w:tc>
                <w:tcPr>
                  <w:tcW w:w="524" w:type="pct"/>
                  <w:tcBorders>
                    <w:tl2br w:val="nil"/>
                    <w:tr2bl w:val="nil"/>
                  </w:tcBorders>
                  <w:vAlign w:val="center"/>
                </w:tcPr>
                <w:p w14:paraId="26B7B6ED">
                  <w:pPr>
                    <w:adjustRightInd w:val="0"/>
                    <w:snapToGrid w:val="0"/>
                    <w:spacing w:line="240" w:lineRule="auto"/>
                    <w:ind w:left="0" w:leftChars="0" w:right="0" w:rightChars="0" w:firstLine="0" w:firstLineChars="0"/>
                    <w:jc w:val="center"/>
                    <w:rPr>
                      <w:rFonts w:hint="default" w:cs="Times New Roman"/>
                      <w:bCs/>
                      <w:color w:val="auto"/>
                      <w:szCs w:val="21"/>
                      <w:lang w:val="en-US" w:eastAsia="zh-CN"/>
                    </w:rPr>
                  </w:pPr>
                  <w:r>
                    <w:rPr>
                      <w:rFonts w:hint="eastAsia" w:cs="Times New Roman"/>
                      <w:bCs/>
                      <w:color w:val="auto"/>
                      <w:szCs w:val="21"/>
                      <w:lang w:val="en-US" w:eastAsia="zh-CN"/>
                    </w:rPr>
                    <w:t>57</w:t>
                  </w:r>
                </w:p>
              </w:tc>
              <w:tc>
                <w:tcPr>
                  <w:tcW w:w="783" w:type="pct"/>
                  <w:tcBorders>
                    <w:tl2br w:val="nil"/>
                    <w:tr2bl w:val="nil"/>
                  </w:tcBorders>
                  <w:vAlign w:val="center"/>
                </w:tcPr>
                <w:p w14:paraId="2ED214E3">
                  <w:pPr>
                    <w:adjustRightInd w:val="0"/>
                    <w:snapToGrid w:val="0"/>
                    <w:spacing w:line="240" w:lineRule="auto"/>
                    <w:ind w:left="0" w:leftChars="0" w:right="0" w:rightChars="0" w:firstLine="0" w:firstLineChars="0"/>
                    <w:jc w:val="center"/>
                    <w:rPr>
                      <w:rFonts w:cs="Times New Roman"/>
                      <w:b/>
                      <w:color w:val="auto"/>
                      <w:szCs w:val="21"/>
                      <w:lang w:eastAsia="zh-CN"/>
                    </w:rPr>
                  </w:pPr>
                  <w:r>
                    <w:rPr>
                      <w:rFonts w:hint="eastAsia" w:eastAsia="Calibri" w:cs="Times New Roman"/>
                      <w:b/>
                      <w:color w:val="auto"/>
                      <w:szCs w:val="21"/>
                      <w:lang w:eastAsia="zh-CN"/>
                    </w:rPr>
                    <w:t>65</w:t>
                  </w:r>
                </w:p>
              </w:tc>
              <w:tc>
                <w:tcPr>
                  <w:tcW w:w="634" w:type="pct"/>
                  <w:tcBorders>
                    <w:tl2br w:val="nil"/>
                    <w:tr2bl w:val="nil"/>
                  </w:tcBorders>
                  <w:vAlign w:val="center"/>
                </w:tcPr>
                <w:p w14:paraId="056290AE">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cs="Times New Roman"/>
                      <w:bCs/>
                      <w:color w:val="auto"/>
                      <w:szCs w:val="21"/>
                      <w:lang w:eastAsia="zh-CN"/>
                    </w:rPr>
                    <w:t>达标</w:t>
                  </w:r>
                </w:p>
              </w:tc>
            </w:tr>
            <w:tr w14:paraId="315FCA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tcBorders>
                    <w:tl2br w:val="nil"/>
                    <w:tr2bl w:val="nil"/>
                  </w:tcBorders>
                  <w:vAlign w:val="center"/>
                </w:tcPr>
                <w:p w14:paraId="17857717">
                  <w:pPr>
                    <w:adjustRightInd w:val="0"/>
                    <w:snapToGrid w:val="0"/>
                    <w:spacing w:line="240" w:lineRule="auto"/>
                    <w:ind w:left="0" w:leftChars="0" w:right="0" w:rightChars="0" w:firstLine="0" w:firstLineChars="0"/>
                    <w:jc w:val="center"/>
                    <w:rPr>
                      <w:rFonts w:eastAsia="Calibri" w:cs="Times New Roman"/>
                      <w:b/>
                      <w:color w:val="auto"/>
                      <w:szCs w:val="21"/>
                      <w:lang w:eastAsia="zh-CN"/>
                    </w:rPr>
                  </w:pPr>
                  <w:r>
                    <w:rPr>
                      <w:rFonts w:cs="Times New Roman"/>
                      <w:b/>
                      <w:color w:val="auto"/>
                      <w:szCs w:val="21"/>
                      <w:lang w:eastAsia="zh-CN"/>
                    </w:rPr>
                    <w:t>北厂界</w:t>
                  </w:r>
                </w:p>
              </w:tc>
              <w:tc>
                <w:tcPr>
                  <w:tcW w:w="403" w:type="pct"/>
                  <w:tcBorders>
                    <w:tl2br w:val="nil"/>
                    <w:tr2bl w:val="nil"/>
                  </w:tcBorders>
                  <w:vAlign w:val="center"/>
                </w:tcPr>
                <w:p w14:paraId="5F74EEAB">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eastAsia="Calibri" w:cs="Times New Roman"/>
                      <w:bCs/>
                      <w:color w:val="auto"/>
                      <w:szCs w:val="21"/>
                      <w:lang w:eastAsia="zh-CN"/>
                    </w:rPr>
                    <w:t>昼间</w:t>
                  </w:r>
                </w:p>
              </w:tc>
              <w:tc>
                <w:tcPr>
                  <w:tcW w:w="1290" w:type="pct"/>
                  <w:tcBorders>
                    <w:tl2br w:val="nil"/>
                    <w:tr2bl w:val="nil"/>
                  </w:tcBorders>
                  <w:vAlign w:val="center"/>
                </w:tcPr>
                <w:p w14:paraId="4CE8D2DD">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cs="Times New Roman"/>
                      <w:bCs/>
                      <w:color w:val="auto"/>
                      <w:szCs w:val="21"/>
                      <w:lang w:eastAsia="zh-CN"/>
                    </w:rPr>
                    <w:t>55</w:t>
                  </w:r>
                </w:p>
              </w:tc>
              <w:tc>
                <w:tcPr>
                  <w:tcW w:w="827" w:type="pct"/>
                  <w:tcBorders>
                    <w:tl2br w:val="nil"/>
                    <w:tr2bl w:val="nil"/>
                  </w:tcBorders>
                  <w:vAlign w:val="center"/>
                </w:tcPr>
                <w:p w14:paraId="44699ECF">
                  <w:pPr>
                    <w:adjustRightInd w:val="0"/>
                    <w:snapToGrid w:val="0"/>
                    <w:spacing w:line="240" w:lineRule="auto"/>
                    <w:ind w:left="0" w:leftChars="0" w:right="0" w:rightChars="0" w:firstLine="0" w:firstLineChars="0"/>
                    <w:jc w:val="center"/>
                    <w:rPr>
                      <w:rFonts w:hint="default" w:cs="Times New Roman"/>
                      <w:bCs/>
                      <w:color w:val="auto"/>
                      <w:szCs w:val="21"/>
                      <w:lang w:val="en-US" w:eastAsia="zh-CN"/>
                    </w:rPr>
                  </w:pPr>
                  <w:r>
                    <w:rPr>
                      <w:rFonts w:hint="eastAsia" w:cs="Times New Roman"/>
                      <w:bCs/>
                      <w:color w:val="auto"/>
                      <w:szCs w:val="21"/>
                      <w:lang w:val="en-US" w:eastAsia="zh-CN"/>
                    </w:rPr>
                    <w:t>48</w:t>
                  </w:r>
                </w:p>
              </w:tc>
              <w:tc>
                <w:tcPr>
                  <w:tcW w:w="524" w:type="pct"/>
                  <w:tcBorders>
                    <w:tl2br w:val="nil"/>
                    <w:tr2bl w:val="nil"/>
                  </w:tcBorders>
                  <w:vAlign w:val="center"/>
                </w:tcPr>
                <w:p w14:paraId="2C80E73C">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hint="eastAsia" w:cs="Times New Roman"/>
                      <w:bCs/>
                      <w:color w:val="auto"/>
                      <w:szCs w:val="21"/>
                      <w:lang w:eastAsia="zh-CN"/>
                    </w:rPr>
                    <w:t>56</w:t>
                  </w:r>
                </w:p>
              </w:tc>
              <w:tc>
                <w:tcPr>
                  <w:tcW w:w="783" w:type="pct"/>
                  <w:tcBorders>
                    <w:tl2br w:val="nil"/>
                    <w:tr2bl w:val="nil"/>
                  </w:tcBorders>
                  <w:vAlign w:val="center"/>
                </w:tcPr>
                <w:p w14:paraId="1D1BA2DB">
                  <w:pPr>
                    <w:adjustRightInd w:val="0"/>
                    <w:snapToGrid w:val="0"/>
                    <w:spacing w:line="240" w:lineRule="auto"/>
                    <w:ind w:left="0" w:leftChars="0" w:right="0" w:rightChars="0" w:firstLine="0" w:firstLineChars="0"/>
                    <w:jc w:val="center"/>
                    <w:rPr>
                      <w:rFonts w:cs="Times New Roman"/>
                      <w:b/>
                      <w:color w:val="auto"/>
                      <w:szCs w:val="21"/>
                      <w:lang w:eastAsia="zh-CN"/>
                    </w:rPr>
                  </w:pPr>
                  <w:r>
                    <w:rPr>
                      <w:rFonts w:hint="eastAsia" w:eastAsia="Calibri" w:cs="Times New Roman"/>
                      <w:b/>
                      <w:color w:val="auto"/>
                      <w:szCs w:val="21"/>
                      <w:lang w:eastAsia="zh-CN"/>
                    </w:rPr>
                    <w:t>65</w:t>
                  </w:r>
                </w:p>
              </w:tc>
              <w:tc>
                <w:tcPr>
                  <w:tcW w:w="634" w:type="pct"/>
                  <w:tcBorders>
                    <w:tl2br w:val="nil"/>
                    <w:tr2bl w:val="nil"/>
                  </w:tcBorders>
                  <w:vAlign w:val="center"/>
                </w:tcPr>
                <w:p w14:paraId="6909BE71">
                  <w:pPr>
                    <w:adjustRightInd w:val="0"/>
                    <w:snapToGrid w:val="0"/>
                    <w:spacing w:line="240" w:lineRule="auto"/>
                    <w:ind w:left="0" w:leftChars="0" w:right="0" w:rightChars="0" w:firstLine="0" w:firstLineChars="0"/>
                    <w:jc w:val="center"/>
                    <w:rPr>
                      <w:rFonts w:cs="Times New Roman"/>
                      <w:bCs/>
                      <w:color w:val="auto"/>
                      <w:szCs w:val="21"/>
                      <w:lang w:eastAsia="zh-CN"/>
                    </w:rPr>
                  </w:pPr>
                  <w:r>
                    <w:rPr>
                      <w:rFonts w:cs="Times New Roman"/>
                      <w:bCs/>
                      <w:color w:val="auto"/>
                      <w:szCs w:val="21"/>
                      <w:lang w:eastAsia="zh-CN"/>
                    </w:rPr>
                    <w:t>达标</w:t>
                  </w:r>
                </w:p>
              </w:tc>
            </w:tr>
          </w:tbl>
          <w:p w14:paraId="52E9B71E">
            <w:pPr>
              <w:autoSpaceDE w:val="0"/>
              <w:autoSpaceDN w:val="0"/>
              <w:adjustRightInd w:val="0"/>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从上表可以看出，本项目运营期产噪设备采取基础减振、厂房隔声等措施后，经预测各厂界的昼间噪声贡献值符合《工业企业厂界环境噪声排放标准》（GB12348-2008）中的昼间3类标准要求，对周围环境影响较小。</w:t>
            </w:r>
            <w:r>
              <w:rPr>
                <w:rFonts w:eastAsia="宋体" w:cs="Times New Roman"/>
                <w:color w:val="auto"/>
                <w:sz w:val="24"/>
                <w:lang w:eastAsia="zh-CN" w:bidi="ar"/>
              </w:rPr>
              <w:t>评价要求建设单位加强日常管理，定期对产噪设备进行维护保养，避免设备故障产生的高噪声排放，同时应提高环保意识，尽可能地降低各种噪声对环境的影响。</w:t>
            </w:r>
          </w:p>
          <w:p w14:paraId="05A90B2E">
            <w:pPr>
              <w:adjustRightInd w:val="0"/>
              <w:snapToGrid w:val="0"/>
              <w:ind w:left="0" w:leftChars="0" w:right="0" w:rightChars="0" w:firstLine="482"/>
              <w:jc w:val="left"/>
              <w:rPr>
                <w:rFonts w:eastAsia="宋体" w:cs="Times New Roman"/>
                <w:b/>
                <w:bCs/>
                <w:color w:val="auto"/>
                <w:sz w:val="24"/>
                <w:lang w:eastAsia="zh-CN"/>
              </w:rPr>
            </w:pPr>
            <w:r>
              <w:rPr>
                <w:rFonts w:hint="eastAsia" w:eastAsia="宋体" w:cs="Times New Roman"/>
                <w:b/>
                <w:bCs/>
                <w:color w:val="auto"/>
                <w:sz w:val="24"/>
                <w:szCs w:val="24"/>
                <w:lang w:eastAsia="zh-CN"/>
              </w:rPr>
              <w:t>3.3</w:t>
            </w:r>
            <w:r>
              <w:rPr>
                <w:rFonts w:eastAsia="宋体" w:cs="Times New Roman"/>
                <w:b/>
                <w:bCs/>
                <w:color w:val="auto"/>
                <w:sz w:val="24"/>
                <w:szCs w:val="24"/>
                <w:lang w:eastAsia="zh-CN"/>
              </w:rPr>
              <w:t>噪声监测计划</w:t>
            </w:r>
          </w:p>
          <w:p w14:paraId="4A17528E">
            <w:pPr>
              <w:autoSpaceDE w:val="0"/>
              <w:autoSpaceDN w:val="0"/>
              <w:adjustRightInd w:val="0"/>
              <w:snapToGrid w:val="0"/>
              <w:ind w:left="0" w:leftChars="0" w:right="0" w:rightChars="0" w:firstLine="480"/>
              <w:jc w:val="both"/>
              <w:rPr>
                <w:rFonts w:eastAsia="宋体" w:cs="Times New Roman"/>
                <w:color w:val="auto"/>
                <w:sz w:val="24"/>
                <w:szCs w:val="24"/>
                <w:lang w:eastAsia="zh-CN"/>
              </w:rPr>
            </w:pPr>
            <w:r>
              <w:rPr>
                <w:rFonts w:eastAsia="宋体" w:cs="Times New Roman"/>
                <w:color w:val="auto"/>
                <w:sz w:val="24"/>
                <w:lang w:eastAsia="zh-CN"/>
              </w:rPr>
              <w:t>参照《排污单位自行监测技术指南总则（HJ819-2017）》，本项目噪声监测计划</w:t>
            </w:r>
            <w:r>
              <w:rPr>
                <w:rFonts w:hint="eastAsia" w:eastAsia="宋体" w:cs="Times New Roman"/>
                <w:color w:val="auto"/>
                <w:sz w:val="24"/>
                <w:lang w:eastAsia="zh-CN"/>
              </w:rPr>
              <w:t>应纳入全厂监测计划内，</w:t>
            </w:r>
            <w:r>
              <w:rPr>
                <w:rFonts w:eastAsia="宋体" w:cs="Times New Roman"/>
                <w:color w:val="auto"/>
                <w:sz w:val="24"/>
                <w:lang w:eastAsia="zh-CN"/>
              </w:rPr>
              <w:t>见下表：</w:t>
            </w:r>
          </w:p>
          <w:p w14:paraId="6C5AA42D">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w:t>
            </w:r>
            <w:r>
              <w:rPr>
                <w:rFonts w:hint="eastAsia" w:eastAsia="宋体" w:cs="Times New Roman"/>
                <w:b/>
                <w:bCs/>
                <w:color w:val="auto"/>
                <w:szCs w:val="21"/>
                <w:lang w:eastAsia="zh-CN"/>
              </w:rPr>
              <w:t>14</w:t>
            </w:r>
            <w:r>
              <w:rPr>
                <w:rFonts w:eastAsia="宋体" w:cs="Times New Roman"/>
                <w:b/>
                <w:bCs/>
                <w:color w:val="auto"/>
                <w:szCs w:val="21"/>
                <w:lang w:eastAsia="zh-CN"/>
              </w:rPr>
              <w:t xml:space="preserve">    污染源与环境监测计划表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281"/>
              <w:gridCol w:w="977"/>
              <w:gridCol w:w="1030"/>
              <w:gridCol w:w="974"/>
              <w:gridCol w:w="1246"/>
              <w:gridCol w:w="2948"/>
            </w:tblGrid>
            <w:tr w14:paraId="30635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57" w:type="pct"/>
                  <w:tcBorders>
                    <w:tl2br w:val="nil"/>
                    <w:tr2bl w:val="nil"/>
                  </w:tcBorders>
                  <w:vAlign w:val="center"/>
                </w:tcPr>
                <w:p w14:paraId="2F0F3B23">
                  <w:pPr>
                    <w:adjustRightInd w:val="0"/>
                    <w:snapToGrid w:val="0"/>
                    <w:spacing w:line="240" w:lineRule="auto"/>
                    <w:ind w:left="0" w:leftChars="0" w:right="0" w:rightChars="0" w:firstLine="0" w:firstLineChars="0"/>
                    <w:jc w:val="center"/>
                    <w:rPr>
                      <w:rFonts w:eastAsia="宋体" w:cs="Times New Roman"/>
                      <w:b/>
                      <w:bCs/>
                      <w:color w:val="auto"/>
                      <w:szCs w:val="21"/>
                    </w:rPr>
                  </w:pPr>
                  <w:r>
                    <w:rPr>
                      <w:rFonts w:eastAsia="宋体" w:cs="Times New Roman"/>
                      <w:b/>
                      <w:bCs/>
                      <w:color w:val="auto"/>
                      <w:szCs w:val="21"/>
                    </w:rPr>
                    <w:t>污染源名称</w:t>
                  </w:r>
                </w:p>
              </w:tc>
              <w:tc>
                <w:tcPr>
                  <w:tcW w:w="577" w:type="pct"/>
                  <w:tcBorders>
                    <w:tl2br w:val="nil"/>
                    <w:tr2bl w:val="nil"/>
                  </w:tcBorders>
                  <w:vAlign w:val="center"/>
                </w:tcPr>
                <w:p w14:paraId="0E430E3D">
                  <w:pPr>
                    <w:adjustRightInd w:val="0"/>
                    <w:snapToGrid w:val="0"/>
                    <w:spacing w:line="240" w:lineRule="auto"/>
                    <w:ind w:left="0" w:leftChars="0" w:right="0" w:rightChars="0" w:firstLine="0" w:firstLineChars="0"/>
                    <w:jc w:val="center"/>
                    <w:rPr>
                      <w:rFonts w:eastAsia="宋体" w:cs="Times New Roman"/>
                      <w:b/>
                      <w:bCs/>
                      <w:color w:val="auto"/>
                      <w:szCs w:val="21"/>
                    </w:rPr>
                  </w:pPr>
                  <w:r>
                    <w:rPr>
                      <w:rFonts w:eastAsia="宋体" w:cs="Times New Roman"/>
                      <w:b/>
                      <w:bCs/>
                      <w:color w:val="auto"/>
                      <w:szCs w:val="21"/>
                    </w:rPr>
                    <w:t>监测指标</w:t>
                  </w:r>
                </w:p>
              </w:tc>
              <w:tc>
                <w:tcPr>
                  <w:tcW w:w="609" w:type="pct"/>
                  <w:tcBorders>
                    <w:tl2br w:val="nil"/>
                    <w:tr2bl w:val="nil"/>
                  </w:tcBorders>
                  <w:vAlign w:val="center"/>
                </w:tcPr>
                <w:p w14:paraId="006495DE">
                  <w:pPr>
                    <w:adjustRightInd w:val="0"/>
                    <w:snapToGrid w:val="0"/>
                    <w:spacing w:line="240" w:lineRule="auto"/>
                    <w:ind w:left="0" w:leftChars="0" w:right="0" w:rightChars="0" w:firstLine="0" w:firstLineChars="0"/>
                    <w:jc w:val="center"/>
                    <w:rPr>
                      <w:rFonts w:eastAsia="宋体" w:cs="Times New Roman"/>
                      <w:b/>
                      <w:bCs/>
                      <w:color w:val="auto"/>
                      <w:szCs w:val="21"/>
                    </w:rPr>
                  </w:pPr>
                  <w:r>
                    <w:rPr>
                      <w:rFonts w:eastAsia="宋体" w:cs="Times New Roman"/>
                      <w:b/>
                      <w:bCs/>
                      <w:color w:val="auto"/>
                      <w:szCs w:val="21"/>
                    </w:rPr>
                    <w:t>监测点位</w:t>
                  </w:r>
                </w:p>
              </w:tc>
              <w:tc>
                <w:tcPr>
                  <w:tcW w:w="576" w:type="pct"/>
                  <w:tcBorders>
                    <w:tl2br w:val="nil"/>
                    <w:tr2bl w:val="nil"/>
                  </w:tcBorders>
                  <w:vAlign w:val="center"/>
                </w:tcPr>
                <w:p w14:paraId="09D782B9">
                  <w:pPr>
                    <w:adjustRightInd w:val="0"/>
                    <w:snapToGrid w:val="0"/>
                    <w:spacing w:line="240" w:lineRule="auto"/>
                    <w:ind w:left="0" w:leftChars="0" w:right="0" w:rightChars="0" w:firstLine="0" w:firstLineChars="0"/>
                    <w:jc w:val="center"/>
                    <w:rPr>
                      <w:rFonts w:eastAsia="宋体" w:cs="Times New Roman"/>
                      <w:b/>
                      <w:bCs/>
                      <w:color w:val="auto"/>
                      <w:szCs w:val="21"/>
                    </w:rPr>
                  </w:pPr>
                  <w:r>
                    <w:rPr>
                      <w:rFonts w:eastAsia="宋体" w:cs="Times New Roman"/>
                      <w:b/>
                      <w:bCs/>
                      <w:color w:val="auto"/>
                      <w:szCs w:val="21"/>
                    </w:rPr>
                    <w:t>监测点数</w:t>
                  </w:r>
                </w:p>
              </w:tc>
              <w:tc>
                <w:tcPr>
                  <w:tcW w:w="737" w:type="pct"/>
                  <w:tcBorders>
                    <w:tl2br w:val="nil"/>
                    <w:tr2bl w:val="nil"/>
                  </w:tcBorders>
                  <w:vAlign w:val="center"/>
                </w:tcPr>
                <w:p w14:paraId="4795A0DE">
                  <w:pPr>
                    <w:adjustRightInd w:val="0"/>
                    <w:snapToGrid w:val="0"/>
                    <w:spacing w:line="240" w:lineRule="auto"/>
                    <w:ind w:left="0" w:leftChars="0" w:right="0" w:rightChars="0" w:firstLine="0" w:firstLineChars="0"/>
                    <w:jc w:val="center"/>
                    <w:rPr>
                      <w:rFonts w:eastAsia="宋体" w:cs="Times New Roman"/>
                      <w:b/>
                      <w:bCs/>
                      <w:color w:val="auto"/>
                      <w:szCs w:val="21"/>
                    </w:rPr>
                  </w:pPr>
                  <w:r>
                    <w:rPr>
                      <w:rFonts w:eastAsia="宋体" w:cs="Times New Roman"/>
                      <w:b/>
                      <w:bCs/>
                      <w:color w:val="auto"/>
                      <w:szCs w:val="21"/>
                    </w:rPr>
                    <w:t>监测频次</w:t>
                  </w:r>
                </w:p>
              </w:tc>
              <w:tc>
                <w:tcPr>
                  <w:tcW w:w="1742" w:type="pct"/>
                  <w:tcBorders>
                    <w:tl2br w:val="nil"/>
                    <w:tr2bl w:val="nil"/>
                  </w:tcBorders>
                  <w:vAlign w:val="center"/>
                </w:tcPr>
                <w:p w14:paraId="73BAF113">
                  <w:pPr>
                    <w:adjustRightInd w:val="0"/>
                    <w:snapToGrid w:val="0"/>
                    <w:spacing w:line="240" w:lineRule="auto"/>
                    <w:ind w:left="0" w:leftChars="0" w:right="0" w:rightChars="0" w:firstLine="0" w:firstLineChars="0"/>
                    <w:jc w:val="center"/>
                    <w:rPr>
                      <w:rFonts w:eastAsia="宋体" w:cs="Times New Roman"/>
                      <w:b/>
                      <w:bCs/>
                      <w:color w:val="auto"/>
                      <w:szCs w:val="21"/>
                    </w:rPr>
                  </w:pPr>
                  <w:r>
                    <w:rPr>
                      <w:rFonts w:eastAsia="宋体" w:cs="Times New Roman"/>
                      <w:b/>
                      <w:bCs/>
                      <w:color w:val="auto"/>
                      <w:szCs w:val="21"/>
                    </w:rPr>
                    <w:t>执行排放标准</w:t>
                  </w:r>
                </w:p>
              </w:tc>
            </w:tr>
            <w:tr w14:paraId="1CBE5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57" w:type="pct"/>
                  <w:tcBorders>
                    <w:tl2br w:val="nil"/>
                    <w:tr2bl w:val="nil"/>
                  </w:tcBorders>
                  <w:vAlign w:val="center"/>
                </w:tcPr>
                <w:p w14:paraId="522C2907">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噪声</w:t>
                  </w:r>
                </w:p>
              </w:tc>
              <w:tc>
                <w:tcPr>
                  <w:tcW w:w="577" w:type="pct"/>
                  <w:tcBorders>
                    <w:tl2br w:val="nil"/>
                    <w:tr2bl w:val="nil"/>
                  </w:tcBorders>
                  <w:vAlign w:val="center"/>
                </w:tcPr>
                <w:p w14:paraId="757ED914">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Leq（A）</w:t>
                  </w:r>
                </w:p>
              </w:tc>
              <w:tc>
                <w:tcPr>
                  <w:tcW w:w="609" w:type="pct"/>
                  <w:tcBorders>
                    <w:tl2br w:val="nil"/>
                    <w:tr2bl w:val="nil"/>
                  </w:tcBorders>
                  <w:vAlign w:val="center"/>
                </w:tcPr>
                <w:p w14:paraId="2AC8F1AE">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厂界四周外1m处</w:t>
                  </w:r>
                </w:p>
              </w:tc>
              <w:tc>
                <w:tcPr>
                  <w:tcW w:w="576" w:type="pct"/>
                  <w:tcBorders>
                    <w:tl2br w:val="nil"/>
                    <w:tr2bl w:val="nil"/>
                  </w:tcBorders>
                  <w:vAlign w:val="center"/>
                </w:tcPr>
                <w:p w14:paraId="37CB97CB">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4个</w:t>
                  </w:r>
                </w:p>
              </w:tc>
              <w:tc>
                <w:tcPr>
                  <w:tcW w:w="737" w:type="pct"/>
                  <w:tcBorders>
                    <w:tl2br w:val="nil"/>
                    <w:tr2bl w:val="nil"/>
                  </w:tcBorders>
                  <w:vAlign w:val="center"/>
                </w:tcPr>
                <w:p w14:paraId="530EE01C">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1次/季度（昼夜各一次）</w:t>
                  </w:r>
                </w:p>
              </w:tc>
              <w:tc>
                <w:tcPr>
                  <w:tcW w:w="1742" w:type="pct"/>
                  <w:tcBorders>
                    <w:tl2br w:val="nil"/>
                    <w:tr2bl w:val="nil"/>
                  </w:tcBorders>
                  <w:vAlign w:val="center"/>
                </w:tcPr>
                <w:p w14:paraId="0C37FF13">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《工业企业厂界环境噪声排放标准》（GB12348-2008）中的3类标准</w:t>
                  </w:r>
                </w:p>
              </w:tc>
            </w:tr>
          </w:tbl>
          <w:p w14:paraId="54D72C75">
            <w:pPr>
              <w:ind w:left="0" w:leftChars="0" w:right="0" w:rightChars="0" w:firstLine="482"/>
              <w:jc w:val="both"/>
              <w:rPr>
                <w:rFonts w:eastAsia="宋体" w:cs="Times New Roman"/>
                <w:b/>
                <w:bCs/>
                <w:color w:val="auto"/>
                <w:sz w:val="24"/>
                <w:szCs w:val="24"/>
                <w:lang w:eastAsia="zh-CN"/>
              </w:rPr>
            </w:pPr>
            <w:r>
              <w:rPr>
                <w:rFonts w:hint="eastAsia" w:eastAsia="宋体" w:cs="Times New Roman"/>
                <w:b/>
                <w:bCs/>
                <w:color w:val="auto"/>
                <w:sz w:val="24"/>
                <w:szCs w:val="24"/>
                <w:lang w:eastAsia="zh-CN"/>
              </w:rPr>
              <w:t>4</w:t>
            </w:r>
            <w:r>
              <w:rPr>
                <w:rFonts w:eastAsia="宋体" w:cs="Times New Roman"/>
                <w:b/>
                <w:bCs/>
                <w:color w:val="auto"/>
                <w:sz w:val="24"/>
                <w:szCs w:val="24"/>
                <w:lang w:eastAsia="zh-CN"/>
              </w:rPr>
              <w:t>、固体废物</w:t>
            </w:r>
          </w:p>
          <w:p w14:paraId="0F24D4FA">
            <w:pPr>
              <w:autoSpaceDE w:val="0"/>
              <w:autoSpaceDN w:val="0"/>
              <w:adjustRightInd w:val="0"/>
              <w:snapToGrid w:val="0"/>
              <w:ind w:left="0" w:leftChars="0" w:right="0" w:rightChars="0" w:firstLine="480"/>
              <w:jc w:val="both"/>
              <w:rPr>
                <w:rFonts w:eastAsia="宋体" w:cs="Times New Roman"/>
                <w:color w:val="auto"/>
                <w:sz w:val="24"/>
                <w:lang w:eastAsia="zh-CN"/>
              </w:rPr>
            </w:pPr>
            <w:r>
              <w:rPr>
                <w:rFonts w:hint="eastAsia" w:eastAsia="宋体" w:cs="Times New Roman"/>
                <w:color w:val="auto"/>
                <w:sz w:val="24"/>
                <w:lang w:eastAsia="zh-CN"/>
              </w:rPr>
              <w:t>本项目喷涂工序脉冲布袋除尘器收集的塑粉约16.14t/a，收集后全部回用于喷涂工序，不属于固体废物。运营期产生的固体废物有一般固废、危险废物、生活垃圾、食堂废油脂。</w:t>
            </w:r>
          </w:p>
          <w:p w14:paraId="4D1FB89A">
            <w:pPr>
              <w:autoSpaceDE w:val="0"/>
              <w:autoSpaceDN w:val="0"/>
              <w:adjustRightInd w:val="0"/>
              <w:snapToGrid w:val="0"/>
              <w:ind w:left="0" w:leftChars="0" w:right="0" w:rightChars="0" w:firstLine="482"/>
              <w:jc w:val="both"/>
              <w:rPr>
                <w:rFonts w:eastAsia="宋体" w:cs="Times New Roman"/>
                <w:b/>
                <w:bCs/>
                <w:color w:val="auto"/>
                <w:sz w:val="24"/>
                <w:lang w:eastAsia="zh-CN"/>
              </w:rPr>
            </w:pPr>
            <w:r>
              <w:rPr>
                <w:rFonts w:hint="eastAsia" w:eastAsia="宋体" w:cs="Times New Roman"/>
                <w:b/>
                <w:bCs/>
                <w:color w:val="auto"/>
                <w:sz w:val="24"/>
                <w:lang w:eastAsia="zh-CN"/>
              </w:rPr>
              <w:t>4.1</w:t>
            </w:r>
            <w:r>
              <w:rPr>
                <w:rFonts w:eastAsia="宋体" w:cs="Times New Roman"/>
                <w:b/>
                <w:bCs/>
                <w:color w:val="auto"/>
                <w:sz w:val="24"/>
                <w:lang w:eastAsia="zh-CN"/>
              </w:rPr>
              <w:t>一般固体废物</w:t>
            </w:r>
          </w:p>
          <w:p w14:paraId="50AF7991">
            <w:pPr>
              <w:autoSpaceDE w:val="0"/>
              <w:autoSpaceDN w:val="0"/>
              <w:adjustRightInd w:val="0"/>
              <w:snapToGrid w:val="0"/>
              <w:ind w:left="0" w:leftChars="0" w:right="0" w:rightChars="0" w:firstLine="480"/>
              <w:jc w:val="both"/>
              <w:rPr>
                <w:rFonts w:eastAsia="宋体" w:cs="Times New Roman"/>
                <w:color w:val="auto"/>
                <w:sz w:val="24"/>
                <w:lang w:eastAsia="zh-CN"/>
              </w:rPr>
            </w:pPr>
            <w:r>
              <w:rPr>
                <w:rFonts w:eastAsia="宋体" w:cs="Times New Roman"/>
                <w:color w:val="auto"/>
                <w:sz w:val="24"/>
                <w:lang w:eastAsia="zh-CN"/>
              </w:rPr>
              <w:t>本项目运营期一般固废主要为废</w:t>
            </w:r>
            <w:r>
              <w:rPr>
                <w:rFonts w:hint="eastAsia" w:eastAsia="宋体" w:cs="Times New Roman"/>
                <w:color w:val="auto"/>
                <w:sz w:val="24"/>
                <w:lang w:eastAsia="zh-CN"/>
              </w:rPr>
              <w:t>边角料、焊接废料、除尘器收集的粉尘、废滤芯、废包装</w:t>
            </w:r>
            <w:r>
              <w:rPr>
                <w:rFonts w:eastAsia="宋体" w:cs="Times New Roman"/>
                <w:color w:val="auto"/>
                <w:sz w:val="24"/>
                <w:lang w:eastAsia="zh-CN"/>
              </w:rPr>
              <w:t>。</w:t>
            </w:r>
          </w:p>
          <w:p w14:paraId="239717F1">
            <w:pPr>
              <w:autoSpaceDE w:val="0"/>
              <w:autoSpaceDN w:val="0"/>
              <w:adjustRightInd w:val="0"/>
              <w:snapToGrid w:val="0"/>
              <w:ind w:firstLine="480"/>
              <w:jc w:val="both"/>
              <w:rPr>
                <w:rFonts w:cs="Times New Roman"/>
                <w:color w:val="auto"/>
                <w:sz w:val="24"/>
                <w:szCs w:val="20"/>
                <w:lang w:eastAsia="zh-CN" w:bidi="ar"/>
              </w:rPr>
            </w:pPr>
            <w:r>
              <w:rPr>
                <w:rFonts w:hint="eastAsia" w:cs="Times New Roman"/>
                <w:color w:val="auto"/>
                <w:sz w:val="24"/>
                <w:lang w:eastAsia="zh-CN"/>
              </w:rPr>
              <w:t>根据前文废气源强核算可知，项目切割工序产生的金属粉尘量为0.55t/a，其中95%经收集系统收集，收集量为0.5225t/a；</w:t>
            </w:r>
            <w:r>
              <w:rPr>
                <w:rFonts w:hint="eastAsia" w:eastAsia="宋体" w:cs="Times New Roman"/>
                <w:color w:val="auto"/>
                <w:sz w:val="24"/>
                <w:lang w:eastAsia="zh-CN"/>
              </w:rPr>
              <w:t>下料、剪板等</w:t>
            </w:r>
            <w:r>
              <w:rPr>
                <w:rFonts w:hint="eastAsia" w:cs="Times New Roman"/>
                <w:color w:val="auto"/>
                <w:sz w:val="24"/>
                <w:lang w:eastAsia="zh-CN"/>
              </w:rPr>
              <w:t>工序会产生废金属屑、废金属边角料，类比同类型企业，废金属屑产生量约</w:t>
            </w:r>
            <w:r>
              <w:rPr>
                <w:rFonts w:eastAsia="宋体" w:cs="Times New Roman"/>
                <w:color w:val="auto"/>
                <w:sz w:val="24"/>
                <w:lang w:eastAsia="zh-CN"/>
              </w:rPr>
              <w:t>1t/a</w:t>
            </w:r>
            <w:r>
              <w:rPr>
                <w:rFonts w:hint="eastAsia" w:cs="Times New Roman"/>
                <w:color w:val="auto"/>
                <w:sz w:val="24"/>
                <w:lang w:eastAsia="zh-CN"/>
              </w:rPr>
              <w:t>、废金属边角料产生量</w:t>
            </w:r>
            <w:r>
              <w:rPr>
                <w:rFonts w:eastAsia="宋体" w:cs="Times New Roman"/>
                <w:color w:val="auto"/>
                <w:sz w:val="24"/>
                <w:lang w:eastAsia="zh-CN"/>
              </w:rPr>
              <w:t>约为</w:t>
            </w:r>
            <w:r>
              <w:rPr>
                <w:rFonts w:hint="eastAsia" w:cs="Times New Roman"/>
                <w:color w:val="auto"/>
                <w:sz w:val="24"/>
                <w:lang w:eastAsia="zh-CN"/>
              </w:rPr>
              <w:t>2</w:t>
            </w:r>
            <w:r>
              <w:rPr>
                <w:rFonts w:eastAsia="宋体" w:cs="Times New Roman"/>
                <w:color w:val="auto"/>
                <w:sz w:val="24"/>
                <w:lang w:eastAsia="zh-CN"/>
              </w:rPr>
              <w:t>t</w:t>
            </w:r>
            <w:r>
              <w:rPr>
                <w:rFonts w:eastAsia="宋体" w:cs="Times New Roman"/>
                <w:color w:val="auto"/>
                <w:sz w:val="24"/>
                <w:szCs w:val="20"/>
                <w:lang w:eastAsia="zh-CN" w:bidi="ar"/>
              </w:rPr>
              <w:t>/a</w:t>
            </w:r>
            <w:r>
              <w:rPr>
                <w:rFonts w:hint="eastAsia" w:cs="Times New Roman"/>
                <w:color w:val="auto"/>
                <w:sz w:val="24"/>
                <w:szCs w:val="20"/>
                <w:lang w:eastAsia="zh-CN" w:bidi="ar"/>
              </w:rPr>
              <w:t>、废滤芯0.5t/a、焊接过程中</w:t>
            </w:r>
            <w:r>
              <w:rPr>
                <w:rFonts w:hint="eastAsia" w:cs="Times New Roman"/>
                <w:color w:val="auto"/>
                <w:sz w:val="24"/>
                <w:lang w:eastAsia="zh-CN"/>
              </w:rPr>
              <w:t>产生量的废焊丝</w:t>
            </w:r>
            <w:r>
              <w:rPr>
                <w:rFonts w:eastAsia="宋体" w:cs="Times New Roman"/>
                <w:color w:val="auto"/>
                <w:sz w:val="24"/>
                <w:lang w:eastAsia="zh-CN"/>
              </w:rPr>
              <w:t>约</w:t>
            </w:r>
            <w:r>
              <w:rPr>
                <w:rFonts w:hint="eastAsia" w:cs="Times New Roman"/>
                <w:color w:val="auto"/>
                <w:sz w:val="24"/>
                <w:lang w:eastAsia="zh-CN"/>
              </w:rPr>
              <w:t>0.02</w:t>
            </w:r>
            <w:r>
              <w:rPr>
                <w:rFonts w:eastAsia="宋体" w:cs="Times New Roman"/>
                <w:color w:val="auto"/>
                <w:sz w:val="24"/>
                <w:lang w:eastAsia="zh-CN"/>
              </w:rPr>
              <w:t>t</w:t>
            </w:r>
            <w:r>
              <w:rPr>
                <w:rFonts w:eastAsia="宋体" w:cs="Times New Roman"/>
                <w:color w:val="auto"/>
                <w:sz w:val="24"/>
                <w:szCs w:val="20"/>
                <w:lang w:eastAsia="zh-CN" w:bidi="ar"/>
              </w:rPr>
              <w:t>/a</w:t>
            </w:r>
            <w:r>
              <w:rPr>
                <w:rFonts w:hint="eastAsia" w:cs="Times New Roman"/>
                <w:color w:val="auto"/>
                <w:sz w:val="24"/>
                <w:szCs w:val="20"/>
                <w:lang w:eastAsia="zh-CN" w:bidi="ar"/>
              </w:rPr>
              <w:t>、废包装产生量为0.01t/a。</w:t>
            </w:r>
          </w:p>
          <w:p w14:paraId="08C418A7">
            <w:pPr>
              <w:widowControl/>
              <w:ind w:firstLine="480"/>
              <w:jc w:val="both"/>
              <w:rPr>
                <w:rFonts w:cs="Times New Roman"/>
                <w:color w:val="auto"/>
                <w:sz w:val="24"/>
                <w:lang w:eastAsia="zh-CN"/>
              </w:rPr>
            </w:pPr>
            <w:r>
              <w:rPr>
                <w:rFonts w:eastAsia="宋体" w:cs="Times New Roman"/>
                <w:color w:val="auto"/>
                <w:sz w:val="24"/>
                <w:lang w:eastAsia="zh-CN"/>
              </w:rPr>
              <w:t>废</w:t>
            </w:r>
            <w:r>
              <w:rPr>
                <w:rFonts w:hint="eastAsia" w:eastAsia="宋体" w:cs="Times New Roman"/>
                <w:color w:val="auto"/>
                <w:sz w:val="24"/>
                <w:lang w:eastAsia="zh-CN"/>
              </w:rPr>
              <w:t>边角料、焊接废料、除尘器收集的粉尘、废滤芯、废包装</w:t>
            </w:r>
            <w:r>
              <w:rPr>
                <w:rFonts w:hint="eastAsia" w:cs="Times New Roman"/>
                <w:color w:val="auto"/>
                <w:sz w:val="24"/>
                <w:szCs w:val="20"/>
                <w:lang w:eastAsia="zh-CN" w:bidi="ar"/>
              </w:rPr>
              <w:t>属于一般工业固废，分类收集后</w:t>
            </w:r>
            <w:r>
              <w:rPr>
                <w:rFonts w:eastAsia="宋体" w:cs="Times New Roman"/>
                <w:color w:val="auto"/>
                <w:sz w:val="24"/>
                <w:lang w:eastAsia="zh-CN"/>
              </w:rPr>
              <w:t>暂存于一般固废暂存区，</w:t>
            </w:r>
            <w:r>
              <w:rPr>
                <w:rFonts w:hint="eastAsia" w:cs="Times New Roman"/>
                <w:color w:val="auto"/>
                <w:sz w:val="24"/>
                <w:lang w:eastAsia="zh-CN"/>
              </w:rPr>
              <w:t>外售综合利用。</w:t>
            </w:r>
          </w:p>
          <w:p w14:paraId="495FF475">
            <w:pPr>
              <w:ind w:left="0" w:leftChars="0" w:right="0" w:rightChars="0" w:firstLine="482"/>
              <w:jc w:val="both"/>
              <w:rPr>
                <w:rFonts w:eastAsia="宋体" w:cs="Times New Roman"/>
                <w:b/>
                <w:bCs/>
                <w:color w:val="auto"/>
                <w:sz w:val="24"/>
                <w:lang w:eastAsia="zh-CN"/>
              </w:rPr>
            </w:pPr>
            <w:r>
              <w:rPr>
                <w:rFonts w:hint="eastAsia" w:eastAsia="宋体" w:cs="Times New Roman"/>
                <w:b/>
                <w:bCs/>
                <w:color w:val="auto"/>
                <w:sz w:val="24"/>
                <w:lang w:eastAsia="zh-CN"/>
              </w:rPr>
              <w:t>4.2</w:t>
            </w:r>
            <w:r>
              <w:rPr>
                <w:rFonts w:eastAsia="宋体" w:cs="Times New Roman"/>
                <w:b/>
                <w:bCs/>
                <w:color w:val="auto"/>
                <w:sz w:val="24"/>
                <w:lang w:eastAsia="zh-CN"/>
              </w:rPr>
              <w:t>危险废物</w:t>
            </w:r>
          </w:p>
          <w:p w14:paraId="78FC8E03">
            <w:pPr>
              <w:adjustRightInd w:val="0"/>
              <w:snapToGrid w:val="0"/>
              <w:ind w:left="0" w:leftChars="0" w:right="0" w:rightChars="0" w:firstLine="480"/>
              <w:jc w:val="left"/>
              <w:rPr>
                <w:rFonts w:eastAsia="宋体" w:cs="Times New Roman"/>
                <w:snapToGrid w:val="0"/>
                <w:color w:val="auto"/>
                <w:sz w:val="24"/>
                <w:szCs w:val="24"/>
                <w:lang w:eastAsia="zh-CN"/>
              </w:rPr>
            </w:pPr>
            <w:r>
              <w:rPr>
                <w:rFonts w:eastAsia="宋体" w:cs="Times New Roman"/>
                <w:snapToGrid w:val="0"/>
                <w:color w:val="auto"/>
                <w:sz w:val="24"/>
                <w:szCs w:val="24"/>
                <w:lang w:eastAsia="zh-CN"/>
              </w:rPr>
              <w:t>本项目运营期危险废物主要为：</w:t>
            </w:r>
            <w:r>
              <w:rPr>
                <w:rFonts w:hint="eastAsia" w:eastAsia="宋体" w:cs="Times New Roman"/>
                <w:snapToGrid w:val="0"/>
                <w:color w:val="auto"/>
                <w:sz w:val="24"/>
                <w:szCs w:val="24"/>
                <w:lang w:eastAsia="zh-CN"/>
              </w:rPr>
              <w:t>废油墨桶、废</w:t>
            </w:r>
            <w:r>
              <w:rPr>
                <w:rFonts w:hint="eastAsia" w:eastAsia="宋体" w:cs="Times New Roman"/>
                <w:snapToGrid w:val="0"/>
                <w:color w:val="auto"/>
                <w:sz w:val="24"/>
                <w:szCs w:val="24"/>
                <w:lang w:val="en-US" w:eastAsia="zh-CN"/>
              </w:rPr>
              <w:t>稀释剂</w:t>
            </w:r>
            <w:r>
              <w:rPr>
                <w:rFonts w:hint="eastAsia" w:eastAsia="宋体" w:cs="Times New Roman"/>
                <w:snapToGrid w:val="0"/>
                <w:color w:val="auto"/>
                <w:sz w:val="24"/>
                <w:szCs w:val="24"/>
                <w:lang w:eastAsia="zh-CN"/>
              </w:rPr>
              <w:t>桶</w:t>
            </w:r>
            <w:r>
              <w:rPr>
                <w:rFonts w:hint="eastAsia" w:eastAsia="宋体" w:cs="Times New Roman"/>
                <w:snapToGrid w:val="0"/>
                <w:color w:val="0000FF"/>
                <w:sz w:val="24"/>
                <w:szCs w:val="24"/>
                <w:lang w:eastAsia="zh-CN"/>
              </w:rPr>
              <w:t>、</w:t>
            </w:r>
            <w:r>
              <w:rPr>
                <w:rFonts w:eastAsia="宋体" w:cs="Times New Roman"/>
                <w:snapToGrid w:val="0"/>
                <w:color w:val="auto"/>
                <w:sz w:val="24"/>
                <w:szCs w:val="24"/>
                <w:lang w:eastAsia="zh-CN"/>
              </w:rPr>
              <w:t>废活性炭、</w:t>
            </w:r>
            <w:r>
              <w:rPr>
                <w:rFonts w:hint="eastAsia" w:eastAsia="宋体" w:cs="Times New Roman"/>
                <w:snapToGrid w:val="0"/>
                <w:color w:val="auto"/>
                <w:sz w:val="24"/>
                <w:szCs w:val="24"/>
                <w:lang w:eastAsia="zh-CN"/>
              </w:rPr>
              <w:t>废</w:t>
            </w:r>
            <w:r>
              <w:rPr>
                <w:rFonts w:eastAsia="宋体" w:cs="Times New Roman"/>
                <w:snapToGrid w:val="0"/>
                <w:color w:val="auto"/>
                <w:sz w:val="24"/>
                <w:szCs w:val="24"/>
                <w:lang w:eastAsia="zh-CN"/>
              </w:rPr>
              <w:t>含油</w:t>
            </w:r>
            <w:r>
              <w:rPr>
                <w:rFonts w:hint="eastAsia" w:eastAsia="宋体" w:cs="Times New Roman"/>
                <w:snapToGrid w:val="0"/>
                <w:color w:val="auto"/>
                <w:sz w:val="24"/>
                <w:szCs w:val="24"/>
                <w:lang w:eastAsia="zh-CN"/>
              </w:rPr>
              <w:t>劳保用品</w:t>
            </w:r>
            <w:r>
              <w:rPr>
                <w:rFonts w:eastAsia="宋体" w:cs="Times New Roman"/>
                <w:snapToGrid w:val="0"/>
                <w:color w:val="auto"/>
                <w:sz w:val="24"/>
                <w:szCs w:val="24"/>
                <w:lang w:eastAsia="zh-CN"/>
              </w:rPr>
              <w:t>、</w:t>
            </w:r>
            <w:r>
              <w:rPr>
                <w:rFonts w:hint="eastAsia" w:eastAsia="宋体" w:cs="Times New Roman"/>
                <w:snapToGrid w:val="0"/>
                <w:color w:val="auto"/>
                <w:sz w:val="24"/>
                <w:szCs w:val="24"/>
                <w:lang w:eastAsia="zh-CN"/>
              </w:rPr>
              <w:t>废润滑油</w:t>
            </w:r>
            <w:r>
              <w:rPr>
                <w:rFonts w:eastAsia="宋体" w:cs="Times New Roman"/>
                <w:snapToGrid w:val="0"/>
                <w:color w:val="auto"/>
                <w:sz w:val="24"/>
                <w:szCs w:val="24"/>
                <w:lang w:eastAsia="zh-CN"/>
              </w:rPr>
              <w:t>。</w:t>
            </w:r>
          </w:p>
          <w:p w14:paraId="0446B304">
            <w:pPr>
              <w:adjustRightInd w:val="0"/>
              <w:snapToGrid w:val="0"/>
              <w:ind w:left="420" w:leftChars="200" w:right="0" w:rightChars="0" w:firstLine="0" w:firstLineChars="0"/>
              <w:jc w:val="left"/>
              <w:rPr>
                <w:rFonts w:eastAsia="宋体" w:cs="Times New Roman"/>
                <w:snapToGrid w:val="0"/>
                <w:color w:val="auto"/>
                <w:sz w:val="24"/>
                <w:szCs w:val="24"/>
                <w:lang w:eastAsia="zh-CN"/>
              </w:rPr>
            </w:pPr>
            <w:r>
              <w:rPr>
                <w:rFonts w:hint="eastAsia" w:eastAsia="宋体" w:cs="Times New Roman"/>
                <w:snapToGrid w:val="0"/>
                <w:color w:val="auto"/>
                <w:sz w:val="24"/>
                <w:szCs w:val="24"/>
                <w:lang w:eastAsia="zh-CN"/>
              </w:rPr>
              <w:t>（1）废油墨桶、废</w:t>
            </w:r>
            <w:r>
              <w:rPr>
                <w:rFonts w:hint="eastAsia" w:eastAsia="宋体" w:cs="Times New Roman"/>
                <w:snapToGrid w:val="0"/>
                <w:color w:val="auto"/>
                <w:sz w:val="24"/>
                <w:szCs w:val="24"/>
                <w:lang w:val="en-US" w:eastAsia="zh-CN"/>
              </w:rPr>
              <w:t>稀释剂</w:t>
            </w:r>
            <w:r>
              <w:rPr>
                <w:rFonts w:hint="eastAsia" w:eastAsia="宋体" w:cs="Times New Roman"/>
                <w:snapToGrid w:val="0"/>
                <w:color w:val="auto"/>
                <w:sz w:val="24"/>
                <w:szCs w:val="24"/>
                <w:lang w:eastAsia="zh-CN"/>
              </w:rPr>
              <w:t>桶</w:t>
            </w:r>
          </w:p>
          <w:p w14:paraId="1E609053">
            <w:pPr>
              <w:pStyle w:val="34"/>
              <w:spacing w:line="360" w:lineRule="auto"/>
              <w:ind w:firstLine="480" w:firstLineChars="200"/>
              <w:jc w:val="both"/>
              <w:rPr>
                <w:rFonts w:ascii="Times New Roman" w:cs="Times New Roman"/>
                <w:snapToGrid w:val="0"/>
                <w:color w:val="auto"/>
              </w:rPr>
            </w:pPr>
            <w:r>
              <w:rPr>
                <w:rFonts w:hint="eastAsia" w:ascii="Times New Roman" w:cs="Times New Roman"/>
                <w:snapToGrid w:val="0"/>
                <w:color w:val="auto"/>
              </w:rPr>
              <w:t>项目油墨年使用量为100kg（1kg/桶），则废油墨桶产生量为100个，废油墨桶重约0.2kg，产生量为0.02t/a；项目</w:t>
            </w:r>
            <w:r>
              <w:rPr>
                <w:rFonts w:hint="eastAsia" w:ascii="Times New Roman" w:cs="Times New Roman"/>
                <w:snapToGrid w:val="0"/>
                <w:color w:val="auto"/>
                <w:lang w:val="en-US" w:eastAsia="zh-CN"/>
              </w:rPr>
              <w:t>稀释剂</w:t>
            </w:r>
            <w:r>
              <w:rPr>
                <w:rFonts w:hint="eastAsia" w:ascii="Times New Roman" w:cs="Times New Roman"/>
                <w:snapToGrid w:val="0"/>
                <w:color w:val="auto"/>
              </w:rPr>
              <w:t>年使用量为10kg（2kg/桶），废油墨桶产生量为5个，每个桶重量约0.3kg，则废油墨桶产生量为0.0015t/a。</w:t>
            </w:r>
          </w:p>
          <w:p w14:paraId="2F30F001">
            <w:pPr>
              <w:pStyle w:val="34"/>
              <w:spacing w:line="360" w:lineRule="auto"/>
              <w:ind w:firstLine="480" w:firstLineChars="200"/>
              <w:jc w:val="both"/>
              <w:rPr>
                <w:rFonts w:ascii="Times New Roman" w:cs="Times New Roman"/>
                <w:snapToGrid w:val="0"/>
                <w:color w:val="auto"/>
                <w:kern w:val="2"/>
              </w:rPr>
            </w:pPr>
            <w:r>
              <w:rPr>
                <w:rFonts w:hint="eastAsia" w:cs="Times New Roman"/>
                <w:snapToGrid w:val="0"/>
                <w:color w:val="auto"/>
              </w:rPr>
              <w:t>根据《国家危险废物名录（2021年版）》，废油墨桶、废</w:t>
            </w:r>
            <w:r>
              <w:rPr>
                <w:rFonts w:hint="eastAsia" w:ascii="Times New Roman" w:cs="Times New Roman"/>
                <w:snapToGrid w:val="0"/>
                <w:color w:val="auto"/>
                <w:lang w:val="en-US" w:eastAsia="zh-CN"/>
              </w:rPr>
              <w:t>稀释剂</w:t>
            </w:r>
            <w:r>
              <w:rPr>
                <w:rFonts w:hint="eastAsia" w:cs="Times New Roman"/>
                <w:snapToGrid w:val="0"/>
                <w:color w:val="auto"/>
              </w:rPr>
              <w:t>桶</w:t>
            </w:r>
            <w:r>
              <w:rPr>
                <w:rFonts w:ascii="Times New Roman" w:cs="Times New Roman"/>
                <w:snapToGrid w:val="0"/>
                <w:color w:val="auto"/>
              </w:rPr>
              <w:t>属于危险废物（危废类别HW</w:t>
            </w:r>
            <w:r>
              <w:rPr>
                <w:rFonts w:hint="eastAsia" w:ascii="Times New Roman" w:cs="Times New Roman"/>
                <w:snapToGrid w:val="0"/>
                <w:color w:val="auto"/>
              </w:rPr>
              <w:t>49</w:t>
            </w:r>
            <w:r>
              <w:rPr>
                <w:rFonts w:ascii="Times New Roman" w:cs="Times New Roman"/>
                <w:snapToGrid w:val="0"/>
                <w:color w:val="auto"/>
              </w:rPr>
              <w:t>，危废代码900-</w:t>
            </w:r>
            <w:r>
              <w:rPr>
                <w:rFonts w:hint="eastAsia" w:ascii="Times New Roman" w:cs="Times New Roman"/>
                <w:snapToGrid w:val="0"/>
                <w:color w:val="auto"/>
              </w:rPr>
              <w:t>041</w:t>
            </w:r>
            <w:r>
              <w:rPr>
                <w:rFonts w:ascii="Times New Roman" w:cs="Times New Roman"/>
                <w:snapToGrid w:val="0"/>
                <w:color w:val="auto"/>
              </w:rPr>
              <w:t>-</w:t>
            </w:r>
            <w:r>
              <w:rPr>
                <w:rFonts w:hint="eastAsia" w:ascii="Times New Roman" w:cs="Times New Roman"/>
                <w:snapToGrid w:val="0"/>
                <w:color w:val="auto"/>
              </w:rPr>
              <w:t>49</w:t>
            </w:r>
            <w:r>
              <w:rPr>
                <w:rFonts w:ascii="Times New Roman" w:cs="Times New Roman"/>
                <w:snapToGrid w:val="0"/>
                <w:color w:val="auto"/>
              </w:rPr>
              <w:t>），收集后暂存于危废暂存间</w:t>
            </w:r>
            <w:r>
              <w:rPr>
                <w:rFonts w:hint="eastAsia" w:cs="Times New Roman"/>
                <w:snapToGrid w:val="0"/>
                <w:color w:val="auto"/>
              </w:rPr>
              <w:t>，</w:t>
            </w:r>
            <w:r>
              <w:rPr>
                <w:rFonts w:ascii="Times New Roman" w:cs="Times New Roman"/>
                <w:snapToGrid w:val="0"/>
                <w:color w:val="auto"/>
              </w:rPr>
              <w:t>定期交有资质单位处理。</w:t>
            </w:r>
          </w:p>
          <w:p w14:paraId="2F25B8E7">
            <w:pPr>
              <w:adjustRightInd w:val="0"/>
              <w:snapToGrid w:val="0"/>
              <w:ind w:left="420" w:leftChars="200" w:right="0" w:rightChars="0" w:firstLine="0" w:firstLineChars="0"/>
              <w:jc w:val="left"/>
              <w:rPr>
                <w:rFonts w:eastAsia="宋体" w:cs="Times New Roman"/>
                <w:snapToGrid w:val="0"/>
                <w:color w:val="auto"/>
                <w:sz w:val="24"/>
                <w:szCs w:val="24"/>
                <w:lang w:eastAsia="zh-CN"/>
              </w:rPr>
            </w:pPr>
            <w:r>
              <w:rPr>
                <w:rFonts w:hint="eastAsia" w:eastAsia="宋体" w:cs="Times New Roman"/>
                <w:snapToGrid w:val="0"/>
                <w:color w:val="auto"/>
                <w:sz w:val="24"/>
                <w:szCs w:val="24"/>
                <w:lang w:eastAsia="zh-CN"/>
              </w:rPr>
              <w:t>（2）废活性炭</w:t>
            </w:r>
          </w:p>
          <w:p w14:paraId="15B4F494">
            <w:pPr>
              <w:adjustRightInd w:val="0"/>
              <w:snapToGrid w:val="0"/>
              <w:ind w:left="0" w:leftChars="0" w:right="0" w:rightChars="0" w:firstLine="480"/>
              <w:jc w:val="both"/>
              <w:rPr>
                <w:rFonts w:cs="Times New Roman"/>
                <w:color w:val="auto"/>
                <w:sz w:val="24"/>
                <w:lang w:eastAsia="zh-CN"/>
              </w:rPr>
            </w:pPr>
            <w:r>
              <w:rPr>
                <w:rFonts w:eastAsia="宋体" w:cs="Times New Roman"/>
                <w:snapToGrid w:val="0"/>
                <w:color w:val="auto"/>
                <w:sz w:val="24"/>
                <w:szCs w:val="24"/>
                <w:lang w:eastAsia="zh-CN"/>
              </w:rPr>
              <w:t>项目有机废气处理装置需定期更换活性炭。活性炭对有机废气等各成分的吸附量约为1g废气/3g活性炭。根据工程分析，本项目活性炭吸附装置处理有机废气为</w:t>
            </w:r>
            <w:r>
              <w:rPr>
                <w:rFonts w:hint="eastAsia" w:eastAsia="宋体" w:cs="Times New Roman"/>
                <w:snapToGrid w:val="0"/>
                <w:color w:val="auto"/>
                <w:sz w:val="24"/>
                <w:szCs w:val="24"/>
                <w:lang w:eastAsia="zh-CN"/>
              </w:rPr>
              <w:t>0.102</w:t>
            </w:r>
            <w:r>
              <w:rPr>
                <w:rFonts w:eastAsia="宋体" w:cs="Times New Roman"/>
                <w:snapToGrid w:val="0"/>
                <w:color w:val="auto"/>
                <w:sz w:val="24"/>
                <w:szCs w:val="24"/>
                <w:lang w:eastAsia="zh-CN"/>
              </w:rPr>
              <w:t>t/a，则吸附有机废气理论上所需活性炭为</w:t>
            </w:r>
            <w:r>
              <w:rPr>
                <w:rFonts w:hint="eastAsia" w:eastAsia="宋体" w:cs="Times New Roman"/>
                <w:snapToGrid w:val="0"/>
                <w:color w:val="auto"/>
                <w:sz w:val="24"/>
                <w:szCs w:val="24"/>
                <w:lang w:eastAsia="zh-CN"/>
              </w:rPr>
              <w:t>0.306</w:t>
            </w:r>
            <w:r>
              <w:rPr>
                <w:rFonts w:eastAsia="宋体" w:cs="Times New Roman"/>
                <w:snapToGrid w:val="0"/>
                <w:color w:val="auto"/>
                <w:sz w:val="24"/>
                <w:szCs w:val="24"/>
                <w:lang w:eastAsia="zh-CN"/>
              </w:rPr>
              <w:t>t/a，废活性炭产生量为</w:t>
            </w:r>
            <w:r>
              <w:rPr>
                <w:rFonts w:hint="eastAsia" w:eastAsia="宋体" w:cs="Times New Roman"/>
                <w:snapToGrid w:val="0"/>
                <w:color w:val="auto"/>
                <w:sz w:val="24"/>
                <w:szCs w:val="24"/>
                <w:lang w:eastAsia="zh-CN"/>
              </w:rPr>
              <w:t>0.408</w:t>
            </w:r>
            <w:r>
              <w:rPr>
                <w:rFonts w:eastAsia="宋体" w:cs="Times New Roman"/>
                <w:snapToGrid w:val="0"/>
                <w:color w:val="auto"/>
                <w:sz w:val="24"/>
                <w:szCs w:val="24"/>
                <w:lang w:eastAsia="zh-CN"/>
              </w:rPr>
              <w:t>t/a，</w:t>
            </w:r>
            <w:r>
              <w:rPr>
                <w:rFonts w:cs="Times New Roman"/>
                <w:color w:val="auto"/>
                <w:sz w:val="24"/>
                <w:lang w:eastAsia="zh-CN"/>
              </w:rPr>
              <w:t>该活性炭箱活性炭设计充装量为300kg，因此项目正常投产后约需每</w:t>
            </w:r>
            <w:r>
              <w:rPr>
                <w:rFonts w:hint="eastAsia" w:cs="Times New Roman"/>
                <w:color w:val="auto"/>
                <w:sz w:val="24"/>
                <w:lang w:eastAsia="zh-CN"/>
              </w:rPr>
              <w:t>6个月</w:t>
            </w:r>
            <w:r>
              <w:rPr>
                <w:rFonts w:cs="Times New Roman"/>
                <w:color w:val="auto"/>
                <w:sz w:val="24"/>
                <w:lang w:eastAsia="zh-CN"/>
              </w:rPr>
              <w:t>更换一次活性炭。</w:t>
            </w:r>
          </w:p>
          <w:p w14:paraId="2E398E1B">
            <w:pPr>
              <w:adjustRightInd w:val="0"/>
              <w:snapToGrid w:val="0"/>
              <w:ind w:left="0" w:leftChars="0" w:firstLine="480"/>
              <w:jc w:val="left"/>
              <w:rPr>
                <w:rFonts w:eastAsia="宋体" w:cs="Times New Roman"/>
                <w:snapToGrid w:val="0"/>
                <w:color w:val="auto"/>
                <w:sz w:val="24"/>
                <w:szCs w:val="24"/>
                <w:lang w:eastAsia="zh-CN"/>
              </w:rPr>
            </w:pPr>
            <w:r>
              <w:rPr>
                <w:rFonts w:hint="eastAsia" w:cs="Times New Roman"/>
                <w:snapToGrid w:val="0"/>
                <w:color w:val="auto"/>
                <w:sz w:val="24"/>
                <w:szCs w:val="24"/>
                <w:lang w:eastAsia="zh-CN"/>
              </w:rPr>
              <w:t>根据《国家危险废物名录（2021年版）》，</w:t>
            </w:r>
            <w:r>
              <w:rPr>
                <w:rFonts w:eastAsia="宋体" w:cs="Times New Roman"/>
                <w:snapToGrid w:val="0"/>
                <w:color w:val="auto"/>
                <w:sz w:val="24"/>
                <w:szCs w:val="24"/>
                <w:lang w:eastAsia="zh-CN"/>
              </w:rPr>
              <w:t>废活性炭属于危险废物（危废类别HW49，危废代码900-039-49）。更换的废活性炭经容器收集后暂存于危废暂存间定期交有资质单位处理。</w:t>
            </w:r>
          </w:p>
          <w:p w14:paraId="70427D03">
            <w:pPr>
              <w:adjustRightInd w:val="0"/>
              <w:snapToGrid w:val="0"/>
              <w:ind w:left="420" w:leftChars="200" w:right="0" w:rightChars="0" w:firstLine="0" w:firstLineChars="0"/>
              <w:jc w:val="left"/>
              <w:rPr>
                <w:rFonts w:eastAsia="宋体" w:cs="Times New Roman"/>
                <w:snapToGrid w:val="0"/>
                <w:color w:val="auto"/>
                <w:sz w:val="24"/>
                <w:szCs w:val="24"/>
                <w:lang w:eastAsia="zh-CN"/>
              </w:rPr>
            </w:pPr>
            <w:r>
              <w:rPr>
                <w:rFonts w:hint="eastAsia" w:eastAsia="宋体" w:cs="Times New Roman"/>
                <w:snapToGrid w:val="0"/>
                <w:color w:val="auto"/>
                <w:sz w:val="24"/>
                <w:szCs w:val="24"/>
                <w:lang w:eastAsia="zh-CN"/>
              </w:rPr>
              <w:t>（3）</w:t>
            </w:r>
            <w:r>
              <w:rPr>
                <w:rFonts w:eastAsia="宋体" w:cs="Times New Roman"/>
                <w:snapToGrid w:val="0"/>
                <w:color w:val="auto"/>
                <w:sz w:val="24"/>
                <w:szCs w:val="24"/>
                <w:lang w:eastAsia="zh-CN"/>
              </w:rPr>
              <w:t>废</w:t>
            </w:r>
            <w:r>
              <w:rPr>
                <w:rFonts w:hint="eastAsia" w:eastAsia="宋体" w:cs="Times New Roman"/>
                <w:snapToGrid w:val="0"/>
                <w:color w:val="auto"/>
                <w:sz w:val="24"/>
                <w:szCs w:val="24"/>
                <w:lang w:eastAsia="zh-CN"/>
              </w:rPr>
              <w:t>含油劳保用品</w:t>
            </w:r>
          </w:p>
          <w:p w14:paraId="1A0FA6B9">
            <w:pPr>
              <w:adjustRightInd w:val="0"/>
              <w:snapToGrid w:val="0"/>
              <w:ind w:left="0" w:leftChars="0" w:firstLine="480"/>
              <w:jc w:val="both"/>
              <w:rPr>
                <w:rFonts w:cs="Times New Roman"/>
                <w:snapToGrid w:val="0"/>
                <w:color w:val="auto"/>
                <w:sz w:val="24"/>
                <w:szCs w:val="24"/>
                <w:lang w:eastAsia="zh-CN"/>
              </w:rPr>
            </w:pPr>
            <w:r>
              <w:rPr>
                <w:rFonts w:hint="eastAsia" w:cs="Times New Roman"/>
                <w:snapToGrid w:val="0"/>
                <w:color w:val="auto"/>
                <w:sz w:val="24"/>
                <w:szCs w:val="24"/>
                <w:lang w:eastAsia="zh-CN"/>
              </w:rPr>
              <w:t>项目在日常维修过程中会产生少量含油废抹布、废手套等劳保用品，约0.02t/a，根据《国家危险废物名录（2021年版）》，废弃的含劳保用品（危废代码：900-041-49）属于危险废物，应收集后暂存于危废暂存间，定期交有资质单位处置。</w:t>
            </w:r>
          </w:p>
          <w:p w14:paraId="499BE7C0">
            <w:pPr>
              <w:adjustRightInd w:val="0"/>
              <w:snapToGrid w:val="0"/>
              <w:ind w:left="0" w:leftChars="0" w:right="0" w:rightChars="0" w:firstLine="480"/>
              <w:jc w:val="left"/>
              <w:rPr>
                <w:rFonts w:eastAsia="宋体" w:cs="Times New Roman"/>
                <w:snapToGrid w:val="0"/>
                <w:color w:val="auto"/>
                <w:sz w:val="24"/>
                <w:szCs w:val="24"/>
                <w:lang w:eastAsia="zh-CN"/>
              </w:rPr>
            </w:pPr>
            <w:r>
              <w:rPr>
                <w:rFonts w:eastAsia="宋体" w:cs="Times New Roman"/>
                <w:snapToGrid w:val="0"/>
                <w:color w:val="auto"/>
                <w:sz w:val="24"/>
                <w:szCs w:val="24"/>
                <w:lang w:eastAsia="zh-CN"/>
              </w:rPr>
              <w:t>（</w:t>
            </w:r>
            <w:r>
              <w:rPr>
                <w:rFonts w:hint="eastAsia" w:eastAsia="宋体" w:cs="Times New Roman"/>
                <w:snapToGrid w:val="0"/>
                <w:color w:val="auto"/>
                <w:sz w:val="24"/>
                <w:szCs w:val="24"/>
                <w:lang w:eastAsia="zh-CN"/>
              </w:rPr>
              <w:t>4</w:t>
            </w:r>
            <w:r>
              <w:rPr>
                <w:rFonts w:eastAsia="宋体" w:cs="Times New Roman"/>
                <w:snapToGrid w:val="0"/>
                <w:color w:val="auto"/>
                <w:sz w:val="24"/>
                <w:szCs w:val="24"/>
                <w:lang w:eastAsia="zh-CN"/>
              </w:rPr>
              <w:t>）</w:t>
            </w:r>
            <w:r>
              <w:rPr>
                <w:rFonts w:hint="eastAsia" w:eastAsia="宋体" w:cs="Times New Roman"/>
                <w:snapToGrid w:val="0"/>
                <w:color w:val="auto"/>
                <w:sz w:val="24"/>
                <w:szCs w:val="24"/>
                <w:lang w:eastAsia="zh-CN"/>
              </w:rPr>
              <w:t>废润滑油</w:t>
            </w:r>
          </w:p>
          <w:p w14:paraId="306E471D">
            <w:pPr>
              <w:adjustRightInd w:val="0"/>
              <w:snapToGrid w:val="0"/>
              <w:ind w:left="0" w:leftChars="0" w:right="0" w:rightChars="0" w:firstLine="480"/>
              <w:jc w:val="both"/>
              <w:rPr>
                <w:rFonts w:eastAsia="宋体" w:cs="Times New Roman"/>
                <w:snapToGrid w:val="0"/>
                <w:color w:val="auto"/>
                <w:sz w:val="24"/>
                <w:szCs w:val="24"/>
                <w:lang w:eastAsia="zh-CN"/>
              </w:rPr>
            </w:pPr>
            <w:r>
              <w:rPr>
                <w:rFonts w:hint="eastAsia" w:cs="Times New Roman"/>
                <w:snapToGrid w:val="0"/>
                <w:color w:val="auto"/>
                <w:sz w:val="24"/>
                <w:szCs w:val="24"/>
                <w:lang w:eastAsia="zh-CN"/>
              </w:rPr>
              <w:t>项目在日常维修过程中会产生废润滑油0.05t/a，根据《国家危险废物名录（2021年版）》，废润滑油（HW08 废物代码：900-249-08）属于危险废物，应收集后暂存于危废暂存间，定期交有资质单位处置。</w:t>
            </w:r>
          </w:p>
          <w:p w14:paraId="6787061F">
            <w:pPr>
              <w:adjustRightInd w:val="0"/>
              <w:snapToGrid w:val="0"/>
              <w:ind w:left="0" w:leftChars="0" w:right="0" w:rightChars="0" w:firstLine="482"/>
              <w:jc w:val="both"/>
              <w:rPr>
                <w:rFonts w:cs="Times New Roman"/>
                <w:b/>
                <w:bCs/>
                <w:color w:val="auto"/>
                <w:sz w:val="24"/>
                <w:szCs w:val="24"/>
                <w:lang w:eastAsia="zh-CN"/>
              </w:rPr>
            </w:pPr>
            <w:r>
              <w:rPr>
                <w:rFonts w:hint="eastAsia" w:cs="Times New Roman"/>
                <w:b/>
                <w:bCs/>
                <w:color w:val="auto"/>
                <w:sz w:val="24"/>
                <w:szCs w:val="24"/>
                <w:lang w:eastAsia="zh-CN"/>
              </w:rPr>
              <w:t>4.3</w:t>
            </w:r>
            <w:r>
              <w:rPr>
                <w:rFonts w:cs="Times New Roman"/>
                <w:b/>
                <w:bCs/>
                <w:color w:val="auto"/>
                <w:sz w:val="24"/>
                <w:szCs w:val="24"/>
                <w:lang w:eastAsia="zh-CN"/>
              </w:rPr>
              <w:t>生活垃圾</w:t>
            </w:r>
          </w:p>
          <w:p w14:paraId="67DC834B">
            <w:pPr>
              <w:adjustRightInd w:val="0"/>
              <w:snapToGrid w:val="0"/>
              <w:ind w:left="0" w:leftChars="0" w:right="0" w:rightChars="0" w:firstLine="480"/>
              <w:jc w:val="both"/>
              <w:rPr>
                <w:rFonts w:cs="Times New Roman"/>
                <w:color w:val="auto"/>
                <w:sz w:val="24"/>
                <w:szCs w:val="24"/>
                <w:lang w:eastAsia="zh-CN"/>
              </w:rPr>
            </w:pPr>
            <w:r>
              <w:rPr>
                <w:rFonts w:hint="eastAsia" w:cs="Times New Roman"/>
                <w:color w:val="auto"/>
                <w:sz w:val="24"/>
                <w:szCs w:val="24"/>
                <w:lang w:eastAsia="zh-CN"/>
              </w:rPr>
              <w:t>本扩建</w:t>
            </w:r>
            <w:r>
              <w:rPr>
                <w:rFonts w:cs="Times New Roman"/>
                <w:color w:val="auto"/>
                <w:sz w:val="24"/>
                <w:szCs w:val="24"/>
                <w:lang w:eastAsia="zh-CN"/>
              </w:rPr>
              <w:t>项目</w:t>
            </w:r>
            <w:r>
              <w:rPr>
                <w:rFonts w:hint="eastAsia" w:cs="Times New Roman"/>
                <w:color w:val="auto"/>
                <w:sz w:val="24"/>
                <w:szCs w:val="24"/>
                <w:lang w:eastAsia="zh-CN"/>
              </w:rPr>
              <w:t>新增</w:t>
            </w:r>
            <w:r>
              <w:rPr>
                <w:rFonts w:cs="Times New Roman"/>
                <w:color w:val="auto"/>
                <w:sz w:val="24"/>
                <w:szCs w:val="24"/>
                <w:lang w:eastAsia="zh-CN"/>
              </w:rPr>
              <w:t>劳动定员</w:t>
            </w:r>
            <w:r>
              <w:rPr>
                <w:rFonts w:hint="eastAsia" w:cs="Times New Roman"/>
                <w:color w:val="auto"/>
                <w:sz w:val="24"/>
                <w:szCs w:val="24"/>
                <w:lang w:eastAsia="zh-CN"/>
              </w:rPr>
              <w:t>1</w:t>
            </w:r>
            <w:r>
              <w:rPr>
                <w:rFonts w:cs="Times New Roman"/>
                <w:color w:val="auto"/>
                <w:sz w:val="24"/>
                <w:szCs w:val="24"/>
                <w:lang w:eastAsia="zh-CN"/>
              </w:rPr>
              <w:t>0人，垃圾产生量按0.5kg/人•d计算，则每天产生的生活垃圾为</w:t>
            </w:r>
            <w:r>
              <w:rPr>
                <w:rFonts w:hint="eastAsia" w:cs="Times New Roman"/>
                <w:color w:val="auto"/>
                <w:sz w:val="24"/>
                <w:szCs w:val="24"/>
                <w:lang w:eastAsia="zh-CN"/>
              </w:rPr>
              <w:t>5</w:t>
            </w:r>
            <w:r>
              <w:rPr>
                <w:rFonts w:cs="Times New Roman"/>
                <w:color w:val="auto"/>
                <w:sz w:val="24"/>
                <w:szCs w:val="24"/>
                <w:lang w:eastAsia="zh-CN"/>
              </w:rPr>
              <w:t>kg/d，年生活垃圾产生量为</w:t>
            </w:r>
            <w:r>
              <w:rPr>
                <w:rFonts w:hint="eastAsia" w:cs="Times New Roman"/>
                <w:color w:val="auto"/>
                <w:sz w:val="24"/>
                <w:szCs w:val="24"/>
                <w:lang w:eastAsia="zh-CN"/>
              </w:rPr>
              <w:t>1.5</w:t>
            </w:r>
            <w:r>
              <w:rPr>
                <w:rFonts w:cs="Times New Roman"/>
                <w:color w:val="auto"/>
                <w:sz w:val="24"/>
                <w:szCs w:val="24"/>
                <w:lang w:eastAsia="zh-CN"/>
              </w:rPr>
              <w:t>t/a。生活垃圾经垃圾桶分类收集后由环卫部门分类清运。</w:t>
            </w:r>
          </w:p>
          <w:p w14:paraId="2B7E2F56">
            <w:pPr>
              <w:adjustRightInd w:val="0"/>
              <w:snapToGrid w:val="0"/>
              <w:ind w:left="0" w:leftChars="0" w:right="0" w:rightChars="0" w:firstLine="482"/>
              <w:jc w:val="both"/>
              <w:rPr>
                <w:rFonts w:cs="Times New Roman"/>
                <w:b/>
                <w:bCs/>
                <w:color w:val="auto"/>
                <w:sz w:val="24"/>
                <w:szCs w:val="24"/>
                <w:lang w:eastAsia="zh-CN"/>
              </w:rPr>
            </w:pPr>
            <w:r>
              <w:rPr>
                <w:rFonts w:hint="eastAsia" w:cs="Times New Roman"/>
                <w:b/>
                <w:bCs/>
                <w:color w:val="auto"/>
                <w:sz w:val="24"/>
                <w:szCs w:val="24"/>
                <w:lang w:eastAsia="zh-CN"/>
              </w:rPr>
              <w:t>4.4废油脂</w:t>
            </w:r>
          </w:p>
          <w:p w14:paraId="74C2981E">
            <w:pPr>
              <w:adjustRightInd w:val="0"/>
              <w:snapToGrid w:val="0"/>
              <w:ind w:left="0" w:leftChars="0" w:right="0" w:rightChars="0" w:firstLine="480"/>
              <w:jc w:val="both"/>
              <w:rPr>
                <w:color w:val="auto"/>
                <w:lang w:eastAsia="zh-CN"/>
              </w:rPr>
            </w:pPr>
            <w:r>
              <w:rPr>
                <w:color w:val="auto"/>
                <w:sz w:val="24"/>
                <w:lang w:eastAsia="zh-CN"/>
              </w:rPr>
              <w:t>本项目废油脂产生量约0.</w:t>
            </w:r>
            <w:r>
              <w:rPr>
                <w:rFonts w:hint="eastAsia"/>
                <w:color w:val="auto"/>
                <w:sz w:val="24"/>
                <w:lang w:eastAsia="zh-CN"/>
              </w:rPr>
              <w:t>06</w:t>
            </w:r>
            <w:r>
              <w:rPr>
                <w:color w:val="auto"/>
                <w:sz w:val="24"/>
                <w:lang w:eastAsia="zh-CN"/>
              </w:rPr>
              <w:t>t/a，项目产生的废油脂定期委托废油脂回收单位回收处置。</w:t>
            </w:r>
          </w:p>
          <w:p w14:paraId="788ECEF4">
            <w:pPr>
              <w:adjustRightInd w:val="0"/>
              <w:snapToGrid w:val="0"/>
              <w:ind w:left="0" w:leftChars="0" w:right="0" w:rightChars="0" w:firstLine="480"/>
              <w:jc w:val="left"/>
              <w:rPr>
                <w:rFonts w:eastAsia="宋体" w:cs="Times New Roman"/>
                <w:snapToGrid w:val="0"/>
                <w:color w:val="auto"/>
                <w:sz w:val="24"/>
                <w:szCs w:val="24"/>
                <w:lang w:eastAsia="zh-CN"/>
              </w:rPr>
            </w:pPr>
            <w:r>
              <w:rPr>
                <w:rFonts w:eastAsia="宋体" w:cs="Times New Roman"/>
                <w:snapToGrid w:val="0"/>
                <w:color w:val="auto"/>
                <w:sz w:val="24"/>
                <w:szCs w:val="24"/>
                <w:lang w:eastAsia="zh-CN"/>
              </w:rPr>
              <w:t>本次项目固体废物产生及处置情况详见下表。</w:t>
            </w:r>
          </w:p>
          <w:p w14:paraId="29F00C11">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w:t>
            </w:r>
            <w:r>
              <w:rPr>
                <w:rFonts w:hint="eastAsia" w:eastAsia="宋体" w:cs="Times New Roman"/>
                <w:b/>
                <w:bCs/>
                <w:color w:val="auto"/>
                <w:szCs w:val="21"/>
                <w:lang w:eastAsia="zh-CN"/>
              </w:rPr>
              <w:t>12</w:t>
            </w:r>
            <w:r>
              <w:rPr>
                <w:rFonts w:eastAsia="宋体" w:cs="Times New Roman"/>
                <w:b/>
                <w:bCs/>
                <w:color w:val="auto"/>
                <w:szCs w:val="21"/>
                <w:lang w:eastAsia="zh-CN"/>
              </w:rPr>
              <w:t xml:space="preserve">    本项目固体废物产排情况一览表</w:t>
            </w:r>
          </w:p>
          <w:tbl>
            <w:tblPr>
              <w:tblStyle w:val="26"/>
              <w:tblW w:w="4994"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44"/>
              <w:gridCol w:w="696"/>
              <w:gridCol w:w="1163"/>
              <w:gridCol w:w="600"/>
              <w:gridCol w:w="933"/>
              <w:gridCol w:w="1474"/>
              <w:gridCol w:w="921"/>
              <w:gridCol w:w="689"/>
              <w:gridCol w:w="774"/>
              <w:gridCol w:w="755"/>
            </w:tblGrid>
            <w:tr w14:paraId="180024C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6992DFAE">
                  <w:pPr>
                    <w:adjustRightInd w:val="0"/>
                    <w:snapToGrid w:val="0"/>
                    <w:spacing w:line="240" w:lineRule="auto"/>
                    <w:ind w:left="0" w:leftChars="0" w:right="0" w:rightChars="0" w:firstLine="0" w:firstLineChars="0"/>
                    <w:jc w:val="center"/>
                    <w:rPr>
                      <w:rFonts w:cs="Times New Roman"/>
                      <w:b/>
                      <w:bCs/>
                      <w:snapToGrid w:val="0"/>
                      <w:color w:val="auto"/>
                      <w:szCs w:val="21"/>
                      <w:lang w:eastAsia="zh-CN"/>
                    </w:rPr>
                  </w:pPr>
                  <w:r>
                    <w:rPr>
                      <w:rFonts w:cs="Times New Roman"/>
                      <w:b/>
                      <w:bCs/>
                      <w:snapToGrid w:val="0"/>
                      <w:color w:val="auto"/>
                      <w:szCs w:val="21"/>
                      <w:lang w:eastAsia="zh-CN"/>
                    </w:rPr>
                    <w:t>序号</w:t>
                  </w:r>
                </w:p>
              </w:tc>
              <w:tc>
                <w:tcPr>
                  <w:tcW w:w="411" w:type="pct"/>
                  <w:tcBorders>
                    <w:tl2br w:val="nil"/>
                    <w:tr2bl w:val="nil"/>
                  </w:tcBorders>
                  <w:vAlign w:val="center"/>
                </w:tcPr>
                <w:p w14:paraId="522AE71E">
                  <w:pPr>
                    <w:adjustRightInd w:val="0"/>
                    <w:snapToGrid w:val="0"/>
                    <w:spacing w:line="240" w:lineRule="auto"/>
                    <w:ind w:left="0" w:leftChars="0" w:right="0" w:rightChars="0" w:firstLine="0" w:firstLineChars="0"/>
                    <w:jc w:val="center"/>
                    <w:rPr>
                      <w:rFonts w:cs="Times New Roman"/>
                      <w:b/>
                      <w:bCs/>
                      <w:snapToGrid w:val="0"/>
                      <w:color w:val="auto"/>
                      <w:szCs w:val="21"/>
                    </w:rPr>
                  </w:pPr>
                  <w:r>
                    <w:rPr>
                      <w:rFonts w:cs="Times New Roman"/>
                      <w:b/>
                      <w:bCs/>
                      <w:snapToGrid w:val="0"/>
                      <w:color w:val="auto"/>
                      <w:szCs w:val="21"/>
                    </w:rPr>
                    <w:t>产生环节</w:t>
                  </w:r>
                </w:p>
              </w:tc>
              <w:tc>
                <w:tcPr>
                  <w:tcW w:w="688" w:type="pct"/>
                  <w:tcBorders>
                    <w:tl2br w:val="nil"/>
                    <w:tr2bl w:val="nil"/>
                  </w:tcBorders>
                  <w:vAlign w:val="center"/>
                </w:tcPr>
                <w:p w14:paraId="75DA8A3D">
                  <w:pPr>
                    <w:adjustRightInd w:val="0"/>
                    <w:snapToGrid w:val="0"/>
                    <w:spacing w:line="240" w:lineRule="auto"/>
                    <w:ind w:left="0" w:leftChars="0" w:right="0" w:rightChars="0" w:firstLine="0" w:firstLineChars="0"/>
                    <w:jc w:val="center"/>
                    <w:rPr>
                      <w:rFonts w:cs="Times New Roman"/>
                      <w:b/>
                      <w:bCs/>
                      <w:snapToGrid w:val="0"/>
                      <w:color w:val="auto"/>
                      <w:szCs w:val="21"/>
                    </w:rPr>
                  </w:pPr>
                  <w:r>
                    <w:rPr>
                      <w:rFonts w:cs="Times New Roman"/>
                      <w:b/>
                      <w:bCs/>
                      <w:snapToGrid w:val="0"/>
                      <w:color w:val="auto"/>
                      <w:szCs w:val="21"/>
                    </w:rPr>
                    <w:t>名称</w:t>
                  </w:r>
                </w:p>
              </w:tc>
              <w:tc>
                <w:tcPr>
                  <w:tcW w:w="355" w:type="pct"/>
                  <w:tcBorders>
                    <w:tl2br w:val="nil"/>
                    <w:tr2bl w:val="nil"/>
                  </w:tcBorders>
                  <w:vAlign w:val="center"/>
                </w:tcPr>
                <w:p w14:paraId="783B0DBE">
                  <w:pPr>
                    <w:adjustRightInd w:val="0"/>
                    <w:snapToGrid w:val="0"/>
                    <w:spacing w:line="240" w:lineRule="auto"/>
                    <w:ind w:left="0" w:leftChars="0" w:right="0" w:rightChars="0" w:firstLine="0" w:firstLineChars="0"/>
                    <w:jc w:val="center"/>
                    <w:rPr>
                      <w:rFonts w:cs="Times New Roman"/>
                      <w:b/>
                      <w:bCs/>
                      <w:snapToGrid w:val="0"/>
                      <w:color w:val="auto"/>
                      <w:szCs w:val="21"/>
                    </w:rPr>
                  </w:pPr>
                  <w:r>
                    <w:rPr>
                      <w:rFonts w:cs="Times New Roman"/>
                      <w:b/>
                      <w:bCs/>
                      <w:snapToGrid w:val="0"/>
                      <w:color w:val="auto"/>
                      <w:szCs w:val="21"/>
                    </w:rPr>
                    <w:t>属性</w:t>
                  </w:r>
                </w:p>
              </w:tc>
              <w:tc>
                <w:tcPr>
                  <w:tcW w:w="552" w:type="pct"/>
                  <w:tcBorders>
                    <w:tl2br w:val="nil"/>
                    <w:tr2bl w:val="nil"/>
                  </w:tcBorders>
                  <w:vAlign w:val="center"/>
                </w:tcPr>
                <w:p w14:paraId="2DC54B58">
                  <w:pPr>
                    <w:adjustRightInd w:val="0"/>
                    <w:snapToGrid w:val="0"/>
                    <w:spacing w:line="240" w:lineRule="auto"/>
                    <w:ind w:left="0" w:leftChars="0" w:right="0" w:rightChars="0" w:firstLine="0" w:firstLineChars="0"/>
                    <w:jc w:val="center"/>
                    <w:rPr>
                      <w:rFonts w:eastAsia="宋体" w:cs="Times New Roman"/>
                      <w:b/>
                      <w:bCs/>
                      <w:snapToGrid w:val="0"/>
                      <w:color w:val="auto"/>
                      <w:szCs w:val="21"/>
                      <w:lang w:eastAsia="zh-CN"/>
                    </w:rPr>
                  </w:pPr>
                  <w:r>
                    <w:rPr>
                      <w:rFonts w:hint="eastAsia" w:cs="Times New Roman"/>
                      <w:b/>
                      <w:bCs/>
                      <w:snapToGrid w:val="0"/>
                      <w:color w:val="auto"/>
                      <w:szCs w:val="21"/>
                      <w:lang w:eastAsia="zh-CN"/>
                    </w:rPr>
                    <w:t>废物类别</w:t>
                  </w:r>
                </w:p>
              </w:tc>
              <w:tc>
                <w:tcPr>
                  <w:tcW w:w="872" w:type="pct"/>
                  <w:tcBorders>
                    <w:tl2br w:val="nil"/>
                    <w:tr2bl w:val="nil"/>
                  </w:tcBorders>
                  <w:vAlign w:val="center"/>
                </w:tcPr>
                <w:p w14:paraId="622CE669">
                  <w:pPr>
                    <w:adjustRightInd w:val="0"/>
                    <w:snapToGrid w:val="0"/>
                    <w:spacing w:line="240" w:lineRule="auto"/>
                    <w:ind w:left="0" w:leftChars="0" w:right="0" w:rightChars="0" w:firstLine="0" w:firstLineChars="0"/>
                    <w:jc w:val="center"/>
                    <w:rPr>
                      <w:rFonts w:eastAsia="宋体" w:cs="Times New Roman"/>
                      <w:b/>
                      <w:bCs/>
                      <w:snapToGrid w:val="0"/>
                      <w:color w:val="auto"/>
                      <w:szCs w:val="21"/>
                      <w:lang w:eastAsia="zh-CN"/>
                    </w:rPr>
                  </w:pPr>
                  <w:r>
                    <w:rPr>
                      <w:rFonts w:hint="eastAsia" w:cs="Times New Roman"/>
                      <w:b/>
                      <w:bCs/>
                      <w:snapToGrid w:val="0"/>
                      <w:color w:val="auto"/>
                      <w:szCs w:val="21"/>
                      <w:lang w:eastAsia="zh-CN"/>
                    </w:rPr>
                    <w:t>废物代码</w:t>
                  </w:r>
                </w:p>
              </w:tc>
              <w:tc>
                <w:tcPr>
                  <w:tcW w:w="545" w:type="pct"/>
                  <w:tcBorders>
                    <w:tl2br w:val="nil"/>
                    <w:tr2bl w:val="nil"/>
                  </w:tcBorders>
                  <w:vAlign w:val="center"/>
                </w:tcPr>
                <w:p w14:paraId="4445EFBE">
                  <w:pPr>
                    <w:adjustRightInd w:val="0"/>
                    <w:snapToGrid w:val="0"/>
                    <w:spacing w:line="240" w:lineRule="auto"/>
                    <w:ind w:left="0" w:leftChars="0" w:right="0" w:rightChars="0" w:firstLine="0" w:firstLineChars="0"/>
                    <w:jc w:val="center"/>
                    <w:rPr>
                      <w:rFonts w:eastAsia="宋体" w:cs="Times New Roman"/>
                      <w:b/>
                      <w:bCs/>
                      <w:snapToGrid w:val="0"/>
                      <w:color w:val="auto"/>
                      <w:szCs w:val="21"/>
                      <w:lang w:eastAsia="zh-CN"/>
                    </w:rPr>
                  </w:pPr>
                  <w:r>
                    <w:rPr>
                      <w:rFonts w:cs="Times New Roman"/>
                      <w:b/>
                      <w:bCs/>
                      <w:snapToGrid w:val="0"/>
                      <w:color w:val="auto"/>
                      <w:szCs w:val="21"/>
                    </w:rPr>
                    <w:t>产生量</w:t>
                  </w:r>
                  <w:r>
                    <w:rPr>
                      <w:rFonts w:cs="Times New Roman"/>
                      <w:b/>
                      <w:bCs/>
                      <w:snapToGrid w:val="0"/>
                      <w:color w:val="auto"/>
                      <w:szCs w:val="21"/>
                      <w:lang w:eastAsia="zh-CN"/>
                    </w:rPr>
                    <w:t>（</w:t>
                  </w:r>
                  <w:r>
                    <w:rPr>
                      <w:rFonts w:cs="Times New Roman"/>
                      <w:b/>
                      <w:bCs/>
                      <w:snapToGrid w:val="0"/>
                      <w:color w:val="auto"/>
                      <w:szCs w:val="21"/>
                    </w:rPr>
                    <w:t>t/a</w:t>
                  </w:r>
                  <w:r>
                    <w:rPr>
                      <w:rFonts w:cs="Times New Roman"/>
                      <w:b/>
                      <w:bCs/>
                      <w:snapToGrid w:val="0"/>
                      <w:color w:val="auto"/>
                      <w:szCs w:val="21"/>
                      <w:lang w:eastAsia="zh-CN"/>
                    </w:rPr>
                    <w:t>）</w:t>
                  </w:r>
                </w:p>
              </w:tc>
              <w:tc>
                <w:tcPr>
                  <w:tcW w:w="407" w:type="pct"/>
                  <w:tcBorders>
                    <w:tl2br w:val="nil"/>
                    <w:tr2bl w:val="nil"/>
                  </w:tcBorders>
                  <w:vAlign w:val="center"/>
                </w:tcPr>
                <w:p w14:paraId="0587C609">
                  <w:pPr>
                    <w:adjustRightInd w:val="0"/>
                    <w:snapToGrid w:val="0"/>
                    <w:spacing w:line="240" w:lineRule="auto"/>
                    <w:ind w:left="0" w:leftChars="0" w:right="0" w:rightChars="0" w:firstLine="0" w:firstLineChars="0"/>
                    <w:jc w:val="center"/>
                    <w:rPr>
                      <w:rFonts w:cs="Times New Roman"/>
                      <w:b/>
                      <w:bCs/>
                      <w:snapToGrid w:val="0"/>
                      <w:color w:val="auto"/>
                      <w:szCs w:val="21"/>
                    </w:rPr>
                  </w:pPr>
                  <w:r>
                    <w:rPr>
                      <w:rFonts w:cs="Times New Roman"/>
                      <w:b/>
                      <w:bCs/>
                      <w:snapToGrid w:val="0"/>
                      <w:color w:val="auto"/>
                      <w:szCs w:val="21"/>
                    </w:rPr>
                    <w:t>贮存方式</w:t>
                  </w:r>
                </w:p>
              </w:tc>
              <w:tc>
                <w:tcPr>
                  <w:tcW w:w="458" w:type="pct"/>
                  <w:tcBorders>
                    <w:tl2br w:val="nil"/>
                    <w:tr2bl w:val="nil"/>
                  </w:tcBorders>
                  <w:vAlign w:val="center"/>
                </w:tcPr>
                <w:p w14:paraId="74874F4A">
                  <w:pPr>
                    <w:adjustRightInd w:val="0"/>
                    <w:snapToGrid w:val="0"/>
                    <w:spacing w:line="240" w:lineRule="auto"/>
                    <w:ind w:left="0" w:leftChars="0" w:right="0" w:rightChars="0" w:firstLine="0" w:firstLineChars="0"/>
                    <w:jc w:val="center"/>
                    <w:rPr>
                      <w:rFonts w:cs="Times New Roman"/>
                      <w:b/>
                      <w:bCs/>
                      <w:snapToGrid w:val="0"/>
                      <w:color w:val="auto"/>
                      <w:szCs w:val="21"/>
                    </w:rPr>
                  </w:pPr>
                  <w:r>
                    <w:rPr>
                      <w:rFonts w:cs="Times New Roman"/>
                      <w:b/>
                      <w:bCs/>
                      <w:snapToGrid w:val="0"/>
                      <w:color w:val="auto"/>
                      <w:szCs w:val="21"/>
                    </w:rPr>
                    <w:t>处置方式和去向</w:t>
                  </w:r>
                </w:p>
              </w:tc>
              <w:tc>
                <w:tcPr>
                  <w:tcW w:w="446" w:type="pct"/>
                  <w:tcBorders>
                    <w:tl2br w:val="nil"/>
                    <w:tr2bl w:val="nil"/>
                  </w:tcBorders>
                  <w:vAlign w:val="center"/>
                </w:tcPr>
                <w:p w14:paraId="101D9588">
                  <w:pPr>
                    <w:adjustRightInd w:val="0"/>
                    <w:snapToGrid w:val="0"/>
                    <w:spacing w:line="240" w:lineRule="auto"/>
                    <w:ind w:left="0" w:leftChars="0" w:right="0" w:rightChars="0" w:firstLine="0" w:firstLineChars="0"/>
                    <w:jc w:val="center"/>
                    <w:rPr>
                      <w:rFonts w:cs="Times New Roman"/>
                      <w:b/>
                      <w:bCs/>
                      <w:snapToGrid w:val="0"/>
                      <w:color w:val="auto"/>
                      <w:szCs w:val="21"/>
                    </w:rPr>
                  </w:pPr>
                  <w:r>
                    <w:rPr>
                      <w:rFonts w:eastAsia="宋体" w:cs="Times New Roman"/>
                      <w:b/>
                      <w:bCs/>
                      <w:color w:val="auto"/>
                      <w:kern w:val="2"/>
                      <w:szCs w:val="21"/>
                    </w:rPr>
                    <w:t>环境管理要求</w:t>
                  </w:r>
                </w:p>
              </w:tc>
            </w:tr>
            <w:tr w14:paraId="61E1715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413F804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1</w:t>
                  </w:r>
                </w:p>
              </w:tc>
              <w:tc>
                <w:tcPr>
                  <w:tcW w:w="411" w:type="pct"/>
                  <w:tcBorders>
                    <w:tl2br w:val="nil"/>
                    <w:tr2bl w:val="nil"/>
                  </w:tcBorders>
                  <w:vAlign w:val="center"/>
                </w:tcPr>
                <w:p w14:paraId="2B51AB4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机加</w:t>
                  </w:r>
                </w:p>
              </w:tc>
              <w:tc>
                <w:tcPr>
                  <w:tcW w:w="688" w:type="pct"/>
                  <w:tcBorders>
                    <w:tl2br w:val="nil"/>
                    <w:tr2bl w:val="nil"/>
                  </w:tcBorders>
                  <w:vAlign w:val="center"/>
                </w:tcPr>
                <w:p w14:paraId="10528F0A">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废边角料</w:t>
                  </w:r>
                </w:p>
              </w:tc>
              <w:tc>
                <w:tcPr>
                  <w:tcW w:w="355" w:type="pct"/>
                  <w:vMerge w:val="restart"/>
                  <w:tcBorders>
                    <w:tl2br w:val="nil"/>
                    <w:tr2bl w:val="nil"/>
                  </w:tcBorders>
                  <w:vAlign w:val="center"/>
                </w:tcPr>
                <w:p w14:paraId="2E23085E">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一般固废</w:t>
                  </w:r>
                </w:p>
              </w:tc>
              <w:tc>
                <w:tcPr>
                  <w:tcW w:w="552" w:type="pct"/>
                  <w:tcBorders>
                    <w:tl2br w:val="nil"/>
                    <w:tr2bl w:val="nil"/>
                  </w:tcBorders>
                  <w:vAlign w:val="center"/>
                </w:tcPr>
                <w:p w14:paraId="31D47EF1">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09</w:t>
                  </w:r>
                </w:p>
              </w:tc>
              <w:tc>
                <w:tcPr>
                  <w:tcW w:w="872" w:type="pct"/>
                  <w:tcBorders>
                    <w:tl2br w:val="nil"/>
                    <w:tr2bl w:val="nil"/>
                  </w:tcBorders>
                  <w:vAlign w:val="center"/>
                </w:tcPr>
                <w:p w14:paraId="7C56F61E">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331-001-09</w:t>
                  </w:r>
                </w:p>
              </w:tc>
              <w:tc>
                <w:tcPr>
                  <w:tcW w:w="545" w:type="pct"/>
                  <w:tcBorders>
                    <w:tl2br w:val="nil"/>
                    <w:tr2bl w:val="nil"/>
                  </w:tcBorders>
                  <w:vAlign w:val="center"/>
                </w:tcPr>
                <w:p w14:paraId="2925E9C9">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2</w:t>
                  </w:r>
                </w:p>
              </w:tc>
              <w:tc>
                <w:tcPr>
                  <w:tcW w:w="407" w:type="pct"/>
                  <w:vMerge w:val="restart"/>
                  <w:tcBorders>
                    <w:tl2br w:val="nil"/>
                    <w:tr2bl w:val="nil"/>
                  </w:tcBorders>
                  <w:vAlign w:val="center"/>
                </w:tcPr>
                <w:p w14:paraId="4F025C81">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分类收集，一般固废暂存区暂存</w:t>
                  </w:r>
                </w:p>
              </w:tc>
              <w:tc>
                <w:tcPr>
                  <w:tcW w:w="458" w:type="pct"/>
                  <w:vMerge w:val="restart"/>
                  <w:tcBorders>
                    <w:tl2br w:val="nil"/>
                    <w:tr2bl w:val="nil"/>
                  </w:tcBorders>
                  <w:vAlign w:val="center"/>
                </w:tcPr>
                <w:p w14:paraId="37DC50CE">
                  <w:pPr>
                    <w:adjustRightInd w:val="0"/>
                    <w:snapToGrid w:val="0"/>
                    <w:spacing w:line="240" w:lineRule="auto"/>
                    <w:ind w:left="0" w:leftChars="0" w:right="0" w:rightChars="0" w:firstLine="0" w:firstLineChars="0"/>
                    <w:jc w:val="center"/>
                    <w:rPr>
                      <w:rFonts w:cs="Times New Roman"/>
                      <w:snapToGrid w:val="0"/>
                      <w:color w:val="auto"/>
                      <w:szCs w:val="21"/>
                    </w:rPr>
                  </w:pPr>
                  <w:r>
                    <w:rPr>
                      <w:rFonts w:hint="eastAsia" w:cs="Times New Roman"/>
                      <w:snapToGrid w:val="0"/>
                      <w:color w:val="auto"/>
                      <w:szCs w:val="21"/>
                      <w:lang w:eastAsia="zh-CN"/>
                    </w:rPr>
                    <w:t>外售综合利用</w:t>
                  </w:r>
                </w:p>
              </w:tc>
              <w:tc>
                <w:tcPr>
                  <w:tcW w:w="446" w:type="pct"/>
                  <w:vMerge w:val="restart"/>
                  <w:tcBorders>
                    <w:tl2br w:val="nil"/>
                    <w:tr2bl w:val="nil"/>
                  </w:tcBorders>
                  <w:vAlign w:val="center"/>
                </w:tcPr>
                <w:p w14:paraId="4121BB70">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eastAsia="宋体" w:cs="Times New Roman"/>
                      <w:snapToGrid w:val="0"/>
                      <w:color w:val="auto"/>
                      <w:szCs w:val="21"/>
                      <w:lang w:eastAsia="zh-CN"/>
                    </w:rPr>
                    <w:t>减量化</w:t>
                  </w:r>
                </w:p>
                <w:p w14:paraId="66648A72">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eastAsia="宋体" w:cs="Times New Roman"/>
                      <w:snapToGrid w:val="0"/>
                      <w:color w:val="auto"/>
                      <w:szCs w:val="21"/>
                      <w:lang w:eastAsia="zh-CN"/>
                    </w:rPr>
                    <w:t>资源化</w:t>
                  </w:r>
                </w:p>
                <w:p w14:paraId="5066E8C1">
                  <w:pPr>
                    <w:adjustRightInd w:val="0"/>
                    <w:snapToGrid w:val="0"/>
                    <w:spacing w:line="240" w:lineRule="auto"/>
                    <w:ind w:left="0" w:leftChars="0" w:right="0" w:rightChars="0" w:firstLine="0" w:firstLineChars="0"/>
                    <w:jc w:val="center"/>
                    <w:rPr>
                      <w:rFonts w:eastAsia="宋体" w:cs="Times New Roman"/>
                      <w:color w:val="auto"/>
                      <w:kern w:val="2"/>
                      <w:szCs w:val="21"/>
                    </w:rPr>
                  </w:pPr>
                  <w:r>
                    <w:rPr>
                      <w:rFonts w:eastAsia="宋体" w:cs="Times New Roman"/>
                      <w:snapToGrid w:val="0"/>
                      <w:color w:val="auto"/>
                      <w:szCs w:val="21"/>
                      <w:lang w:eastAsia="zh-CN"/>
                    </w:rPr>
                    <w:t>无害化</w:t>
                  </w:r>
                </w:p>
              </w:tc>
            </w:tr>
            <w:tr w14:paraId="06A01FE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430A52B6">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2</w:t>
                  </w:r>
                </w:p>
              </w:tc>
              <w:tc>
                <w:tcPr>
                  <w:tcW w:w="411" w:type="pct"/>
                  <w:tcBorders>
                    <w:tl2br w:val="nil"/>
                    <w:tr2bl w:val="nil"/>
                  </w:tcBorders>
                  <w:vAlign w:val="center"/>
                </w:tcPr>
                <w:p w14:paraId="66AD28B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焊接</w:t>
                  </w:r>
                </w:p>
              </w:tc>
              <w:tc>
                <w:tcPr>
                  <w:tcW w:w="688" w:type="pct"/>
                  <w:tcBorders>
                    <w:tl2br w:val="nil"/>
                    <w:tr2bl w:val="nil"/>
                  </w:tcBorders>
                  <w:vAlign w:val="center"/>
                </w:tcPr>
                <w:p w14:paraId="584CF17A">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焊接废料</w:t>
                  </w:r>
                </w:p>
              </w:tc>
              <w:tc>
                <w:tcPr>
                  <w:tcW w:w="355" w:type="pct"/>
                  <w:vMerge w:val="continue"/>
                  <w:tcBorders>
                    <w:tl2br w:val="nil"/>
                    <w:tr2bl w:val="nil"/>
                  </w:tcBorders>
                  <w:vAlign w:val="center"/>
                </w:tcPr>
                <w:p w14:paraId="69BC492A">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552" w:type="pct"/>
                  <w:tcBorders>
                    <w:tl2br w:val="nil"/>
                    <w:tr2bl w:val="nil"/>
                  </w:tcBorders>
                  <w:vAlign w:val="center"/>
                </w:tcPr>
                <w:p w14:paraId="2C333F0F">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99</w:t>
                  </w:r>
                </w:p>
              </w:tc>
              <w:tc>
                <w:tcPr>
                  <w:tcW w:w="872" w:type="pct"/>
                  <w:tcBorders>
                    <w:tl2br w:val="nil"/>
                    <w:tr2bl w:val="nil"/>
                  </w:tcBorders>
                  <w:vAlign w:val="center"/>
                </w:tcPr>
                <w:p w14:paraId="02CF8FDC">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900-999-99</w:t>
                  </w:r>
                </w:p>
              </w:tc>
              <w:tc>
                <w:tcPr>
                  <w:tcW w:w="545" w:type="pct"/>
                  <w:tcBorders>
                    <w:tl2br w:val="nil"/>
                    <w:tr2bl w:val="nil"/>
                  </w:tcBorders>
                  <w:vAlign w:val="center"/>
                </w:tcPr>
                <w:p w14:paraId="48D7F958">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0.02</w:t>
                  </w:r>
                </w:p>
              </w:tc>
              <w:tc>
                <w:tcPr>
                  <w:tcW w:w="407" w:type="pct"/>
                  <w:vMerge w:val="continue"/>
                  <w:tcBorders>
                    <w:tl2br w:val="nil"/>
                    <w:tr2bl w:val="nil"/>
                  </w:tcBorders>
                  <w:vAlign w:val="center"/>
                </w:tcPr>
                <w:p w14:paraId="6ED81A76">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58" w:type="pct"/>
                  <w:vMerge w:val="continue"/>
                  <w:tcBorders>
                    <w:tl2br w:val="nil"/>
                    <w:tr2bl w:val="nil"/>
                  </w:tcBorders>
                  <w:vAlign w:val="center"/>
                </w:tcPr>
                <w:p w14:paraId="3C52AC2D">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46" w:type="pct"/>
                  <w:vMerge w:val="continue"/>
                  <w:tcBorders>
                    <w:tl2br w:val="nil"/>
                    <w:tr2bl w:val="nil"/>
                  </w:tcBorders>
                  <w:vAlign w:val="center"/>
                </w:tcPr>
                <w:p w14:paraId="7F64FED0">
                  <w:pPr>
                    <w:adjustRightInd w:val="0"/>
                    <w:snapToGrid w:val="0"/>
                    <w:spacing w:line="240" w:lineRule="auto"/>
                    <w:ind w:left="0" w:leftChars="0" w:right="0" w:rightChars="0" w:firstLine="0" w:firstLineChars="0"/>
                    <w:jc w:val="center"/>
                    <w:rPr>
                      <w:rFonts w:eastAsia="宋体" w:cs="Times New Roman"/>
                      <w:color w:val="auto"/>
                      <w:kern w:val="2"/>
                      <w:szCs w:val="21"/>
                    </w:rPr>
                  </w:pPr>
                </w:p>
              </w:tc>
            </w:tr>
            <w:tr w14:paraId="6F8781E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1A1AD606">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3</w:t>
                  </w:r>
                </w:p>
              </w:tc>
              <w:tc>
                <w:tcPr>
                  <w:tcW w:w="411" w:type="pct"/>
                  <w:tcBorders>
                    <w:tl2br w:val="nil"/>
                    <w:tr2bl w:val="nil"/>
                  </w:tcBorders>
                  <w:vAlign w:val="center"/>
                </w:tcPr>
                <w:p w14:paraId="2D46E814">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机加</w:t>
                  </w:r>
                </w:p>
              </w:tc>
              <w:tc>
                <w:tcPr>
                  <w:tcW w:w="688" w:type="pct"/>
                  <w:tcBorders>
                    <w:tl2br w:val="nil"/>
                    <w:tr2bl w:val="nil"/>
                  </w:tcBorders>
                  <w:vAlign w:val="center"/>
                </w:tcPr>
                <w:p w14:paraId="3A8D5099">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除尘器收集粉尘</w:t>
                  </w:r>
                </w:p>
              </w:tc>
              <w:tc>
                <w:tcPr>
                  <w:tcW w:w="355" w:type="pct"/>
                  <w:vMerge w:val="continue"/>
                  <w:tcBorders>
                    <w:tl2br w:val="nil"/>
                    <w:tr2bl w:val="nil"/>
                  </w:tcBorders>
                  <w:vAlign w:val="center"/>
                </w:tcPr>
                <w:p w14:paraId="2C8AA969">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552" w:type="pct"/>
                  <w:tcBorders>
                    <w:tl2br w:val="nil"/>
                    <w:tr2bl w:val="nil"/>
                  </w:tcBorders>
                  <w:vAlign w:val="center"/>
                </w:tcPr>
                <w:p w14:paraId="7625AF2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66</w:t>
                  </w:r>
                </w:p>
              </w:tc>
              <w:tc>
                <w:tcPr>
                  <w:tcW w:w="872" w:type="pct"/>
                  <w:tcBorders>
                    <w:tl2br w:val="nil"/>
                    <w:tr2bl w:val="nil"/>
                  </w:tcBorders>
                  <w:vAlign w:val="center"/>
                </w:tcPr>
                <w:p w14:paraId="3D4C375A">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900-999-66</w:t>
                  </w:r>
                </w:p>
              </w:tc>
              <w:tc>
                <w:tcPr>
                  <w:tcW w:w="545" w:type="pct"/>
                  <w:tcBorders>
                    <w:tl2br w:val="nil"/>
                    <w:tr2bl w:val="nil"/>
                  </w:tcBorders>
                  <w:vAlign w:val="center"/>
                </w:tcPr>
                <w:p w14:paraId="553F49D4">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0.5225</w:t>
                  </w:r>
                </w:p>
              </w:tc>
              <w:tc>
                <w:tcPr>
                  <w:tcW w:w="407" w:type="pct"/>
                  <w:vMerge w:val="continue"/>
                  <w:tcBorders>
                    <w:tl2br w:val="nil"/>
                    <w:tr2bl w:val="nil"/>
                  </w:tcBorders>
                  <w:vAlign w:val="center"/>
                </w:tcPr>
                <w:p w14:paraId="42342B69">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58" w:type="pct"/>
                  <w:vMerge w:val="continue"/>
                  <w:tcBorders>
                    <w:tl2br w:val="nil"/>
                    <w:tr2bl w:val="nil"/>
                  </w:tcBorders>
                  <w:vAlign w:val="center"/>
                </w:tcPr>
                <w:p w14:paraId="703DD488">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46" w:type="pct"/>
                  <w:vMerge w:val="continue"/>
                  <w:tcBorders>
                    <w:tl2br w:val="nil"/>
                    <w:tr2bl w:val="nil"/>
                  </w:tcBorders>
                  <w:vAlign w:val="center"/>
                </w:tcPr>
                <w:p w14:paraId="0450E644">
                  <w:pPr>
                    <w:adjustRightInd w:val="0"/>
                    <w:snapToGrid w:val="0"/>
                    <w:spacing w:line="240" w:lineRule="auto"/>
                    <w:ind w:left="0" w:leftChars="0" w:right="0" w:rightChars="0" w:firstLine="0" w:firstLineChars="0"/>
                    <w:jc w:val="center"/>
                    <w:rPr>
                      <w:rFonts w:eastAsia="宋体" w:cs="Times New Roman"/>
                      <w:color w:val="auto"/>
                      <w:kern w:val="2"/>
                      <w:szCs w:val="21"/>
                    </w:rPr>
                  </w:pPr>
                </w:p>
              </w:tc>
            </w:tr>
            <w:tr w14:paraId="746C30E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066246E1">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4</w:t>
                  </w:r>
                </w:p>
              </w:tc>
              <w:tc>
                <w:tcPr>
                  <w:tcW w:w="411" w:type="pct"/>
                  <w:tcBorders>
                    <w:tl2br w:val="nil"/>
                    <w:tr2bl w:val="nil"/>
                  </w:tcBorders>
                  <w:vAlign w:val="center"/>
                </w:tcPr>
                <w:p w14:paraId="18A0C9D3">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废气治理</w:t>
                  </w:r>
                </w:p>
              </w:tc>
              <w:tc>
                <w:tcPr>
                  <w:tcW w:w="688" w:type="pct"/>
                  <w:tcBorders>
                    <w:tl2br w:val="nil"/>
                    <w:tr2bl w:val="nil"/>
                  </w:tcBorders>
                  <w:vAlign w:val="center"/>
                </w:tcPr>
                <w:p w14:paraId="7E92A508">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废滤芯</w:t>
                  </w:r>
                </w:p>
              </w:tc>
              <w:tc>
                <w:tcPr>
                  <w:tcW w:w="355" w:type="pct"/>
                  <w:vMerge w:val="continue"/>
                  <w:tcBorders>
                    <w:tl2br w:val="nil"/>
                    <w:tr2bl w:val="nil"/>
                  </w:tcBorders>
                  <w:vAlign w:val="center"/>
                </w:tcPr>
                <w:p w14:paraId="2D8E2ACC">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552" w:type="pct"/>
                  <w:tcBorders>
                    <w:tl2br w:val="nil"/>
                    <w:tr2bl w:val="nil"/>
                  </w:tcBorders>
                  <w:vAlign w:val="center"/>
                </w:tcPr>
                <w:p w14:paraId="5FC7D482">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99</w:t>
                  </w:r>
                </w:p>
              </w:tc>
              <w:tc>
                <w:tcPr>
                  <w:tcW w:w="872" w:type="pct"/>
                  <w:tcBorders>
                    <w:tl2br w:val="nil"/>
                    <w:tr2bl w:val="nil"/>
                  </w:tcBorders>
                  <w:vAlign w:val="center"/>
                </w:tcPr>
                <w:p w14:paraId="4D559747">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900-999-99</w:t>
                  </w:r>
                </w:p>
              </w:tc>
              <w:tc>
                <w:tcPr>
                  <w:tcW w:w="545" w:type="pct"/>
                  <w:tcBorders>
                    <w:tl2br w:val="nil"/>
                    <w:tr2bl w:val="nil"/>
                  </w:tcBorders>
                  <w:vAlign w:val="center"/>
                </w:tcPr>
                <w:p w14:paraId="6DB9CAF7">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0.5</w:t>
                  </w:r>
                </w:p>
              </w:tc>
              <w:tc>
                <w:tcPr>
                  <w:tcW w:w="407" w:type="pct"/>
                  <w:vMerge w:val="continue"/>
                  <w:tcBorders>
                    <w:tl2br w:val="nil"/>
                    <w:tr2bl w:val="nil"/>
                  </w:tcBorders>
                  <w:vAlign w:val="center"/>
                </w:tcPr>
                <w:p w14:paraId="21B2C1E5">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58" w:type="pct"/>
                  <w:vMerge w:val="continue"/>
                  <w:tcBorders>
                    <w:tl2br w:val="nil"/>
                    <w:tr2bl w:val="nil"/>
                  </w:tcBorders>
                  <w:vAlign w:val="center"/>
                </w:tcPr>
                <w:p w14:paraId="42AFB94F">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46" w:type="pct"/>
                  <w:vMerge w:val="continue"/>
                  <w:tcBorders>
                    <w:tl2br w:val="nil"/>
                    <w:tr2bl w:val="nil"/>
                  </w:tcBorders>
                  <w:vAlign w:val="center"/>
                </w:tcPr>
                <w:p w14:paraId="4DDE97EF">
                  <w:pPr>
                    <w:adjustRightInd w:val="0"/>
                    <w:snapToGrid w:val="0"/>
                    <w:spacing w:line="240" w:lineRule="auto"/>
                    <w:ind w:left="0" w:leftChars="0" w:right="0" w:rightChars="0" w:firstLine="0" w:firstLineChars="0"/>
                    <w:jc w:val="center"/>
                    <w:rPr>
                      <w:rFonts w:eastAsia="宋体" w:cs="Times New Roman"/>
                      <w:color w:val="auto"/>
                      <w:kern w:val="2"/>
                      <w:szCs w:val="21"/>
                    </w:rPr>
                  </w:pPr>
                </w:p>
              </w:tc>
            </w:tr>
            <w:tr w14:paraId="4F5818F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23E90D24">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5</w:t>
                  </w:r>
                </w:p>
              </w:tc>
              <w:tc>
                <w:tcPr>
                  <w:tcW w:w="411" w:type="pct"/>
                  <w:tcBorders>
                    <w:tl2br w:val="nil"/>
                    <w:tr2bl w:val="nil"/>
                  </w:tcBorders>
                  <w:vAlign w:val="center"/>
                </w:tcPr>
                <w:p w14:paraId="67C4C911">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车间</w:t>
                  </w:r>
                </w:p>
              </w:tc>
              <w:tc>
                <w:tcPr>
                  <w:tcW w:w="688" w:type="pct"/>
                  <w:tcBorders>
                    <w:tl2br w:val="nil"/>
                    <w:tr2bl w:val="nil"/>
                  </w:tcBorders>
                  <w:vAlign w:val="center"/>
                </w:tcPr>
                <w:p w14:paraId="54298A67">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废包装</w:t>
                  </w:r>
                </w:p>
              </w:tc>
              <w:tc>
                <w:tcPr>
                  <w:tcW w:w="355" w:type="pct"/>
                  <w:vMerge w:val="continue"/>
                  <w:tcBorders>
                    <w:tl2br w:val="nil"/>
                    <w:tr2bl w:val="nil"/>
                  </w:tcBorders>
                  <w:vAlign w:val="center"/>
                </w:tcPr>
                <w:p w14:paraId="4150F7D9">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552" w:type="pct"/>
                  <w:tcBorders>
                    <w:tl2br w:val="nil"/>
                    <w:tr2bl w:val="nil"/>
                  </w:tcBorders>
                  <w:vAlign w:val="center"/>
                </w:tcPr>
                <w:p w14:paraId="62CEE323">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99</w:t>
                  </w:r>
                </w:p>
              </w:tc>
              <w:tc>
                <w:tcPr>
                  <w:tcW w:w="872" w:type="pct"/>
                  <w:tcBorders>
                    <w:tl2br w:val="nil"/>
                    <w:tr2bl w:val="nil"/>
                  </w:tcBorders>
                  <w:vAlign w:val="center"/>
                </w:tcPr>
                <w:p w14:paraId="32DA8802">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900-999-99</w:t>
                  </w:r>
                </w:p>
              </w:tc>
              <w:tc>
                <w:tcPr>
                  <w:tcW w:w="545" w:type="pct"/>
                  <w:tcBorders>
                    <w:tl2br w:val="nil"/>
                    <w:tr2bl w:val="nil"/>
                  </w:tcBorders>
                  <w:vAlign w:val="center"/>
                </w:tcPr>
                <w:p w14:paraId="4A0FFCE8">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0.01</w:t>
                  </w:r>
                </w:p>
              </w:tc>
              <w:tc>
                <w:tcPr>
                  <w:tcW w:w="407" w:type="pct"/>
                  <w:vMerge w:val="continue"/>
                  <w:tcBorders>
                    <w:tl2br w:val="nil"/>
                    <w:tr2bl w:val="nil"/>
                  </w:tcBorders>
                  <w:vAlign w:val="center"/>
                </w:tcPr>
                <w:p w14:paraId="107522F5">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58" w:type="pct"/>
                  <w:vMerge w:val="continue"/>
                  <w:tcBorders>
                    <w:tl2br w:val="nil"/>
                    <w:tr2bl w:val="nil"/>
                  </w:tcBorders>
                  <w:vAlign w:val="center"/>
                </w:tcPr>
                <w:p w14:paraId="6E6DC009">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46" w:type="pct"/>
                  <w:vMerge w:val="continue"/>
                  <w:tcBorders>
                    <w:tl2br w:val="nil"/>
                    <w:tr2bl w:val="nil"/>
                  </w:tcBorders>
                  <w:vAlign w:val="center"/>
                </w:tcPr>
                <w:p w14:paraId="5FBEC3EF">
                  <w:pPr>
                    <w:adjustRightInd w:val="0"/>
                    <w:snapToGrid w:val="0"/>
                    <w:spacing w:line="240" w:lineRule="auto"/>
                    <w:ind w:left="0" w:leftChars="0" w:right="0" w:rightChars="0" w:firstLine="0" w:firstLineChars="0"/>
                    <w:jc w:val="center"/>
                    <w:rPr>
                      <w:rFonts w:eastAsia="宋体" w:cs="Times New Roman"/>
                      <w:color w:val="auto"/>
                      <w:kern w:val="2"/>
                      <w:szCs w:val="21"/>
                    </w:rPr>
                  </w:pPr>
                </w:p>
              </w:tc>
            </w:tr>
            <w:tr w14:paraId="5506869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30645A0E">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6</w:t>
                  </w:r>
                </w:p>
              </w:tc>
              <w:tc>
                <w:tcPr>
                  <w:tcW w:w="411" w:type="pct"/>
                  <w:tcBorders>
                    <w:tl2br w:val="nil"/>
                    <w:tr2bl w:val="nil"/>
                  </w:tcBorders>
                  <w:vAlign w:val="center"/>
                </w:tcPr>
                <w:p w14:paraId="663BF343">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车间</w:t>
                  </w:r>
                </w:p>
              </w:tc>
              <w:tc>
                <w:tcPr>
                  <w:tcW w:w="688" w:type="pct"/>
                  <w:tcBorders>
                    <w:tl2br w:val="nil"/>
                    <w:tr2bl w:val="nil"/>
                  </w:tcBorders>
                  <w:vAlign w:val="center"/>
                </w:tcPr>
                <w:p w14:paraId="1B25B094">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废油墨桶</w:t>
                  </w:r>
                </w:p>
              </w:tc>
              <w:tc>
                <w:tcPr>
                  <w:tcW w:w="355" w:type="pct"/>
                  <w:vMerge w:val="restart"/>
                  <w:tcBorders>
                    <w:tl2br w:val="nil"/>
                    <w:tr2bl w:val="nil"/>
                  </w:tcBorders>
                  <w:vAlign w:val="center"/>
                </w:tcPr>
                <w:p w14:paraId="7BDB0FB9">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危险废物</w:t>
                  </w:r>
                </w:p>
              </w:tc>
              <w:tc>
                <w:tcPr>
                  <w:tcW w:w="552" w:type="pct"/>
                  <w:tcBorders>
                    <w:tl2br w:val="nil"/>
                    <w:tr2bl w:val="nil"/>
                  </w:tcBorders>
                  <w:vAlign w:val="center"/>
                </w:tcPr>
                <w:p w14:paraId="55774012">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HW49</w:t>
                  </w:r>
                </w:p>
              </w:tc>
              <w:tc>
                <w:tcPr>
                  <w:tcW w:w="872" w:type="pct"/>
                  <w:tcBorders>
                    <w:tl2br w:val="nil"/>
                    <w:tr2bl w:val="nil"/>
                  </w:tcBorders>
                  <w:vAlign w:val="center"/>
                </w:tcPr>
                <w:p w14:paraId="3763F7DF">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eastAsia="宋体" w:cs="Times New Roman"/>
                      <w:snapToGrid w:val="0"/>
                      <w:color w:val="auto"/>
                      <w:szCs w:val="21"/>
                    </w:rPr>
                    <w:t>900-</w:t>
                  </w:r>
                  <w:r>
                    <w:rPr>
                      <w:rFonts w:hint="eastAsia" w:cs="Times New Roman"/>
                      <w:snapToGrid w:val="0"/>
                      <w:color w:val="auto"/>
                      <w:szCs w:val="21"/>
                      <w:lang w:eastAsia="zh-CN"/>
                    </w:rPr>
                    <w:t>041</w:t>
                  </w:r>
                  <w:r>
                    <w:rPr>
                      <w:rFonts w:eastAsia="宋体" w:cs="Times New Roman"/>
                      <w:snapToGrid w:val="0"/>
                      <w:color w:val="auto"/>
                      <w:szCs w:val="21"/>
                    </w:rPr>
                    <w:t>-</w:t>
                  </w:r>
                  <w:r>
                    <w:rPr>
                      <w:rFonts w:hint="eastAsia" w:cs="Times New Roman"/>
                      <w:snapToGrid w:val="0"/>
                      <w:color w:val="auto"/>
                      <w:szCs w:val="21"/>
                      <w:lang w:eastAsia="zh-CN"/>
                    </w:rPr>
                    <w:t>49</w:t>
                  </w:r>
                </w:p>
              </w:tc>
              <w:tc>
                <w:tcPr>
                  <w:tcW w:w="545" w:type="pct"/>
                  <w:tcBorders>
                    <w:tl2br w:val="nil"/>
                    <w:tr2bl w:val="nil"/>
                  </w:tcBorders>
                  <w:vAlign w:val="center"/>
                </w:tcPr>
                <w:p w14:paraId="21E4CDFF">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0.02</w:t>
                  </w:r>
                </w:p>
              </w:tc>
              <w:tc>
                <w:tcPr>
                  <w:tcW w:w="407" w:type="pct"/>
                  <w:vMerge w:val="restart"/>
                  <w:tcBorders>
                    <w:tl2br w:val="nil"/>
                    <w:tr2bl w:val="nil"/>
                  </w:tcBorders>
                  <w:vAlign w:val="center"/>
                </w:tcPr>
                <w:p w14:paraId="1DF7FFF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分类收集，危废暂存间暂存</w:t>
                  </w:r>
                </w:p>
              </w:tc>
              <w:tc>
                <w:tcPr>
                  <w:tcW w:w="458" w:type="pct"/>
                  <w:vMerge w:val="restart"/>
                  <w:tcBorders>
                    <w:tl2br w:val="nil"/>
                    <w:tr2bl w:val="nil"/>
                  </w:tcBorders>
                  <w:vAlign w:val="center"/>
                </w:tcPr>
                <w:p w14:paraId="617A5A67">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定期交有资质单位处置</w:t>
                  </w:r>
                </w:p>
              </w:tc>
              <w:tc>
                <w:tcPr>
                  <w:tcW w:w="446" w:type="pct"/>
                  <w:vMerge w:val="continue"/>
                  <w:tcBorders>
                    <w:tl2br w:val="nil"/>
                    <w:tr2bl w:val="nil"/>
                  </w:tcBorders>
                  <w:vAlign w:val="center"/>
                </w:tcPr>
                <w:p w14:paraId="6F107E8E">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p>
              </w:tc>
            </w:tr>
            <w:tr w14:paraId="495F420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1FDA0100">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7</w:t>
                  </w:r>
                </w:p>
              </w:tc>
              <w:tc>
                <w:tcPr>
                  <w:tcW w:w="411" w:type="pct"/>
                  <w:tcBorders>
                    <w:tl2br w:val="nil"/>
                    <w:tr2bl w:val="nil"/>
                  </w:tcBorders>
                  <w:vAlign w:val="center"/>
                </w:tcPr>
                <w:p w14:paraId="3E75C550">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车间</w:t>
                  </w:r>
                </w:p>
              </w:tc>
              <w:tc>
                <w:tcPr>
                  <w:tcW w:w="688" w:type="pct"/>
                  <w:tcBorders>
                    <w:tl2br w:val="nil"/>
                    <w:tr2bl w:val="nil"/>
                  </w:tcBorders>
                  <w:vAlign w:val="center"/>
                </w:tcPr>
                <w:p w14:paraId="2AA94872">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w:t>
                  </w:r>
                  <w:r>
                    <w:rPr>
                      <w:rFonts w:hint="eastAsia" w:cs="Times New Roman"/>
                      <w:snapToGrid w:val="0"/>
                      <w:color w:val="auto"/>
                      <w:lang w:val="en-US" w:eastAsia="zh-CN"/>
                    </w:rPr>
                    <w:t>稀释剂</w:t>
                  </w:r>
                  <w:r>
                    <w:rPr>
                      <w:rFonts w:hint="eastAsia" w:cs="Times New Roman"/>
                      <w:snapToGrid w:val="0"/>
                      <w:color w:val="auto"/>
                      <w:szCs w:val="21"/>
                      <w:lang w:eastAsia="zh-CN"/>
                    </w:rPr>
                    <w:t>桶</w:t>
                  </w:r>
                </w:p>
              </w:tc>
              <w:tc>
                <w:tcPr>
                  <w:tcW w:w="355" w:type="pct"/>
                  <w:vMerge w:val="continue"/>
                  <w:tcBorders>
                    <w:tl2br w:val="nil"/>
                    <w:tr2bl w:val="nil"/>
                  </w:tcBorders>
                  <w:vAlign w:val="center"/>
                </w:tcPr>
                <w:p w14:paraId="3E5EF26E">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c>
                <w:tcPr>
                  <w:tcW w:w="552" w:type="pct"/>
                  <w:tcBorders>
                    <w:tl2br w:val="nil"/>
                    <w:tr2bl w:val="nil"/>
                  </w:tcBorders>
                  <w:vAlign w:val="center"/>
                </w:tcPr>
                <w:p w14:paraId="691C1CBE">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HW49</w:t>
                  </w:r>
                </w:p>
              </w:tc>
              <w:tc>
                <w:tcPr>
                  <w:tcW w:w="872" w:type="pct"/>
                  <w:tcBorders>
                    <w:tl2br w:val="nil"/>
                    <w:tr2bl w:val="nil"/>
                  </w:tcBorders>
                  <w:vAlign w:val="center"/>
                </w:tcPr>
                <w:p w14:paraId="48B9BBDA">
                  <w:pPr>
                    <w:adjustRightInd w:val="0"/>
                    <w:snapToGrid w:val="0"/>
                    <w:spacing w:line="240" w:lineRule="auto"/>
                    <w:ind w:left="0" w:leftChars="0" w:right="0" w:rightChars="0" w:firstLine="0" w:firstLineChars="0"/>
                    <w:jc w:val="center"/>
                    <w:rPr>
                      <w:rFonts w:eastAsia="宋体" w:cs="Times New Roman"/>
                      <w:snapToGrid w:val="0"/>
                      <w:color w:val="auto"/>
                      <w:szCs w:val="21"/>
                    </w:rPr>
                  </w:pPr>
                  <w:r>
                    <w:rPr>
                      <w:rFonts w:eastAsia="宋体" w:cs="Times New Roman"/>
                      <w:snapToGrid w:val="0"/>
                      <w:color w:val="auto"/>
                      <w:szCs w:val="21"/>
                    </w:rPr>
                    <w:t>900-</w:t>
                  </w:r>
                  <w:r>
                    <w:rPr>
                      <w:rFonts w:hint="eastAsia" w:cs="Times New Roman"/>
                      <w:snapToGrid w:val="0"/>
                      <w:color w:val="auto"/>
                      <w:szCs w:val="21"/>
                      <w:lang w:eastAsia="zh-CN"/>
                    </w:rPr>
                    <w:t>041</w:t>
                  </w:r>
                  <w:r>
                    <w:rPr>
                      <w:rFonts w:eastAsia="宋体" w:cs="Times New Roman"/>
                      <w:snapToGrid w:val="0"/>
                      <w:color w:val="auto"/>
                      <w:szCs w:val="21"/>
                    </w:rPr>
                    <w:t>-</w:t>
                  </w:r>
                  <w:r>
                    <w:rPr>
                      <w:rFonts w:hint="eastAsia" w:cs="Times New Roman"/>
                      <w:snapToGrid w:val="0"/>
                      <w:color w:val="auto"/>
                      <w:szCs w:val="21"/>
                      <w:lang w:eastAsia="zh-CN"/>
                    </w:rPr>
                    <w:t>49</w:t>
                  </w:r>
                </w:p>
              </w:tc>
              <w:tc>
                <w:tcPr>
                  <w:tcW w:w="545" w:type="pct"/>
                  <w:tcBorders>
                    <w:tl2br w:val="nil"/>
                    <w:tr2bl w:val="nil"/>
                  </w:tcBorders>
                  <w:vAlign w:val="center"/>
                </w:tcPr>
                <w:p w14:paraId="36074439">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0.0015</w:t>
                  </w:r>
                </w:p>
              </w:tc>
              <w:tc>
                <w:tcPr>
                  <w:tcW w:w="407" w:type="pct"/>
                  <w:vMerge w:val="continue"/>
                  <w:tcBorders>
                    <w:tl2br w:val="nil"/>
                    <w:tr2bl w:val="nil"/>
                  </w:tcBorders>
                  <w:vAlign w:val="center"/>
                </w:tcPr>
                <w:p w14:paraId="45377F4C">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c>
                <w:tcPr>
                  <w:tcW w:w="458" w:type="pct"/>
                  <w:vMerge w:val="continue"/>
                  <w:tcBorders>
                    <w:tl2br w:val="nil"/>
                    <w:tr2bl w:val="nil"/>
                  </w:tcBorders>
                  <w:vAlign w:val="center"/>
                </w:tcPr>
                <w:p w14:paraId="63343EBD">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c>
                <w:tcPr>
                  <w:tcW w:w="446" w:type="pct"/>
                  <w:vMerge w:val="continue"/>
                  <w:tcBorders>
                    <w:tl2br w:val="nil"/>
                    <w:tr2bl w:val="nil"/>
                  </w:tcBorders>
                  <w:vAlign w:val="center"/>
                </w:tcPr>
                <w:p w14:paraId="4100426A">
                  <w:pPr>
                    <w:adjustRightInd w:val="0"/>
                    <w:snapToGrid w:val="0"/>
                    <w:spacing w:line="240" w:lineRule="auto"/>
                    <w:ind w:left="0" w:leftChars="0" w:right="0" w:rightChars="0" w:firstLine="0" w:firstLineChars="0"/>
                    <w:jc w:val="center"/>
                    <w:rPr>
                      <w:rFonts w:eastAsia="宋体" w:cs="Times New Roman"/>
                      <w:color w:val="auto"/>
                      <w:kern w:val="2"/>
                      <w:szCs w:val="21"/>
                    </w:rPr>
                  </w:pPr>
                </w:p>
              </w:tc>
            </w:tr>
            <w:tr w14:paraId="3BFACD9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192D5ECC">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8</w:t>
                  </w:r>
                </w:p>
              </w:tc>
              <w:tc>
                <w:tcPr>
                  <w:tcW w:w="411" w:type="pct"/>
                  <w:tcBorders>
                    <w:tl2br w:val="nil"/>
                    <w:tr2bl w:val="nil"/>
                  </w:tcBorders>
                  <w:vAlign w:val="center"/>
                </w:tcPr>
                <w:p w14:paraId="565E9C74">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废气治理</w:t>
                  </w:r>
                </w:p>
              </w:tc>
              <w:tc>
                <w:tcPr>
                  <w:tcW w:w="688" w:type="pct"/>
                  <w:tcBorders>
                    <w:tl2br w:val="nil"/>
                    <w:tr2bl w:val="nil"/>
                  </w:tcBorders>
                  <w:vAlign w:val="center"/>
                </w:tcPr>
                <w:p w14:paraId="6B4D1F6E">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废活性炭</w:t>
                  </w:r>
                </w:p>
              </w:tc>
              <w:tc>
                <w:tcPr>
                  <w:tcW w:w="355" w:type="pct"/>
                  <w:vMerge w:val="continue"/>
                  <w:tcBorders>
                    <w:tl2br w:val="nil"/>
                    <w:tr2bl w:val="nil"/>
                  </w:tcBorders>
                  <w:vAlign w:val="center"/>
                </w:tcPr>
                <w:p w14:paraId="07AE34E9">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552" w:type="pct"/>
                  <w:tcBorders>
                    <w:tl2br w:val="nil"/>
                    <w:tr2bl w:val="nil"/>
                  </w:tcBorders>
                  <w:vAlign w:val="center"/>
                </w:tcPr>
                <w:p w14:paraId="0DD57994">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HW49</w:t>
                  </w:r>
                </w:p>
              </w:tc>
              <w:tc>
                <w:tcPr>
                  <w:tcW w:w="872" w:type="pct"/>
                  <w:tcBorders>
                    <w:tl2br w:val="nil"/>
                    <w:tr2bl w:val="nil"/>
                  </w:tcBorders>
                  <w:vAlign w:val="center"/>
                </w:tcPr>
                <w:p w14:paraId="2361A8D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eastAsia="宋体" w:cs="Times New Roman"/>
                      <w:snapToGrid w:val="0"/>
                      <w:color w:val="auto"/>
                      <w:szCs w:val="21"/>
                    </w:rPr>
                    <w:t>900-039-49</w:t>
                  </w:r>
                </w:p>
              </w:tc>
              <w:tc>
                <w:tcPr>
                  <w:tcW w:w="545" w:type="pct"/>
                  <w:tcBorders>
                    <w:tl2br w:val="nil"/>
                    <w:tr2bl w:val="nil"/>
                  </w:tcBorders>
                  <w:vAlign w:val="center"/>
                </w:tcPr>
                <w:p w14:paraId="4B64EB1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0.408</w:t>
                  </w:r>
                </w:p>
              </w:tc>
              <w:tc>
                <w:tcPr>
                  <w:tcW w:w="407" w:type="pct"/>
                  <w:vMerge w:val="continue"/>
                  <w:tcBorders>
                    <w:tl2br w:val="nil"/>
                    <w:tr2bl w:val="nil"/>
                  </w:tcBorders>
                  <w:vAlign w:val="center"/>
                </w:tcPr>
                <w:p w14:paraId="14706DC7">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58" w:type="pct"/>
                  <w:vMerge w:val="continue"/>
                  <w:tcBorders>
                    <w:tl2br w:val="nil"/>
                    <w:tr2bl w:val="nil"/>
                  </w:tcBorders>
                  <w:vAlign w:val="center"/>
                </w:tcPr>
                <w:p w14:paraId="50C1E4FF">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46" w:type="pct"/>
                  <w:vMerge w:val="continue"/>
                  <w:tcBorders>
                    <w:tl2br w:val="nil"/>
                    <w:tr2bl w:val="nil"/>
                  </w:tcBorders>
                  <w:vAlign w:val="center"/>
                </w:tcPr>
                <w:p w14:paraId="3D4CC78B">
                  <w:pPr>
                    <w:adjustRightInd w:val="0"/>
                    <w:snapToGrid w:val="0"/>
                    <w:spacing w:line="240" w:lineRule="auto"/>
                    <w:ind w:left="0" w:leftChars="0" w:right="0" w:rightChars="0" w:firstLine="0" w:firstLineChars="0"/>
                    <w:jc w:val="center"/>
                    <w:rPr>
                      <w:rFonts w:eastAsia="宋体" w:cs="Times New Roman"/>
                      <w:color w:val="auto"/>
                      <w:kern w:val="2"/>
                      <w:szCs w:val="21"/>
                    </w:rPr>
                  </w:pPr>
                </w:p>
              </w:tc>
            </w:tr>
            <w:tr w14:paraId="0449DCC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659BA62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w:t>
                  </w:r>
                </w:p>
              </w:tc>
              <w:tc>
                <w:tcPr>
                  <w:tcW w:w="411" w:type="pct"/>
                  <w:tcBorders>
                    <w:tl2br w:val="nil"/>
                    <w:tr2bl w:val="nil"/>
                  </w:tcBorders>
                  <w:vAlign w:val="center"/>
                </w:tcPr>
                <w:p w14:paraId="5A2B2BA9">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车间</w:t>
                  </w:r>
                </w:p>
              </w:tc>
              <w:tc>
                <w:tcPr>
                  <w:tcW w:w="688" w:type="pct"/>
                  <w:tcBorders>
                    <w:tl2br w:val="nil"/>
                    <w:tr2bl w:val="nil"/>
                  </w:tcBorders>
                  <w:vAlign w:val="center"/>
                </w:tcPr>
                <w:p w14:paraId="5C2B2306">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废含油劳保用品</w:t>
                  </w:r>
                </w:p>
              </w:tc>
              <w:tc>
                <w:tcPr>
                  <w:tcW w:w="355" w:type="pct"/>
                  <w:vMerge w:val="continue"/>
                  <w:tcBorders>
                    <w:tl2br w:val="nil"/>
                    <w:tr2bl w:val="nil"/>
                  </w:tcBorders>
                  <w:vAlign w:val="center"/>
                </w:tcPr>
                <w:p w14:paraId="2445DF51">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552" w:type="pct"/>
                  <w:tcBorders>
                    <w:tl2br w:val="nil"/>
                    <w:tr2bl w:val="nil"/>
                  </w:tcBorders>
                  <w:vAlign w:val="center"/>
                </w:tcPr>
                <w:p w14:paraId="27AF0367">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HW08</w:t>
                  </w:r>
                </w:p>
              </w:tc>
              <w:tc>
                <w:tcPr>
                  <w:tcW w:w="872" w:type="pct"/>
                  <w:tcBorders>
                    <w:tl2br w:val="nil"/>
                    <w:tr2bl w:val="nil"/>
                  </w:tcBorders>
                  <w:vAlign w:val="center"/>
                </w:tcPr>
                <w:p w14:paraId="3CA9D2DA">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900-041-49</w:t>
                  </w:r>
                </w:p>
              </w:tc>
              <w:tc>
                <w:tcPr>
                  <w:tcW w:w="545" w:type="pct"/>
                  <w:tcBorders>
                    <w:tl2br w:val="nil"/>
                    <w:tr2bl w:val="nil"/>
                  </w:tcBorders>
                  <w:vAlign w:val="center"/>
                </w:tcPr>
                <w:p w14:paraId="70DE45F0">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0.02</w:t>
                  </w:r>
                </w:p>
              </w:tc>
              <w:tc>
                <w:tcPr>
                  <w:tcW w:w="407" w:type="pct"/>
                  <w:vMerge w:val="continue"/>
                  <w:tcBorders>
                    <w:tl2br w:val="nil"/>
                    <w:tr2bl w:val="nil"/>
                  </w:tcBorders>
                  <w:vAlign w:val="center"/>
                </w:tcPr>
                <w:p w14:paraId="29C4439C">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58" w:type="pct"/>
                  <w:vMerge w:val="continue"/>
                  <w:tcBorders>
                    <w:tl2br w:val="nil"/>
                    <w:tr2bl w:val="nil"/>
                  </w:tcBorders>
                  <w:vAlign w:val="center"/>
                </w:tcPr>
                <w:p w14:paraId="73195D9A">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46" w:type="pct"/>
                  <w:vMerge w:val="continue"/>
                  <w:tcBorders>
                    <w:tl2br w:val="nil"/>
                    <w:tr2bl w:val="nil"/>
                  </w:tcBorders>
                  <w:vAlign w:val="center"/>
                </w:tcPr>
                <w:p w14:paraId="1A325DB1">
                  <w:pPr>
                    <w:adjustRightInd w:val="0"/>
                    <w:snapToGrid w:val="0"/>
                    <w:spacing w:line="240" w:lineRule="auto"/>
                    <w:ind w:left="0" w:leftChars="0" w:right="0" w:rightChars="0" w:firstLine="0" w:firstLineChars="0"/>
                    <w:jc w:val="center"/>
                    <w:rPr>
                      <w:rFonts w:eastAsia="宋体" w:cs="Times New Roman"/>
                      <w:color w:val="auto"/>
                      <w:kern w:val="2"/>
                      <w:szCs w:val="21"/>
                    </w:rPr>
                  </w:pPr>
                </w:p>
              </w:tc>
            </w:tr>
            <w:tr w14:paraId="2D3D74D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6A4538D1">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10</w:t>
                  </w:r>
                </w:p>
              </w:tc>
              <w:tc>
                <w:tcPr>
                  <w:tcW w:w="411" w:type="pct"/>
                  <w:tcBorders>
                    <w:tl2br w:val="nil"/>
                    <w:tr2bl w:val="nil"/>
                  </w:tcBorders>
                  <w:vAlign w:val="center"/>
                </w:tcPr>
                <w:p w14:paraId="3D36589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车间</w:t>
                  </w:r>
                </w:p>
              </w:tc>
              <w:tc>
                <w:tcPr>
                  <w:tcW w:w="688" w:type="pct"/>
                  <w:tcBorders>
                    <w:tl2br w:val="nil"/>
                    <w:tr2bl w:val="nil"/>
                  </w:tcBorders>
                  <w:vAlign w:val="center"/>
                </w:tcPr>
                <w:p w14:paraId="033E0BC4">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废润滑油</w:t>
                  </w:r>
                </w:p>
              </w:tc>
              <w:tc>
                <w:tcPr>
                  <w:tcW w:w="355" w:type="pct"/>
                  <w:vMerge w:val="continue"/>
                  <w:tcBorders>
                    <w:tl2br w:val="nil"/>
                    <w:tr2bl w:val="nil"/>
                  </w:tcBorders>
                  <w:vAlign w:val="center"/>
                </w:tcPr>
                <w:p w14:paraId="5E7610CB">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552" w:type="pct"/>
                  <w:tcBorders>
                    <w:tl2br w:val="nil"/>
                    <w:tr2bl w:val="nil"/>
                  </w:tcBorders>
                  <w:vAlign w:val="center"/>
                </w:tcPr>
                <w:p w14:paraId="267DA765">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HW08</w:t>
                  </w:r>
                </w:p>
              </w:tc>
              <w:tc>
                <w:tcPr>
                  <w:tcW w:w="872" w:type="pct"/>
                  <w:tcBorders>
                    <w:tl2br w:val="nil"/>
                    <w:tr2bl w:val="nil"/>
                  </w:tcBorders>
                  <w:vAlign w:val="center"/>
                </w:tcPr>
                <w:p w14:paraId="0E04B85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900-249-08</w:t>
                  </w:r>
                </w:p>
              </w:tc>
              <w:tc>
                <w:tcPr>
                  <w:tcW w:w="545" w:type="pct"/>
                  <w:tcBorders>
                    <w:tl2br w:val="nil"/>
                    <w:tr2bl w:val="nil"/>
                  </w:tcBorders>
                  <w:vAlign w:val="center"/>
                </w:tcPr>
                <w:p w14:paraId="5C75B90C">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0.05</w:t>
                  </w:r>
                </w:p>
              </w:tc>
              <w:tc>
                <w:tcPr>
                  <w:tcW w:w="407" w:type="pct"/>
                  <w:vMerge w:val="continue"/>
                  <w:tcBorders>
                    <w:tl2br w:val="nil"/>
                    <w:tr2bl w:val="nil"/>
                  </w:tcBorders>
                  <w:vAlign w:val="center"/>
                </w:tcPr>
                <w:p w14:paraId="5C076105">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58" w:type="pct"/>
                  <w:vMerge w:val="continue"/>
                  <w:tcBorders>
                    <w:tl2br w:val="nil"/>
                    <w:tr2bl w:val="nil"/>
                  </w:tcBorders>
                  <w:vAlign w:val="center"/>
                </w:tcPr>
                <w:p w14:paraId="0462472A">
                  <w:pPr>
                    <w:adjustRightInd w:val="0"/>
                    <w:snapToGrid w:val="0"/>
                    <w:spacing w:line="240" w:lineRule="auto"/>
                    <w:ind w:left="0" w:leftChars="0" w:right="0" w:rightChars="0" w:firstLine="0" w:firstLineChars="0"/>
                    <w:jc w:val="center"/>
                    <w:rPr>
                      <w:rFonts w:cs="Times New Roman"/>
                      <w:snapToGrid w:val="0"/>
                      <w:color w:val="auto"/>
                      <w:szCs w:val="21"/>
                    </w:rPr>
                  </w:pPr>
                </w:p>
              </w:tc>
              <w:tc>
                <w:tcPr>
                  <w:tcW w:w="446" w:type="pct"/>
                  <w:vMerge w:val="continue"/>
                  <w:tcBorders>
                    <w:tl2br w:val="nil"/>
                    <w:tr2bl w:val="nil"/>
                  </w:tcBorders>
                  <w:vAlign w:val="center"/>
                </w:tcPr>
                <w:p w14:paraId="6A38DA53">
                  <w:pPr>
                    <w:adjustRightInd w:val="0"/>
                    <w:snapToGrid w:val="0"/>
                    <w:spacing w:line="240" w:lineRule="auto"/>
                    <w:ind w:left="0" w:leftChars="0" w:right="0" w:rightChars="0" w:firstLine="0" w:firstLineChars="0"/>
                    <w:jc w:val="center"/>
                    <w:rPr>
                      <w:rFonts w:eastAsia="宋体" w:cs="Times New Roman"/>
                      <w:color w:val="auto"/>
                      <w:kern w:val="2"/>
                      <w:szCs w:val="21"/>
                    </w:rPr>
                  </w:pPr>
                </w:p>
              </w:tc>
            </w:tr>
            <w:tr w14:paraId="1883081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262" w:type="pct"/>
                  <w:vMerge w:val="restart"/>
                  <w:tcBorders>
                    <w:tl2br w:val="nil"/>
                    <w:tr2bl w:val="nil"/>
                  </w:tcBorders>
                  <w:vAlign w:val="center"/>
                </w:tcPr>
                <w:p w14:paraId="0B046BD4">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11</w:t>
                  </w:r>
                </w:p>
              </w:tc>
              <w:tc>
                <w:tcPr>
                  <w:tcW w:w="411" w:type="pct"/>
                  <w:vMerge w:val="restart"/>
                  <w:tcBorders>
                    <w:tl2br w:val="nil"/>
                    <w:tr2bl w:val="nil"/>
                  </w:tcBorders>
                  <w:vAlign w:val="center"/>
                </w:tcPr>
                <w:p w14:paraId="60C89348">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员工生活</w:t>
                  </w:r>
                </w:p>
              </w:tc>
              <w:tc>
                <w:tcPr>
                  <w:tcW w:w="688" w:type="pct"/>
                  <w:vMerge w:val="restart"/>
                  <w:tcBorders>
                    <w:tl2br w:val="nil"/>
                    <w:tr2bl w:val="nil"/>
                  </w:tcBorders>
                  <w:vAlign w:val="center"/>
                </w:tcPr>
                <w:p w14:paraId="66BE11F7">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生活垃圾</w:t>
                  </w:r>
                </w:p>
              </w:tc>
              <w:tc>
                <w:tcPr>
                  <w:tcW w:w="355" w:type="pct"/>
                  <w:vMerge w:val="restart"/>
                  <w:tcBorders>
                    <w:tl2br w:val="nil"/>
                    <w:tr2bl w:val="nil"/>
                  </w:tcBorders>
                  <w:vAlign w:val="center"/>
                </w:tcPr>
                <w:p w14:paraId="760664F5">
                  <w:pPr>
                    <w:adjustRightInd w:val="0"/>
                    <w:snapToGrid w:val="0"/>
                    <w:spacing w:line="240" w:lineRule="auto"/>
                    <w:ind w:left="0" w:leftChars="0" w:right="0" w:rightChars="0" w:firstLine="0" w:firstLineChars="0"/>
                    <w:jc w:val="center"/>
                    <w:rPr>
                      <w:rFonts w:cs="Times New Roman"/>
                      <w:snapToGrid w:val="0"/>
                      <w:color w:val="2F35EE"/>
                      <w:szCs w:val="21"/>
                    </w:rPr>
                  </w:pPr>
                  <w:r>
                    <w:rPr>
                      <w:rFonts w:hint="eastAsia" w:cs="Times New Roman"/>
                      <w:snapToGrid w:val="0"/>
                      <w:color w:val="2F35EE"/>
                      <w:szCs w:val="21"/>
                      <w:lang w:eastAsia="zh-CN"/>
                    </w:rPr>
                    <w:t>生活垃圾</w:t>
                  </w:r>
                </w:p>
              </w:tc>
              <w:tc>
                <w:tcPr>
                  <w:tcW w:w="552" w:type="pct"/>
                  <w:tcBorders>
                    <w:tl2br w:val="nil"/>
                    <w:tr2bl w:val="nil"/>
                  </w:tcBorders>
                  <w:vAlign w:val="center"/>
                </w:tcPr>
                <w:p w14:paraId="4E1275C0">
                  <w:pPr>
                    <w:adjustRightInd w:val="0"/>
                    <w:snapToGrid w:val="0"/>
                    <w:spacing w:line="240" w:lineRule="auto"/>
                    <w:ind w:left="0" w:leftChars="0" w:right="0" w:rightChars="0" w:firstLine="0" w:firstLineChars="0"/>
                    <w:jc w:val="center"/>
                    <w:rPr>
                      <w:rFonts w:hint="default" w:cs="Times New Roman"/>
                      <w:snapToGrid w:val="0"/>
                      <w:color w:val="2F35EE"/>
                      <w:szCs w:val="21"/>
                      <w:lang w:val="en-US" w:eastAsia="zh-CN"/>
                    </w:rPr>
                  </w:pPr>
                  <w:r>
                    <w:rPr>
                      <w:rFonts w:hint="eastAsia" w:cs="Times New Roman"/>
                      <w:snapToGrid w:val="0"/>
                      <w:color w:val="2F35EE"/>
                      <w:szCs w:val="21"/>
                      <w:lang w:val="en-US" w:eastAsia="zh-CN"/>
                    </w:rPr>
                    <w:t>SW61</w:t>
                  </w:r>
                </w:p>
              </w:tc>
              <w:tc>
                <w:tcPr>
                  <w:tcW w:w="872" w:type="pct"/>
                  <w:tcBorders>
                    <w:tl2br w:val="nil"/>
                    <w:tr2bl w:val="nil"/>
                  </w:tcBorders>
                  <w:vAlign w:val="center"/>
                </w:tcPr>
                <w:p w14:paraId="015F9C20">
                  <w:pPr>
                    <w:adjustRightInd w:val="0"/>
                    <w:snapToGrid w:val="0"/>
                    <w:spacing w:line="240" w:lineRule="auto"/>
                    <w:ind w:left="0" w:leftChars="0" w:right="0" w:rightChars="0" w:firstLine="0" w:firstLineChars="0"/>
                    <w:jc w:val="center"/>
                    <w:rPr>
                      <w:rFonts w:hint="default" w:cs="Times New Roman"/>
                      <w:snapToGrid w:val="0"/>
                      <w:color w:val="2F35EE"/>
                      <w:szCs w:val="21"/>
                      <w:lang w:val="en-US" w:eastAsia="zh-CN"/>
                    </w:rPr>
                  </w:pPr>
                  <w:r>
                    <w:rPr>
                      <w:rFonts w:hint="eastAsia" w:cs="Times New Roman"/>
                      <w:snapToGrid w:val="0"/>
                      <w:color w:val="2F35EE"/>
                      <w:szCs w:val="21"/>
                      <w:lang w:val="en-US" w:eastAsia="zh-CN"/>
                    </w:rPr>
                    <w:t>900-002-S62</w:t>
                  </w:r>
                </w:p>
              </w:tc>
              <w:tc>
                <w:tcPr>
                  <w:tcW w:w="545" w:type="pct"/>
                  <w:vMerge w:val="restart"/>
                  <w:tcBorders>
                    <w:tl2br w:val="nil"/>
                    <w:tr2bl w:val="nil"/>
                  </w:tcBorders>
                  <w:vAlign w:val="center"/>
                </w:tcPr>
                <w:p w14:paraId="0E6D5D1E">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1.5</w:t>
                  </w:r>
                </w:p>
              </w:tc>
              <w:tc>
                <w:tcPr>
                  <w:tcW w:w="407" w:type="pct"/>
                  <w:vMerge w:val="restart"/>
                  <w:tcBorders>
                    <w:tl2br w:val="nil"/>
                    <w:tr2bl w:val="nil"/>
                  </w:tcBorders>
                  <w:vAlign w:val="center"/>
                </w:tcPr>
                <w:p w14:paraId="564D7CCE">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w:t>
                  </w:r>
                </w:p>
              </w:tc>
              <w:tc>
                <w:tcPr>
                  <w:tcW w:w="458" w:type="pct"/>
                  <w:vMerge w:val="restart"/>
                  <w:tcBorders>
                    <w:tl2br w:val="nil"/>
                    <w:tr2bl w:val="nil"/>
                  </w:tcBorders>
                  <w:vAlign w:val="center"/>
                </w:tcPr>
                <w:p w14:paraId="1F4D496A">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收集后交环卫部门处置</w:t>
                  </w:r>
                </w:p>
              </w:tc>
              <w:tc>
                <w:tcPr>
                  <w:tcW w:w="446" w:type="pct"/>
                  <w:vMerge w:val="continue"/>
                  <w:tcBorders>
                    <w:tl2br w:val="nil"/>
                    <w:tr2bl w:val="nil"/>
                  </w:tcBorders>
                  <w:vAlign w:val="center"/>
                </w:tcPr>
                <w:p w14:paraId="40FF5079">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p>
              </w:tc>
            </w:tr>
            <w:tr w14:paraId="35971F6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262" w:type="pct"/>
                  <w:vMerge w:val="continue"/>
                  <w:tcBorders>
                    <w:tl2br w:val="nil"/>
                    <w:tr2bl w:val="nil"/>
                  </w:tcBorders>
                  <w:vAlign w:val="center"/>
                </w:tcPr>
                <w:p w14:paraId="5CA80332">
                  <w:pPr>
                    <w:adjustRightInd w:val="0"/>
                    <w:snapToGrid w:val="0"/>
                    <w:spacing w:line="240" w:lineRule="auto"/>
                    <w:ind w:left="0" w:leftChars="0" w:right="0" w:rightChars="0" w:firstLine="0" w:firstLineChars="0"/>
                    <w:jc w:val="center"/>
                    <w:rPr>
                      <w:color w:val="2F35EE"/>
                    </w:rPr>
                  </w:pPr>
                </w:p>
              </w:tc>
              <w:tc>
                <w:tcPr>
                  <w:tcW w:w="411" w:type="pct"/>
                  <w:vMerge w:val="continue"/>
                  <w:tcBorders>
                    <w:tl2br w:val="nil"/>
                    <w:tr2bl w:val="nil"/>
                  </w:tcBorders>
                  <w:vAlign w:val="center"/>
                </w:tcPr>
                <w:p w14:paraId="0E067AFD">
                  <w:pPr>
                    <w:adjustRightInd w:val="0"/>
                    <w:snapToGrid w:val="0"/>
                    <w:spacing w:line="240" w:lineRule="auto"/>
                    <w:ind w:left="0" w:leftChars="0" w:right="0" w:rightChars="0" w:firstLine="0" w:firstLineChars="0"/>
                    <w:jc w:val="center"/>
                    <w:rPr>
                      <w:color w:val="2F35EE"/>
                    </w:rPr>
                  </w:pPr>
                </w:p>
              </w:tc>
              <w:tc>
                <w:tcPr>
                  <w:tcW w:w="688" w:type="pct"/>
                  <w:vMerge w:val="continue"/>
                  <w:tcBorders>
                    <w:tl2br w:val="nil"/>
                    <w:tr2bl w:val="nil"/>
                  </w:tcBorders>
                  <w:vAlign w:val="center"/>
                </w:tcPr>
                <w:p w14:paraId="4A151921">
                  <w:pPr>
                    <w:adjustRightInd w:val="0"/>
                    <w:snapToGrid w:val="0"/>
                    <w:spacing w:line="240" w:lineRule="auto"/>
                    <w:ind w:left="0" w:leftChars="0" w:right="0" w:rightChars="0" w:firstLine="0" w:firstLineChars="0"/>
                    <w:jc w:val="center"/>
                    <w:rPr>
                      <w:color w:val="2F35EE"/>
                    </w:rPr>
                  </w:pPr>
                </w:p>
              </w:tc>
              <w:tc>
                <w:tcPr>
                  <w:tcW w:w="355" w:type="pct"/>
                  <w:vMerge w:val="continue"/>
                  <w:tcBorders>
                    <w:tl2br w:val="nil"/>
                    <w:tr2bl w:val="nil"/>
                  </w:tcBorders>
                  <w:vAlign w:val="center"/>
                </w:tcPr>
                <w:p w14:paraId="3BE93580">
                  <w:pPr>
                    <w:adjustRightInd w:val="0"/>
                    <w:snapToGrid w:val="0"/>
                    <w:spacing w:line="240" w:lineRule="auto"/>
                    <w:ind w:left="0" w:leftChars="0" w:right="0" w:rightChars="0" w:firstLine="0" w:firstLineChars="0"/>
                    <w:jc w:val="center"/>
                    <w:rPr>
                      <w:color w:val="2F35EE"/>
                    </w:rPr>
                  </w:pPr>
                </w:p>
              </w:tc>
              <w:tc>
                <w:tcPr>
                  <w:tcW w:w="552" w:type="pct"/>
                  <w:tcBorders>
                    <w:tl2br w:val="nil"/>
                    <w:tr2bl w:val="nil"/>
                  </w:tcBorders>
                  <w:vAlign w:val="center"/>
                </w:tcPr>
                <w:p w14:paraId="5A3916EB">
                  <w:pPr>
                    <w:adjustRightInd w:val="0"/>
                    <w:snapToGrid w:val="0"/>
                    <w:spacing w:line="240" w:lineRule="auto"/>
                    <w:ind w:left="0" w:leftChars="0" w:right="0" w:rightChars="0" w:firstLine="0" w:firstLineChars="0"/>
                    <w:jc w:val="center"/>
                    <w:rPr>
                      <w:rFonts w:hint="default" w:eastAsiaTheme="minorEastAsia"/>
                      <w:color w:val="2F35EE"/>
                      <w:lang w:val="en-US" w:eastAsia="zh-CN"/>
                    </w:rPr>
                  </w:pPr>
                  <w:r>
                    <w:rPr>
                      <w:rFonts w:hint="eastAsia"/>
                      <w:color w:val="2F35EE"/>
                      <w:lang w:val="en-US" w:eastAsia="zh-CN"/>
                    </w:rPr>
                    <w:t>SW62</w:t>
                  </w:r>
                </w:p>
              </w:tc>
              <w:tc>
                <w:tcPr>
                  <w:tcW w:w="872" w:type="pct"/>
                  <w:tcBorders>
                    <w:tl2br w:val="nil"/>
                    <w:tr2bl w:val="nil"/>
                  </w:tcBorders>
                  <w:vAlign w:val="center"/>
                </w:tcPr>
                <w:p w14:paraId="483BB4AA">
                  <w:pPr>
                    <w:adjustRightInd w:val="0"/>
                    <w:snapToGrid w:val="0"/>
                    <w:spacing w:line="240" w:lineRule="auto"/>
                    <w:ind w:left="0" w:leftChars="0" w:right="0" w:rightChars="0" w:firstLine="0" w:firstLineChars="0"/>
                    <w:jc w:val="center"/>
                    <w:rPr>
                      <w:rFonts w:hint="default" w:cs="Times New Roman"/>
                      <w:snapToGrid w:val="0"/>
                      <w:color w:val="2F35EE"/>
                      <w:szCs w:val="21"/>
                      <w:lang w:val="en-US" w:eastAsia="zh-CN"/>
                    </w:rPr>
                  </w:pPr>
                  <w:r>
                    <w:rPr>
                      <w:rFonts w:hint="eastAsia" w:cs="Times New Roman"/>
                      <w:snapToGrid w:val="0"/>
                      <w:color w:val="2F35EE"/>
                      <w:szCs w:val="21"/>
                      <w:lang w:val="en-US" w:eastAsia="zh-CN"/>
                    </w:rPr>
                    <w:t>900-003-S62</w:t>
                  </w:r>
                </w:p>
              </w:tc>
              <w:tc>
                <w:tcPr>
                  <w:tcW w:w="545" w:type="pct"/>
                  <w:vMerge w:val="continue"/>
                  <w:tcBorders>
                    <w:tl2br w:val="nil"/>
                    <w:tr2bl w:val="nil"/>
                  </w:tcBorders>
                  <w:vAlign w:val="center"/>
                </w:tcPr>
                <w:p w14:paraId="1F2345A2">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07" w:type="pct"/>
                  <w:vMerge w:val="continue"/>
                  <w:tcBorders>
                    <w:tl2br w:val="nil"/>
                    <w:tr2bl w:val="nil"/>
                  </w:tcBorders>
                  <w:vAlign w:val="center"/>
                </w:tcPr>
                <w:p w14:paraId="60340C6E">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58" w:type="pct"/>
                  <w:vMerge w:val="continue"/>
                  <w:tcBorders>
                    <w:tl2br w:val="nil"/>
                    <w:tr2bl w:val="nil"/>
                  </w:tcBorders>
                  <w:vAlign w:val="center"/>
                </w:tcPr>
                <w:p w14:paraId="06710580">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46" w:type="pct"/>
                  <w:vMerge w:val="continue"/>
                  <w:tcBorders>
                    <w:tl2br w:val="nil"/>
                    <w:tr2bl w:val="nil"/>
                  </w:tcBorders>
                  <w:vAlign w:val="center"/>
                </w:tcPr>
                <w:p w14:paraId="03906293">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r>
            <w:tr w14:paraId="78C0710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262" w:type="pct"/>
                  <w:vMerge w:val="continue"/>
                  <w:tcBorders>
                    <w:tl2br w:val="nil"/>
                    <w:tr2bl w:val="nil"/>
                  </w:tcBorders>
                  <w:vAlign w:val="center"/>
                </w:tcPr>
                <w:p w14:paraId="729C5144">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11" w:type="pct"/>
                  <w:vMerge w:val="continue"/>
                  <w:tcBorders>
                    <w:tl2br w:val="nil"/>
                    <w:tr2bl w:val="nil"/>
                  </w:tcBorders>
                  <w:vAlign w:val="center"/>
                </w:tcPr>
                <w:p w14:paraId="1FD14D78">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688" w:type="pct"/>
                  <w:vMerge w:val="continue"/>
                  <w:tcBorders>
                    <w:tl2br w:val="nil"/>
                    <w:tr2bl w:val="nil"/>
                  </w:tcBorders>
                  <w:vAlign w:val="center"/>
                </w:tcPr>
                <w:p w14:paraId="15B940D0">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355" w:type="pct"/>
                  <w:vMerge w:val="continue"/>
                  <w:tcBorders>
                    <w:tl2br w:val="nil"/>
                    <w:tr2bl w:val="nil"/>
                  </w:tcBorders>
                  <w:vAlign w:val="center"/>
                </w:tcPr>
                <w:p w14:paraId="5FFF9620">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552" w:type="pct"/>
                  <w:tcBorders>
                    <w:tl2br w:val="nil"/>
                    <w:tr2bl w:val="nil"/>
                  </w:tcBorders>
                  <w:vAlign w:val="center"/>
                </w:tcPr>
                <w:p w14:paraId="39118293">
                  <w:pPr>
                    <w:adjustRightInd w:val="0"/>
                    <w:snapToGrid w:val="0"/>
                    <w:spacing w:line="240" w:lineRule="auto"/>
                    <w:ind w:left="0" w:leftChars="0" w:right="0" w:rightChars="0" w:firstLine="0" w:firstLineChars="0"/>
                    <w:jc w:val="center"/>
                    <w:rPr>
                      <w:rFonts w:hint="default" w:cs="Times New Roman"/>
                      <w:snapToGrid w:val="0"/>
                      <w:color w:val="2F35EE"/>
                      <w:szCs w:val="21"/>
                      <w:lang w:val="en-US" w:eastAsia="zh-CN"/>
                    </w:rPr>
                  </w:pPr>
                  <w:r>
                    <w:rPr>
                      <w:rFonts w:hint="eastAsia" w:cs="Times New Roman"/>
                      <w:snapToGrid w:val="0"/>
                      <w:color w:val="2F35EE"/>
                      <w:szCs w:val="21"/>
                      <w:lang w:val="en-US" w:eastAsia="zh-CN"/>
                    </w:rPr>
                    <w:t>SW62</w:t>
                  </w:r>
                </w:p>
              </w:tc>
              <w:tc>
                <w:tcPr>
                  <w:tcW w:w="872" w:type="pct"/>
                  <w:tcBorders>
                    <w:tl2br w:val="nil"/>
                    <w:tr2bl w:val="nil"/>
                  </w:tcBorders>
                  <w:vAlign w:val="center"/>
                </w:tcPr>
                <w:p w14:paraId="122AA9E7">
                  <w:pPr>
                    <w:adjustRightInd w:val="0"/>
                    <w:snapToGrid w:val="0"/>
                    <w:spacing w:line="240" w:lineRule="auto"/>
                    <w:ind w:left="0" w:leftChars="0" w:right="0" w:rightChars="0" w:firstLine="0" w:firstLineChars="0"/>
                    <w:jc w:val="center"/>
                    <w:rPr>
                      <w:rFonts w:hint="default" w:cs="Times New Roman"/>
                      <w:snapToGrid w:val="0"/>
                      <w:color w:val="2F35EE"/>
                      <w:szCs w:val="21"/>
                      <w:lang w:val="en-US" w:eastAsia="zh-CN"/>
                    </w:rPr>
                  </w:pPr>
                  <w:r>
                    <w:rPr>
                      <w:rFonts w:hint="eastAsia" w:cs="Times New Roman"/>
                      <w:snapToGrid w:val="0"/>
                      <w:color w:val="2F35EE"/>
                      <w:szCs w:val="21"/>
                      <w:lang w:val="en-US" w:eastAsia="zh-CN"/>
                    </w:rPr>
                    <w:t>900-004-S62</w:t>
                  </w:r>
                </w:p>
              </w:tc>
              <w:tc>
                <w:tcPr>
                  <w:tcW w:w="545" w:type="pct"/>
                  <w:vMerge w:val="continue"/>
                  <w:tcBorders>
                    <w:tl2br w:val="nil"/>
                    <w:tr2bl w:val="nil"/>
                  </w:tcBorders>
                  <w:vAlign w:val="center"/>
                </w:tcPr>
                <w:p w14:paraId="74DDB1C4">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07" w:type="pct"/>
                  <w:vMerge w:val="continue"/>
                  <w:tcBorders>
                    <w:tl2br w:val="nil"/>
                    <w:tr2bl w:val="nil"/>
                  </w:tcBorders>
                  <w:vAlign w:val="center"/>
                </w:tcPr>
                <w:p w14:paraId="14B745DF">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58" w:type="pct"/>
                  <w:vMerge w:val="continue"/>
                  <w:tcBorders>
                    <w:tl2br w:val="nil"/>
                    <w:tr2bl w:val="nil"/>
                  </w:tcBorders>
                  <w:vAlign w:val="center"/>
                </w:tcPr>
                <w:p w14:paraId="754138CC">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46" w:type="pct"/>
                  <w:vMerge w:val="continue"/>
                  <w:tcBorders>
                    <w:tl2br w:val="nil"/>
                    <w:tr2bl w:val="nil"/>
                  </w:tcBorders>
                  <w:vAlign w:val="center"/>
                </w:tcPr>
                <w:p w14:paraId="51333498">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r>
            <w:tr w14:paraId="53D61E9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34" w:hRule="atLeast"/>
                <w:jc w:val="center"/>
              </w:trPr>
              <w:tc>
                <w:tcPr>
                  <w:tcW w:w="262" w:type="pct"/>
                  <w:vMerge w:val="continue"/>
                  <w:tcBorders>
                    <w:tl2br w:val="nil"/>
                    <w:tr2bl w:val="nil"/>
                  </w:tcBorders>
                  <w:vAlign w:val="center"/>
                </w:tcPr>
                <w:p w14:paraId="1913CED5">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11" w:type="pct"/>
                  <w:vMerge w:val="continue"/>
                  <w:tcBorders>
                    <w:tl2br w:val="nil"/>
                    <w:tr2bl w:val="nil"/>
                  </w:tcBorders>
                  <w:vAlign w:val="center"/>
                </w:tcPr>
                <w:p w14:paraId="3678A1BB">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688" w:type="pct"/>
                  <w:vMerge w:val="continue"/>
                  <w:tcBorders>
                    <w:tl2br w:val="nil"/>
                    <w:tr2bl w:val="nil"/>
                  </w:tcBorders>
                  <w:vAlign w:val="center"/>
                </w:tcPr>
                <w:p w14:paraId="79567DDC">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355" w:type="pct"/>
                  <w:vMerge w:val="continue"/>
                  <w:tcBorders>
                    <w:tl2br w:val="nil"/>
                    <w:tr2bl w:val="nil"/>
                  </w:tcBorders>
                  <w:vAlign w:val="center"/>
                </w:tcPr>
                <w:p w14:paraId="0652AC09">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552" w:type="pct"/>
                  <w:tcBorders>
                    <w:tl2br w:val="nil"/>
                    <w:tr2bl w:val="nil"/>
                  </w:tcBorders>
                  <w:vAlign w:val="center"/>
                </w:tcPr>
                <w:p w14:paraId="705E85DD">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val="en-US" w:eastAsia="zh-CN"/>
                    </w:rPr>
                    <w:t>SW62</w:t>
                  </w:r>
                </w:p>
              </w:tc>
              <w:tc>
                <w:tcPr>
                  <w:tcW w:w="872" w:type="pct"/>
                  <w:tcBorders>
                    <w:tl2br w:val="nil"/>
                    <w:tr2bl w:val="nil"/>
                  </w:tcBorders>
                  <w:vAlign w:val="center"/>
                </w:tcPr>
                <w:p w14:paraId="0D15A01C">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val="en-US" w:eastAsia="zh-CN"/>
                    </w:rPr>
                    <w:t>900-005-S62</w:t>
                  </w:r>
                </w:p>
              </w:tc>
              <w:tc>
                <w:tcPr>
                  <w:tcW w:w="545" w:type="pct"/>
                  <w:vMerge w:val="continue"/>
                  <w:tcBorders>
                    <w:tl2br w:val="nil"/>
                    <w:tr2bl w:val="nil"/>
                  </w:tcBorders>
                  <w:vAlign w:val="center"/>
                </w:tcPr>
                <w:p w14:paraId="422AF873">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07" w:type="pct"/>
                  <w:vMerge w:val="continue"/>
                  <w:tcBorders>
                    <w:tl2br w:val="nil"/>
                    <w:tr2bl w:val="nil"/>
                  </w:tcBorders>
                  <w:vAlign w:val="center"/>
                </w:tcPr>
                <w:p w14:paraId="19D83568">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58" w:type="pct"/>
                  <w:vMerge w:val="continue"/>
                  <w:tcBorders>
                    <w:tl2br w:val="nil"/>
                    <w:tr2bl w:val="nil"/>
                  </w:tcBorders>
                  <w:vAlign w:val="center"/>
                </w:tcPr>
                <w:p w14:paraId="0549FB06">
                  <w:pPr>
                    <w:adjustRightInd w:val="0"/>
                    <w:snapToGrid w:val="0"/>
                    <w:spacing w:line="240" w:lineRule="auto"/>
                    <w:ind w:left="0" w:leftChars="0" w:right="0" w:rightChars="0" w:firstLine="0" w:firstLineChars="0"/>
                    <w:jc w:val="center"/>
                    <w:rPr>
                      <w:rFonts w:cs="Times New Roman"/>
                      <w:snapToGrid w:val="0"/>
                      <w:color w:val="2F35EE"/>
                      <w:szCs w:val="21"/>
                      <w:lang w:eastAsia="zh-CN"/>
                    </w:rPr>
                  </w:pPr>
                </w:p>
              </w:tc>
              <w:tc>
                <w:tcPr>
                  <w:tcW w:w="446" w:type="pct"/>
                  <w:vMerge w:val="continue"/>
                  <w:tcBorders>
                    <w:tl2br w:val="nil"/>
                    <w:tr2bl w:val="nil"/>
                  </w:tcBorders>
                  <w:vAlign w:val="center"/>
                </w:tcPr>
                <w:p w14:paraId="5D69BF90">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r>
            <w:tr w14:paraId="0714A29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34" w:hRule="atLeast"/>
                <w:jc w:val="center"/>
              </w:trPr>
              <w:tc>
                <w:tcPr>
                  <w:tcW w:w="262" w:type="pct"/>
                  <w:vMerge w:val="continue"/>
                  <w:tcBorders>
                    <w:tl2br w:val="nil"/>
                    <w:tr2bl w:val="nil"/>
                  </w:tcBorders>
                  <w:vAlign w:val="center"/>
                </w:tcPr>
                <w:p w14:paraId="1B4AD296">
                  <w:pPr>
                    <w:adjustRightInd w:val="0"/>
                    <w:snapToGrid w:val="0"/>
                    <w:spacing w:line="240" w:lineRule="auto"/>
                    <w:ind w:left="0" w:leftChars="0" w:right="0" w:rightChars="0" w:firstLine="0" w:firstLineChars="0"/>
                    <w:jc w:val="center"/>
                    <w:rPr>
                      <w:color w:val="2F35EE"/>
                    </w:rPr>
                  </w:pPr>
                </w:p>
              </w:tc>
              <w:tc>
                <w:tcPr>
                  <w:tcW w:w="411" w:type="pct"/>
                  <w:vMerge w:val="continue"/>
                  <w:tcBorders>
                    <w:tl2br w:val="nil"/>
                    <w:tr2bl w:val="nil"/>
                  </w:tcBorders>
                  <w:vAlign w:val="center"/>
                </w:tcPr>
                <w:p w14:paraId="087D738A">
                  <w:pPr>
                    <w:adjustRightInd w:val="0"/>
                    <w:snapToGrid w:val="0"/>
                    <w:spacing w:line="240" w:lineRule="auto"/>
                    <w:ind w:left="0" w:leftChars="0" w:right="0" w:rightChars="0" w:firstLine="0" w:firstLineChars="0"/>
                    <w:jc w:val="center"/>
                    <w:rPr>
                      <w:color w:val="2F35EE"/>
                    </w:rPr>
                  </w:pPr>
                </w:p>
              </w:tc>
              <w:tc>
                <w:tcPr>
                  <w:tcW w:w="688" w:type="pct"/>
                  <w:vMerge w:val="continue"/>
                  <w:tcBorders>
                    <w:tl2br w:val="nil"/>
                    <w:tr2bl w:val="nil"/>
                  </w:tcBorders>
                  <w:vAlign w:val="center"/>
                </w:tcPr>
                <w:p w14:paraId="00271909">
                  <w:pPr>
                    <w:adjustRightInd w:val="0"/>
                    <w:snapToGrid w:val="0"/>
                    <w:spacing w:line="240" w:lineRule="auto"/>
                    <w:ind w:left="0" w:leftChars="0" w:right="0" w:rightChars="0" w:firstLine="0" w:firstLineChars="0"/>
                    <w:jc w:val="center"/>
                    <w:rPr>
                      <w:color w:val="2F35EE"/>
                    </w:rPr>
                  </w:pPr>
                </w:p>
              </w:tc>
              <w:tc>
                <w:tcPr>
                  <w:tcW w:w="355" w:type="pct"/>
                  <w:vMerge w:val="continue"/>
                  <w:tcBorders>
                    <w:tl2br w:val="nil"/>
                    <w:tr2bl w:val="nil"/>
                  </w:tcBorders>
                  <w:vAlign w:val="center"/>
                </w:tcPr>
                <w:p w14:paraId="4898B3CF">
                  <w:pPr>
                    <w:adjustRightInd w:val="0"/>
                    <w:snapToGrid w:val="0"/>
                    <w:spacing w:line="240" w:lineRule="auto"/>
                    <w:ind w:left="0" w:leftChars="0" w:right="0" w:rightChars="0" w:firstLine="0" w:firstLineChars="0"/>
                    <w:jc w:val="center"/>
                    <w:rPr>
                      <w:color w:val="2F35EE"/>
                    </w:rPr>
                  </w:pPr>
                </w:p>
              </w:tc>
              <w:tc>
                <w:tcPr>
                  <w:tcW w:w="552" w:type="pct"/>
                  <w:tcBorders>
                    <w:tl2br w:val="nil"/>
                    <w:tr2bl w:val="nil"/>
                  </w:tcBorders>
                  <w:vAlign w:val="center"/>
                </w:tcPr>
                <w:p w14:paraId="5998997B">
                  <w:pPr>
                    <w:adjustRightInd w:val="0"/>
                    <w:snapToGrid w:val="0"/>
                    <w:spacing w:line="240" w:lineRule="auto"/>
                    <w:ind w:left="0" w:leftChars="0" w:right="0" w:rightChars="0" w:firstLine="0" w:firstLineChars="0"/>
                    <w:jc w:val="center"/>
                    <w:rPr>
                      <w:rFonts w:hint="default" w:cs="Times New Roman"/>
                      <w:snapToGrid w:val="0"/>
                      <w:color w:val="2F35EE"/>
                      <w:szCs w:val="21"/>
                      <w:lang w:val="en-US" w:eastAsia="zh-CN"/>
                    </w:rPr>
                  </w:pPr>
                  <w:r>
                    <w:rPr>
                      <w:rFonts w:hint="eastAsia" w:cs="Times New Roman"/>
                      <w:snapToGrid w:val="0"/>
                      <w:color w:val="2F35EE"/>
                      <w:szCs w:val="21"/>
                      <w:lang w:val="en-US" w:eastAsia="zh-CN"/>
                    </w:rPr>
                    <w:t>SW64</w:t>
                  </w:r>
                </w:p>
              </w:tc>
              <w:tc>
                <w:tcPr>
                  <w:tcW w:w="872" w:type="pct"/>
                  <w:tcBorders>
                    <w:tl2br w:val="nil"/>
                    <w:tr2bl w:val="nil"/>
                  </w:tcBorders>
                  <w:vAlign w:val="center"/>
                </w:tcPr>
                <w:p w14:paraId="102A2FF2">
                  <w:pPr>
                    <w:adjustRightInd w:val="0"/>
                    <w:snapToGrid w:val="0"/>
                    <w:spacing w:line="240" w:lineRule="auto"/>
                    <w:ind w:left="0" w:leftChars="0" w:right="0" w:rightChars="0" w:firstLine="0" w:firstLineChars="0"/>
                    <w:jc w:val="center"/>
                    <w:rPr>
                      <w:rFonts w:hint="default" w:cs="Times New Roman"/>
                      <w:snapToGrid w:val="0"/>
                      <w:color w:val="2F35EE"/>
                      <w:szCs w:val="21"/>
                      <w:lang w:val="en-US" w:eastAsia="zh-CN"/>
                    </w:rPr>
                  </w:pPr>
                  <w:r>
                    <w:rPr>
                      <w:rFonts w:hint="eastAsia" w:cs="Times New Roman"/>
                      <w:snapToGrid w:val="0"/>
                      <w:color w:val="2F35EE"/>
                      <w:szCs w:val="21"/>
                      <w:lang w:val="en-US" w:eastAsia="zh-CN"/>
                    </w:rPr>
                    <w:t>900-002-S64</w:t>
                  </w:r>
                </w:p>
              </w:tc>
              <w:tc>
                <w:tcPr>
                  <w:tcW w:w="545" w:type="pct"/>
                  <w:vMerge w:val="continue"/>
                  <w:tcBorders>
                    <w:tl2br w:val="nil"/>
                    <w:tr2bl w:val="nil"/>
                  </w:tcBorders>
                  <w:vAlign w:val="center"/>
                </w:tcPr>
                <w:p w14:paraId="4318F8DF">
                  <w:pPr>
                    <w:adjustRightInd w:val="0"/>
                    <w:snapToGrid w:val="0"/>
                    <w:spacing w:line="240" w:lineRule="auto"/>
                    <w:ind w:left="0" w:leftChars="0" w:right="0" w:rightChars="0" w:firstLine="0" w:firstLineChars="0"/>
                    <w:jc w:val="center"/>
                    <w:rPr>
                      <w:rFonts w:hint="eastAsia" w:cs="Times New Roman"/>
                      <w:snapToGrid w:val="0"/>
                      <w:color w:val="2F35EE"/>
                      <w:szCs w:val="21"/>
                      <w:lang w:val="en-US" w:eastAsia="zh-CN"/>
                    </w:rPr>
                  </w:pPr>
                </w:p>
              </w:tc>
              <w:tc>
                <w:tcPr>
                  <w:tcW w:w="407" w:type="pct"/>
                  <w:vMerge w:val="continue"/>
                  <w:tcBorders>
                    <w:tl2br w:val="nil"/>
                    <w:tr2bl w:val="nil"/>
                  </w:tcBorders>
                  <w:vAlign w:val="center"/>
                </w:tcPr>
                <w:p w14:paraId="6338413A">
                  <w:pPr>
                    <w:adjustRightInd w:val="0"/>
                    <w:snapToGrid w:val="0"/>
                    <w:spacing w:line="240" w:lineRule="auto"/>
                    <w:ind w:left="0" w:leftChars="0" w:right="0" w:rightChars="0" w:firstLine="0" w:firstLineChars="0"/>
                    <w:jc w:val="center"/>
                    <w:rPr>
                      <w:rFonts w:hint="eastAsia" w:cs="Times New Roman"/>
                      <w:snapToGrid w:val="0"/>
                      <w:color w:val="2F35EE"/>
                      <w:szCs w:val="21"/>
                      <w:lang w:val="en-US" w:eastAsia="zh-CN"/>
                    </w:rPr>
                  </w:pPr>
                </w:p>
              </w:tc>
              <w:tc>
                <w:tcPr>
                  <w:tcW w:w="458" w:type="pct"/>
                  <w:vMerge w:val="continue"/>
                  <w:tcBorders>
                    <w:tl2br w:val="nil"/>
                    <w:tr2bl w:val="nil"/>
                  </w:tcBorders>
                  <w:vAlign w:val="center"/>
                </w:tcPr>
                <w:p w14:paraId="401EED6C">
                  <w:pPr>
                    <w:adjustRightInd w:val="0"/>
                    <w:snapToGrid w:val="0"/>
                    <w:spacing w:line="240" w:lineRule="auto"/>
                    <w:ind w:left="0" w:leftChars="0" w:right="0" w:rightChars="0" w:firstLine="0" w:firstLineChars="0"/>
                    <w:jc w:val="center"/>
                    <w:rPr>
                      <w:rFonts w:hint="eastAsia" w:cs="Times New Roman"/>
                      <w:snapToGrid w:val="0"/>
                      <w:color w:val="2F35EE"/>
                      <w:szCs w:val="21"/>
                      <w:lang w:val="en-US" w:eastAsia="zh-CN"/>
                    </w:rPr>
                  </w:pPr>
                </w:p>
              </w:tc>
              <w:tc>
                <w:tcPr>
                  <w:tcW w:w="446" w:type="pct"/>
                  <w:vMerge w:val="continue"/>
                  <w:tcBorders>
                    <w:tl2br w:val="nil"/>
                    <w:tr2bl w:val="nil"/>
                  </w:tcBorders>
                  <w:vAlign w:val="center"/>
                </w:tcPr>
                <w:p w14:paraId="62265F2A">
                  <w:pPr>
                    <w:adjustRightInd w:val="0"/>
                    <w:snapToGrid w:val="0"/>
                    <w:spacing w:line="240" w:lineRule="auto"/>
                    <w:ind w:left="0" w:leftChars="0" w:right="0" w:rightChars="0" w:firstLine="0" w:firstLineChars="0"/>
                    <w:jc w:val="center"/>
                    <w:rPr>
                      <w:rFonts w:hint="eastAsia" w:cs="Times New Roman"/>
                      <w:snapToGrid w:val="0"/>
                      <w:color w:val="auto"/>
                      <w:szCs w:val="21"/>
                      <w:lang w:val="en-US" w:eastAsia="zh-CN"/>
                    </w:rPr>
                  </w:pPr>
                </w:p>
              </w:tc>
            </w:tr>
            <w:tr w14:paraId="33439CC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2" w:type="pct"/>
                  <w:tcBorders>
                    <w:tl2br w:val="nil"/>
                    <w:tr2bl w:val="nil"/>
                  </w:tcBorders>
                  <w:vAlign w:val="center"/>
                </w:tcPr>
                <w:p w14:paraId="77D33626">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12</w:t>
                  </w:r>
                </w:p>
              </w:tc>
              <w:tc>
                <w:tcPr>
                  <w:tcW w:w="411" w:type="pct"/>
                  <w:vMerge w:val="continue"/>
                  <w:tcBorders>
                    <w:tl2br w:val="nil"/>
                    <w:tr2bl w:val="nil"/>
                  </w:tcBorders>
                  <w:vAlign w:val="center"/>
                </w:tcPr>
                <w:p w14:paraId="5EBCA495">
                  <w:pPr>
                    <w:adjustRightInd w:val="0"/>
                    <w:snapToGrid w:val="0"/>
                    <w:spacing w:line="240" w:lineRule="auto"/>
                    <w:ind w:left="0" w:leftChars="0" w:right="0" w:rightChars="0" w:firstLine="0" w:firstLineChars="0"/>
                    <w:jc w:val="center"/>
                    <w:rPr>
                      <w:rFonts w:cs="Times New Roman"/>
                      <w:snapToGrid w:val="0"/>
                      <w:color w:val="2F35EE"/>
                      <w:szCs w:val="21"/>
                    </w:rPr>
                  </w:pPr>
                </w:p>
              </w:tc>
              <w:tc>
                <w:tcPr>
                  <w:tcW w:w="688" w:type="pct"/>
                  <w:tcBorders>
                    <w:tl2br w:val="nil"/>
                    <w:tr2bl w:val="nil"/>
                  </w:tcBorders>
                  <w:vAlign w:val="center"/>
                </w:tcPr>
                <w:p w14:paraId="5D10C7B3">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废油脂</w:t>
                  </w:r>
                </w:p>
              </w:tc>
              <w:tc>
                <w:tcPr>
                  <w:tcW w:w="355" w:type="pct"/>
                  <w:tcBorders>
                    <w:tl2br w:val="nil"/>
                    <w:tr2bl w:val="nil"/>
                  </w:tcBorders>
                  <w:vAlign w:val="center"/>
                </w:tcPr>
                <w:p w14:paraId="77B9EFF2">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废油脂</w:t>
                  </w:r>
                </w:p>
              </w:tc>
              <w:tc>
                <w:tcPr>
                  <w:tcW w:w="552" w:type="pct"/>
                  <w:tcBorders>
                    <w:tl2br w:val="nil"/>
                    <w:tr2bl w:val="nil"/>
                  </w:tcBorders>
                  <w:vAlign w:val="center"/>
                </w:tcPr>
                <w:p w14:paraId="7A02257B">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w:t>
                  </w:r>
                </w:p>
              </w:tc>
              <w:tc>
                <w:tcPr>
                  <w:tcW w:w="872" w:type="pct"/>
                  <w:tcBorders>
                    <w:tl2br w:val="nil"/>
                    <w:tr2bl w:val="nil"/>
                  </w:tcBorders>
                  <w:vAlign w:val="center"/>
                </w:tcPr>
                <w:p w14:paraId="44AAC691">
                  <w:pPr>
                    <w:adjustRightInd w:val="0"/>
                    <w:snapToGrid w:val="0"/>
                    <w:spacing w:line="240" w:lineRule="auto"/>
                    <w:ind w:left="0" w:leftChars="0" w:right="0" w:rightChars="0" w:firstLine="0" w:firstLineChars="0"/>
                    <w:jc w:val="center"/>
                    <w:rPr>
                      <w:rFonts w:hint="default" w:cs="Times New Roman"/>
                      <w:snapToGrid w:val="0"/>
                      <w:color w:val="2F35EE"/>
                      <w:szCs w:val="21"/>
                      <w:lang w:val="en-US" w:eastAsia="zh-CN"/>
                    </w:rPr>
                  </w:pPr>
                  <w:r>
                    <w:rPr>
                      <w:rFonts w:hint="eastAsia" w:cs="Times New Roman"/>
                      <w:snapToGrid w:val="0"/>
                      <w:color w:val="2F35EE"/>
                      <w:szCs w:val="21"/>
                      <w:lang w:val="en-US" w:eastAsia="zh-CN"/>
                    </w:rPr>
                    <w:t>900-002-S61</w:t>
                  </w:r>
                </w:p>
              </w:tc>
              <w:tc>
                <w:tcPr>
                  <w:tcW w:w="545" w:type="pct"/>
                  <w:tcBorders>
                    <w:tl2br w:val="nil"/>
                    <w:tr2bl w:val="nil"/>
                  </w:tcBorders>
                  <w:vAlign w:val="center"/>
                </w:tcPr>
                <w:p w14:paraId="2054BB63">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0.06</w:t>
                  </w:r>
                </w:p>
              </w:tc>
              <w:tc>
                <w:tcPr>
                  <w:tcW w:w="407" w:type="pct"/>
                  <w:tcBorders>
                    <w:tl2br w:val="nil"/>
                    <w:tr2bl w:val="nil"/>
                  </w:tcBorders>
                  <w:vAlign w:val="center"/>
                </w:tcPr>
                <w:p w14:paraId="780E7567">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w:t>
                  </w:r>
                </w:p>
              </w:tc>
              <w:tc>
                <w:tcPr>
                  <w:tcW w:w="458" w:type="pct"/>
                  <w:tcBorders>
                    <w:tl2br w:val="nil"/>
                    <w:tr2bl w:val="nil"/>
                  </w:tcBorders>
                  <w:vAlign w:val="center"/>
                </w:tcPr>
                <w:p w14:paraId="43D7F0BA">
                  <w:pPr>
                    <w:adjustRightInd w:val="0"/>
                    <w:snapToGrid w:val="0"/>
                    <w:spacing w:line="240" w:lineRule="auto"/>
                    <w:ind w:left="0" w:leftChars="0" w:right="0" w:rightChars="0" w:firstLine="0" w:firstLineChars="0"/>
                    <w:jc w:val="center"/>
                    <w:rPr>
                      <w:rFonts w:cs="Times New Roman"/>
                      <w:snapToGrid w:val="0"/>
                      <w:color w:val="2F35EE"/>
                      <w:szCs w:val="21"/>
                      <w:lang w:eastAsia="zh-CN"/>
                    </w:rPr>
                  </w:pPr>
                  <w:r>
                    <w:rPr>
                      <w:rFonts w:hint="eastAsia" w:cs="Times New Roman"/>
                      <w:snapToGrid w:val="0"/>
                      <w:color w:val="2F35EE"/>
                      <w:szCs w:val="21"/>
                      <w:lang w:eastAsia="zh-CN"/>
                    </w:rPr>
                    <w:t>收集后交有资质单位处置</w:t>
                  </w:r>
                </w:p>
              </w:tc>
              <w:tc>
                <w:tcPr>
                  <w:tcW w:w="446" w:type="pct"/>
                  <w:vMerge w:val="continue"/>
                  <w:tcBorders>
                    <w:tl2br w:val="nil"/>
                    <w:tr2bl w:val="nil"/>
                  </w:tcBorders>
                  <w:vAlign w:val="center"/>
                </w:tcPr>
                <w:p w14:paraId="2248AFA6">
                  <w:pPr>
                    <w:adjustRightInd w:val="0"/>
                    <w:snapToGrid w:val="0"/>
                    <w:spacing w:line="240" w:lineRule="auto"/>
                    <w:ind w:left="0" w:leftChars="0" w:right="0" w:rightChars="0" w:firstLine="0" w:firstLineChars="0"/>
                    <w:jc w:val="center"/>
                    <w:rPr>
                      <w:rFonts w:eastAsia="宋体" w:cs="Times New Roman"/>
                      <w:color w:val="auto"/>
                      <w:kern w:val="2"/>
                      <w:szCs w:val="21"/>
                      <w:lang w:eastAsia="zh-CN"/>
                    </w:rPr>
                  </w:pPr>
                </w:p>
              </w:tc>
            </w:tr>
          </w:tbl>
          <w:p w14:paraId="6DB77AE8">
            <w:pPr>
              <w:widowControl/>
              <w:ind w:left="0" w:leftChars="0" w:right="0" w:rightChars="0" w:firstLine="482"/>
              <w:jc w:val="both"/>
              <w:rPr>
                <w:rFonts w:eastAsia="宋体" w:cs="Times New Roman"/>
                <w:b/>
                <w:bCs/>
                <w:color w:val="auto"/>
                <w:sz w:val="24"/>
                <w:lang w:eastAsia="zh-CN"/>
              </w:rPr>
            </w:pPr>
            <w:r>
              <w:rPr>
                <w:rFonts w:hint="eastAsia" w:eastAsia="宋体" w:cs="Times New Roman"/>
                <w:b/>
                <w:bCs/>
                <w:color w:val="auto"/>
                <w:sz w:val="24"/>
                <w:lang w:eastAsia="zh-CN"/>
              </w:rPr>
              <w:t>4.5</w:t>
            </w:r>
            <w:r>
              <w:rPr>
                <w:rFonts w:eastAsia="宋体" w:cs="Times New Roman"/>
                <w:b/>
                <w:bCs/>
                <w:color w:val="auto"/>
                <w:sz w:val="24"/>
                <w:lang w:eastAsia="zh-CN"/>
              </w:rPr>
              <w:t>危险废物暂存及处置的管理要求</w:t>
            </w:r>
          </w:p>
          <w:p w14:paraId="3F266A54">
            <w:pPr>
              <w:ind w:firstLine="480"/>
              <w:jc w:val="both"/>
              <w:rPr>
                <w:color w:val="2F35EE"/>
                <w:sz w:val="24"/>
                <w:lang w:eastAsia="zh-CN"/>
              </w:rPr>
            </w:pPr>
            <w:r>
              <w:rPr>
                <w:color w:val="2F35EE"/>
                <w:sz w:val="24"/>
                <w:lang w:eastAsia="zh-CN"/>
              </w:rPr>
              <w:t>本项目厂区现有危险废物暂存间1座，建筑面积约为</w:t>
            </w:r>
            <w:r>
              <w:rPr>
                <w:rFonts w:hint="eastAsia"/>
                <w:color w:val="2F35EE"/>
                <w:sz w:val="24"/>
                <w:lang w:eastAsia="zh-CN"/>
              </w:rPr>
              <w:t>4</w:t>
            </w:r>
            <w:r>
              <w:rPr>
                <w:color w:val="2F35EE"/>
                <w:sz w:val="24"/>
                <w:lang w:eastAsia="zh-CN"/>
              </w:rPr>
              <w:t>0m</w:t>
            </w:r>
            <w:r>
              <w:rPr>
                <w:color w:val="2F35EE"/>
                <w:sz w:val="24"/>
                <w:vertAlign w:val="superscript"/>
                <w:lang w:eastAsia="zh-CN"/>
              </w:rPr>
              <w:t>2</w:t>
            </w:r>
            <w:r>
              <w:rPr>
                <w:color w:val="2F35EE"/>
                <w:sz w:val="24"/>
                <w:lang w:eastAsia="zh-CN"/>
              </w:rPr>
              <w:t>。</w:t>
            </w:r>
            <w:r>
              <w:rPr>
                <w:rFonts w:hint="eastAsia"/>
                <w:color w:val="2F35EE"/>
                <w:sz w:val="24"/>
                <w:lang w:val="en-US" w:eastAsia="zh-CN"/>
              </w:rPr>
              <w:t>根据《危险废物贮存污染控制标准》（GB 18597-2023），本项目危险废物贮存设施为贮存库，</w:t>
            </w:r>
            <w:r>
              <w:rPr>
                <w:color w:val="2F35EE"/>
                <w:sz w:val="24"/>
                <w:lang w:eastAsia="zh-CN"/>
              </w:rPr>
              <w:t>根据现场调查，该危废暂存间防渗不符合环保要求，且未设置警示标志</w:t>
            </w:r>
            <w:r>
              <w:rPr>
                <w:rFonts w:hint="eastAsia"/>
                <w:color w:val="2F35EE"/>
                <w:sz w:val="24"/>
                <w:lang w:eastAsia="zh-CN"/>
              </w:rPr>
              <w:t>，</w:t>
            </w:r>
            <w:r>
              <w:rPr>
                <w:color w:val="2F35EE"/>
                <w:sz w:val="24"/>
                <w:lang w:eastAsia="zh-CN"/>
              </w:rPr>
              <w:t>本次评价要求</w:t>
            </w:r>
            <w:r>
              <w:rPr>
                <w:rFonts w:hint="eastAsia"/>
                <w:color w:val="2F35EE"/>
                <w:sz w:val="24"/>
                <w:lang w:val="en-US" w:eastAsia="zh-CN"/>
              </w:rPr>
              <w:t>根据以下内容进行整改</w:t>
            </w:r>
            <w:r>
              <w:rPr>
                <w:color w:val="2F35EE"/>
                <w:sz w:val="24"/>
                <w:lang w:eastAsia="zh-CN"/>
              </w:rPr>
              <w:t>：</w:t>
            </w:r>
          </w:p>
          <w:p w14:paraId="274E9A0C">
            <w:pPr>
              <w:numPr>
                <w:ilvl w:val="0"/>
                <w:numId w:val="8"/>
              </w:numPr>
              <w:ind w:firstLine="480"/>
              <w:jc w:val="both"/>
              <w:rPr>
                <w:color w:val="auto"/>
                <w:sz w:val="24"/>
                <w:lang w:eastAsia="zh-CN"/>
              </w:rPr>
            </w:pPr>
            <w:r>
              <w:rPr>
                <w:color w:val="auto"/>
                <w:sz w:val="24"/>
                <w:lang w:eastAsia="zh-CN"/>
              </w:rPr>
              <w:t>贮存设施地面与裙脚应采取表面防渗措施；同一贮存设施宜采用相同的防渗、防腐工艺（包括防渗、防腐结构或材料）。</w:t>
            </w:r>
          </w:p>
          <w:p w14:paraId="0D21C107">
            <w:pPr>
              <w:ind w:firstLine="480"/>
              <w:jc w:val="both"/>
              <w:rPr>
                <w:color w:val="auto"/>
                <w:sz w:val="24"/>
                <w:lang w:eastAsia="zh-CN"/>
              </w:rPr>
            </w:pPr>
            <w:r>
              <w:rPr>
                <w:rFonts w:hint="eastAsia"/>
                <w:color w:val="auto"/>
                <w:sz w:val="24"/>
                <w:lang w:val="en-US" w:eastAsia="zh-CN"/>
              </w:rPr>
              <w:t>b</w:t>
            </w:r>
            <w:r>
              <w:rPr>
                <w:color w:val="auto"/>
                <w:sz w:val="24"/>
                <w:lang w:eastAsia="zh-CN"/>
              </w:rPr>
              <w:t>、贮存库内不同贮存分区之间应采取隔离措施。隔离措施可根据危险废物特性采用过道、隔板或隔墙等方式。</w:t>
            </w:r>
          </w:p>
          <w:p w14:paraId="24BE8701">
            <w:pPr>
              <w:ind w:firstLine="480"/>
              <w:jc w:val="both"/>
              <w:rPr>
                <w:color w:val="auto"/>
                <w:sz w:val="24"/>
                <w:lang w:eastAsia="zh-CN"/>
              </w:rPr>
            </w:pPr>
            <w:r>
              <w:rPr>
                <w:rFonts w:hint="eastAsia"/>
                <w:color w:val="auto"/>
                <w:sz w:val="24"/>
                <w:lang w:val="en-US" w:eastAsia="zh-CN"/>
              </w:rPr>
              <w:t>c</w:t>
            </w:r>
            <w:r>
              <w:rPr>
                <w:color w:val="auto"/>
                <w:sz w:val="24"/>
                <w:lang w:eastAsia="zh-CN"/>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3D5EBFCF">
            <w:pPr>
              <w:ind w:firstLine="480"/>
              <w:jc w:val="both"/>
              <w:rPr>
                <w:color w:val="2F35EE"/>
                <w:sz w:val="24"/>
                <w:lang w:eastAsia="zh-CN"/>
              </w:rPr>
            </w:pPr>
            <w:r>
              <w:rPr>
                <w:rFonts w:hint="eastAsia"/>
                <w:color w:val="2F35EE"/>
                <w:sz w:val="24"/>
                <w:lang w:val="en-US" w:eastAsia="zh-CN"/>
              </w:rPr>
              <w:t>d</w:t>
            </w:r>
            <w:r>
              <w:rPr>
                <w:color w:val="2F35EE"/>
                <w:sz w:val="24"/>
                <w:lang w:eastAsia="zh-CN"/>
              </w:rPr>
              <w:t>、应按照《</w:t>
            </w:r>
            <w:r>
              <w:rPr>
                <w:rFonts w:hint="eastAsia"/>
                <w:color w:val="2F35EE"/>
                <w:sz w:val="24"/>
                <w:lang w:val="en-US" w:eastAsia="zh-CN"/>
              </w:rPr>
              <w:t>危险废物识别标志设置技术规范</w:t>
            </w:r>
            <w:r>
              <w:rPr>
                <w:color w:val="2F35EE"/>
                <w:sz w:val="24"/>
                <w:lang w:eastAsia="zh-CN"/>
              </w:rPr>
              <w:t xml:space="preserve">》（GB </w:t>
            </w:r>
            <w:r>
              <w:rPr>
                <w:rFonts w:hint="eastAsia"/>
                <w:color w:val="2F35EE"/>
                <w:sz w:val="24"/>
                <w:lang w:val="en-US" w:eastAsia="zh-CN"/>
              </w:rPr>
              <w:t>1276-2022</w:t>
            </w:r>
            <w:r>
              <w:rPr>
                <w:color w:val="2F35EE"/>
                <w:sz w:val="24"/>
                <w:lang w:eastAsia="zh-CN"/>
              </w:rPr>
              <w:t>）规定</w:t>
            </w:r>
            <w:r>
              <w:rPr>
                <w:rFonts w:hint="eastAsia"/>
                <w:color w:val="2F35EE"/>
                <w:sz w:val="24"/>
                <w:lang w:val="en-US" w:eastAsia="zh-CN"/>
              </w:rPr>
              <w:t>完善危废暂存间警示标志</w:t>
            </w:r>
            <w:r>
              <w:rPr>
                <w:color w:val="2F35EE"/>
                <w:sz w:val="24"/>
                <w:lang w:eastAsia="zh-CN"/>
              </w:rPr>
              <w:t>。</w:t>
            </w:r>
          </w:p>
          <w:p w14:paraId="5AB53DD8">
            <w:pPr>
              <w:adjustRightInd w:val="0"/>
              <w:snapToGrid w:val="0"/>
              <w:ind w:firstLine="480"/>
              <w:jc w:val="both"/>
              <w:rPr>
                <w:color w:val="auto"/>
                <w:sz w:val="24"/>
                <w:lang w:eastAsia="zh-CN"/>
              </w:rPr>
            </w:pPr>
            <w:r>
              <w:rPr>
                <w:rFonts w:hint="eastAsia" w:ascii="宋体" w:hAnsi="宋体" w:cs="宋体"/>
                <w:color w:val="auto"/>
                <w:sz w:val="24"/>
                <w:lang w:eastAsia="zh-CN"/>
              </w:rPr>
              <w:t>③</w:t>
            </w:r>
            <w:r>
              <w:rPr>
                <w:color w:val="auto"/>
                <w:sz w:val="24"/>
                <w:lang w:eastAsia="zh-CN"/>
              </w:rPr>
              <w:t>危险废物的转移</w:t>
            </w:r>
          </w:p>
          <w:p w14:paraId="4B7D46AA">
            <w:pPr>
              <w:adjustRightInd w:val="0"/>
              <w:snapToGrid w:val="0"/>
              <w:ind w:firstLine="480"/>
              <w:jc w:val="both"/>
              <w:rPr>
                <w:rFonts w:hint="default"/>
                <w:color w:val="auto"/>
                <w:sz w:val="24"/>
                <w:lang w:val="en-US" w:eastAsia="zh-CN"/>
              </w:rPr>
            </w:pPr>
            <w:r>
              <w:rPr>
                <w:color w:val="auto"/>
                <w:sz w:val="24"/>
                <w:lang w:eastAsia="zh-CN"/>
              </w:rPr>
              <w:t>危险废物的转移严格按照《陕西省危险废物转移电子联单管理办法（试行）》中的规定执行</w:t>
            </w:r>
            <w:r>
              <w:rPr>
                <w:rFonts w:hint="eastAsia"/>
                <w:color w:val="auto"/>
                <w:sz w:val="24"/>
                <w:lang w:eastAsia="zh-CN"/>
              </w:rPr>
              <w:t>“</w:t>
            </w:r>
            <w:r>
              <w:rPr>
                <w:color w:val="auto"/>
                <w:sz w:val="24"/>
                <w:lang w:eastAsia="zh-CN"/>
              </w:rPr>
              <w:t>五联单</w:t>
            </w:r>
            <w:r>
              <w:rPr>
                <w:rFonts w:hint="eastAsia"/>
                <w:color w:val="auto"/>
                <w:sz w:val="24"/>
                <w:lang w:eastAsia="zh-CN"/>
              </w:rPr>
              <w:t>”</w:t>
            </w:r>
            <w:r>
              <w:rPr>
                <w:color w:val="auto"/>
                <w:sz w:val="24"/>
                <w:lang w:eastAsia="zh-CN"/>
              </w:rPr>
              <w:t>制度，保证运输安全，防治非法转移和非法处理，保证危险废物的安全监控，防止危险废物污染事故发生。</w:t>
            </w:r>
          </w:p>
          <w:p w14:paraId="4FBAC151">
            <w:pPr>
              <w:adjustRightInd w:val="0"/>
              <w:snapToGrid w:val="0"/>
              <w:ind w:firstLine="480"/>
              <w:jc w:val="both"/>
              <w:rPr>
                <w:color w:val="auto"/>
                <w:sz w:val="24"/>
                <w:lang w:eastAsia="zh-CN"/>
              </w:rPr>
            </w:pPr>
            <w:r>
              <w:rPr>
                <w:rFonts w:hint="eastAsia" w:ascii="宋体" w:hAnsi="宋体" w:cs="宋体"/>
                <w:color w:val="auto"/>
                <w:sz w:val="24"/>
                <w:lang w:eastAsia="zh-CN"/>
              </w:rPr>
              <w:t>④</w:t>
            </w:r>
            <w:r>
              <w:rPr>
                <w:color w:val="auto"/>
                <w:sz w:val="24"/>
                <w:lang w:eastAsia="zh-CN"/>
              </w:rPr>
              <w:t>厂内危险废物管理要求</w:t>
            </w:r>
          </w:p>
          <w:p w14:paraId="21C52DBA">
            <w:pPr>
              <w:adjustRightInd w:val="0"/>
              <w:snapToGrid w:val="0"/>
              <w:ind w:firstLine="480"/>
              <w:jc w:val="both"/>
              <w:rPr>
                <w:color w:val="auto"/>
                <w:sz w:val="24"/>
                <w:lang w:eastAsia="zh-CN"/>
              </w:rPr>
            </w:pPr>
            <w:r>
              <w:rPr>
                <w:color w:val="auto"/>
                <w:sz w:val="24"/>
                <w:lang w:eastAsia="zh-CN"/>
              </w:rPr>
              <w:t>政府管理部门要有专人负责厂内危险废物的收集、存放、运输和对外相关部门联络等工作并对危险废物管理工作进行每日定期监督检查一次。</w:t>
            </w:r>
          </w:p>
          <w:p w14:paraId="4A04AAB3">
            <w:pPr>
              <w:adjustRightInd w:val="0"/>
              <w:snapToGrid w:val="0"/>
              <w:ind w:firstLine="480"/>
              <w:jc w:val="both"/>
              <w:rPr>
                <w:color w:val="auto"/>
                <w:sz w:val="24"/>
                <w:lang w:eastAsia="zh-CN"/>
              </w:rPr>
            </w:pPr>
            <w:r>
              <w:rPr>
                <w:color w:val="auto"/>
                <w:sz w:val="24"/>
                <w:lang w:eastAsia="zh-CN"/>
              </w:rPr>
              <w:t>建立危险废物管理资料档案，包括台账、联单、管理制度、委托合同等，记录危险废物的名称、来源、数量、特性和包装容器的类别、入库日期、存放库位、废物出库日期及接收单位名称。</w:t>
            </w:r>
          </w:p>
          <w:p w14:paraId="41785A7D">
            <w:pPr>
              <w:adjustRightInd w:val="0"/>
              <w:snapToGrid w:val="0"/>
              <w:ind w:firstLine="480"/>
              <w:jc w:val="both"/>
              <w:rPr>
                <w:color w:val="auto"/>
                <w:sz w:val="24"/>
                <w:lang w:eastAsia="zh-CN"/>
              </w:rPr>
            </w:pPr>
            <w:r>
              <w:rPr>
                <w:color w:val="auto"/>
                <w:sz w:val="24"/>
                <w:lang w:eastAsia="zh-CN"/>
              </w:rPr>
              <w:t>收集危险废物的工作人员将危险废物按内部指定路线运送到危废暂存间，并对运输工具污染物进行清理。</w:t>
            </w:r>
          </w:p>
          <w:p w14:paraId="1AEC8958">
            <w:pPr>
              <w:adjustRightInd w:val="0"/>
              <w:snapToGrid w:val="0"/>
              <w:ind w:firstLine="482"/>
              <w:jc w:val="both"/>
              <w:rPr>
                <w:b/>
                <w:bCs/>
                <w:color w:val="auto"/>
                <w:sz w:val="24"/>
                <w:lang w:eastAsia="zh-CN"/>
              </w:rPr>
            </w:pPr>
            <w:r>
              <w:rPr>
                <w:rFonts w:hint="eastAsia"/>
                <w:b/>
                <w:bCs/>
                <w:color w:val="auto"/>
                <w:sz w:val="24"/>
                <w:lang w:eastAsia="zh-CN"/>
              </w:rPr>
              <w:t>4.6</w:t>
            </w:r>
            <w:r>
              <w:rPr>
                <w:b/>
                <w:bCs/>
                <w:color w:val="auto"/>
                <w:sz w:val="24"/>
                <w:lang w:eastAsia="zh-CN"/>
              </w:rPr>
              <w:t>小结</w:t>
            </w:r>
          </w:p>
          <w:p w14:paraId="1A034275">
            <w:pPr>
              <w:adjustRightInd w:val="0"/>
              <w:snapToGrid w:val="0"/>
              <w:ind w:firstLine="480"/>
              <w:jc w:val="both"/>
              <w:rPr>
                <w:rFonts w:cs="Times New Roman"/>
                <w:color w:val="auto"/>
                <w:sz w:val="24"/>
                <w:lang w:eastAsia="zh-CN"/>
              </w:rPr>
            </w:pPr>
            <w:r>
              <w:rPr>
                <w:color w:val="auto"/>
                <w:sz w:val="24"/>
                <w:lang w:eastAsia="zh-CN"/>
              </w:rPr>
              <w:t>本项目运营期的生活垃圾分类收集于垃圾桶交环卫部门清理，一般工业固废集中收集后定期外售，危险废物根据《危险废物贮存污染控制标准》（GB18597-2023）中有关要求进行集中收集暂存，并交资质单位处置。采取以上措施后，项目产生的固体废物对环境影响较小。</w:t>
            </w:r>
          </w:p>
          <w:p w14:paraId="541ED47E">
            <w:pPr>
              <w:ind w:left="0" w:leftChars="0" w:right="0" w:rightChars="0" w:firstLine="482"/>
              <w:jc w:val="both"/>
              <w:rPr>
                <w:rFonts w:eastAsia="宋体" w:cs="Times New Roman"/>
                <w:b/>
                <w:bCs/>
                <w:color w:val="auto"/>
                <w:sz w:val="24"/>
                <w:szCs w:val="24"/>
                <w:lang w:eastAsia="zh-CN"/>
              </w:rPr>
            </w:pPr>
            <w:r>
              <w:rPr>
                <w:rFonts w:hint="eastAsia" w:eastAsia="宋体" w:cs="Times New Roman"/>
                <w:b/>
                <w:bCs/>
                <w:color w:val="auto"/>
                <w:sz w:val="24"/>
                <w:szCs w:val="24"/>
                <w:lang w:eastAsia="zh-CN"/>
              </w:rPr>
              <w:t>5</w:t>
            </w:r>
            <w:r>
              <w:rPr>
                <w:rFonts w:eastAsia="宋体" w:cs="Times New Roman"/>
                <w:b/>
                <w:bCs/>
                <w:color w:val="auto"/>
                <w:sz w:val="24"/>
                <w:szCs w:val="24"/>
                <w:lang w:eastAsia="zh-CN"/>
              </w:rPr>
              <w:t>、地下水、土壤环境影响分析</w:t>
            </w:r>
          </w:p>
          <w:p w14:paraId="28E55965">
            <w:pPr>
              <w:adjustRightInd w:val="0"/>
              <w:snapToGrid w:val="0"/>
              <w:ind w:firstLine="480"/>
              <w:jc w:val="both"/>
              <w:rPr>
                <w:color w:val="auto"/>
                <w:sz w:val="24"/>
                <w:lang w:eastAsia="zh-CN"/>
              </w:rPr>
            </w:pPr>
            <w:r>
              <w:rPr>
                <w:color w:val="auto"/>
                <w:sz w:val="24"/>
                <w:lang w:eastAsia="zh-CN"/>
              </w:rPr>
              <w:t>项目生产过程中涉及到</w:t>
            </w:r>
            <w:r>
              <w:rPr>
                <w:rFonts w:hint="eastAsia"/>
                <w:color w:val="auto"/>
                <w:sz w:val="24"/>
                <w:lang w:eastAsia="zh-CN"/>
              </w:rPr>
              <w:t>废润滑油</w:t>
            </w:r>
            <w:r>
              <w:rPr>
                <w:color w:val="auto"/>
                <w:sz w:val="24"/>
                <w:lang w:eastAsia="zh-CN"/>
              </w:rPr>
              <w:t>，若储存不当，会对地下水和土壤产生影响。</w:t>
            </w:r>
            <w:r>
              <w:rPr>
                <w:rFonts w:hint="eastAsia" w:eastAsia="宋体" w:cs="Times New Roman"/>
                <w:color w:val="auto"/>
                <w:sz w:val="24"/>
                <w:szCs w:val="20"/>
                <w:lang w:eastAsia="zh-CN" w:bidi="ar"/>
              </w:rPr>
              <w:t>本项目为扩建项目，</w:t>
            </w:r>
            <w:r>
              <w:rPr>
                <w:color w:val="auto"/>
                <w:sz w:val="24"/>
                <w:lang w:eastAsia="zh-CN"/>
              </w:rPr>
              <w:t>根据现场勘查，项目现有厂房已进行了硬化处理，废</w:t>
            </w:r>
            <w:r>
              <w:rPr>
                <w:rFonts w:hint="eastAsia"/>
                <w:color w:val="auto"/>
                <w:sz w:val="24"/>
                <w:lang w:eastAsia="zh-CN"/>
              </w:rPr>
              <w:t>润滑油</w:t>
            </w:r>
            <w:r>
              <w:rPr>
                <w:color w:val="auto"/>
                <w:sz w:val="24"/>
                <w:lang w:eastAsia="zh-CN"/>
              </w:rPr>
              <w:t>暂存于危废暂存间内，库房及危废暂存间已进行了防渗和防腐蚀措施，危废暂存间严格按《危险废物贮存污染控制标准》（GB18597-2001）及其修改单要求建设，并在危废暂存桶下设置托盘，以减小废机油对土壤、地下水的影响。</w:t>
            </w:r>
          </w:p>
          <w:p w14:paraId="747D3953">
            <w:pPr>
              <w:adjustRightInd w:val="0"/>
              <w:snapToGrid w:val="0"/>
              <w:ind w:firstLine="480"/>
              <w:jc w:val="both"/>
              <w:rPr>
                <w:color w:val="auto"/>
                <w:sz w:val="24"/>
                <w:lang w:eastAsia="zh-CN"/>
              </w:rPr>
            </w:pPr>
            <w:r>
              <w:rPr>
                <w:color w:val="auto"/>
                <w:sz w:val="24"/>
                <w:lang w:eastAsia="zh-CN"/>
              </w:rPr>
              <w:t>采取以上措施后，本项目不会对厂区土壤及地下水环境造成不利影响。</w:t>
            </w:r>
          </w:p>
          <w:p w14:paraId="2B2B49B4">
            <w:pPr>
              <w:widowControl/>
              <w:adjustRightInd w:val="0"/>
              <w:snapToGrid w:val="0"/>
              <w:ind w:left="0" w:leftChars="0" w:right="0" w:rightChars="0" w:firstLine="482"/>
              <w:jc w:val="both"/>
              <w:rPr>
                <w:rFonts w:eastAsia="宋体" w:cs="Times New Roman"/>
                <w:b/>
                <w:bCs/>
                <w:color w:val="auto"/>
                <w:sz w:val="24"/>
                <w:szCs w:val="24"/>
                <w:lang w:eastAsia="zh-CN"/>
              </w:rPr>
            </w:pPr>
            <w:r>
              <w:rPr>
                <w:rFonts w:hint="eastAsia" w:eastAsia="宋体" w:cs="Times New Roman"/>
                <w:b/>
                <w:bCs/>
                <w:color w:val="auto"/>
                <w:sz w:val="24"/>
                <w:szCs w:val="24"/>
                <w:lang w:eastAsia="zh-CN"/>
              </w:rPr>
              <w:t>6</w:t>
            </w:r>
            <w:r>
              <w:rPr>
                <w:rFonts w:eastAsia="宋体" w:cs="Times New Roman"/>
                <w:b/>
                <w:bCs/>
                <w:color w:val="auto"/>
                <w:sz w:val="24"/>
                <w:szCs w:val="24"/>
                <w:lang w:eastAsia="zh-CN"/>
              </w:rPr>
              <w:t>、环境风险影响分析</w:t>
            </w:r>
          </w:p>
          <w:p w14:paraId="197588BA">
            <w:pPr>
              <w:widowControl/>
              <w:adjustRightInd w:val="0"/>
              <w:snapToGrid w:val="0"/>
              <w:ind w:left="0" w:leftChars="0" w:right="0" w:rightChars="0" w:firstLine="482"/>
              <w:jc w:val="both"/>
              <w:rPr>
                <w:rFonts w:cs="Times New Roman"/>
                <w:b/>
                <w:bCs/>
                <w:color w:val="auto"/>
                <w:sz w:val="24"/>
                <w:lang w:eastAsia="zh-CN"/>
              </w:rPr>
            </w:pPr>
            <w:r>
              <w:rPr>
                <w:rFonts w:hint="eastAsia" w:cs="Times New Roman"/>
                <w:b/>
                <w:bCs/>
                <w:color w:val="auto"/>
                <w:sz w:val="24"/>
                <w:lang w:eastAsia="zh-CN"/>
              </w:rPr>
              <w:t>6.1</w:t>
            </w:r>
            <w:r>
              <w:rPr>
                <w:rFonts w:cs="Times New Roman"/>
                <w:b/>
                <w:bCs/>
                <w:color w:val="auto"/>
                <w:sz w:val="24"/>
                <w:lang w:eastAsia="zh-CN"/>
              </w:rPr>
              <w:t>风险源识别</w:t>
            </w:r>
          </w:p>
          <w:p w14:paraId="34A7C636">
            <w:pPr>
              <w:widowControl/>
              <w:ind w:left="0" w:leftChars="0" w:right="0" w:rightChars="0" w:firstLine="480"/>
              <w:jc w:val="both"/>
              <w:rPr>
                <w:rFonts w:eastAsia="宋体" w:cs="Times New Roman"/>
                <w:color w:val="0000FF"/>
                <w:sz w:val="24"/>
                <w:szCs w:val="24"/>
                <w:lang w:eastAsia="zh-CN"/>
              </w:rPr>
            </w:pPr>
            <w:r>
              <w:rPr>
                <w:rFonts w:cs="Times New Roman"/>
                <w:color w:val="auto"/>
                <w:sz w:val="24"/>
                <w:szCs w:val="24"/>
                <w:lang w:eastAsia="zh-CN"/>
              </w:rPr>
              <w:t>根据《建设项目环境风险评价技术导则》（HJ169-2018）附录B，项目涉及的风险物质主要为</w:t>
            </w:r>
            <w:r>
              <w:rPr>
                <w:rFonts w:hint="eastAsia" w:cs="Times New Roman"/>
                <w:color w:val="auto"/>
                <w:sz w:val="24"/>
                <w:szCs w:val="24"/>
                <w:lang w:eastAsia="zh-CN"/>
              </w:rPr>
              <w:t>天然气、润滑油</w:t>
            </w:r>
            <w:r>
              <w:rPr>
                <w:rFonts w:cs="Times New Roman"/>
                <w:color w:val="auto"/>
                <w:sz w:val="24"/>
                <w:szCs w:val="24"/>
                <w:lang w:eastAsia="zh-CN"/>
              </w:rPr>
              <w:t>、</w:t>
            </w:r>
            <w:r>
              <w:rPr>
                <w:rFonts w:hint="eastAsia" w:cs="Times New Roman"/>
                <w:color w:val="auto"/>
                <w:sz w:val="24"/>
                <w:szCs w:val="24"/>
                <w:lang w:eastAsia="zh-CN"/>
              </w:rPr>
              <w:t>废润滑油</w:t>
            </w:r>
            <w:r>
              <w:rPr>
                <w:rFonts w:cs="Times New Roman"/>
                <w:color w:val="auto"/>
                <w:sz w:val="24"/>
                <w:szCs w:val="24"/>
                <w:lang w:eastAsia="zh-CN"/>
              </w:rPr>
              <w:t>，</w:t>
            </w:r>
            <w:r>
              <w:rPr>
                <w:rFonts w:eastAsia="宋体" w:cs="Times New Roman"/>
                <w:color w:val="auto"/>
                <w:sz w:val="24"/>
                <w:szCs w:val="24"/>
                <w:lang w:eastAsia="zh-CN" w:bidi="ar"/>
              </w:rPr>
              <w:t>根据建设单位提供资料，天然气埋地管道在本项目地内管道长度为100m，管径为160mm，天然气压力为0.</w:t>
            </w:r>
            <w:r>
              <w:rPr>
                <w:rFonts w:hint="eastAsia" w:eastAsia="宋体" w:cs="Times New Roman"/>
                <w:color w:val="auto"/>
                <w:sz w:val="24"/>
                <w:szCs w:val="24"/>
                <w:lang w:eastAsia="zh-CN" w:bidi="ar"/>
              </w:rPr>
              <w:t>2</w:t>
            </w:r>
            <w:r>
              <w:rPr>
                <w:rFonts w:eastAsia="宋体" w:cs="Times New Roman"/>
                <w:color w:val="auto"/>
                <w:sz w:val="24"/>
                <w:szCs w:val="24"/>
                <w:lang w:eastAsia="zh-CN" w:bidi="ar"/>
              </w:rPr>
              <w:t>MPa。经计算，项目天然气最大存在量为</w:t>
            </w:r>
            <w:r>
              <w:rPr>
                <w:rFonts w:hint="eastAsia" w:eastAsia="宋体" w:cs="Times New Roman"/>
                <w:color w:val="auto"/>
                <w:sz w:val="24"/>
                <w:szCs w:val="24"/>
                <w:lang w:eastAsia="zh-CN" w:bidi="ar"/>
              </w:rPr>
              <w:t>0.04</w:t>
            </w:r>
            <w:r>
              <w:rPr>
                <w:rFonts w:eastAsia="宋体" w:cs="Times New Roman"/>
                <w:color w:val="auto"/>
                <w:sz w:val="24"/>
                <w:szCs w:val="24"/>
                <w:lang w:eastAsia="zh-CN" w:bidi="ar"/>
              </w:rPr>
              <w:t>Nm</w:t>
            </w:r>
            <w:r>
              <w:rPr>
                <w:rFonts w:eastAsia="宋体" w:cs="Times New Roman"/>
                <w:color w:val="auto"/>
                <w:sz w:val="24"/>
                <w:szCs w:val="24"/>
                <w:vertAlign w:val="superscript"/>
                <w:lang w:eastAsia="zh-CN" w:bidi="ar"/>
              </w:rPr>
              <w:t>3</w:t>
            </w:r>
            <w:r>
              <w:rPr>
                <w:rFonts w:eastAsia="宋体" w:cs="Times New Roman"/>
                <w:color w:val="auto"/>
                <w:sz w:val="24"/>
                <w:szCs w:val="24"/>
                <w:lang w:eastAsia="zh-CN" w:bidi="ar"/>
              </w:rPr>
              <w:t>，标况下天然气密度为0.7174kg/Nm</w:t>
            </w:r>
            <w:r>
              <w:rPr>
                <w:rFonts w:eastAsia="宋体" w:cs="Times New Roman"/>
                <w:color w:val="auto"/>
                <w:sz w:val="24"/>
                <w:szCs w:val="24"/>
                <w:vertAlign w:val="superscript"/>
                <w:lang w:eastAsia="zh-CN" w:bidi="ar"/>
              </w:rPr>
              <w:t>3</w:t>
            </w:r>
            <w:r>
              <w:rPr>
                <w:rFonts w:eastAsia="宋体" w:cs="Times New Roman"/>
                <w:color w:val="auto"/>
                <w:sz w:val="24"/>
                <w:szCs w:val="24"/>
                <w:lang w:eastAsia="zh-CN" w:bidi="ar"/>
              </w:rPr>
              <w:t>，则本项目天然气最大存在量为</w:t>
            </w:r>
            <w:r>
              <w:rPr>
                <w:rFonts w:hint="eastAsia" w:eastAsia="宋体" w:cs="Times New Roman"/>
                <w:color w:val="0000FF"/>
                <w:sz w:val="24"/>
                <w:szCs w:val="24"/>
                <w:lang w:eastAsia="zh-CN" w:bidi="ar"/>
              </w:rPr>
              <w:t>0.0</w:t>
            </w:r>
            <w:r>
              <w:rPr>
                <w:rFonts w:hint="eastAsia" w:eastAsia="宋体" w:cs="Times New Roman"/>
                <w:color w:val="0000FF"/>
                <w:sz w:val="24"/>
                <w:szCs w:val="24"/>
                <w:lang w:val="en-US" w:eastAsia="zh-CN" w:bidi="ar"/>
              </w:rPr>
              <w:t>9</w:t>
            </w:r>
            <w:r>
              <w:rPr>
                <w:rFonts w:eastAsia="宋体" w:cs="Times New Roman"/>
                <w:color w:val="0000FF"/>
                <w:sz w:val="24"/>
                <w:szCs w:val="24"/>
                <w:lang w:eastAsia="zh-CN" w:bidi="ar"/>
              </w:rPr>
              <w:t>kg。</w:t>
            </w:r>
          </w:p>
          <w:p w14:paraId="2A0E07EC">
            <w:pPr>
              <w:widowControl/>
              <w:adjustRightInd w:val="0"/>
              <w:snapToGrid w:val="0"/>
              <w:ind w:left="0" w:leftChars="0" w:right="0" w:rightChars="0" w:firstLine="482"/>
              <w:jc w:val="both"/>
              <w:rPr>
                <w:rFonts w:cs="Times New Roman"/>
                <w:b/>
                <w:bCs/>
                <w:color w:val="auto"/>
                <w:sz w:val="24"/>
                <w:lang w:eastAsia="zh-CN"/>
              </w:rPr>
            </w:pPr>
            <w:r>
              <w:rPr>
                <w:rFonts w:hint="eastAsia" w:cs="Times New Roman"/>
                <w:b/>
                <w:bCs/>
                <w:color w:val="auto"/>
                <w:sz w:val="24"/>
                <w:lang w:eastAsia="zh-CN"/>
              </w:rPr>
              <w:t>6.2环境风险分析</w:t>
            </w:r>
          </w:p>
          <w:p w14:paraId="6E5235FD">
            <w:pPr>
              <w:ind w:left="0" w:leftChars="0" w:right="0" w:rightChars="0" w:firstLine="480"/>
              <w:jc w:val="both"/>
              <w:rPr>
                <w:rFonts w:cs="Times New Roman"/>
                <w:color w:val="auto"/>
                <w:sz w:val="24"/>
                <w:szCs w:val="24"/>
                <w:lang w:eastAsia="zh-CN"/>
              </w:rPr>
            </w:pPr>
            <w:r>
              <w:rPr>
                <w:rFonts w:hint="eastAsia" w:cs="Times New Roman"/>
                <w:color w:val="auto"/>
                <w:sz w:val="24"/>
                <w:szCs w:val="24"/>
                <w:lang w:eastAsia="zh-CN"/>
              </w:rPr>
              <w:t>项目主要的环境风险类型为润滑油、废润滑油</w:t>
            </w:r>
            <w:r>
              <w:rPr>
                <w:rFonts w:cs="Times New Roman"/>
                <w:color w:val="auto"/>
                <w:sz w:val="24"/>
                <w:szCs w:val="32"/>
                <w:lang w:eastAsia="zh-CN"/>
              </w:rPr>
              <w:t>泄漏后</w:t>
            </w:r>
            <w:r>
              <w:rPr>
                <w:rFonts w:hint="eastAsia" w:cs="Times New Roman"/>
                <w:color w:val="auto"/>
                <w:sz w:val="24"/>
                <w:szCs w:val="32"/>
                <w:lang w:eastAsia="zh-CN"/>
              </w:rPr>
              <w:t>对土壤、地下水造成污染影响；天然气、润滑油、废润滑油泄漏后</w:t>
            </w:r>
            <w:r>
              <w:rPr>
                <w:rFonts w:cs="Times New Roman"/>
                <w:color w:val="auto"/>
                <w:sz w:val="24"/>
                <w:szCs w:val="32"/>
                <w:lang w:eastAsia="zh-CN"/>
              </w:rPr>
              <w:t>遇明火燃烧</w:t>
            </w:r>
            <w:r>
              <w:rPr>
                <w:rFonts w:hint="eastAsia" w:cs="Times New Roman"/>
                <w:color w:val="auto"/>
                <w:sz w:val="24"/>
                <w:szCs w:val="32"/>
                <w:lang w:eastAsia="zh-CN"/>
              </w:rPr>
              <w:t>后</w:t>
            </w:r>
            <w:r>
              <w:rPr>
                <w:rFonts w:cs="Times New Roman"/>
                <w:color w:val="auto"/>
                <w:sz w:val="24"/>
                <w:szCs w:val="32"/>
                <w:lang w:eastAsia="zh-CN"/>
              </w:rPr>
              <w:t>产生</w:t>
            </w:r>
            <w:r>
              <w:rPr>
                <w:rFonts w:hint="eastAsia" w:cs="Times New Roman"/>
                <w:color w:val="auto"/>
                <w:sz w:val="24"/>
                <w:szCs w:val="32"/>
                <w:lang w:eastAsia="zh-CN"/>
              </w:rPr>
              <w:t>CO、SO</w:t>
            </w:r>
            <w:r>
              <w:rPr>
                <w:rFonts w:hint="eastAsia" w:cs="Times New Roman"/>
                <w:color w:val="auto"/>
                <w:sz w:val="24"/>
                <w:szCs w:val="32"/>
                <w:vertAlign w:val="subscript"/>
                <w:lang w:eastAsia="zh-CN"/>
              </w:rPr>
              <w:t>2</w:t>
            </w:r>
            <w:r>
              <w:rPr>
                <w:rFonts w:cs="Times New Roman"/>
                <w:color w:val="auto"/>
                <w:sz w:val="24"/>
                <w:szCs w:val="32"/>
                <w:lang w:eastAsia="zh-CN"/>
              </w:rPr>
              <w:t>次生污染物污染大气环境，</w:t>
            </w:r>
            <w:r>
              <w:rPr>
                <w:rFonts w:hint="eastAsia" w:cs="Times New Roman"/>
                <w:color w:val="auto"/>
                <w:sz w:val="24"/>
                <w:szCs w:val="32"/>
                <w:lang w:eastAsia="zh-CN"/>
              </w:rPr>
              <w:t>火灾后产生</w:t>
            </w:r>
            <w:r>
              <w:rPr>
                <w:rFonts w:cs="Times New Roman"/>
                <w:color w:val="auto"/>
                <w:sz w:val="24"/>
                <w:szCs w:val="32"/>
                <w:lang w:eastAsia="zh-CN"/>
              </w:rPr>
              <w:t>的消防废水</w:t>
            </w:r>
            <w:r>
              <w:rPr>
                <w:rFonts w:hint="eastAsia" w:cs="Times New Roman"/>
                <w:color w:val="auto"/>
                <w:sz w:val="24"/>
                <w:szCs w:val="32"/>
                <w:lang w:eastAsia="zh-CN"/>
              </w:rPr>
              <w:t>通过雨水管网进入地表水，对地表水产生的影响。</w:t>
            </w:r>
            <w:r>
              <w:rPr>
                <w:rFonts w:cs="Times New Roman"/>
                <w:color w:val="auto"/>
                <w:sz w:val="24"/>
                <w:szCs w:val="24"/>
                <w:lang w:eastAsia="zh-CN"/>
              </w:rPr>
              <w:t>对照附录B.2，对风险物质进行Q值计算，见</w:t>
            </w:r>
            <w:r>
              <w:rPr>
                <w:rFonts w:hint="eastAsia" w:cs="Times New Roman"/>
                <w:color w:val="auto"/>
                <w:sz w:val="24"/>
                <w:szCs w:val="24"/>
                <w:lang w:eastAsia="zh-CN"/>
              </w:rPr>
              <w:t>下</w:t>
            </w:r>
            <w:r>
              <w:rPr>
                <w:rFonts w:cs="Times New Roman"/>
                <w:color w:val="auto"/>
                <w:sz w:val="24"/>
                <w:szCs w:val="24"/>
                <w:lang w:eastAsia="zh-CN"/>
              </w:rPr>
              <w:t>表。</w:t>
            </w:r>
          </w:p>
          <w:p w14:paraId="1159982F">
            <w:pPr>
              <w:adjustRightInd w:val="0"/>
              <w:snapToGrid w:val="0"/>
              <w:spacing w:line="240" w:lineRule="auto"/>
              <w:ind w:left="0" w:leftChars="0" w:right="0" w:rightChars="0" w:firstLine="0" w:firstLineChars="0"/>
              <w:jc w:val="center"/>
              <w:rPr>
                <w:rFonts w:eastAsia="宋体" w:cs="Times New Roman"/>
                <w:b/>
                <w:bCs/>
                <w:color w:val="auto"/>
                <w:szCs w:val="21"/>
                <w:lang w:eastAsia="zh-CN"/>
              </w:rPr>
            </w:pPr>
            <w:r>
              <w:rPr>
                <w:rFonts w:eastAsia="宋体" w:cs="Times New Roman"/>
                <w:b/>
                <w:bCs/>
                <w:color w:val="auto"/>
                <w:szCs w:val="21"/>
                <w:lang w:eastAsia="zh-CN"/>
              </w:rPr>
              <w:t>表4-</w:t>
            </w:r>
            <w:r>
              <w:rPr>
                <w:rFonts w:hint="eastAsia" w:eastAsia="宋体" w:cs="Times New Roman"/>
                <w:b/>
                <w:bCs/>
                <w:color w:val="auto"/>
                <w:szCs w:val="21"/>
                <w:lang w:eastAsia="zh-CN"/>
              </w:rPr>
              <w:t>14</w:t>
            </w:r>
            <w:r>
              <w:rPr>
                <w:rFonts w:eastAsia="宋体" w:cs="Times New Roman"/>
                <w:b/>
                <w:bCs/>
                <w:color w:val="auto"/>
                <w:szCs w:val="21"/>
                <w:lang w:eastAsia="zh-CN"/>
              </w:rPr>
              <w:t xml:space="preserve">      风险物质Q值</w:t>
            </w:r>
          </w:p>
          <w:tbl>
            <w:tblPr>
              <w:tblStyle w:val="26"/>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1762"/>
              <w:gridCol w:w="2280"/>
              <w:gridCol w:w="1581"/>
            </w:tblGrid>
            <w:tr w14:paraId="6816FC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pct"/>
                  <w:tcBorders>
                    <w:tl2br w:val="nil"/>
                    <w:tr2bl w:val="nil"/>
                  </w:tcBorders>
                  <w:vAlign w:val="center"/>
                </w:tcPr>
                <w:p w14:paraId="6B333CC7">
                  <w:pPr>
                    <w:autoSpaceDE w:val="0"/>
                    <w:autoSpaceDN w:val="0"/>
                    <w:adjustRightIn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物质名称</w:t>
                  </w:r>
                </w:p>
              </w:tc>
              <w:tc>
                <w:tcPr>
                  <w:tcW w:w="1042" w:type="pct"/>
                  <w:tcBorders>
                    <w:tl2br w:val="nil"/>
                    <w:tr2bl w:val="nil"/>
                  </w:tcBorders>
                  <w:vAlign w:val="center"/>
                </w:tcPr>
                <w:p w14:paraId="34535C83">
                  <w:pPr>
                    <w:autoSpaceDE w:val="0"/>
                    <w:autoSpaceDN w:val="0"/>
                    <w:adjustRightIn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储存量t（q</w:t>
                  </w:r>
                  <w:r>
                    <w:rPr>
                      <w:rFonts w:cs="Times New Roman"/>
                      <w:b/>
                      <w:bCs/>
                      <w:color w:val="auto"/>
                      <w:szCs w:val="21"/>
                      <w:vertAlign w:val="subscript"/>
                      <w:lang w:eastAsia="zh-CN"/>
                    </w:rPr>
                    <w:t>n</w:t>
                  </w:r>
                  <w:r>
                    <w:rPr>
                      <w:rFonts w:cs="Times New Roman"/>
                      <w:b/>
                      <w:bCs/>
                      <w:color w:val="auto"/>
                      <w:szCs w:val="21"/>
                      <w:lang w:eastAsia="zh-CN"/>
                    </w:rPr>
                    <w:t>）</w:t>
                  </w:r>
                </w:p>
              </w:tc>
              <w:tc>
                <w:tcPr>
                  <w:tcW w:w="1347" w:type="pct"/>
                  <w:tcBorders>
                    <w:tl2br w:val="nil"/>
                    <w:tr2bl w:val="nil"/>
                  </w:tcBorders>
                  <w:vAlign w:val="center"/>
                </w:tcPr>
                <w:p w14:paraId="044A933F">
                  <w:pPr>
                    <w:autoSpaceDE w:val="0"/>
                    <w:autoSpaceDN w:val="0"/>
                    <w:adjustRightIn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临界量t(Q</w:t>
                  </w:r>
                  <w:r>
                    <w:rPr>
                      <w:rFonts w:cs="Times New Roman"/>
                      <w:b/>
                      <w:bCs/>
                      <w:color w:val="auto"/>
                      <w:szCs w:val="21"/>
                      <w:vertAlign w:val="subscript"/>
                      <w:lang w:eastAsia="zh-CN"/>
                    </w:rPr>
                    <w:t>n</w:t>
                  </w:r>
                  <w:r>
                    <w:rPr>
                      <w:rFonts w:cs="Times New Roman"/>
                      <w:b/>
                      <w:bCs/>
                      <w:color w:val="auto"/>
                      <w:szCs w:val="21"/>
                      <w:lang w:eastAsia="zh-CN"/>
                    </w:rPr>
                    <w:t>)</w:t>
                  </w:r>
                </w:p>
              </w:tc>
              <w:tc>
                <w:tcPr>
                  <w:tcW w:w="935" w:type="pct"/>
                  <w:tcBorders>
                    <w:tl2br w:val="nil"/>
                    <w:tr2bl w:val="nil"/>
                  </w:tcBorders>
                  <w:vAlign w:val="center"/>
                </w:tcPr>
                <w:p w14:paraId="230A8E8A">
                  <w:pPr>
                    <w:autoSpaceDE w:val="0"/>
                    <w:autoSpaceDN w:val="0"/>
                    <w:adjustRightInd w:val="0"/>
                    <w:spacing w:line="240" w:lineRule="auto"/>
                    <w:ind w:left="0" w:leftChars="0" w:right="0" w:rightChars="0" w:firstLine="0" w:firstLineChars="0"/>
                    <w:jc w:val="center"/>
                    <w:rPr>
                      <w:rFonts w:cs="Times New Roman"/>
                      <w:b/>
                      <w:bCs/>
                      <w:color w:val="auto"/>
                      <w:szCs w:val="21"/>
                      <w:lang w:eastAsia="zh-CN"/>
                    </w:rPr>
                  </w:pPr>
                  <w:r>
                    <w:rPr>
                      <w:rFonts w:cs="Times New Roman"/>
                      <w:b/>
                      <w:bCs/>
                      <w:color w:val="auto"/>
                      <w:szCs w:val="21"/>
                      <w:lang w:eastAsia="zh-CN"/>
                    </w:rPr>
                    <w:t>比值Q</w:t>
                  </w:r>
                </w:p>
              </w:tc>
            </w:tr>
            <w:tr w14:paraId="4E945D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pct"/>
                  <w:tcBorders>
                    <w:tl2br w:val="nil"/>
                    <w:tr2bl w:val="nil"/>
                  </w:tcBorders>
                  <w:vAlign w:val="center"/>
                </w:tcPr>
                <w:p w14:paraId="236ADE51">
                  <w:pPr>
                    <w:autoSpaceDE w:val="0"/>
                    <w:autoSpaceDN w:val="0"/>
                    <w:adjustRightInd w:val="0"/>
                    <w:spacing w:line="240" w:lineRule="auto"/>
                    <w:ind w:left="0" w:leftChars="0" w:right="0" w:rightChars="0" w:firstLine="0" w:firstLineChars="0"/>
                    <w:jc w:val="center"/>
                    <w:rPr>
                      <w:rFonts w:cs="Times New Roman"/>
                      <w:color w:val="0000FF"/>
                      <w:szCs w:val="21"/>
                      <w:lang w:eastAsia="zh-CN"/>
                    </w:rPr>
                  </w:pPr>
                  <w:r>
                    <w:rPr>
                      <w:rFonts w:hint="eastAsia" w:cs="Times New Roman"/>
                      <w:color w:val="0000FF"/>
                      <w:szCs w:val="21"/>
                      <w:lang w:eastAsia="zh-CN"/>
                    </w:rPr>
                    <w:t>天然气</w:t>
                  </w:r>
                </w:p>
              </w:tc>
              <w:tc>
                <w:tcPr>
                  <w:tcW w:w="1042" w:type="pct"/>
                  <w:tcBorders>
                    <w:tl2br w:val="nil"/>
                    <w:tr2bl w:val="nil"/>
                  </w:tcBorders>
                  <w:vAlign w:val="center"/>
                </w:tcPr>
                <w:p w14:paraId="117DD004">
                  <w:pPr>
                    <w:autoSpaceDE w:val="0"/>
                    <w:autoSpaceDN w:val="0"/>
                    <w:adjustRightInd w:val="0"/>
                    <w:spacing w:line="240" w:lineRule="auto"/>
                    <w:ind w:left="0" w:leftChars="0" w:right="0" w:rightChars="0" w:firstLine="0" w:firstLineChars="0"/>
                    <w:jc w:val="center"/>
                    <w:rPr>
                      <w:rFonts w:cs="Times New Roman"/>
                      <w:color w:val="0000FF"/>
                      <w:szCs w:val="21"/>
                      <w:lang w:eastAsia="zh-CN"/>
                    </w:rPr>
                  </w:pPr>
                  <w:r>
                    <w:rPr>
                      <w:rFonts w:hint="eastAsia" w:cs="Times New Roman"/>
                      <w:color w:val="0000FF"/>
                      <w:szCs w:val="21"/>
                      <w:lang w:val="en-US" w:eastAsia="zh-CN"/>
                    </w:rPr>
                    <w:t>9</w:t>
                  </w:r>
                  <w:r>
                    <w:rPr>
                      <w:rFonts w:ascii="Arial" w:hAnsi="Arial" w:cs="Arial"/>
                      <w:color w:val="0000FF"/>
                      <w:szCs w:val="21"/>
                      <w:lang w:eastAsia="zh-CN"/>
                    </w:rPr>
                    <w:t>×</w:t>
                  </w:r>
                  <w:r>
                    <w:rPr>
                      <w:rFonts w:hint="eastAsia" w:cs="Times New Roman"/>
                      <w:color w:val="0000FF"/>
                      <w:szCs w:val="21"/>
                      <w:lang w:eastAsia="zh-CN"/>
                    </w:rPr>
                    <w:t>10</w:t>
                  </w:r>
                  <w:r>
                    <w:rPr>
                      <w:rFonts w:hint="eastAsia" w:cs="Times New Roman"/>
                      <w:color w:val="0000FF"/>
                      <w:szCs w:val="21"/>
                      <w:vertAlign w:val="superscript"/>
                      <w:lang w:eastAsia="zh-CN"/>
                    </w:rPr>
                    <w:t>-5</w:t>
                  </w:r>
                </w:p>
              </w:tc>
              <w:tc>
                <w:tcPr>
                  <w:tcW w:w="1347" w:type="pct"/>
                  <w:tcBorders>
                    <w:tl2br w:val="nil"/>
                    <w:tr2bl w:val="nil"/>
                  </w:tcBorders>
                  <w:vAlign w:val="center"/>
                </w:tcPr>
                <w:p w14:paraId="20E368E3">
                  <w:pPr>
                    <w:autoSpaceDE w:val="0"/>
                    <w:autoSpaceDN w:val="0"/>
                    <w:adjustRightInd w:val="0"/>
                    <w:spacing w:line="240" w:lineRule="auto"/>
                    <w:ind w:left="0" w:leftChars="0" w:right="0" w:rightChars="0" w:firstLine="0" w:firstLineChars="0"/>
                    <w:jc w:val="center"/>
                    <w:rPr>
                      <w:rFonts w:cs="Times New Roman"/>
                      <w:color w:val="0000FF"/>
                      <w:szCs w:val="21"/>
                      <w:lang w:eastAsia="zh-CN"/>
                    </w:rPr>
                  </w:pPr>
                  <w:r>
                    <w:rPr>
                      <w:rFonts w:hint="eastAsia" w:cs="Times New Roman"/>
                      <w:color w:val="0000FF"/>
                      <w:szCs w:val="21"/>
                      <w:lang w:eastAsia="zh-CN"/>
                    </w:rPr>
                    <w:t>10</w:t>
                  </w:r>
                </w:p>
              </w:tc>
              <w:tc>
                <w:tcPr>
                  <w:tcW w:w="935" w:type="pct"/>
                  <w:tcBorders>
                    <w:tl2br w:val="nil"/>
                    <w:tr2bl w:val="nil"/>
                  </w:tcBorders>
                  <w:vAlign w:val="center"/>
                </w:tcPr>
                <w:p w14:paraId="4F3C5578">
                  <w:pPr>
                    <w:autoSpaceDE w:val="0"/>
                    <w:autoSpaceDN w:val="0"/>
                    <w:adjustRightInd w:val="0"/>
                    <w:spacing w:line="240" w:lineRule="auto"/>
                    <w:ind w:left="0" w:leftChars="0" w:right="0" w:rightChars="0" w:firstLine="0" w:firstLineChars="0"/>
                    <w:jc w:val="center"/>
                    <w:rPr>
                      <w:rFonts w:cs="Times New Roman"/>
                      <w:color w:val="0000FF"/>
                      <w:szCs w:val="21"/>
                      <w:lang w:eastAsia="zh-CN"/>
                    </w:rPr>
                  </w:pPr>
                  <w:r>
                    <w:rPr>
                      <w:rFonts w:hint="eastAsia" w:cs="Times New Roman"/>
                      <w:color w:val="0000FF"/>
                      <w:szCs w:val="21"/>
                      <w:lang w:val="en-US" w:eastAsia="zh-CN"/>
                    </w:rPr>
                    <w:t>9</w:t>
                  </w:r>
                  <w:r>
                    <w:rPr>
                      <w:rFonts w:ascii="Arial" w:hAnsi="Arial" w:cs="Arial"/>
                      <w:color w:val="0000FF"/>
                      <w:szCs w:val="21"/>
                      <w:lang w:eastAsia="zh-CN"/>
                    </w:rPr>
                    <w:t>×</w:t>
                  </w:r>
                  <w:r>
                    <w:rPr>
                      <w:rFonts w:hint="eastAsia" w:cs="Times New Roman"/>
                      <w:color w:val="0000FF"/>
                      <w:szCs w:val="21"/>
                      <w:lang w:eastAsia="zh-CN"/>
                    </w:rPr>
                    <w:t>10</w:t>
                  </w:r>
                  <w:r>
                    <w:rPr>
                      <w:rFonts w:hint="eastAsia" w:cs="Times New Roman"/>
                      <w:color w:val="0000FF"/>
                      <w:szCs w:val="21"/>
                      <w:vertAlign w:val="superscript"/>
                      <w:lang w:eastAsia="zh-CN"/>
                    </w:rPr>
                    <w:t>-6</w:t>
                  </w:r>
                </w:p>
              </w:tc>
            </w:tr>
            <w:tr w14:paraId="733AB8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pct"/>
                  <w:tcBorders>
                    <w:tl2br w:val="nil"/>
                    <w:tr2bl w:val="nil"/>
                  </w:tcBorders>
                  <w:vAlign w:val="center"/>
                </w:tcPr>
                <w:p w14:paraId="5E81E055">
                  <w:pPr>
                    <w:autoSpaceDN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润滑油</w:t>
                  </w:r>
                </w:p>
              </w:tc>
              <w:tc>
                <w:tcPr>
                  <w:tcW w:w="1042" w:type="pct"/>
                  <w:tcBorders>
                    <w:tl2br w:val="nil"/>
                    <w:tr2bl w:val="nil"/>
                  </w:tcBorders>
                  <w:vAlign w:val="center"/>
                </w:tcPr>
                <w:p w14:paraId="40AE22A6">
                  <w:pPr>
                    <w:autoSpaceDE w:val="0"/>
                    <w:autoSpaceDN w:val="0"/>
                    <w:adjustRightIn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val="en-US" w:eastAsia="zh-CN"/>
                    </w:rPr>
                    <w:t>0.</w:t>
                  </w:r>
                  <w:r>
                    <w:rPr>
                      <w:rFonts w:hint="eastAsia" w:cs="Times New Roman"/>
                      <w:color w:val="auto"/>
                      <w:szCs w:val="21"/>
                      <w:lang w:eastAsia="zh-CN"/>
                    </w:rPr>
                    <w:t>1</w:t>
                  </w:r>
                </w:p>
              </w:tc>
              <w:tc>
                <w:tcPr>
                  <w:tcW w:w="1347" w:type="pct"/>
                  <w:tcBorders>
                    <w:tl2br w:val="nil"/>
                    <w:tr2bl w:val="nil"/>
                  </w:tcBorders>
                  <w:vAlign w:val="center"/>
                </w:tcPr>
                <w:p w14:paraId="0E5B3F74">
                  <w:pPr>
                    <w:autoSpaceDE w:val="0"/>
                    <w:autoSpaceDN w:val="0"/>
                    <w:adjustRightInd w:val="0"/>
                    <w:spacing w:line="240" w:lineRule="auto"/>
                    <w:ind w:left="0" w:leftChars="0" w:right="0" w:rightChars="0" w:firstLine="0" w:firstLineChars="0"/>
                    <w:jc w:val="center"/>
                    <w:rPr>
                      <w:rFonts w:cs="Times New Roman"/>
                      <w:color w:val="auto"/>
                      <w:szCs w:val="21"/>
                      <w:lang w:eastAsia="zh-CN"/>
                    </w:rPr>
                  </w:pPr>
                  <w:r>
                    <w:rPr>
                      <w:rFonts w:cs="Times New Roman"/>
                      <w:color w:val="auto"/>
                      <w:szCs w:val="21"/>
                      <w:lang w:eastAsia="zh-CN"/>
                    </w:rPr>
                    <w:t>2500</w:t>
                  </w:r>
                </w:p>
              </w:tc>
              <w:tc>
                <w:tcPr>
                  <w:tcW w:w="935" w:type="pct"/>
                  <w:tcBorders>
                    <w:tl2br w:val="nil"/>
                    <w:tr2bl w:val="nil"/>
                  </w:tcBorders>
                  <w:vAlign w:val="center"/>
                </w:tcPr>
                <w:p w14:paraId="24ED87E5">
                  <w:pPr>
                    <w:autoSpaceDE w:val="0"/>
                    <w:autoSpaceDN w:val="0"/>
                    <w:adjustRightIn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4</w:t>
                  </w:r>
                  <w:r>
                    <w:rPr>
                      <w:rFonts w:ascii="Arial" w:hAnsi="Arial" w:cs="Arial"/>
                      <w:color w:val="auto"/>
                      <w:szCs w:val="21"/>
                      <w:lang w:eastAsia="zh-CN"/>
                    </w:rPr>
                    <w:t>×</w:t>
                  </w:r>
                  <w:r>
                    <w:rPr>
                      <w:rFonts w:hint="eastAsia" w:cs="Times New Roman"/>
                      <w:color w:val="auto"/>
                      <w:szCs w:val="21"/>
                      <w:lang w:eastAsia="zh-CN"/>
                    </w:rPr>
                    <w:t>10</w:t>
                  </w:r>
                  <w:r>
                    <w:rPr>
                      <w:rFonts w:hint="eastAsia" w:cs="Times New Roman"/>
                      <w:color w:val="auto"/>
                      <w:szCs w:val="21"/>
                      <w:vertAlign w:val="superscript"/>
                      <w:lang w:eastAsia="zh-CN"/>
                    </w:rPr>
                    <w:t>-</w:t>
                  </w:r>
                  <w:r>
                    <w:rPr>
                      <w:rFonts w:hint="eastAsia" w:cs="Times New Roman"/>
                      <w:color w:val="auto"/>
                      <w:szCs w:val="21"/>
                      <w:vertAlign w:val="superscript"/>
                      <w:lang w:val="en-US" w:eastAsia="zh-CN"/>
                    </w:rPr>
                    <w:t>5</w:t>
                  </w:r>
                </w:p>
              </w:tc>
            </w:tr>
            <w:tr w14:paraId="4B3076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pct"/>
                  <w:tcBorders>
                    <w:tl2br w:val="nil"/>
                    <w:tr2bl w:val="nil"/>
                  </w:tcBorders>
                  <w:vAlign w:val="center"/>
                </w:tcPr>
                <w:p w14:paraId="4A527D25">
                  <w:pPr>
                    <w:autoSpaceDN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废润滑油</w:t>
                  </w:r>
                </w:p>
              </w:tc>
              <w:tc>
                <w:tcPr>
                  <w:tcW w:w="1042" w:type="pct"/>
                  <w:tcBorders>
                    <w:tl2br w:val="nil"/>
                    <w:tr2bl w:val="nil"/>
                  </w:tcBorders>
                  <w:vAlign w:val="center"/>
                </w:tcPr>
                <w:p w14:paraId="3F3E91C4">
                  <w:pPr>
                    <w:autoSpaceDE w:val="0"/>
                    <w:autoSpaceDN w:val="0"/>
                    <w:adjustRightIn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0.05</w:t>
                  </w:r>
                </w:p>
              </w:tc>
              <w:tc>
                <w:tcPr>
                  <w:tcW w:w="1347" w:type="pct"/>
                  <w:tcBorders>
                    <w:tl2br w:val="nil"/>
                    <w:tr2bl w:val="nil"/>
                  </w:tcBorders>
                  <w:vAlign w:val="center"/>
                </w:tcPr>
                <w:p w14:paraId="18D45945">
                  <w:pPr>
                    <w:autoSpaceDE w:val="0"/>
                    <w:autoSpaceDN w:val="0"/>
                    <w:adjustRightIn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50</w:t>
                  </w:r>
                </w:p>
              </w:tc>
              <w:tc>
                <w:tcPr>
                  <w:tcW w:w="935" w:type="pct"/>
                  <w:tcBorders>
                    <w:tl2br w:val="nil"/>
                    <w:tr2bl w:val="nil"/>
                  </w:tcBorders>
                  <w:vAlign w:val="center"/>
                </w:tcPr>
                <w:p w14:paraId="22E63449">
                  <w:pPr>
                    <w:autoSpaceDE w:val="0"/>
                    <w:autoSpaceDN w:val="0"/>
                    <w:adjustRightIn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1</w:t>
                  </w:r>
                  <w:r>
                    <w:rPr>
                      <w:rFonts w:ascii="Arial" w:hAnsi="Arial" w:cs="Arial"/>
                      <w:color w:val="auto"/>
                      <w:szCs w:val="21"/>
                      <w:lang w:eastAsia="zh-CN"/>
                    </w:rPr>
                    <w:t>×</w:t>
                  </w:r>
                  <w:r>
                    <w:rPr>
                      <w:rFonts w:hint="eastAsia" w:cs="Times New Roman"/>
                      <w:color w:val="auto"/>
                      <w:szCs w:val="21"/>
                      <w:lang w:eastAsia="zh-CN"/>
                    </w:rPr>
                    <w:t>10</w:t>
                  </w:r>
                  <w:r>
                    <w:rPr>
                      <w:rFonts w:hint="eastAsia" w:cs="Times New Roman"/>
                      <w:color w:val="auto"/>
                      <w:szCs w:val="21"/>
                      <w:vertAlign w:val="superscript"/>
                      <w:lang w:eastAsia="zh-CN"/>
                    </w:rPr>
                    <w:t>-3</w:t>
                  </w:r>
                </w:p>
              </w:tc>
            </w:tr>
            <w:tr w14:paraId="4E334F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pct"/>
                  <w:tcBorders>
                    <w:tl2br w:val="nil"/>
                    <w:tr2bl w:val="nil"/>
                  </w:tcBorders>
                  <w:vAlign w:val="center"/>
                </w:tcPr>
                <w:p w14:paraId="5B0FDB65">
                  <w:pPr>
                    <w:autoSpaceDN w:val="0"/>
                    <w:spacing w:line="240" w:lineRule="auto"/>
                    <w:ind w:left="0" w:leftChars="0" w:right="0" w:rightChars="0" w:firstLine="0" w:firstLineChars="0"/>
                    <w:jc w:val="center"/>
                    <w:rPr>
                      <w:rFonts w:cs="Times New Roman"/>
                      <w:color w:val="0000FF"/>
                      <w:szCs w:val="21"/>
                      <w:lang w:eastAsia="zh-CN"/>
                    </w:rPr>
                  </w:pPr>
                  <w:r>
                    <w:rPr>
                      <w:rFonts w:cs="Times New Roman"/>
                      <w:color w:val="0000FF"/>
                      <w:szCs w:val="21"/>
                      <w:lang w:eastAsia="zh-CN"/>
                    </w:rPr>
                    <w:t>合计</w:t>
                  </w:r>
                </w:p>
              </w:tc>
              <w:tc>
                <w:tcPr>
                  <w:tcW w:w="1042" w:type="pct"/>
                  <w:tcBorders>
                    <w:tl2br w:val="nil"/>
                    <w:tr2bl w:val="nil"/>
                  </w:tcBorders>
                  <w:vAlign w:val="center"/>
                </w:tcPr>
                <w:p w14:paraId="47A03148">
                  <w:pPr>
                    <w:autoSpaceDE w:val="0"/>
                    <w:autoSpaceDN w:val="0"/>
                    <w:adjustRightInd w:val="0"/>
                    <w:spacing w:line="240" w:lineRule="auto"/>
                    <w:ind w:left="0" w:leftChars="0" w:right="0" w:rightChars="0" w:firstLine="0" w:firstLineChars="0"/>
                    <w:jc w:val="center"/>
                    <w:rPr>
                      <w:rFonts w:cs="Times New Roman"/>
                      <w:color w:val="0000FF"/>
                      <w:szCs w:val="21"/>
                      <w:lang w:eastAsia="zh-CN"/>
                    </w:rPr>
                  </w:pPr>
                  <w:r>
                    <w:rPr>
                      <w:rFonts w:cs="Times New Roman"/>
                      <w:color w:val="0000FF"/>
                      <w:szCs w:val="21"/>
                      <w:lang w:eastAsia="zh-CN"/>
                    </w:rPr>
                    <w:t>/</w:t>
                  </w:r>
                </w:p>
              </w:tc>
              <w:tc>
                <w:tcPr>
                  <w:tcW w:w="1347" w:type="pct"/>
                  <w:tcBorders>
                    <w:tl2br w:val="nil"/>
                    <w:tr2bl w:val="nil"/>
                  </w:tcBorders>
                  <w:vAlign w:val="center"/>
                </w:tcPr>
                <w:p w14:paraId="653B3CC2">
                  <w:pPr>
                    <w:autoSpaceDE w:val="0"/>
                    <w:autoSpaceDN w:val="0"/>
                    <w:adjustRightInd w:val="0"/>
                    <w:spacing w:line="240" w:lineRule="auto"/>
                    <w:ind w:left="0" w:leftChars="0" w:right="0" w:rightChars="0" w:firstLine="0" w:firstLineChars="0"/>
                    <w:jc w:val="center"/>
                    <w:rPr>
                      <w:rFonts w:cs="Times New Roman"/>
                      <w:color w:val="0000FF"/>
                      <w:szCs w:val="21"/>
                      <w:lang w:eastAsia="zh-CN"/>
                    </w:rPr>
                  </w:pPr>
                  <w:r>
                    <w:rPr>
                      <w:rFonts w:cs="Times New Roman"/>
                      <w:color w:val="0000FF"/>
                      <w:szCs w:val="21"/>
                      <w:lang w:eastAsia="zh-CN"/>
                    </w:rPr>
                    <w:t>/</w:t>
                  </w:r>
                </w:p>
              </w:tc>
              <w:tc>
                <w:tcPr>
                  <w:tcW w:w="935" w:type="pct"/>
                  <w:tcBorders>
                    <w:tl2br w:val="nil"/>
                    <w:tr2bl w:val="nil"/>
                  </w:tcBorders>
                  <w:vAlign w:val="center"/>
                </w:tcPr>
                <w:p w14:paraId="6333F368">
                  <w:pPr>
                    <w:autoSpaceDE w:val="0"/>
                    <w:autoSpaceDN w:val="0"/>
                    <w:adjustRightInd w:val="0"/>
                    <w:spacing w:line="240" w:lineRule="auto"/>
                    <w:ind w:left="0" w:leftChars="0" w:right="0" w:rightChars="0" w:firstLine="0" w:firstLineChars="0"/>
                    <w:jc w:val="center"/>
                    <w:rPr>
                      <w:rFonts w:cs="Times New Roman"/>
                      <w:color w:val="0000FF"/>
                      <w:szCs w:val="21"/>
                      <w:lang w:eastAsia="zh-CN"/>
                    </w:rPr>
                  </w:pPr>
                  <w:r>
                    <w:rPr>
                      <w:rFonts w:hint="eastAsia" w:cs="Times New Roman"/>
                      <w:color w:val="0000FF"/>
                      <w:szCs w:val="21"/>
                      <w:lang w:eastAsia="zh-CN"/>
                    </w:rPr>
                    <w:t>1.04</w:t>
                  </w:r>
                  <w:r>
                    <w:rPr>
                      <w:rFonts w:hint="eastAsia" w:cs="Times New Roman"/>
                      <w:color w:val="0000FF"/>
                      <w:szCs w:val="21"/>
                      <w:lang w:val="en-US" w:eastAsia="zh-CN"/>
                    </w:rPr>
                    <w:t>9</w:t>
                  </w:r>
                  <w:r>
                    <w:rPr>
                      <w:rFonts w:ascii="Arial" w:hAnsi="Arial" w:cs="Arial"/>
                      <w:color w:val="0000FF"/>
                      <w:szCs w:val="21"/>
                      <w:lang w:eastAsia="zh-CN"/>
                    </w:rPr>
                    <w:t>×</w:t>
                  </w:r>
                  <w:r>
                    <w:rPr>
                      <w:rFonts w:hint="eastAsia" w:cs="Times New Roman"/>
                      <w:color w:val="0000FF"/>
                      <w:szCs w:val="21"/>
                      <w:lang w:eastAsia="zh-CN"/>
                    </w:rPr>
                    <w:t>10</w:t>
                  </w:r>
                  <w:r>
                    <w:rPr>
                      <w:rFonts w:hint="eastAsia" w:cs="Times New Roman"/>
                      <w:color w:val="0000FF"/>
                      <w:szCs w:val="21"/>
                      <w:vertAlign w:val="superscript"/>
                      <w:lang w:eastAsia="zh-CN"/>
                    </w:rPr>
                    <w:t>-3</w:t>
                  </w:r>
                </w:p>
              </w:tc>
            </w:tr>
          </w:tbl>
          <w:p w14:paraId="0A2E417A">
            <w:pPr>
              <w:widowControl/>
              <w:adjustRightInd w:val="0"/>
              <w:snapToGrid w:val="0"/>
              <w:ind w:left="0" w:leftChars="0" w:right="0" w:rightChars="0" w:firstLine="480"/>
              <w:jc w:val="both"/>
              <w:rPr>
                <w:rFonts w:cs="Times New Roman"/>
                <w:color w:val="auto"/>
                <w:sz w:val="24"/>
                <w:szCs w:val="24"/>
                <w:lang w:eastAsia="zh-CN"/>
              </w:rPr>
            </w:pPr>
            <w:r>
              <w:rPr>
                <w:rFonts w:cs="Times New Roman"/>
                <w:color w:val="auto"/>
                <w:sz w:val="24"/>
                <w:szCs w:val="24"/>
                <w:lang w:eastAsia="zh-CN"/>
              </w:rPr>
              <w:t>项目危险物质</w:t>
            </w:r>
            <w:r>
              <w:rPr>
                <w:rFonts w:cs="Times New Roman"/>
                <w:color w:val="0000FF"/>
                <w:sz w:val="24"/>
                <w:szCs w:val="24"/>
                <w:lang w:eastAsia="zh-CN"/>
              </w:rPr>
              <w:t>Q=</w:t>
            </w:r>
            <w:r>
              <w:rPr>
                <w:rFonts w:hint="eastAsia" w:cs="Times New Roman"/>
                <w:color w:val="0000FF"/>
                <w:sz w:val="24"/>
                <w:szCs w:val="24"/>
                <w:lang w:eastAsia="zh-CN"/>
              </w:rPr>
              <w:t>1.04</w:t>
            </w:r>
            <w:r>
              <w:rPr>
                <w:rFonts w:hint="eastAsia" w:cs="Times New Roman"/>
                <w:color w:val="0000FF"/>
                <w:sz w:val="24"/>
                <w:szCs w:val="24"/>
                <w:lang w:val="en-US" w:eastAsia="zh-CN"/>
              </w:rPr>
              <w:t>9</w:t>
            </w:r>
            <w:r>
              <w:rPr>
                <w:rFonts w:ascii="Arial" w:hAnsi="Arial" w:cs="Arial"/>
                <w:color w:val="0000FF"/>
                <w:sz w:val="24"/>
                <w:szCs w:val="24"/>
                <w:lang w:eastAsia="zh-CN"/>
              </w:rPr>
              <w:t>×</w:t>
            </w:r>
            <w:r>
              <w:rPr>
                <w:rFonts w:hint="eastAsia" w:cs="Times New Roman"/>
                <w:color w:val="0000FF"/>
                <w:sz w:val="24"/>
                <w:szCs w:val="24"/>
                <w:lang w:eastAsia="zh-CN"/>
              </w:rPr>
              <w:t>10</w:t>
            </w:r>
            <w:r>
              <w:rPr>
                <w:rFonts w:hint="eastAsia" w:cs="Times New Roman"/>
                <w:color w:val="0000FF"/>
                <w:sz w:val="24"/>
                <w:szCs w:val="24"/>
                <w:vertAlign w:val="superscript"/>
                <w:lang w:eastAsia="zh-CN"/>
              </w:rPr>
              <w:t>-3</w:t>
            </w:r>
            <w:r>
              <w:rPr>
                <w:rFonts w:cs="Times New Roman"/>
                <w:color w:val="0000FF"/>
                <w:sz w:val="24"/>
                <w:szCs w:val="24"/>
                <w:lang w:eastAsia="zh-CN"/>
              </w:rPr>
              <w:t>＜1。</w:t>
            </w:r>
            <w:r>
              <w:rPr>
                <w:rFonts w:cs="Times New Roman"/>
                <w:color w:val="auto"/>
                <w:sz w:val="24"/>
                <w:szCs w:val="24"/>
                <w:lang w:eastAsia="zh-CN"/>
              </w:rPr>
              <w:t>因此，判定项目环境风险潜势Ⅰ，仅对项目进行简单分析。</w:t>
            </w:r>
          </w:p>
          <w:p w14:paraId="2CF7843C">
            <w:pPr>
              <w:widowControl/>
              <w:ind w:left="0" w:leftChars="0" w:right="0" w:rightChars="0" w:firstLine="482"/>
              <w:jc w:val="left"/>
              <w:rPr>
                <w:rFonts w:cs="Times New Roman"/>
                <w:b/>
                <w:bCs/>
                <w:color w:val="auto"/>
                <w:sz w:val="24"/>
                <w:szCs w:val="24"/>
                <w:lang w:eastAsia="zh-CN"/>
              </w:rPr>
            </w:pPr>
            <w:bookmarkStart w:id="12" w:name="_Toc3925307"/>
            <w:r>
              <w:rPr>
                <w:rFonts w:hint="eastAsia" w:cs="Times New Roman"/>
                <w:b/>
                <w:bCs/>
                <w:color w:val="auto"/>
                <w:sz w:val="24"/>
                <w:szCs w:val="24"/>
                <w:lang w:eastAsia="zh-CN"/>
              </w:rPr>
              <w:t>6.3</w:t>
            </w:r>
            <w:r>
              <w:rPr>
                <w:rFonts w:cs="Times New Roman"/>
                <w:b/>
                <w:bCs/>
                <w:color w:val="auto"/>
                <w:sz w:val="24"/>
                <w:szCs w:val="24"/>
                <w:lang w:eastAsia="zh-CN"/>
              </w:rPr>
              <w:t>风险防范措施及应急要求</w:t>
            </w:r>
          </w:p>
          <w:p w14:paraId="07E2FBFA">
            <w:pPr>
              <w:adjustRightInd w:val="0"/>
              <w:snapToGrid w:val="0"/>
              <w:ind w:left="0" w:leftChars="0" w:right="0" w:rightChars="0" w:firstLine="480"/>
              <w:jc w:val="both"/>
              <w:rPr>
                <w:rFonts w:eastAsia="宋体" w:cs="Times New Roman"/>
                <w:color w:val="auto"/>
                <w:sz w:val="24"/>
                <w:szCs w:val="24"/>
                <w:lang w:eastAsia="zh-CN"/>
              </w:rPr>
            </w:pPr>
            <w:r>
              <w:rPr>
                <w:rFonts w:hint="eastAsia" w:cs="Times New Roman"/>
                <w:color w:val="auto"/>
                <w:sz w:val="24"/>
                <w:szCs w:val="24"/>
                <w:lang w:eastAsia="zh-CN"/>
              </w:rPr>
              <w:t>6.3.1</w:t>
            </w:r>
            <w:r>
              <w:rPr>
                <w:rFonts w:cs="Times New Roman"/>
                <w:color w:val="auto"/>
                <w:sz w:val="24"/>
                <w:szCs w:val="24"/>
                <w:lang w:eastAsia="zh-CN"/>
              </w:rPr>
              <w:t>防范措施</w:t>
            </w:r>
          </w:p>
          <w:p w14:paraId="34C86458">
            <w:pPr>
              <w:adjustRightInd w:val="0"/>
              <w:snapToGrid w:val="0"/>
              <w:ind w:left="0" w:leftChars="0" w:right="0" w:rightChars="0" w:firstLine="480"/>
              <w:jc w:val="both"/>
              <w:rPr>
                <w:rFonts w:cs="Times New Roman"/>
                <w:color w:val="auto"/>
                <w:sz w:val="24"/>
                <w:szCs w:val="24"/>
                <w:lang w:eastAsia="zh-CN"/>
              </w:rPr>
            </w:pPr>
            <w:r>
              <w:rPr>
                <w:rFonts w:hint="eastAsia" w:cs="Times New Roman"/>
                <w:color w:val="auto"/>
                <w:sz w:val="24"/>
                <w:szCs w:val="24"/>
                <w:lang w:eastAsia="zh-CN"/>
              </w:rPr>
              <w:t>（1）</w:t>
            </w:r>
            <w:r>
              <w:rPr>
                <w:rFonts w:cs="Times New Roman"/>
                <w:color w:val="auto"/>
                <w:sz w:val="24"/>
                <w:szCs w:val="24"/>
                <w:lang w:eastAsia="zh-CN"/>
              </w:rPr>
              <w:t>项目在生产的过程中一定要注意通风，远离明火、火花、热源，</w:t>
            </w:r>
            <w:r>
              <w:rPr>
                <w:rFonts w:eastAsia="宋体" w:cs="Times New Roman"/>
                <w:color w:val="auto"/>
                <w:sz w:val="24"/>
                <w:lang w:eastAsia="zh-CN"/>
              </w:rPr>
              <w:t>厂区各建筑物设置室内外消火栓给水系统，</w:t>
            </w:r>
            <w:r>
              <w:rPr>
                <w:rFonts w:cs="Times New Roman"/>
                <w:color w:val="auto"/>
                <w:sz w:val="24"/>
                <w:szCs w:val="24"/>
                <w:lang w:eastAsia="zh-CN"/>
              </w:rPr>
              <w:t>厂区内消防通道应保持畅通，不得占用，</w:t>
            </w:r>
            <w:r>
              <w:rPr>
                <w:rFonts w:eastAsia="宋体" w:cs="Times New Roman"/>
                <w:color w:val="auto"/>
                <w:sz w:val="24"/>
                <w:lang w:eastAsia="zh-CN"/>
              </w:rPr>
              <w:t>且厂房内布置灭火器，根据火灾危险性等级和放火、防爆要求，建筑物的防火等级均应采用国家现行规范要求按一、二级耐火等级设计，满足建筑防火要求。凡禁火区均设置明显标志牌</w:t>
            </w:r>
            <w:r>
              <w:rPr>
                <w:rFonts w:cs="Times New Roman"/>
                <w:color w:val="auto"/>
                <w:sz w:val="24"/>
                <w:lang w:eastAsia="zh-CN"/>
              </w:rPr>
              <w:t>，</w:t>
            </w:r>
            <w:r>
              <w:rPr>
                <w:rFonts w:eastAsia="宋体" w:cs="Times New Roman"/>
                <w:color w:val="auto"/>
                <w:sz w:val="24"/>
                <w:lang w:eastAsia="zh-CN"/>
              </w:rPr>
              <w:t>各种易燃易爆物料均储存在阴凉、通风处，远离火源</w:t>
            </w:r>
            <w:r>
              <w:rPr>
                <w:rFonts w:cs="Times New Roman"/>
                <w:color w:val="auto"/>
                <w:sz w:val="24"/>
                <w:szCs w:val="24"/>
                <w:lang w:eastAsia="zh-CN"/>
              </w:rPr>
              <w:t>。</w:t>
            </w:r>
          </w:p>
          <w:p w14:paraId="6588528C">
            <w:pPr>
              <w:adjustRightInd w:val="0"/>
              <w:snapToGrid w:val="0"/>
              <w:ind w:left="0" w:leftChars="0" w:right="0" w:rightChars="0" w:firstLine="480"/>
              <w:jc w:val="both"/>
              <w:rPr>
                <w:rFonts w:eastAsia="宋体" w:cs="Times New Roman"/>
                <w:color w:val="auto"/>
                <w:sz w:val="24"/>
                <w:szCs w:val="24"/>
                <w:lang w:eastAsia="zh-CN"/>
              </w:rPr>
            </w:pPr>
            <w:r>
              <w:rPr>
                <w:rFonts w:hint="eastAsia" w:cs="Times New Roman"/>
                <w:color w:val="auto"/>
                <w:sz w:val="24"/>
                <w:szCs w:val="24"/>
                <w:lang w:eastAsia="zh-CN"/>
              </w:rPr>
              <w:t>（2）车间及</w:t>
            </w:r>
            <w:r>
              <w:rPr>
                <w:rFonts w:cs="Times New Roman"/>
                <w:color w:val="auto"/>
                <w:sz w:val="24"/>
                <w:szCs w:val="24"/>
                <w:lang w:eastAsia="zh-CN"/>
              </w:rPr>
              <w:t>危废暂存间油类物质的储存容器要有足够的储存空间及盛装余量，储存场所进行防渗处理。</w:t>
            </w:r>
          </w:p>
          <w:p w14:paraId="3E4BD6F7">
            <w:pPr>
              <w:widowControl/>
              <w:ind w:left="0" w:leftChars="0" w:right="0" w:rightChars="0" w:firstLine="480"/>
              <w:jc w:val="both"/>
              <w:rPr>
                <w:rFonts w:eastAsia="宋体" w:cs="Times New Roman"/>
                <w:color w:val="auto"/>
                <w:sz w:val="24"/>
                <w:szCs w:val="24"/>
                <w:lang w:eastAsia="zh-CN" w:bidi="ar"/>
              </w:rPr>
            </w:pPr>
            <w:r>
              <w:rPr>
                <w:rFonts w:eastAsia="宋体" w:cs="Times New Roman"/>
                <w:color w:val="auto"/>
                <w:sz w:val="24"/>
                <w:szCs w:val="24"/>
                <w:lang w:eastAsia="zh-CN"/>
              </w:rPr>
              <w:t>（3）</w:t>
            </w:r>
            <w:r>
              <w:rPr>
                <w:rFonts w:eastAsia="宋体" w:cs="Times New Roman"/>
                <w:color w:val="auto"/>
                <w:sz w:val="24"/>
                <w:szCs w:val="24"/>
                <w:lang w:eastAsia="zh-CN" w:bidi="ar"/>
              </w:rPr>
              <w:t>按照《石油化工可燃气体和有毒气体检测报警设计规范》（GB50493-2009） 的要求，在可能发生天然气泄漏或积聚的场所设置了可燃气体检测的报警装置。天然气管线均做防雷击接地。在天然气管道等工艺装置需要防静电的场所，均应做好防静电接地系统，采取消除、减弱静电的措施。</w:t>
            </w:r>
          </w:p>
          <w:p w14:paraId="0C74C6B4">
            <w:pPr>
              <w:widowControl/>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bidi="ar"/>
              </w:rPr>
              <w:t xml:space="preserve">（4）在进入厂区天然气管道处应设置了紧急切断阀，对明显故障实施直接切断。 </w:t>
            </w:r>
          </w:p>
          <w:p w14:paraId="659A0E98">
            <w:pPr>
              <w:widowControl/>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bidi="ar"/>
              </w:rPr>
              <w:t xml:space="preserve">（5）定期对天然气管道进行检查、发现泄漏及时处理并采取必要的堵漏措施。 </w:t>
            </w:r>
          </w:p>
          <w:p w14:paraId="3FE1B4B7">
            <w:pPr>
              <w:widowControl/>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bidi="ar"/>
              </w:rPr>
              <w:t xml:space="preserve">（6）天然气管道必须维持正压。 </w:t>
            </w:r>
          </w:p>
          <w:p w14:paraId="0B27FCDD">
            <w:pPr>
              <w:widowControl/>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bidi="ar"/>
              </w:rPr>
              <w:t xml:space="preserve">（7）天然气管道检修时，严格按照操作规程进行，可靠切断气源，待管道内气体置换合格后，方可进行作业和检修。 </w:t>
            </w:r>
          </w:p>
          <w:p w14:paraId="4782EFA4">
            <w:pPr>
              <w:widowControl/>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bidi="ar"/>
              </w:rPr>
              <w:t xml:space="preserve">（8）设置压力、流量、温度监控报警装置。积极进行点检、润滑、防腐、保养、维护、修复等工作。 </w:t>
            </w:r>
          </w:p>
          <w:p w14:paraId="5B63CA88">
            <w:pPr>
              <w:widowControl/>
              <w:ind w:left="0" w:leftChars="0" w:right="0" w:rightChars="0" w:firstLine="480"/>
              <w:jc w:val="both"/>
              <w:rPr>
                <w:rFonts w:eastAsia="宋体" w:cs="Times New Roman"/>
                <w:color w:val="auto"/>
                <w:sz w:val="24"/>
                <w:szCs w:val="24"/>
                <w:lang w:eastAsia="zh-CN"/>
              </w:rPr>
            </w:pPr>
            <w:r>
              <w:rPr>
                <w:rFonts w:eastAsia="宋体" w:cs="Times New Roman"/>
                <w:color w:val="auto"/>
                <w:sz w:val="24"/>
                <w:szCs w:val="24"/>
                <w:lang w:eastAsia="zh-CN" w:bidi="ar"/>
              </w:rPr>
              <w:t>（9）天然气泄漏区域作业时，必须佩戴防毒面具，并有专人监护。</w:t>
            </w:r>
          </w:p>
          <w:p w14:paraId="53508474">
            <w:pPr>
              <w:adjustRightInd w:val="0"/>
              <w:snapToGrid w:val="0"/>
              <w:ind w:left="0" w:leftChars="0" w:right="0" w:rightChars="0" w:firstLine="480"/>
              <w:jc w:val="both"/>
              <w:rPr>
                <w:rFonts w:eastAsia="宋体" w:cs="Times New Roman"/>
                <w:color w:val="auto"/>
                <w:sz w:val="24"/>
                <w:szCs w:val="24"/>
                <w:lang w:eastAsia="zh-CN"/>
              </w:rPr>
            </w:pPr>
            <w:r>
              <w:rPr>
                <w:rFonts w:hint="eastAsia" w:cs="Times New Roman"/>
                <w:color w:val="auto"/>
                <w:sz w:val="24"/>
                <w:szCs w:val="24"/>
                <w:lang w:eastAsia="zh-CN"/>
              </w:rPr>
              <w:t>（10）</w:t>
            </w:r>
            <w:r>
              <w:rPr>
                <w:rFonts w:cs="Times New Roman"/>
                <w:color w:val="auto"/>
                <w:sz w:val="24"/>
                <w:szCs w:val="24"/>
                <w:lang w:eastAsia="zh-CN"/>
              </w:rPr>
              <w:t>加强职工的安全教育，定期组织事故抢救演习。企业应开展安全生产定期检查，严格实行岗位责任制，及时发现并消除隐患，定期对对操作人员进行安全操作技术培训，考试合格方可上岗。</w:t>
            </w:r>
          </w:p>
          <w:p w14:paraId="0AA9F60E">
            <w:pPr>
              <w:adjustRightInd w:val="0"/>
              <w:snapToGrid w:val="0"/>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rPr>
              <w:t>6.3.2</w:t>
            </w:r>
            <w:r>
              <w:rPr>
                <w:rFonts w:eastAsia="宋体" w:cs="Times New Roman"/>
                <w:color w:val="auto"/>
                <w:sz w:val="24"/>
                <w:szCs w:val="24"/>
                <w:lang w:eastAsia="zh-CN"/>
              </w:rPr>
              <w:t>事故应急措施</w:t>
            </w:r>
          </w:p>
          <w:p w14:paraId="0F5D4947">
            <w:pPr>
              <w:adjustRightInd w:val="0"/>
              <w:snapToGrid w:val="0"/>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rPr>
              <w:t>（1）</w:t>
            </w:r>
            <w:r>
              <w:rPr>
                <w:rFonts w:eastAsia="宋体" w:cs="Times New Roman"/>
                <w:color w:val="auto"/>
                <w:sz w:val="24"/>
                <w:szCs w:val="24"/>
                <w:lang w:eastAsia="zh-CN"/>
              </w:rPr>
              <w:t>发生事故后，先是抢救伤员，同时采取防止事故蔓延或扩大的措施。险情严重时，必须组织抢险队和救护队按应急预案启动响应程序</w:t>
            </w:r>
            <w:r>
              <w:rPr>
                <w:rFonts w:hint="eastAsia" w:eastAsia="宋体" w:cs="Times New Roman"/>
                <w:color w:val="auto"/>
                <w:sz w:val="24"/>
                <w:szCs w:val="24"/>
                <w:lang w:eastAsia="zh-CN"/>
              </w:rPr>
              <w:t>及时采取措施</w:t>
            </w:r>
            <w:r>
              <w:rPr>
                <w:rFonts w:eastAsia="宋体" w:cs="Times New Roman"/>
                <w:color w:val="auto"/>
                <w:sz w:val="24"/>
                <w:szCs w:val="24"/>
                <w:lang w:eastAsia="zh-CN"/>
              </w:rPr>
              <w:t>。</w:t>
            </w:r>
          </w:p>
          <w:p w14:paraId="6D915195">
            <w:pPr>
              <w:adjustRightInd w:val="0"/>
              <w:snapToGrid w:val="0"/>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rPr>
              <w:t>（2）</w:t>
            </w:r>
            <w:r>
              <w:rPr>
                <w:rFonts w:eastAsia="宋体" w:cs="Times New Roman"/>
                <w:color w:val="auto"/>
                <w:sz w:val="24"/>
                <w:szCs w:val="24"/>
                <w:lang w:eastAsia="zh-CN"/>
              </w:rPr>
              <w:t>为避免二次灾害事故发生，应立即设置隔离带，防止事故范围扩大，及时采用吸附棉或利用吸附条堵住泄漏处。</w:t>
            </w:r>
          </w:p>
          <w:p w14:paraId="2EDB62F6">
            <w:pPr>
              <w:adjustRightInd w:val="0"/>
              <w:snapToGrid w:val="0"/>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rPr>
              <w:t>（3）</w:t>
            </w:r>
            <w:r>
              <w:rPr>
                <w:rFonts w:eastAsia="宋体" w:cs="Times New Roman"/>
                <w:color w:val="auto"/>
                <w:sz w:val="24"/>
                <w:szCs w:val="24"/>
                <w:lang w:eastAsia="zh-CN"/>
              </w:rPr>
              <w:t>建立警戒区、警戒线，撤离无关人员，禁止非抢救人员入内，切断电源、火种和断绝交通。</w:t>
            </w:r>
          </w:p>
          <w:p w14:paraId="778BABA3">
            <w:pPr>
              <w:adjustRightInd w:val="0"/>
              <w:snapToGrid w:val="0"/>
              <w:ind w:left="0" w:leftChars="0" w:right="0" w:rightChars="0" w:firstLine="480"/>
              <w:jc w:val="both"/>
              <w:rPr>
                <w:rFonts w:eastAsia="宋体" w:cs="Times New Roman"/>
                <w:color w:val="auto"/>
                <w:sz w:val="24"/>
                <w:szCs w:val="24"/>
                <w:lang w:eastAsia="zh-CN"/>
              </w:rPr>
            </w:pPr>
            <w:r>
              <w:rPr>
                <w:rFonts w:hint="eastAsia" w:eastAsia="宋体" w:cs="Times New Roman"/>
                <w:color w:val="auto"/>
                <w:sz w:val="24"/>
                <w:szCs w:val="24"/>
                <w:lang w:eastAsia="zh-CN"/>
              </w:rPr>
              <w:t>（4）</w:t>
            </w:r>
            <w:r>
              <w:rPr>
                <w:rFonts w:eastAsia="宋体" w:cs="Times New Roman"/>
                <w:color w:val="auto"/>
                <w:sz w:val="24"/>
                <w:szCs w:val="24"/>
                <w:lang w:eastAsia="zh-CN"/>
              </w:rPr>
              <w:t>进入现场救援人员必须配备必要的个人防护器具，应急处理时听从应急小组指挥，严禁单独行动。</w:t>
            </w:r>
          </w:p>
          <w:p w14:paraId="78F4EC9E">
            <w:pPr>
              <w:adjustRightInd w:val="0"/>
              <w:snapToGrid w:val="0"/>
              <w:ind w:left="0" w:leftChars="0" w:right="0" w:rightChars="0" w:firstLine="480"/>
              <w:jc w:val="both"/>
              <w:rPr>
                <w:rFonts w:cs="Times New Roman"/>
                <w:color w:val="auto"/>
                <w:sz w:val="24"/>
                <w:szCs w:val="24"/>
                <w:lang w:eastAsia="zh-CN"/>
              </w:rPr>
            </w:pPr>
            <w:r>
              <w:rPr>
                <w:rFonts w:hint="eastAsia" w:cs="Times New Roman"/>
                <w:color w:val="auto"/>
                <w:sz w:val="24"/>
                <w:szCs w:val="24"/>
                <w:lang w:eastAsia="zh-CN"/>
              </w:rPr>
              <w:t>（5）</w:t>
            </w:r>
            <w:r>
              <w:rPr>
                <w:rFonts w:cs="Times New Roman"/>
                <w:color w:val="auto"/>
                <w:sz w:val="24"/>
                <w:szCs w:val="24"/>
                <w:lang w:eastAsia="zh-CN"/>
              </w:rPr>
              <w:t>一旦发生火灾爆炸事故时，消防水可能排出厂外、对厂区土壤环境造成污染。企业应急救援指挥中心指挥应急救援队伍在事发地周围迅速设置沙袋围堰进行先期处理，及时上报当地生态环境局。在政府部门的指挥下，对消防水围堵防止废水外流，经应急监测满足污水处理厂接管标准后，通入市政污水管网。</w:t>
            </w:r>
          </w:p>
          <w:p w14:paraId="725D8821">
            <w:pPr>
              <w:widowControl/>
              <w:ind w:left="0" w:leftChars="0" w:right="0" w:rightChars="0" w:firstLine="482"/>
              <w:jc w:val="left"/>
              <w:rPr>
                <w:rFonts w:cs="Times New Roman"/>
                <w:b/>
                <w:bCs/>
                <w:color w:val="auto"/>
                <w:sz w:val="24"/>
                <w:szCs w:val="24"/>
                <w:lang w:eastAsia="zh-CN"/>
              </w:rPr>
            </w:pPr>
            <w:r>
              <w:rPr>
                <w:rFonts w:hint="eastAsia" w:cs="Times New Roman"/>
                <w:b/>
                <w:bCs/>
                <w:color w:val="auto"/>
                <w:sz w:val="24"/>
                <w:szCs w:val="24"/>
                <w:lang w:eastAsia="zh-CN"/>
              </w:rPr>
              <w:t>6.</w:t>
            </w:r>
            <w:r>
              <w:rPr>
                <w:rFonts w:cs="Times New Roman"/>
                <w:b/>
                <w:bCs/>
                <w:color w:val="auto"/>
                <w:sz w:val="24"/>
                <w:szCs w:val="24"/>
                <w:lang w:eastAsia="zh-CN"/>
              </w:rPr>
              <w:t>4风险评价结论</w:t>
            </w:r>
            <w:bookmarkEnd w:id="12"/>
          </w:p>
          <w:p w14:paraId="73741FC9">
            <w:pPr>
              <w:pStyle w:val="59"/>
              <w:spacing w:before="0" w:line="360" w:lineRule="auto"/>
              <w:ind w:left="0" w:leftChars="0" w:right="0" w:rightChars="0" w:firstLine="504" w:firstLineChars="200"/>
              <w:jc w:val="both"/>
              <w:rPr>
                <w:rFonts w:ascii="Times New Roman" w:hAnsi="Times New Roman" w:cs="Times New Roman" w:eastAsiaTheme="minorEastAsia"/>
                <w:color w:val="auto"/>
                <w:szCs w:val="24"/>
                <w:lang w:eastAsia="zh-CN"/>
              </w:rPr>
            </w:pPr>
            <w:r>
              <w:rPr>
                <w:rFonts w:ascii="Times New Roman" w:hAnsi="Times New Roman" w:cs="Times New Roman" w:eastAsiaTheme="minorEastAsia"/>
                <w:color w:val="auto"/>
                <w:szCs w:val="24"/>
                <w:lang w:eastAsia="zh-CN"/>
              </w:rPr>
              <w:t>本项目主要涉及的风险物质为</w:t>
            </w:r>
            <w:r>
              <w:rPr>
                <w:rFonts w:hint="eastAsia" w:ascii="Times New Roman" w:hAnsi="Times New Roman" w:cs="Times New Roman" w:eastAsiaTheme="minorEastAsia"/>
                <w:color w:val="auto"/>
                <w:szCs w:val="24"/>
                <w:lang w:eastAsia="zh-CN"/>
              </w:rPr>
              <w:t>润滑油</w:t>
            </w:r>
            <w:r>
              <w:rPr>
                <w:rFonts w:ascii="Times New Roman" w:hAnsi="Times New Roman" w:cs="Times New Roman" w:eastAsiaTheme="minorEastAsia"/>
                <w:color w:val="auto"/>
                <w:szCs w:val="24"/>
                <w:lang w:eastAsia="zh-CN"/>
              </w:rPr>
              <w:t>、</w:t>
            </w:r>
            <w:r>
              <w:rPr>
                <w:rFonts w:hint="eastAsia" w:ascii="Times New Roman" w:hAnsi="Times New Roman" w:cs="Times New Roman" w:eastAsiaTheme="minorEastAsia"/>
                <w:color w:val="auto"/>
                <w:szCs w:val="24"/>
                <w:lang w:eastAsia="zh-CN"/>
              </w:rPr>
              <w:t>天然气、废润滑油</w:t>
            </w:r>
            <w:r>
              <w:rPr>
                <w:rFonts w:ascii="Times New Roman" w:hAnsi="Times New Roman" w:cs="Times New Roman" w:eastAsiaTheme="minorEastAsia"/>
                <w:color w:val="auto"/>
                <w:szCs w:val="24"/>
                <w:lang w:eastAsia="zh-CN"/>
              </w:rPr>
              <w:t>，</w:t>
            </w:r>
            <w:r>
              <w:rPr>
                <w:rFonts w:hint="eastAsia" w:ascii="Times New Roman" w:hAnsi="Times New Roman" w:cs="Times New Roman" w:eastAsiaTheme="minorEastAsia"/>
                <w:color w:val="auto"/>
                <w:szCs w:val="24"/>
                <w:lang w:eastAsia="zh-CN"/>
              </w:rPr>
              <w:t>风险物质在</w:t>
            </w:r>
            <w:r>
              <w:rPr>
                <w:rFonts w:ascii="Times New Roman" w:hAnsi="Times New Roman" w:cs="Times New Roman" w:eastAsiaTheme="minorEastAsia"/>
                <w:color w:val="auto"/>
                <w:szCs w:val="24"/>
                <w:lang w:eastAsia="zh-CN"/>
              </w:rPr>
              <w:t>厂区日常最大储存量非常小，</w:t>
            </w:r>
            <w:r>
              <w:rPr>
                <w:rFonts w:hint="eastAsia" w:ascii="Times New Roman" w:hAnsi="Times New Roman" w:cs="Times New Roman" w:eastAsiaTheme="minorEastAsia"/>
                <w:color w:val="auto"/>
                <w:szCs w:val="24"/>
                <w:lang w:eastAsia="zh-CN"/>
              </w:rPr>
              <w:t>在</w:t>
            </w:r>
            <w:r>
              <w:rPr>
                <w:rFonts w:ascii="Times New Roman" w:hAnsi="Times New Roman" w:cs="Times New Roman" w:eastAsiaTheme="minorEastAsia"/>
                <w:color w:val="auto"/>
                <w:szCs w:val="24"/>
                <w:lang w:eastAsia="zh-CN"/>
              </w:rPr>
              <w:t>加强日常管理及人员安全操作的情况下，本项目对周围环境的影响在可接受范围内。</w:t>
            </w:r>
          </w:p>
          <w:p w14:paraId="03DF1A8E">
            <w:pPr>
              <w:spacing w:line="240" w:lineRule="auto"/>
              <w:ind w:left="0" w:leftChars="0" w:right="0" w:rightChars="0" w:firstLine="0" w:firstLineChars="0"/>
              <w:jc w:val="center"/>
              <w:rPr>
                <w:b/>
                <w:bCs/>
                <w:color w:val="auto"/>
                <w:szCs w:val="21"/>
                <w:lang w:eastAsia="zh-CN"/>
              </w:rPr>
            </w:pPr>
            <w:r>
              <w:rPr>
                <w:b/>
                <w:bCs/>
                <w:color w:val="auto"/>
                <w:szCs w:val="21"/>
                <w:lang w:eastAsia="zh-CN"/>
              </w:rPr>
              <w:t>表4-11  建设项目环境风险简单分析内容表</w:t>
            </w:r>
          </w:p>
          <w:tbl>
            <w:tblPr>
              <w:tblStyle w:val="26"/>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907"/>
              <w:gridCol w:w="2294"/>
              <w:gridCol w:w="1291"/>
              <w:gridCol w:w="2322"/>
            </w:tblGrid>
            <w:tr w14:paraId="708596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trPr>
              <w:tc>
                <w:tcPr>
                  <w:tcW w:w="972" w:type="pct"/>
                  <w:tcBorders>
                    <w:tl2br w:val="nil"/>
                    <w:tr2bl w:val="nil"/>
                  </w:tcBorders>
                  <w:vAlign w:val="center"/>
                </w:tcPr>
                <w:p w14:paraId="4BBBE2BA">
                  <w:pPr>
                    <w:adjustRightInd w:val="0"/>
                    <w:spacing w:line="240" w:lineRule="auto"/>
                    <w:ind w:left="0" w:leftChars="0" w:right="0" w:rightChars="0" w:firstLine="0" w:firstLineChars="0"/>
                    <w:jc w:val="center"/>
                    <w:rPr>
                      <w:color w:val="auto"/>
                      <w:szCs w:val="21"/>
                    </w:rPr>
                  </w:pPr>
                  <w:r>
                    <w:rPr>
                      <w:color w:val="auto"/>
                      <w:szCs w:val="21"/>
                    </w:rPr>
                    <w:t>建设项目名称</w:t>
                  </w:r>
                </w:p>
              </w:tc>
              <w:tc>
                <w:tcPr>
                  <w:tcW w:w="4028" w:type="pct"/>
                  <w:gridSpan w:val="4"/>
                  <w:tcBorders>
                    <w:tl2br w:val="nil"/>
                    <w:tr2bl w:val="nil"/>
                  </w:tcBorders>
                  <w:vAlign w:val="center"/>
                </w:tcPr>
                <w:p w14:paraId="1334A20F">
                  <w:pPr>
                    <w:pStyle w:val="38"/>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西安银海消防设备有限公司</w:t>
                  </w:r>
                </w:p>
                <w:p w14:paraId="7C14BDA0">
                  <w:pPr>
                    <w:adjustRightInd w:val="0"/>
                    <w:spacing w:line="240" w:lineRule="auto"/>
                    <w:ind w:left="0" w:leftChars="0" w:right="0" w:rightChars="0" w:firstLine="0" w:firstLineChars="0"/>
                    <w:jc w:val="center"/>
                    <w:rPr>
                      <w:color w:val="auto"/>
                      <w:szCs w:val="21"/>
                      <w:lang w:eastAsia="zh-CN"/>
                    </w:rPr>
                  </w:pPr>
                  <w:r>
                    <w:rPr>
                      <w:rFonts w:hint="eastAsia" w:cs="Times New Roman"/>
                      <w:color w:val="auto"/>
                      <w:szCs w:val="21"/>
                      <w:lang w:eastAsia="zh-CN"/>
                    </w:rPr>
                    <w:t>办公家具柜、金属消防栓箱生产厂房及生产线扩建项目</w:t>
                  </w:r>
                </w:p>
              </w:tc>
            </w:tr>
            <w:tr w14:paraId="424BD2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2" w:type="pct"/>
                  <w:tcBorders>
                    <w:tl2br w:val="nil"/>
                    <w:tr2bl w:val="nil"/>
                  </w:tcBorders>
                  <w:vAlign w:val="center"/>
                </w:tcPr>
                <w:p w14:paraId="63EA653C">
                  <w:pPr>
                    <w:adjustRightInd w:val="0"/>
                    <w:spacing w:line="240" w:lineRule="auto"/>
                    <w:ind w:left="0" w:leftChars="0" w:right="0" w:rightChars="0" w:firstLine="0" w:firstLineChars="0"/>
                    <w:jc w:val="center"/>
                    <w:rPr>
                      <w:color w:val="auto"/>
                      <w:szCs w:val="21"/>
                    </w:rPr>
                  </w:pPr>
                  <w:r>
                    <w:rPr>
                      <w:color w:val="auto"/>
                      <w:szCs w:val="21"/>
                    </w:rPr>
                    <w:t>建设地点</w:t>
                  </w:r>
                </w:p>
              </w:tc>
              <w:tc>
                <w:tcPr>
                  <w:tcW w:w="4028" w:type="pct"/>
                  <w:gridSpan w:val="4"/>
                  <w:tcBorders>
                    <w:tl2br w:val="nil"/>
                    <w:tr2bl w:val="nil"/>
                  </w:tcBorders>
                  <w:vAlign w:val="center"/>
                </w:tcPr>
                <w:p w14:paraId="0FFBD755">
                  <w:pPr>
                    <w:adjustRightInd w:val="0"/>
                    <w:spacing w:line="240" w:lineRule="auto"/>
                    <w:ind w:left="0" w:leftChars="0" w:right="0" w:rightChars="0" w:firstLine="0" w:firstLineChars="0"/>
                    <w:jc w:val="center"/>
                    <w:rPr>
                      <w:color w:val="auto"/>
                      <w:szCs w:val="21"/>
                      <w:lang w:eastAsia="zh-CN"/>
                    </w:rPr>
                  </w:pPr>
                  <w:r>
                    <w:rPr>
                      <w:rFonts w:hint="eastAsia" w:eastAsia="宋体" w:cs="Times New Roman"/>
                      <w:color w:val="auto"/>
                      <w:szCs w:val="21"/>
                      <w:lang w:eastAsia="zh-CN"/>
                    </w:rPr>
                    <w:t>陕西省西安市蓝田县西北家具工业园新港12路8号</w:t>
                  </w:r>
                </w:p>
              </w:tc>
            </w:tr>
            <w:tr w14:paraId="293A9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2" w:type="pct"/>
                  <w:tcBorders>
                    <w:tl2br w:val="nil"/>
                    <w:tr2bl w:val="nil"/>
                  </w:tcBorders>
                  <w:vAlign w:val="center"/>
                </w:tcPr>
                <w:p w14:paraId="29CEA880">
                  <w:pPr>
                    <w:adjustRightInd w:val="0"/>
                    <w:spacing w:line="240" w:lineRule="auto"/>
                    <w:ind w:left="0" w:leftChars="0" w:right="0" w:rightChars="0" w:firstLine="0" w:firstLineChars="0"/>
                    <w:jc w:val="center"/>
                    <w:rPr>
                      <w:color w:val="auto"/>
                      <w:szCs w:val="21"/>
                    </w:rPr>
                  </w:pPr>
                  <w:r>
                    <w:rPr>
                      <w:color w:val="auto"/>
                      <w:szCs w:val="21"/>
                    </w:rPr>
                    <w:t>地理坐标</w:t>
                  </w:r>
                </w:p>
              </w:tc>
              <w:tc>
                <w:tcPr>
                  <w:tcW w:w="536" w:type="pct"/>
                  <w:tcBorders>
                    <w:tl2br w:val="nil"/>
                    <w:tr2bl w:val="nil"/>
                  </w:tcBorders>
                  <w:vAlign w:val="center"/>
                </w:tcPr>
                <w:p w14:paraId="4EADEFB1">
                  <w:pPr>
                    <w:adjustRightInd w:val="0"/>
                    <w:spacing w:line="240" w:lineRule="auto"/>
                    <w:ind w:left="0" w:leftChars="0" w:right="0" w:rightChars="0" w:firstLine="0" w:firstLineChars="0"/>
                    <w:jc w:val="center"/>
                    <w:rPr>
                      <w:color w:val="auto"/>
                      <w:szCs w:val="21"/>
                    </w:rPr>
                  </w:pPr>
                  <w:r>
                    <w:rPr>
                      <w:color w:val="auto"/>
                      <w:szCs w:val="21"/>
                    </w:rPr>
                    <w:t>经度</w:t>
                  </w:r>
                </w:p>
              </w:tc>
              <w:tc>
                <w:tcPr>
                  <w:tcW w:w="1356" w:type="pct"/>
                  <w:tcBorders>
                    <w:tl2br w:val="nil"/>
                    <w:tr2bl w:val="nil"/>
                  </w:tcBorders>
                  <w:vAlign w:val="center"/>
                </w:tcPr>
                <w:p w14:paraId="75B504DE">
                  <w:pPr>
                    <w:adjustRightInd w:val="0"/>
                    <w:spacing w:line="240" w:lineRule="auto"/>
                    <w:ind w:left="0" w:leftChars="0" w:right="0" w:rightChars="0" w:firstLine="0" w:firstLineChars="0"/>
                    <w:jc w:val="center"/>
                    <w:rPr>
                      <w:color w:val="auto"/>
                      <w:szCs w:val="21"/>
                    </w:rPr>
                  </w:pPr>
                  <w:r>
                    <w:rPr>
                      <w:color w:val="auto"/>
                      <w:szCs w:val="21"/>
                    </w:rPr>
                    <w:t>E10</w:t>
                  </w:r>
                  <w:r>
                    <w:rPr>
                      <w:rFonts w:hint="eastAsia"/>
                      <w:color w:val="auto"/>
                      <w:szCs w:val="21"/>
                      <w:lang w:eastAsia="zh-CN"/>
                    </w:rPr>
                    <w:t>9</w:t>
                  </w:r>
                  <w:r>
                    <w:rPr>
                      <w:color w:val="auto"/>
                      <w:szCs w:val="21"/>
                    </w:rPr>
                    <w:t>°</w:t>
                  </w:r>
                  <w:r>
                    <w:rPr>
                      <w:rFonts w:hint="eastAsia"/>
                      <w:color w:val="auto"/>
                      <w:szCs w:val="21"/>
                      <w:lang w:eastAsia="zh-CN"/>
                    </w:rPr>
                    <w:t>8</w:t>
                  </w:r>
                  <w:r>
                    <w:rPr>
                      <w:color w:val="auto"/>
                      <w:szCs w:val="21"/>
                    </w:rPr>
                    <w:t>′</w:t>
                  </w:r>
                  <w:r>
                    <w:rPr>
                      <w:rFonts w:hint="eastAsia"/>
                      <w:color w:val="auto"/>
                      <w:szCs w:val="21"/>
                      <w:lang w:eastAsia="zh-CN"/>
                    </w:rPr>
                    <w:t>58.982</w:t>
                  </w:r>
                  <w:r>
                    <w:rPr>
                      <w:color w:val="auto"/>
                      <w:szCs w:val="21"/>
                    </w:rPr>
                    <w:t>″</w:t>
                  </w:r>
                </w:p>
              </w:tc>
              <w:tc>
                <w:tcPr>
                  <w:tcW w:w="763" w:type="pct"/>
                  <w:tcBorders>
                    <w:tl2br w:val="nil"/>
                    <w:tr2bl w:val="nil"/>
                  </w:tcBorders>
                  <w:vAlign w:val="center"/>
                </w:tcPr>
                <w:p w14:paraId="5759A203">
                  <w:pPr>
                    <w:adjustRightInd w:val="0"/>
                    <w:spacing w:line="240" w:lineRule="auto"/>
                    <w:ind w:left="0" w:leftChars="0" w:right="0" w:rightChars="0" w:firstLine="0" w:firstLineChars="0"/>
                    <w:jc w:val="center"/>
                    <w:rPr>
                      <w:color w:val="auto"/>
                      <w:szCs w:val="21"/>
                    </w:rPr>
                  </w:pPr>
                  <w:r>
                    <w:rPr>
                      <w:color w:val="auto"/>
                      <w:szCs w:val="21"/>
                    </w:rPr>
                    <w:t>纬度</w:t>
                  </w:r>
                </w:p>
              </w:tc>
              <w:tc>
                <w:tcPr>
                  <w:tcW w:w="1372" w:type="pct"/>
                  <w:tcBorders>
                    <w:tl2br w:val="nil"/>
                    <w:tr2bl w:val="nil"/>
                  </w:tcBorders>
                  <w:vAlign w:val="center"/>
                </w:tcPr>
                <w:p w14:paraId="351EA8B6">
                  <w:pPr>
                    <w:adjustRightInd w:val="0"/>
                    <w:spacing w:line="240" w:lineRule="auto"/>
                    <w:ind w:left="0" w:leftChars="0" w:right="0" w:rightChars="0" w:firstLine="0" w:firstLineChars="0"/>
                    <w:jc w:val="center"/>
                    <w:rPr>
                      <w:color w:val="auto"/>
                      <w:szCs w:val="21"/>
                    </w:rPr>
                  </w:pPr>
                  <w:r>
                    <w:rPr>
                      <w:color w:val="auto"/>
                      <w:szCs w:val="21"/>
                    </w:rPr>
                    <w:t>N34°1</w:t>
                  </w:r>
                  <w:r>
                    <w:rPr>
                      <w:rFonts w:hint="eastAsia"/>
                      <w:color w:val="auto"/>
                      <w:szCs w:val="21"/>
                      <w:lang w:eastAsia="zh-CN"/>
                    </w:rPr>
                    <w:t>4</w:t>
                  </w:r>
                  <w:r>
                    <w:rPr>
                      <w:color w:val="auto"/>
                      <w:szCs w:val="21"/>
                    </w:rPr>
                    <w:t>′</w:t>
                  </w:r>
                  <w:r>
                    <w:rPr>
                      <w:rFonts w:hint="eastAsia"/>
                      <w:color w:val="auto"/>
                      <w:szCs w:val="21"/>
                      <w:lang w:eastAsia="zh-CN"/>
                    </w:rPr>
                    <w:t>54.341</w:t>
                  </w:r>
                  <w:r>
                    <w:rPr>
                      <w:color w:val="auto"/>
                      <w:szCs w:val="21"/>
                    </w:rPr>
                    <w:t>″</w:t>
                  </w:r>
                </w:p>
              </w:tc>
            </w:tr>
            <w:tr w14:paraId="493AEE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2" w:type="pct"/>
                  <w:tcBorders>
                    <w:tl2br w:val="nil"/>
                    <w:tr2bl w:val="nil"/>
                  </w:tcBorders>
                  <w:vAlign w:val="center"/>
                </w:tcPr>
                <w:p w14:paraId="51459CE4">
                  <w:pPr>
                    <w:adjustRightInd w:val="0"/>
                    <w:spacing w:line="240" w:lineRule="auto"/>
                    <w:ind w:left="0" w:leftChars="0" w:right="0" w:rightChars="0" w:firstLine="0" w:firstLineChars="0"/>
                    <w:jc w:val="center"/>
                    <w:rPr>
                      <w:color w:val="auto"/>
                      <w:szCs w:val="21"/>
                    </w:rPr>
                  </w:pPr>
                  <w:r>
                    <w:rPr>
                      <w:color w:val="auto"/>
                      <w:szCs w:val="21"/>
                    </w:rPr>
                    <w:t>主要危险物质分布</w:t>
                  </w:r>
                </w:p>
              </w:tc>
              <w:tc>
                <w:tcPr>
                  <w:tcW w:w="4028" w:type="pct"/>
                  <w:gridSpan w:val="4"/>
                  <w:tcBorders>
                    <w:tl2br w:val="nil"/>
                    <w:tr2bl w:val="nil"/>
                  </w:tcBorders>
                  <w:vAlign w:val="center"/>
                </w:tcPr>
                <w:p w14:paraId="05CD220E">
                  <w:pPr>
                    <w:adjustRightInd w:val="0"/>
                    <w:spacing w:line="240" w:lineRule="auto"/>
                    <w:ind w:left="0" w:leftChars="0" w:right="0" w:rightChars="0" w:firstLine="0" w:firstLineChars="0"/>
                    <w:jc w:val="center"/>
                    <w:rPr>
                      <w:color w:val="auto"/>
                      <w:szCs w:val="21"/>
                      <w:lang w:eastAsia="zh-CN"/>
                    </w:rPr>
                  </w:pPr>
                  <w:r>
                    <w:rPr>
                      <w:rFonts w:hint="eastAsia"/>
                      <w:color w:val="auto"/>
                      <w:szCs w:val="21"/>
                      <w:lang w:eastAsia="zh-CN"/>
                    </w:rPr>
                    <w:t>天然气管线位于场内、润滑油位于车间</w:t>
                  </w:r>
                  <w:r>
                    <w:rPr>
                      <w:color w:val="auto"/>
                      <w:szCs w:val="21"/>
                      <w:lang w:val="zh-CN" w:eastAsia="zh-CN"/>
                    </w:rPr>
                    <w:t>，废</w:t>
                  </w:r>
                  <w:r>
                    <w:rPr>
                      <w:rFonts w:hint="eastAsia"/>
                      <w:color w:val="auto"/>
                      <w:szCs w:val="21"/>
                      <w:lang w:eastAsia="zh-CN"/>
                    </w:rPr>
                    <w:t>润滑油</w:t>
                  </w:r>
                  <w:r>
                    <w:rPr>
                      <w:color w:val="auto"/>
                      <w:szCs w:val="21"/>
                      <w:lang w:val="zh-CN" w:eastAsia="zh-CN"/>
                    </w:rPr>
                    <w:t>分布于</w:t>
                  </w:r>
                  <w:r>
                    <w:rPr>
                      <w:color w:val="auto"/>
                      <w:szCs w:val="21"/>
                      <w:lang w:eastAsia="zh-CN"/>
                    </w:rPr>
                    <w:t>厂区的危废间</w:t>
                  </w:r>
                </w:p>
              </w:tc>
            </w:tr>
            <w:tr w14:paraId="47A589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2" w:type="pct"/>
                  <w:tcBorders>
                    <w:tl2br w:val="nil"/>
                    <w:tr2bl w:val="nil"/>
                  </w:tcBorders>
                  <w:vAlign w:val="center"/>
                </w:tcPr>
                <w:p w14:paraId="52C35AA6">
                  <w:pPr>
                    <w:adjustRightInd w:val="0"/>
                    <w:spacing w:line="240" w:lineRule="auto"/>
                    <w:ind w:left="0" w:leftChars="0" w:right="0" w:rightChars="0" w:firstLine="0" w:firstLineChars="0"/>
                    <w:jc w:val="center"/>
                    <w:rPr>
                      <w:color w:val="auto"/>
                      <w:szCs w:val="21"/>
                      <w:lang w:eastAsia="zh-CN"/>
                    </w:rPr>
                  </w:pPr>
                  <w:r>
                    <w:rPr>
                      <w:color w:val="auto"/>
                      <w:szCs w:val="21"/>
                      <w:lang w:eastAsia="zh-CN"/>
                    </w:rPr>
                    <w:t>环境影响途径及危害后果</w:t>
                  </w:r>
                </w:p>
              </w:tc>
              <w:tc>
                <w:tcPr>
                  <w:tcW w:w="4028" w:type="pct"/>
                  <w:gridSpan w:val="4"/>
                  <w:tcBorders>
                    <w:tl2br w:val="nil"/>
                    <w:tr2bl w:val="nil"/>
                  </w:tcBorders>
                  <w:vAlign w:val="center"/>
                </w:tcPr>
                <w:p w14:paraId="7F2B73E2">
                  <w:pPr>
                    <w:adjustRightInd w:val="0"/>
                    <w:spacing w:line="240" w:lineRule="auto"/>
                    <w:ind w:left="0" w:leftChars="0" w:right="0" w:rightChars="0" w:firstLine="0" w:firstLineChars="0"/>
                    <w:jc w:val="both"/>
                    <w:rPr>
                      <w:color w:val="auto"/>
                      <w:szCs w:val="21"/>
                      <w:lang w:eastAsia="zh-CN"/>
                    </w:rPr>
                  </w:pPr>
                  <w:r>
                    <w:rPr>
                      <w:rFonts w:hint="eastAsia" w:cs="Times New Roman"/>
                      <w:color w:val="auto"/>
                      <w:szCs w:val="21"/>
                      <w:lang w:eastAsia="zh-CN"/>
                    </w:rPr>
                    <w:t>项目主要的环境风险类型为润滑油、废润滑油</w:t>
                  </w:r>
                  <w:r>
                    <w:rPr>
                      <w:rFonts w:cs="Times New Roman"/>
                      <w:color w:val="auto"/>
                      <w:szCs w:val="24"/>
                      <w:lang w:eastAsia="zh-CN"/>
                    </w:rPr>
                    <w:t>泄漏后</w:t>
                  </w:r>
                  <w:r>
                    <w:rPr>
                      <w:rFonts w:hint="eastAsia" w:cs="Times New Roman"/>
                      <w:color w:val="auto"/>
                      <w:szCs w:val="24"/>
                      <w:lang w:eastAsia="zh-CN"/>
                    </w:rPr>
                    <w:t>对土壤、地下水造成污染影响；天然气、润滑油、废润滑油泄漏后</w:t>
                  </w:r>
                  <w:r>
                    <w:rPr>
                      <w:rFonts w:cs="Times New Roman"/>
                      <w:color w:val="auto"/>
                      <w:szCs w:val="24"/>
                      <w:lang w:eastAsia="zh-CN"/>
                    </w:rPr>
                    <w:t>遇明火燃烧</w:t>
                  </w:r>
                  <w:r>
                    <w:rPr>
                      <w:rFonts w:hint="eastAsia" w:cs="Times New Roman"/>
                      <w:color w:val="auto"/>
                      <w:szCs w:val="24"/>
                      <w:lang w:eastAsia="zh-CN"/>
                    </w:rPr>
                    <w:t>后</w:t>
                  </w:r>
                  <w:r>
                    <w:rPr>
                      <w:rFonts w:cs="Times New Roman"/>
                      <w:color w:val="auto"/>
                      <w:szCs w:val="24"/>
                      <w:lang w:eastAsia="zh-CN"/>
                    </w:rPr>
                    <w:t>产生</w:t>
                  </w:r>
                  <w:r>
                    <w:rPr>
                      <w:rFonts w:hint="eastAsia" w:cs="Times New Roman"/>
                      <w:color w:val="auto"/>
                      <w:szCs w:val="24"/>
                      <w:lang w:eastAsia="zh-CN"/>
                    </w:rPr>
                    <w:t>CO、SO</w:t>
                  </w:r>
                  <w:r>
                    <w:rPr>
                      <w:rFonts w:hint="eastAsia" w:cs="Times New Roman"/>
                      <w:color w:val="auto"/>
                      <w:szCs w:val="24"/>
                      <w:vertAlign w:val="subscript"/>
                      <w:lang w:eastAsia="zh-CN"/>
                    </w:rPr>
                    <w:t>2</w:t>
                  </w:r>
                  <w:r>
                    <w:rPr>
                      <w:rFonts w:cs="Times New Roman"/>
                      <w:color w:val="auto"/>
                      <w:szCs w:val="24"/>
                      <w:lang w:eastAsia="zh-CN"/>
                    </w:rPr>
                    <w:t>次生污染物污染大气环境，</w:t>
                  </w:r>
                  <w:r>
                    <w:rPr>
                      <w:rFonts w:hint="eastAsia" w:cs="Times New Roman"/>
                      <w:color w:val="auto"/>
                      <w:szCs w:val="24"/>
                      <w:lang w:eastAsia="zh-CN"/>
                    </w:rPr>
                    <w:t>火灾后产生</w:t>
                  </w:r>
                  <w:r>
                    <w:rPr>
                      <w:rFonts w:cs="Times New Roman"/>
                      <w:color w:val="auto"/>
                      <w:szCs w:val="24"/>
                      <w:lang w:eastAsia="zh-CN"/>
                    </w:rPr>
                    <w:t>的消防废水</w:t>
                  </w:r>
                  <w:r>
                    <w:rPr>
                      <w:rFonts w:hint="eastAsia" w:cs="Times New Roman"/>
                      <w:color w:val="auto"/>
                      <w:szCs w:val="24"/>
                      <w:lang w:eastAsia="zh-CN"/>
                    </w:rPr>
                    <w:t>通过雨水管网进入地表水，对地表水产生的影响。</w:t>
                  </w:r>
                </w:p>
              </w:tc>
            </w:tr>
            <w:tr w14:paraId="19D222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2" w:type="pct"/>
                  <w:tcBorders>
                    <w:tl2br w:val="nil"/>
                    <w:tr2bl w:val="nil"/>
                  </w:tcBorders>
                  <w:vAlign w:val="center"/>
                </w:tcPr>
                <w:p w14:paraId="2610B495">
                  <w:pPr>
                    <w:adjustRightInd w:val="0"/>
                    <w:spacing w:line="240" w:lineRule="auto"/>
                    <w:ind w:left="0" w:leftChars="0" w:right="0" w:rightChars="0" w:firstLine="0" w:firstLineChars="0"/>
                    <w:jc w:val="center"/>
                    <w:rPr>
                      <w:color w:val="auto"/>
                      <w:szCs w:val="21"/>
                    </w:rPr>
                  </w:pPr>
                  <w:r>
                    <w:rPr>
                      <w:color w:val="auto"/>
                      <w:szCs w:val="21"/>
                    </w:rPr>
                    <w:t>风险防范措施</w:t>
                  </w:r>
                </w:p>
              </w:tc>
              <w:tc>
                <w:tcPr>
                  <w:tcW w:w="4028" w:type="pct"/>
                  <w:gridSpan w:val="4"/>
                  <w:tcBorders>
                    <w:tl2br w:val="nil"/>
                    <w:tr2bl w:val="nil"/>
                  </w:tcBorders>
                  <w:vAlign w:val="center"/>
                </w:tcPr>
                <w:p w14:paraId="0E85F146">
                  <w:pPr>
                    <w:adjustRightInd w:val="0"/>
                    <w:spacing w:line="240" w:lineRule="auto"/>
                    <w:ind w:left="0" w:leftChars="0" w:right="0" w:rightChars="0" w:firstLine="0" w:firstLineChars="0"/>
                    <w:rPr>
                      <w:color w:val="auto"/>
                      <w:szCs w:val="21"/>
                      <w:lang w:eastAsia="zh-CN"/>
                    </w:rPr>
                  </w:pPr>
                  <w:r>
                    <w:rPr>
                      <w:rFonts w:hint="eastAsia" w:ascii="宋体" w:hAnsi="宋体" w:cs="宋体"/>
                      <w:color w:val="auto"/>
                      <w:szCs w:val="21"/>
                      <w:lang w:eastAsia="zh-CN"/>
                    </w:rPr>
                    <w:t>①</w:t>
                  </w:r>
                  <w:r>
                    <w:rPr>
                      <w:color w:val="auto"/>
                      <w:szCs w:val="21"/>
                      <w:lang w:eastAsia="zh-CN"/>
                    </w:rPr>
                    <w:t>规范设置危废暂存间，按要求做好防渗防漏措施。</w:t>
                  </w:r>
                </w:p>
                <w:p w14:paraId="657E545F">
                  <w:pPr>
                    <w:adjustRightInd w:val="0"/>
                    <w:spacing w:line="240" w:lineRule="auto"/>
                    <w:ind w:left="0" w:leftChars="0" w:right="0" w:rightChars="0" w:firstLine="0" w:firstLineChars="0"/>
                    <w:rPr>
                      <w:color w:val="auto"/>
                      <w:szCs w:val="21"/>
                      <w:lang w:eastAsia="zh-CN"/>
                    </w:rPr>
                  </w:pPr>
                  <w:r>
                    <w:rPr>
                      <w:rFonts w:hint="eastAsia" w:ascii="宋体" w:hAnsi="宋体" w:cs="宋体"/>
                      <w:color w:val="auto"/>
                      <w:szCs w:val="21"/>
                      <w:lang w:eastAsia="zh-CN"/>
                    </w:rPr>
                    <w:t>②</w:t>
                  </w:r>
                  <w:r>
                    <w:rPr>
                      <w:color w:val="auto"/>
                      <w:szCs w:val="21"/>
                      <w:lang w:eastAsia="zh-CN"/>
                    </w:rPr>
                    <w:t>制定快速有效的环境风险事故应急救援预案，建立环境风险事故报警系统体系，确保各种通讯工具处于良好状态，制定标准的报警方法和程序，并对工人进行紧急事态时的报警培训，做好救援专业队伍的组织、训练和演练，对工人进行自救和互救知识的宣传教育，杜绝液体储存和装卸过程中的跑、冒、滴、漏现象发生。</w:t>
                  </w:r>
                </w:p>
                <w:p w14:paraId="425F9C3F">
                  <w:pPr>
                    <w:adjustRightInd w:val="0"/>
                    <w:spacing w:line="240" w:lineRule="auto"/>
                    <w:ind w:left="0" w:leftChars="0" w:right="0" w:rightChars="0" w:firstLine="0" w:firstLineChars="0"/>
                    <w:rPr>
                      <w:color w:val="auto"/>
                      <w:szCs w:val="21"/>
                      <w:lang w:eastAsia="zh-CN"/>
                    </w:rPr>
                  </w:pPr>
                  <w:r>
                    <w:rPr>
                      <w:rFonts w:hint="eastAsia" w:ascii="宋体" w:hAnsi="宋体" w:cs="宋体"/>
                      <w:color w:val="auto"/>
                      <w:szCs w:val="21"/>
                      <w:lang w:eastAsia="zh-CN"/>
                    </w:rPr>
                    <w:t>③</w:t>
                  </w:r>
                  <w:r>
                    <w:rPr>
                      <w:color w:val="auto"/>
                      <w:szCs w:val="21"/>
                      <w:lang w:eastAsia="zh-CN"/>
                    </w:rPr>
                    <w:t>企业要制定环保责任制，企业领导为第一责任人，全面负责企业的环保事务；指定专门人员负责环保事务，确保环保治理措施落实及环境监测工作。</w:t>
                  </w:r>
                </w:p>
                <w:p w14:paraId="0D825C64">
                  <w:pPr>
                    <w:adjustRightInd w:val="0"/>
                    <w:spacing w:line="240" w:lineRule="auto"/>
                    <w:ind w:left="0" w:leftChars="0" w:right="0" w:rightChars="0" w:firstLine="0" w:firstLineChars="0"/>
                    <w:rPr>
                      <w:color w:val="auto"/>
                      <w:szCs w:val="21"/>
                      <w:lang w:eastAsia="zh-CN"/>
                    </w:rPr>
                  </w:pPr>
                  <w:r>
                    <w:rPr>
                      <w:rFonts w:hint="eastAsia" w:ascii="宋体" w:hAnsi="宋体" w:cs="宋体"/>
                      <w:color w:val="auto"/>
                      <w:szCs w:val="21"/>
                      <w:lang w:eastAsia="zh-CN"/>
                    </w:rPr>
                    <w:t>④</w:t>
                  </w:r>
                  <w:r>
                    <w:rPr>
                      <w:color w:val="auto"/>
                      <w:szCs w:val="21"/>
                      <w:lang w:eastAsia="zh-CN"/>
                    </w:rPr>
                    <w:t>建立环保管理制度，加强生产的环境管理水平，危险废物必须按照管理要求收集后交由有资质的单位处理处置，加强对各污染防治处理设施的检查和维护，保证其正常运行。</w:t>
                  </w:r>
                </w:p>
              </w:tc>
            </w:tr>
          </w:tbl>
          <w:p w14:paraId="2B2148F7">
            <w:pPr>
              <w:pStyle w:val="25"/>
              <w:spacing w:after="0" w:line="360" w:lineRule="auto"/>
              <w:ind w:left="0" w:leftChars="0" w:firstLine="482"/>
              <w:jc w:val="both"/>
              <w:rPr>
                <w:rFonts w:ascii="Times New Roman"/>
                <w:b/>
                <w:bCs/>
                <w:color w:val="auto"/>
                <w:kern w:val="2"/>
                <w:sz w:val="24"/>
                <w:lang w:eastAsia="zh-CN"/>
              </w:rPr>
            </w:pPr>
            <w:r>
              <w:rPr>
                <w:rFonts w:hint="eastAsia" w:ascii="Times New Roman"/>
                <w:b/>
                <w:bCs/>
                <w:color w:val="auto"/>
                <w:kern w:val="2"/>
                <w:sz w:val="24"/>
                <w:lang w:eastAsia="zh-CN"/>
              </w:rPr>
              <w:t>7、</w:t>
            </w:r>
            <w:r>
              <w:rPr>
                <w:rFonts w:ascii="Times New Roman"/>
                <w:b/>
                <w:bCs/>
                <w:color w:val="auto"/>
                <w:kern w:val="2"/>
                <w:sz w:val="24"/>
                <w:lang w:eastAsia="zh-CN"/>
              </w:rPr>
              <w:t>环保投资</w:t>
            </w:r>
          </w:p>
          <w:p w14:paraId="5FBFB094">
            <w:pPr>
              <w:adjustRightInd w:val="0"/>
              <w:snapToGrid w:val="0"/>
              <w:ind w:left="0" w:leftChars="0" w:right="0" w:rightChars="0" w:firstLine="480"/>
              <w:jc w:val="both"/>
              <w:rPr>
                <w:color w:val="auto"/>
                <w:sz w:val="24"/>
                <w:lang w:eastAsia="zh-CN"/>
              </w:rPr>
            </w:pPr>
            <w:r>
              <w:rPr>
                <w:color w:val="auto"/>
                <w:sz w:val="24"/>
                <w:lang w:eastAsia="zh-CN"/>
              </w:rPr>
              <w:t>本项目总投资</w:t>
            </w:r>
            <w:r>
              <w:rPr>
                <w:rFonts w:hint="eastAsia"/>
                <w:color w:val="auto"/>
                <w:sz w:val="24"/>
                <w:lang w:val="en-US" w:eastAsia="zh-CN"/>
              </w:rPr>
              <w:t>300</w:t>
            </w:r>
            <w:r>
              <w:rPr>
                <w:color w:val="auto"/>
                <w:sz w:val="24"/>
                <w:lang w:eastAsia="zh-CN"/>
              </w:rPr>
              <w:t>万元，其中环保投资</w:t>
            </w:r>
            <w:r>
              <w:rPr>
                <w:rFonts w:hint="eastAsia"/>
                <w:color w:val="auto"/>
                <w:sz w:val="24"/>
                <w:lang w:eastAsia="zh-CN"/>
              </w:rPr>
              <w:t>32</w:t>
            </w:r>
            <w:r>
              <w:rPr>
                <w:color w:val="auto"/>
                <w:sz w:val="24"/>
                <w:lang w:eastAsia="zh-CN"/>
              </w:rPr>
              <w:t>万元，占总投资的</w:t>
            </w:r>
            <w:r>
              <w:rPr>
                <w:rFonts w:hint="eastAsia"/>
                <w:color w:val="auto"/>
                <w:sz w:val="24"/>
                <w:lang w:val="en-US" w:eastAsia="zh-CN"/>
              </w:rPr>
              <w:t>10.7</w:t>
            </w:r>
            <w:r>
              <w:rPr>
                <w:color w:val="auto"/>
                <w:sz w:val="24"/>
                <w:lang w:eastAsia="zh-CN"/>
              </w:rPr>
              <w:t>%。项目环保投资估算见下表。</w:t>
            </w:r>
          </w:p>
          <w:p w14:paraId="7A667593">
            <w:pPr>
              <w:spacing w:line="240" w:lineRule="auto"/>
              <w:ind w:left="0" w:leftChars="0" w:right="0" w:rightChars="0" w:firstLine="0" w:firstLineChars="0"/>
              <w:jc w:val="center"/>
              <w:rPr>
                <w:b/>
                <w:bCs/>
                <w:color w:val="auto"/>
                <w:sz w:val="24"/>
                <w:lang w:eastAsia="zh-CN"/>
              </w:rPr>
            </w:pPr>
            <w:r>
              <w:rPr>
                <w:b/>
                <w:bCs/>
                <w:color w:val="auto"/>
                <w:sz w:val="24"/>
                <w:lang w:eastAsia="zh-CN"/>
              </w:rPr>
              <w:t>表4-</w:t>
            </w:r>
            <w:r>
              <w:rPr>
                <w:rFonts w:hint="eastAsia"/>
                <w:b/>
                <w:bCs/>
                <w:color w:val="auto"/>
                <w:sz w:val="24"/>
                <w:lang w:eastAsia="zh-CN"/>
              </w:rPr>
              <w:t>20</w:t>
            </w:r>
            <w:r>
              <w:rPr>
                <w:b/>
                <w:bCs/>
                <w:color w:val="auto"/>
                <w:sz w:val="24"/>
                <w:lang w:eastAsia="zh-CN"/>
              </w:rPr>
              <w:t xml:space="preserve">  本项目环保投资一览表</w:t>
            </w:r>
          </w:p>
          <w:tbl>
            <w:tblPr>
              <w:tblStyle w:val="26"/>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667"/>
              <w:gridCol w:w="3485"/>
              <w:gridCol w:w="786"/>
              <w:gridCol w:w="1818"/>
            </w:tblGrid>
            <w:tr w14:paraId="418B98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vAlign w:val="center"/>
                </w:tcPr>
                <w:p w14:paraId="59B3DB2C">
                  <w:pPr>
                    <w:spacing w:line="240" w:lineRule="auto"/>
                    <w:ind w:left="0" w:leftChars="0" w:right="0" w:rightChars="0" w:firstLine="0" w:firstLineChars="0"/>
                    <w:jc w:val="center"/>
                    <w:rPr>
                      <w:b/>
                      <w:bCs/>
                      <w:color w:val="auto"/>
                      <w:szCs w:val="21"/>
                    </w:rPr>
                  </w:pPr>
                  <w:r>
                    <w:rPr>
                      <w:b/>
                      <w:bCs/>
                      <w:color w:val="auto"/>
                      <w:szCs w:val="21"/>
                    </w:rPr>
                    <w:t>类别</w:t>
                  </w:r>
                </w:p>
              </w:tc>
              <w:tc>
                <w:tcPr>
                  <w:tcW w:w="985" w:type="pct"/>
                  <w:tcBorders>
                    <w:tl2br w:val="nil"/>
                    <w:tr2bl w:val="nil"/>
                  </w:tcBorders>
                  <w:vAlign w:val="center"/>
                </w:tcPr>
                <w:p w14:paraId="114EBCCD">
                  <w:pPr>
                    <w:spacing w:line="240" w:lineRule="auto"/>
                    <w:ind w:left="0" w:leftChars="0" w:right="0" w:rightChars="0" w:firstLine="0" w:firstLineChars="0"/>
                    <w:jc w:val="center"/>
                    <w:rPr>
                      <w:b/>
                      <w:bCs/>
                      <w:color w:val="auto"/>
                      <w:szCs w:val="21"/>
                    </w:rPr>
                  </w:pPr>
                  <w:r>
                    <w:rPr>
                      <w:b/>
                      <w:bCs/>
                      <w:color w:val="auto"/>
                      <w:szCs w:val="21"/>
                    </w:rPr>
                    <w:t>项目</w:t>
                  </w:r>
                </w:p>
              </w:tc>
              <w:tc>
                <w:tcPr>
                  <w:tcW w:w="2061" w:type="pct"/>
                  <w:tcBorders>
                    <w:tl2br w:val="nil"/>
                    <w:tr2bl w:val="nil"/>
                  </w:tcBorders>
                  <w:vAlign w:val="center"/>
                </w:tcPr>
                <w:p w14:paraId="4689DAAE">
                  <w:pPr>
                    <w:spacing w:line="240" w:lineRule="auto"/>
                    <w:ind w:left="0" w:leftChars="0" w:right="0" w:rightChars="0" w:firstLine="0" w:firstLineChars="0"/>
                    <w:jc w:val="center"/>
                    <w:rPr>
                      <w:b/>
                      <w:bCs/>
                      <w:color w:val="auto"/>
                      <w:szCs w:val="21"/>
                    </w:rPr>
                  </w:pPr>
                  <w:r>
                    <w:rPr>
                      <w:b/>
                      <w:bCs/>
                      <w:color w:val="auto"/>
                      <w:szCs w:val="21"/>
                    </w:rPr>
                    <w:t>环保工程</w:t>
                  </w:r>
                </w:p>
              </w:tc>
              <w:tc>
                <w:tcPr>
                  <w:tcW w:w="464" w:type="pct"/>
                  <w:tcBorders>
                    <w:tl2br w:val="nil"/>
                    <w:tr2bl w:val="nil"/>
                  </w:tcBorders>
                  <w:vAlign w:val="center"/>
                </w:tcPr>
                <w:p w14:paraId="4CFFE152">
                  <w:pPr>
                    <w:spacing w:line="240" w:lineRule="auto"/>
                    <w:ind w:left="0" w:leftChars="0" w:right="0" w:rightChars="0" w:firstLine="0" w:firstLineChars="0"/>
                    <w:jc w:val="center"/>
                    <w:rPr>
                      <w:b/>
                      <w:bCs/>
                      <w:color w:val="auto"/>
                      <w:szCs w:val="21"/>
                    </w:rPr>
                  </w:pPr>
                  <w:r>
                    <w:rPr>
                      <w:b/>
                      <w:bCs/>
                      <w:color w:val="auto"/>
                      <w:szCs w:val="21"/>
                    </w:rPr>
                    <w:t>数量</w:t>
                  </w:r>
                </w:p>
              </w:tc>
              <w:tc>
                <w:tcPr>
                  <w:tcW w:w="1075" w:type="pct"/>
                  <w:tcBorders>
                    <w:tl2br w:val="nil"/>
                    <w:tr2bl w:val="nil"/>
                  </w:tcBorders>
                  <w:vAlign w:val="center"/>
                </w:tcPr>
                <w:p w14:paraId="6433D2D7">
                  <w:pPr>
                    <w:spacing w:line="240" w:lineRule="auto"/>
                    <w:ind w:left="0" w:leftChars="0" w:right="0" w:rightChars="0" w:firstLine="0" w:firstLineChars="0"/>
                    <w:jc w:val="center"/>
                    <w:rPr>
                      <w:b/>
                      <w:bCs/>
                      <w:color w:val="auto"/>
                      <w:szCs w:val="21"/>
                    </w:rPr>
                  </w:pPr>
                  <w:r>
                    <w:rPr>
                      <w:b/>
                      <w:bCs/>
                      <w:color w:val="auto"/>
                      <w:szCs w:val="21"/>
                    </w:rPr>
                    <w:t>投资额/万元</w:t>
                  </w:r>
                </w:p>
              </w:tc>
            </w:tr>
            <w:tr w14:paraId="51B744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vMerge w:val="restart"/>
                  <w:tcBorders>
                    <w:tl2br w:val="nil"/>
                    <w:tr2bl w:val="nil"/>
                  </w:tcBorders>
                  <w:vAlign w:val="center"/>
                </w:tcPr>
                <w:p w14:paraId="394E76B1">
                  <w:pPr>
                    <w:spacing w:line="240" w:lineRule="auto"/>
                    <w:ind w:left="0" w:leftChars="0" w:right="0" w:rightChars="0" w:firstLine="0" w:firstLineChars="0"/>
                    <w:jc w:val="center"/>
                    <w:rPr>
                      <w:color w:val="auto"/>
                      <w:szCs w:val="21"/>
                    </w:rPr>
                  </w:pPr>
                  <w:r>
                    <w:rPr>
                      <w:color w:val="auto"/>
                      <w:szCs w:val="21"/>
                    </w:rPr>
                    <w:t>废气</w:t>
                  </w:r>
                </w:p>
              </w:tc>
              <w:tc>
                <w:tcPr>
                  <w:tcW w:w="985" w:type="pct"/>
                  <w:tcBorders>
                    <w:tl2br w:val="nil"/>
                    <w:tr2bl w:val="nil"/>
                  </w:tcBorders>
                  <w:vAlign w:val="center"/>
                </w:tcPr>
                <w:p w14:paraId="705D1722">
                  <w:pPr>
                    <w:pStyle w:val="79"/>
                    <w:spacing w:line="240" w:lineRule="auto"/>
                    <w:ind w:left="0" w:leftChars="0" w:right="0" w:rightChars="0" w:firstLine="0" w:firstLineChars="0"/>
                    <w:rPr>
                      <w:color w:val="auto"/>
                      <w:szCs w:val="21"/>
                    </w:rPr>
                  </w:pPr>
                  <w:r>
                    <w:rPr>
                      <w:color w:val="auto"/>
                      <w:szCs w:val="21"/>
                    </w:rPr>
                    <w:t>焊接工序</w:t>
                  </w:r>
                </w:p>
              </w:tc>
              <w:tc>
                <w:tcPr>
                  <w:tcW w:w="2061" w:type="pct"/>
                  <w:tcBorders>
                    <w:tl2br w:val="nil"/>
                    <w:tr2bl w:val="nil"/>
                  </w:tcBorders>
                  <w:vAlign w:val="center"/>
                </w:tcPr>
                <w:p w14:paraId="22A27F89">
                  <w:pPr>
                    <w:spacing w:line="240" w:lineRule="auto"/>
                    <w:ind w:left="0" w:leftChars="0" w:right="0" w:rightChars="0" w:firstLine="0" w:firstLineChars="0"/>
                    <w:jc w:val="center"/>
                    <w:rPr>
                      <w:color w:val="auto"/>
                      <w:szCs w:val="21"/>
                    </w:rPr>
                  </w:pPr>
                  <w:r>
                    <w:rPr>
                      <w:color w:val="auto"/>
                      <w:szCs w:val="21"/>
                    </w:rPr>
                    <w:t>移动式烟尘净化器</w:t>
                  </w:r>
                </w:p>
              </w:tc>
              <w:tc>
                <w:tcPr>
                  <w:tcW w:w="464" w:type="pct"/>
                  <w:tcBorders>
                    <w:tl2br w:val="nil"/>
                    <w:tr2bl w:val="nil"/>
                  </w:tcBorders>
                  <w:vAlign w:val="center"/>
                </w:tcPr>
                <w:p w14:paraId="2E18CAA6">
                  <w:pPr>
                    <w:spacing w:line="240" w:lineRule="auto"/>
                    <w:ind w:left="0" w:leftChars="0" w:right="0" w:rightChars="0" w:firstLine="0" w:firstLineChars="0"/>
                    <w:jc w:val="center"/>
                    <w:rPr>
                      <w:color w:val="auto"/>
                      <w:szCs w:val="21"/>
                    </w:rPr>
                  </w:pPr>
                  <w:r>
                    <w:rPr>
                      <w:rFonts w:hint="eastAsia"/>
                      <w:color w:val="auto"/>
                      <w:szCs w:val="21"/>
                      <w:lang w:eastAsia="zh-CN"/>
                    </w:rPr>
                    <w:t>1</w:t>
                  </w:r>
                  <w:r>
                    <w:rPr>
                      <w:color w:val="auto"/>
                      <w:szCs w:val="21"/>
                    </w:rPr>
                    <w:t>2套</w:t>
                  </w:r>
                </w:p>
              </w:tc>
              <w:tc>
                <w:tcPr>
                  <w:tcW w:w="1075" w:type="pct"/>
                  <w:tcBorders>
                    <w:tl2br w:val="nil"/>
                    <w:tr2bl w:val="nil"/>
                  </w:tcBorders>
                  <w:vAlign w:val="center"/>
                </w:tcPr>
                <w:p w14:paraId="128DD9DB">
                  <w:pPr>
                    <w:spacing w:line="240" w:lineRule="auto"/>
                    <w:ind w:left="0" w:leftChars="0" w:right="0" w:rightChars="0" w:firstLine="0" w:firstLineChars="0"/>
                    <w:jc w:val="center"/>
                    <w:rPr>
                      <w:rFonts w:eastAsia="宋体"/>
                      <w:snapToGrid w:val="0"/>
                      <w:color w:val="auto"/>
                      <w:szCs w:val="21"/>
                      <w:lang w:eastAsia="zh-CN"/>
                    </w:rPr>
                  </w:pPr>
                  <w:r>
                    <w:rPr>
                      <w:rFonts w:hint="eastAsia"/>
                      <w:snapToGrid w:val="0"/>
                      <w:color w:val="auto"/>
                      <w:szCs w:val="21"/>
                      <w:lang w:eastAsia="zh-CN"/>
                    </w:rPr>
                    <w:t>3.5</w:t>
                  </w:r>
                </w:p>
              </w:tc>
            </w:tr>
            <w:tr w14:paraId="2034A0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vMerge w:val="continue"/>
                  <w:tcBorders>
                    <w:tl2br w:val="nil"/>
                    <w:tr2bl w:val="nil"/>
                  </w:tcBorders>
                  <w:vAlign w:val="center"/>
                </w:tcPr>
                <w:p w14:paraId="07D24B3E">
                  <w:pPr>
                    <w:spacing w:line="240" w:lineRule="auto"/>
                    <w:ind w:left="0" w:leftChars="0" w:right="0" w:rightChars="0" w:firstLine="0" w:firstLineChars="0"/>
                    <w:jc w:val="center"/>
                    <w:rPr>
                      <w:color w:val="auto"/>
                      <w:szCs w:val="21"/>
                    </w:rPr>
                  </w:pPr>
                </w:p>
              </w:tc>
              <w:tc>
                <w:tcPr>
                  <w:tcW w:w="985" w:type="pct"/>
                  <w:tcBorders>
                    <w:tl2br w:val="nil"/>
                    <w:tr2bl w:val="nil"/>
                  </w:tcBorders>
                  <w:vAlign w:val="center"/>
                </w:tcPr>
                <w:p w14:paraId="5FB5BAC2">
                  <w:pPr>
                    <w:pStyle w:val="79"/>
                    <w:spacing w:line="240" w:lineRule="auto"/>
                    <w:ind w:left="0" w:leftChars="0" w:right="0" w:rightChars="0" w:firstLine="0" w:firstLineChars="0"/>
                    <w:rPr>
                      <w:color w:val="auto"/>
                      <w:szCs w:val="21"/>
                      <w:lang w:eastAsia="zh-CN"/>
                    </w:rPr>
                  </w:pPr>
                  <w:r>
                    <w:rPr>
                      <w:rFonts w:hint="eastAsia"/>
                      <w:color w:val="auto"/>
                      <w:szCs w:val="21"/>
                      <w:lang w:eastAsia="zh-CN"/>
                    </w:rPr>
                    <w:t>题字间</w:t>
                  </w:r>
                </w:p>
              </w:tc>
              <w:tc>
                <w:tcPr>
                  <w:tcW w:w="2061" w:type="pct"/>
                  <w:tcBorders>
                    <w:tl2br w:val="nil"/>
                    <w:tr2bl w:val="nil"/>
                  </w:tcBorders>
                  <w:vAlign w:val="center"/>
                </w:tcPr>
                <w:p w14:paraId="0F7A31C9">
                  <w:pPr>
                    <w:spacing w:line="240" w:lineRule="auto"/>
                    <w:ind w:left="0" w:leftChars="0" w:right="0" w:rightChars="0" w:firstLine="0" w:firstLineChars="0"/>
                    <w:jc w:val="center"/>
                    <w:rPr>
                      <w:color w:val="auto"/>
                      <w:szCs w:val="21"/>
                      <w:lang w:eastAsia="zh-CN"/>
                    </w:rPr>
                  </w:pPr>
                  <w:r>
                    <w:rPr>
                      <w:rFonts w:hint="eastAsia"/>
                      <w:color w:val="auto"/>
                      <w:szCs w:val="21"/>
                      <w:lang w:eastAsia="zh-CN"/>
                    </w:rPr>
                    <w:t>有机废气集气设施</w:t>
                  </w:r>
                </w:p>
              </w:tc>
              <w:tc>
                <w:tcPr>
                  <w:tcW w:w="464" w:type="pct"/>
                  <w:tcBorders>
                    <w:tl2br w:val="nil"/>
                    <w:tr2bl w:val="nil"/>
                  </w:tcBorders>
                  <w:vAlign w:val="center"/>
                </w:tcPr>
                <w:p w14:paraId="1689BB76">
                  <w:pPr>
                    <w:spacing w:line="240" w:lineRule="auto"/>
                    <w:ind w:left="0" w:leftChars="0" w:right="0" w:rightChars="0" w:firstLine="0" w:firstLineChars="0"/>
                    <w:jc w:val="center"/>
                    <w:rPr>
                      <w:color w:val="auto"/>
                      <w:szCs w:val="21"/>
                      <w:lang w:eastAsia="zh-CN"/>
                    </w:rPr>
                  </w:pPr>
                  <w:r>
                    <w:rPr>
                      <w:rFonts w:hint="eastAsia"/>
                      <w:color w:val="auto"/>
                      <w:szCs w:val="21"/>
                      <w:lang w:eastAsia="zh-CN"/>
                    </w:rPr>
                    <w:t>1套</w:t>
                  </w:r>
                </w:p>
              </w:tc>
              <w:tc>
                <w:tcPr>
                  <w:tcW w:w="1075" w:type="pct"/>
                  <w:tcBorders>
                    <w:tl2br w:val="nil"/>
                    <w:tr2bl w:val="nil"/>
                  </w:tcBorders>
                  <w:vAlign w:val="center"/>
                </w:tcPr>
                <w:p w14:paraId="6596B80E">
                  <w:pPr>
                    <w:spacing w:line="240" w:lineRule="auto"/>
                    <w:ind w:left="0" w:leftChars="0" w:right="0" w:rightChars="0" w:firstLine="0" w:firstLineChars="0"/>
                    <w:jc w:val="center"/>
                    <w:rPr>
                      <w:rFonts w:hint="default"/>
                      <w:snapToGrid w:val="0"/>
                      <w:color w:val="auto"/>
                      <w:szCs w:val="21"/>
                      <w:lang w:val="en-US" w:eastAsia="zh-CN"/>
                    </w:rPr>
                  </w:pPr>
                  <w:r>
                    <w:rPr>
                      <w:rFonts w:hint="eastAsia"/>
                      <w:snapToGrid w:val="0"/>
                      <w:color w:val="auto"/>
                      <w:szCs w:val="21"/>
                      <w:lang w:eastAsia="zh-CN"/>
                    </w:rPr>
                    <w:t>5</w:t>
                  </w:r>
                  <w:r>
                    <w:rPr>
                      <w:rFonts w:hint="eastAsia"/>
                      <w:snapToGrid w:val="0"/>
                      <w:color w:val="auto"/>
                      <w:szCs w:val="21"/>
                      <w:lang w:val="en-US" w:eastAsia="zh-CN"/>
                    </w:rPr>
                    <w:t>.0</w:t>
                  </w:r>
                </w:p>
              </w:tc>
            </w:tr>
            <w:tr w14:paraId="0966F2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vAlign w:val="center"/>
                </w:tcPr>
                <w:p w14:paraId="3FBF1717">
                  <w:pPr>
                    <w:spacing w:line="240" w:lineRule="auto"/>
                    <w:ind w:left="0" w:leftChars="0" w:right="0" w:rightChars="0" w:firstLine="0" w:firstLineChars="0"/>
                    <w:jc w:val="center"/>
                    <w:rPr>
                      <w:rFonts w:hint="eastAsia" w:eastAsiaTheme="minorEastAsia"/>
                      <w:color w:val="auto"/>
                      <w:szCs w:val="21"/>
                      <w:lang w:val="en-US" w:eastAsia="zh-CN"/>
                    </w:rPr>
                  </w:pPr>
                  <w:r>
                    <w:rPr>
                      <w:rFonts w:hint="eastAsia"/>
                      <w:color w:val="auto"/>
                      <w:szCs w:val="21"/>
                      <w:lang w:val="en-US" w:eastAsia="zh-CN"/>
                    </w:rPr>
                    <w:t>固废</w:t>
                  </w:r>
                </w:p>
              </w:tc>
              <w:tc>
                <w:tcPr>
                  <w:tcW w:w="985" w:type="pct"/>
                  <w:tcBorders>
                    <w:tl2br w:val="nil"/>
                    <w:tr2bl w:val="nil"/>
                  </w:tcBorders>
                  <w:vAlign w:val="center"/>
                </w:tcPr>
                <w:p w14:paraId="1516F421">
                  <w:pPr>
                    <w:pStyle w:val="79"/>
                    <w:spacing w:line="240" w:lineRule="auto"/>
                    <w:ind w:left="0" w:leftChars="0" w:right="0" w:rightChars="0" w:firstLine="0" w:firstLineChars="0"/>
                    <w:rPr>
                      <w:rFonts w:hint="default" w:eastAsia="宋体"/>
                      <w:color w:val="auto"/>
                      <w:szCs w:val="21"/>
                      <w:lang w:val="en-US" w:eastAsia="zh-CN"/>
                    </w:rPr>
                  </w:pPr>
                  <w:r>
                    <w:rPr>
                      <w:rFonts w:hint="eastAsia" w:eastAsia="宋体"/>
                      <w:color w:val="auto"/>
                      <w:szCs w:val="21"/>
                      <w:lang w:val="en-US" w:eastAsia="zh-CN"/>
                    </w:rPr>
                    <w:t>危废暂存</w:t>
                  </w:r>
                </w:p>
              </w:tc>
              <w:tc>
                <w:tcPr>
                  <w:tcW w:w="2061" w:type="pct"/>
                  <w:tcBorders>
                    <w:tl2br w:val="nil"/>
                    <w:tr2bl w:val="nil"/>
                  </w:tcBorders>
                  <w:vAlign w:val="center"/>
                </w:tcPr>
                <w:p w14:paraId="274FA3A8">
                  <w:pPr>
                    <w:spacing w:line="240" w:lineRule="auto"/>
                    <w:ind w:left="0" w:leftChars="0" w:right="0" w:rightChars="0" w:firstLine="0" w:firstLineChars="0"/>
                    <w:jc w:val="center"/>
                    <w:rPr>
                      <w:rFonts w:hint="default" w:ascii="宋体" w:hAnsi="宋体" w:cs="宋体"/>
                      <w:color w:val="auto"/>
                      <w:szCs w:val="21"/>
                      <w:lang w:val="en-US" w:eastAsia="zh-CN" w:bidi="ar"/>
                    </w:rPr>
                  </w:pPr>
                  <w:r>
                    <w:rPr>
                      <w:rFonts w:hint="eastAsia" w:ascii="宋体" w:hAnsi="宋体" w:cs="宋体"/>
                      <w:color w:val="auto"/>
                      <w:szCs w:val="21"/>
                      <w:lang w:val="en-US" w:eastAsia="zh-CN" w:bidi="ar"/>
                    </w:rPr>
                    <w:t>危废暂存间整改</w:t>
                  </w:r>
                </w:p>
              </w:tc>
              <w:tc>
                <w:tcPr>
                  <w:tcW w:w="464" w:type="pct"/>
                  <w:tcBorders>
                    <w:tl2br w:val="nil"/>
                    <w:tr2bl w:val="nil"/>
                  </w:tcBorders>
                  <w:vAlign w:val="center"/>
                </w:tcPr>
                <w:p w14:paraId="1A532A0D">
                  <w:pPr>
                    <w:spacing w:line="240" w:lineRule="auto"/>
                    <w:ind w:left="0" w:leftChars="0" w:right="0" w:rightChars="0" w:firstLine="0" w:firstLineChars="0"/>
                    <w:jc w:val="center"/>
                    <w:rPr>
                      <w:rFonts w:hint="eastAsia" w:eastAsiaTheme="minorEastAsia"/>
                      <w:color w:val="auto"/>
                      <w:szCs w:val="21"/>
                      <w:lang w:val="en-US" w:eastAsia="zh-CN"/>
                    </w:rPr>
                  </w:pPr>
                  <w:r>
                    <w:rPr>
                      <w:rFonts w:hint="eastAsia"/>
                      <w:color w:val="auto"/>
                      <w:szCs w:val="21"/>
                      <w:lang w:val="en-US" w:eastAsia="zh-CN"/>
                    </w:rPr>
                    <w:t>/</w:t>
                  </w:r>
                </w:p>
              </w:tc>
              <w:tc>
                <w:tcPr>
                  <w:tcW w:w="1075" w:type="pct"/>
                  <w:tcBorders>
                    <w:tl2br w:val="nil"/>
                    <w:tr2bl w:val="nil"/>
                  </w:tcBorders>
                  <w:vAlign w:val="center"/>
                </w:tcPr>
                <w:p w14:paraId="0B4E41D3">
                  <w:pPr>
                    <w:spacing w:line="240" w:lineRule="auto"/>
                    <w:ind w:left="0" w:leftChars="0" w:right="0" w:rightChars="0" w:firstLine="0" w:firstLineChars="0"/>
                    <w:jc w:val="center"/>
                    <w:rPr>
                      <w:rFonts w:hint="default"/>
                      <w:snapToGrid w:val="0"/>
                      <w:color w:val="auto"/>
                      <w:szCs w:val="21"/>
                      <w:lang w:val="en-US" w:eastAsia="zh-CN"/>
                    </w:rPr>
                  </w:pPr>
                  <w:r>
                    <w:rPr>
                      <w:rFonts w:hint="eastAsia"/>
                      <w:snapToGrid w:val="0"/>
                      <w:color w:val="auto"/>
                      <w:szCs w:val="21"/>
                      <w:lang w:val="en-US" w:eastAsia="zh-CN"/>
                    </w:rPr>
                    <w:t>2.0</w:t>
                  </w:r>
                </w:p>
              </w:tc>
            </w:tr>
            <w:tr w14:paraId="74E878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vAlign w:val="center"/>
                </w:tcPr>
                <w:p w14:paraId="2663424D">
                  <w:pPr>
                    <w:spacing w:line="240" w:lineRule="auto"/>
                    <w:ind w:left="0" w:leftChars="0" w:right="0" w:rightChars="0" w:firstLine="0" w:firstLineChars="0"/>
                    <w:jc w:val="center"/>
                    <w:rPr>
                      <w:rFonts w:hint="default"/>
                      <w:color w:val="auto"/>
                      <w:szCs w:val="21"/>
                      <w:lang w:val="en-US" w:eastAsia="zh-CN"/>
                    </w:rPr>
                  </w:pPr>
                  <w:r>
                    <w:rPr>
                      <w:rFonts w:hint="eastAsia"/>
                      <w:color w:val="auto"/>
                      <w:szCs w:val="21"/>
                      <w:lang w:val="en-US" w:eastAsia="zh-CN"/>
                    </w:rPr>
                    <w:t>噪声</w:t>
                  </w:r>
                </w:p>
              </w:tc>
              <w:tc>
                <w:tcPr>
                  <w:tcW w:w="985" w:type="pct"/>
                  <w:tcBorders>
                    <w:tl2br w:val="nil"/>
                    <w:tr2bl w:val="nil"/>
                  </w:tcBorders>
                  <w:vAlign w:val="center"/>
                </w:tcPr>
                <w:p w14:paraId="66B6EE48">
                  <w:pPr>
                    <w:pStyle w:val="79"/>
                    <w:spacing w:line="240" w:lineRule="auto"/>
                    <w:ind w:left="0" w:leftChars="0" w:right="0" w:rightChars="0" w:firstLine="0" w:firstLineChars="0"/>
                    <w:rPr>
                      <w:rFonts w:hint="default" w:eastAsia="宋体"/>
                      <w:color w:val="auto"/>
                      <w:szCs w:val="21"/>
                      <w:lang w:val="en-US" w:eastAsia="zh-CN"/>
                    </w:rPr>
                  </w:pPr>
                  <w:r>
                    <w:rPr>
                      <w:rFonts w:hint="eastAsia" w:eastAsia="宋体"/>
                      <w:color w:val="auto"/>
                      <w:szCs w:val="21"/>
                      <w:lang w:val="en-US" w:eastAsia="zh-CN"/>
                    </w:rPr>
                    <w:t>加工车间</w:t>
                  </w:r>
                </w:p>
              </w:tc>
              <w:tc>
                <w:tcPr>
                  <w:tcW w:w="2061" w:type="pct"/>
                  <w:tcBorders>
                    <w:tl2br w:val="nil"/>
                    <w:tr2bl w:val="nil"/>
                  </w:tcBorders>
                  <w:vAlign w:val="center"/>
                </w:tcPr>
                <w:p w14:paraId="333B08E1">
                  <w:pPr>
                    <w:spacing w:line="240" w:lineRule="auto"/>
                    <w:ind w:left="0" w:leftChars="0" w:right="0" w:rightChars="0" w:firstLine="0" w:firstLineChars="0"/>
                    <w:jc w:val="center"/>
                    <w:rPr>
                      <w:rFonts w:hint="default" w:ascii="宋体" w:hAnsi="宋体" w:cs="宋体"/>
                      <w:color w:val="auto"/>
                      <w:szCs w:val="21"/>
                      <w:lang w:val="en-US" w:eastAsia="zh-CN" w:bidi="ar"/>
                    </w:rPr>
                  </w:pPr>
                  <w:r>
                    <w:rPr>
                      <w:rFonts w:hint="eastAsia" w:ascii="宋体" w:hAnsi="宋体" w:cs="宋体"/>
                      <w:color w:val="auto"/>
                      <w:szCs w:val="21"/>
                      <w:lang w:val="en-US" w:eastAsia="zh-CN" w:bidi="ar"/>
                    </w:rPr>
                    <w:t>隔声、减震</w:t>
                  </w:r>
                </w:p>
              </w:tc>
              <w:tc>
                <w:tcPr>
                  <w:tcW w:w="464" w:type="pct"/>
                  <w:tcBorders>
                    <w:tl2br w:val="nil"/>
                    <w:tr2bl w:val="nil"/>
                  </w:tcBorders>
                  <w:vAlign w:val="center"/>
                </w:tcPr>
                <w:p w14:paraId="5AE2A179">
                  <w:pPr>
                    <w:spacing w:line="240" w:lineRule="auto"/>
                    <w:ind w:left="0" w:leftChars="0" w:right="0" w:rightChars="0" w:firstLine="0" w:firstLineChars="0"/>
                    <w:jc w:val="center"/>
                    <w:rPr>
                      <w:rFonts w:hint="default"/>
                      <w:color w:val="auto"/>
                      <w:szCs w:val="21"/>
                      <w:lang w:val="en-US" w:eastAsia="zh-CN"/>
                    </w:rPr>
                  </w:pPr>
                  <w:r>
                    <w:rPr>
                      <w:rFonts w:hint="eastAsia"/>
                      <w:color w:val="auto"/>
                      <w:szCs w:val="21"/>
                      <w:lang w:val="en-US" w:eastAsia="zh-CN"/>
                    </w:rPr>
                    <w:t>若干</w:t>
                  </w:r>
                </w:p>
              </w:tc>
              <w:tc>
                <w:tcPr>
                  <w:tcW w:w="1075" w:type="pct"/>
                  <w:tcBorders>
                    <w:tl2br w:val="nil"/>
                    <w:tr2bl w:val="nil"/>
                  </w:tcBorders>
                  <w:vAlign w:val="center"/>
                </w:tcPr>
                <w:p w14:paraId="4A7964BB">
                  <w:pPr>
                    <w:spacing w:line="240" w:lineRule="auto"/>
                    <w:ind w:left="0" w:leftChars="0" w:right="0" w:rightChars="0" w:firstLine="0" w:firstLineChars="0"/>
                    <w:jc w:val="center"/>
                    <w:rPr>
                      <w:rFonts w:hint="default"/>
                      <w:snapToGrid w:val="0"/>
                      <w:color w:val="auto"/>
                      <w:szCs w:val="21"/>
                      <w:lang w:val="en-US" w:eastAsia="zh-CN"/>
                    </w:rPr>
                  </w:pPr>
                  <w:r>
                    <w:rPr>
                      <w:rFonts w:hint="eastAsia"/>
                      <w:snapToGrid w:val="0"/>
                      <w:color w:val="auto"/>
                      <w:szCs w:val="21"/>
                      <w:lang w:val="en-US" w:eastAsia="zh-CN"/>
                    </w:rPr>
                    <w:t>6.5</w:t>
                  </w:r>
                </w:p>
              </w:tc>
            </w:tr>
            <w:tr w14:paraId="1E1AFF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24" w:type="pct"/>
                  <w:gridSpan w:val="4"/>
                  <w:tcBorders>
                    <w:tl2br w:val="nil"/>
                    <w:tr2bl w:val="nil"/>
                  </w:tcBorders>
                  <w:vAlign w:val="center"/>
                </w:tcPr>
                <w:p w14:paraId="5A290DF1">
                  <w:pPr>
                    <w:spacing w:line="240" w:lineRule="auto"/>
                    <w:ind w:left="0" w:leftChars="0" w:right="0" w:rightChars="0" w:firstLine="0" w:firstLineChars="0"/>
                    <w:jc w:val="center"/>
                    <w:rPr>
                      <w:color w:val="auto"/>
                      <w:szCs w:val="21"/>
                      <w:lang w:eastAsia="zh-CN"/>
                    </w:rPr>
                  </w:pPr>
                  <w:r>
                    <w:rPr>
                      <w:rFonts w:hint="eastAsia"/>
                      <w:color w:val="auto"/>
                      <w:szCs w:val="21"/>
                      <w:lang w:eastAsia="zh-CN"/>
                    </w:rPr>
                    <w:t>按照绩效引领性指标配备门禁和视频监控系统，记录运输车辆电子台账</w:t>
                  </w:r>
                </w:p>
              </w:tc>
              <w:tc>
                <w:tcPr>
                  <w:tcW w:w="1075" w:type="pct"/>
                  <w:tcBorders>
                    <w:tl2br w:val="nil"/>
                    <w:tr2bl w:val="nil"/>
                  </w:tcBorders>
                  <w:vAlign w:val="center"/>
                </w:tcPr>
                <w:p w14:paraId="6BC5CCA0">
                  <w:pPr>
                    <w:spacing w:line="240" w:lineRule="auto"/>
                    <w:ind w:left="0" w:leftChars="0" w:right="0" w:rightChars="0" w:firstLine="0" w:firstLineChars="0"/>
                    <w:jc w:val="center"/>
                    <w:rPr>
                      <w:rFonts w:eastAsia="宋体"/>
                      <w:color w:val="auto"/>
                      <w:szCs w:val="21"/>
                      <w:lang w:eastAsia="zh-CN"/>
                    </w:rPr>
                  </w:pPr>
                  <w:r>
                    <w:rPr>
                      <w:rFonts w:hint="eastAsia"/>
                      <w:color w:val="auto"/>
                      <w:szCs w:val="21"/>
                      <w:lang w:eastAsia="zh-CN"/>
                    </w:rPr>
                    <w:t>15</w:t>
                  </w:r>
                </w:p>
              </w:tc>
            </w:tr>
            <w:tr w14:paraId="499123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24" w:type="pct"/>
                  <w:gridSpan w:val="4"/>
                  <w:tcBorders>
                    <w:tl2br w:val="nil"/>
                    <w:tr2bl w:val="nil"/>
                  </w:tcBorders>
                  <w:vAlign w:val="center"/>
                </w:tcPr>
                <w:p w14:paraId="329FC349">
                  <w:pPr>
                    <w:spacing w:line="240" w:lineRule="auto"/>
                    <w:ind w:left="0" w:leftChars="0" w:right="0" w:rightChars="0" w:firstLine="0" w:firstLineChars="0"/>
                    <w:jc w:val="center"/>
                    <w:rPr>
                      <w:color w:val="auto"/>
                      <w:szCs w:val="21"/>
                    </w:rPr>
                  </w:pPr>
                  <w:r>
                    <w:rPr>
                      <w:color w:val="auto"/>
                      <w:szCs w:val="21"/>
                    </w:rPr>
                    <w:t>合计</w:t>
                  </w:r>
                </w:p>
              </w:tc>
              <w:tc>
                <w:tcPr>
                  <w:tcW w:w="1075" w:type="pct"/>
                  <w:tcBorders>
                    <w:tl2br w:val="nil"/>
                    <w:tr2bl w:val="nil"/>
                  </w:tcBorders>
                  <w:vAlign w:val="center"/>
                </w:tcPr>
                <w:p w14:paraId="194CDF6B">
                  <w:pPr>
                    <w:spacing w:line="240" w:lineRule="auto"/>
                    <w:ind w:left="0" w:leftChars="0" w:right="0" w:rightChars="0" w:firstLine="0" w:firstLineChars="0"/>
                    <w:jc w:val="center"/>
                    <w:rPr>
                      <w:color w:val="auto"/>
                      <w:szCs w:val="21"/>
                      <w:lang w:eastAsia="zh-CN"/>
                    </w:rPr>
                  </w:pPr>
                  <w:r>
                    <w:rPr>
                      <w:rFonts w:hint="eastAsia"/>
                      <w:color w:val="auto"/>
                      <w:szCs w:val="21"/>
                      <w:lang w:eastAsia="zh-CN"/>
                    </w:rPr>
                    <w:t>32</w:t>
                  </w:r>
                </w:p>
              </w:tc>
            </w:tr>
          </w:tbl>
          <w:p w14:paraId="34DEC49B">
            <w:pPr>
              <w:ind w:left="0" w:leftChars="0" w:right="0" w:rightChars="0" w:firstLine="0" w:firstLineChars="0"/>
              <w:jc w:val="both"/>
              <w:rPr>
                <w:color w:val="auto"/>
                <w:lang w:eastAsia="zh-CN"/>
              </w:rPr>
            </w:pPr>
            <w:r>
              <w:rPr>
                <w:rFonts w:hint="eastAsia"/>
                <w:color w:val="auto"/>
                <w:lang w:eastAsia="zh-CN"/>
              </w:rPr>
              <w:t xml:space="preserve"> </w:t>
            </w:r>
          </w:p>
          <w:p w14:paraId="231B5345">
            <w:pPr>
              <w:pStyle w:val="2"/>
              <w:ind w:left="-63" w:firstLine="720"/>
              <w:jc w:val="both"/>
              <w:outlineLvl w:val="1"/>
              <w:rPr>
                <w:color w:val="auto"/>
                <w:lang w:eastAsia="zh-CN"/>
              </w:rPr>
            </w:pPr>
          </w:p>
          <w:p w14:paraId="7E7EAAE3">
            <w:pPr>
              <w:ind w:firstLine="420"/>
              <w:jc w:val="both"/>
              <w:rPr>
                <w:color w:val="auto"/>
                <w:lang w:eastAsia="zh-CN"/>
              </w:rPr>
            </w:pPr>
          </w:p>
          <w:p w14:paraId="15DEE329">
            <w:pPr>
              <w:pStyle w:val="2"/>
              <w:ind w:left="-63" w:firstLine="720"/>
              <w:jc w:val="both"/>
              <w:outlineLvl w:val="1"/>
              <w:rPr>
                <w:color w:val="auto"/>
                <w:lang w:eastAsia="zh-CN"/>
              </w:rPr>
            </w:pPr>
          </w:p>
          <w:p w14:paraId="41A7C1C8">
            <w:pPr>
              <w:ind w:firstLine="420"/>
              <w:jc w:val="both"/>
              <w:rPr>
                <w:color w:val="auto"/>
                <w:lang w:eastAsia="zh-CN"/>
              </w:rPr>
            </w:pPr>
          </w:p>
          <w:p w14:paraId="44295AD8">
            <w:pPr>
              <w:pStyle w:val="2"/>
              <w:jc w:val="both"/>
              <w:rPr>
                <w:color w:val="auto"/>
                <w:lang w:eastAsia="zh-CN"/>
              </w:rPr>
            </w:pPr>
          </w:p>
          <w:p w14:paraId="598E98A5">
            <w:pPr>
              <w:jc w:val="both"/>
              <w:rPr>
                <w:color w:val="auto"/>
                <w:lang w:eastAsia="zh-CN"/>
              </w:rPr>
            </w:pPr>
          </w:p>
          <w:p w14:paraId="2A01759B">
            <w:pPr>
              <w:pStyle w:val="2"/>
              <w:jc w:val="both"/>
              <w:rPr>
                <w:color w:val="auto"/>
                <w:lang w:eastAsia="zh-CN"/>
              </w:rPr>
            </w:pPr>
          </w:p>
          <w:p w14:paraId="06662A74">
            <w:pPr>
              <w:jc w:val="both"/>
              <w:rPr>
                <w:color w:val="auto"/>
                <w:lang w:eastAsia="zh-CN"/>
              </w:rPr>
            </w:pPr>
          </w:p>
          <w:p w14:paraId="1D51166A">
            <w:pPr>
              <w:pStyle w:val="2"/>
              <w:jc w:val="both"/>
              <w:rPr>
                <w:lang w:eastAsia="zh-CN"/>
              </w:rPr>
            </w:pPr>
          </w:p>
          <w:p w14:paraId="0C0C510D">
            <w:pPr>
              <w:pStyle w:val="2"/>
              <w:ind w:left="-63" w:firstLine="720"/>
              <w:jc w:val="both"/>
              <w:outlineLvl w:val="1"/>
              <w:rPr>
                <w:color w:val="auto"/>
                <w:lang w:eastAsia="zh-CN"/>
              </w:rPr>
            </w:pPr>
          </w:p>
          <w:p w14:paraId="2DA46744">
            <w:pPr>
              <w:ind w:firstLine="420"/>
              <w:jc w:val="both"/>
              <w:rPr>
                <w:color w:val="auto"/>
                <w:lang w:eastAsia="zh-CN"/>
              </w:rPr>
            </w:pPr>
          </w:p>
          <w:p w14:paraId="6724E256">
            <w:pPr>
              <w:pStyle w:val="2"/>
              <w:ind w:left="-63" w:firstLine="720"/>
              <w:jc w:val="both"/>
              <w:outlineLvl w:val="1"/>
              <w:rPr>
                <w:color w:val="auto"/>
                <w:lang w:eastAsia="zh-CN"/>
              </w:rPr>
            </w:pPr>
          </w:p>
          <w:p w14:paraId="07E82FA1">
            <w:pPr>
              <w:ind w:firstLine="420"/>
              <w:jc w:val="both"/>
              <w:rPr>
                <w:color w:val="auto"/>
                <w:lang w:eastAsia="zh-CN"/>
              </w:rPr>
            </w:pPr>
          </w:p>
          <w:p w14:paraId="78162396">
            <w:pPr>
              <w:pStyle w:val="2"/>
              <w:ind w:left="-63" w:firstLine="720"/>
              <w:jc w:val="both"/>
              <w:outlineLvl w:val="1"/>
              <w:rPr>
                <w:color w:val="auto"/>
                <w:lang w:eastAsia="zh-CN"/>
              </w:rPr>
            </w:pPr>
          </w:p>
          <w:p w14:paraId="71E4B8C7">
            <w:pPr>
              <w:ind w:firstLine="420"/>
              <w:jc w:val="both"/>
              <w:rPr>
                <w:color w:val="auto"/>
                <w:lang w:eastAsia="zh-CN"/>
              </w:rPr>
            </w:pPr>
          </w:p>
          <w:p w14:paraId="59F363DF">
            <w:pPr>
              <w:pStyle w:val="2"/>
              <w:ind w:left="0" w:leftChars="0" w:firstLine="0" w:firstLineChars="0"/>
              <w:jc w:val="both"/>
              <w:outlineLvl w:val="1"/>
              <w:rPr>
                <w:color w:val="auto"/>
                <w:lang w:eastAsia="zh-CN"/>
              </w:rPr>
            </w:pPr>
          </w:p>
        </w:tc>
      </w:tr>
    </w:tbl>
    <w:p w14:paraId="08D2AFE9">
      <w:pPr>
        <w:spacing w:line="240" w:lineRule="auto"/>
        <w:ind w:firstLine="420"/>
        <w:rPr>
          <w:rFonts w:eastAsia="宋体" w:cs="Times New Roman"/>
          <w:color w:val="auto"/>
          <w:szCs w:val="21"/>
        </w:rPr>
        <w:sectPr>
          <w:pgSz w:w="11910" w:h="16838"/>
          <w:pgMar w:top="1417" w:right="1417" w:bottom="1417" w:left="1417" w:header="720" w:footer="1043" w:gutter="0"/>
          <w:cols w:space="0" w:num="1"/>
        </w:sectPr>
      </w:pPr>
    </w:p>
    <w:p w14:paraId="7FB8A17A">
      <w:pPr>
        <w:pStyle w:val="8"/>
        <w:numPr>
          <w:ilvl w:val="0"/>
          <w:numId w:val="9"/>
        </w:numPr>
        <w:spacing w:line="240" w:lineRule="auto"/>
        <w:ind w:leftChars="0" w:firstLine="0" w:firstLineChars="0"/>
        <w:jc w:val="center"/>
        <w:outlineLvl w:val="0"/>
        <w:rPr>
          <w:rFonts w:ascii="Times New Roman" w:hAnsi="Times New Roman" w:eastAsia="宋体" w:cs="Times New Roman"/>
          <w:b/>
          <w:bCs/>
          <w:color w:val="auto"/>
          <w:lang w:eastAsia="zh-CN"/>
        </w:rPr>
      </w:pPr>
      <w:bookmarkStart w:id="13" w:name="_Toc19779"/>
      <w:r>
        <w:rPr>
          <w:rFonts w:ascii="Times New Roman" w:hAnsi="Times New Roman" w:eastAsia="宋体" w:cs="Times New Roman"/>
          <w:b/>
          <w:bCs/>
          <w:color w:val="auto"/>
          <w:lang w:eastAsia="zh-CN"/>
        </w:rPr>
        <w:t>环境保护措施监督检查清单</w:t>
      </w:r>
      <w:bookmarkEnd w:id="13"/>
    </w:p>
    <w:tbl>
      <w:tblPr>
        <w:tblStyle w:val="26"/>
        <w:tblW w:w="516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358"/>
        <w:gridCol w:w="1744"/>
        <w:gridCol w:w="2133"/>
        <w:gridCol w:w="3205"/>
      </w:tblGrid>
      <w:tr w14:paraId="2FAAC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04" w:type="pct"/>
            <w:tcBorders>
              <w:tl2br w:val="single" w:color="auto" w:sz="4" w:space="0"/>
            </w:tcBorders>
          </w:tcPr>
          <w:p w14:paraId="6CE76485">
            <w:pPr>
              <w:adjustRightInd w:val="0"/>
              <w:snapToGrid w:val="0"/>
              <w:spacing w:line="240" w:lineRule="auto"/>
              <w:ind w:right="0" w:rightChars="0" w:firstLine="420"/>
              <w:jc w:val="right"/>
              <w:rPr>
                <w:rFonts w:eastAsia="宋体" w:cs="Times New Roman"/>
                <w:color w:val="auto"/>
                <w:szCs w:val="21"/>
              </w:rPr>
            </w:pPr>
            <w:r>
              <w:rPr>
                <w:rFonts w:eastAsia="宋体" w:cs="Times New Roman"/>
                <w:color w:val="auto"/>
                <w:szCs w:val="21"/>
              </w:rPr>
              <w:t>内容</w:t>
            </w:r>
          </w:p>
          <w:p w14:paraId="04D0F524">
            <w:pPr>
              <w:adjustRightInd w:val="0"/>
              <w:snapToGrid w:val="0"/>
              <w:spacing w:line="240" w:lineRule="auto"/>
              <w:ind w:left="0" w:leftChars="0" w:right="0" w:rightChars="0" w:firstLine="0" w:firstLineChars="0"/>
              <w:rPr>
                <w:rFonts w:eastAsia="宋体" w:cs="Times New Roman"/>
                <w:color w:val="auto"/>
                <w:szCs w:val="21"/>
              </w:rPr>
            </w:pPr>
          </w:p>
          <w:p w14:paraId="500F19A9">
            <w:pPr>
              <w:adjustRightInd w:val="0"/>
              <w:snapToGrid w:val="0"/>
              <w:spacing w:line="240" w:lineRule="auto"/>
              <w:ind w:left="0" w:leftChars="0" w:right="0" w:rightChars="0" w:firstLine="0" w:firstLineChars="0"/>
              <w:rPr>
                <w:rFonts w:eastAsia="宋体" w:cs="Times New Roman"/>
                <w:color w:val="auto"/>
                <w:szCs w:val="21"/>
              </w:rPr>
            </w:pPr>
            <w:r>
              <w:rPr>
                <w:rFonts w:eastAsia="宋体" w:cs="Times New Roman"/>
                <w:color w:val="auto"/>
                <w:szCs w:val="21"/>
              </w:rPr>
              <w:t>要素</w:t>
            </w:r>
          </w:p>
        </w:tc>
        <w:tc>
          <w:tcPr>
            <w:tcW w:w="707" w:type="pct"/>
            <w:vAlign w:val="center"/>
          </w:tcPr>
          <w:p w14:paraId="0D53C087">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排放口(编号、名称)/污染源</w:t>
            </w:r>
          </w:p>
        </w:tc>
        <w:tc>
          <w:tcPr>
            <w:tcW w:w="908" w:type="pct"/>
            <w:vAlign w:val="center"/>
          </w:tcPr>
          <w:p w14:paraId="4451241B">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污染物项目</w:t>
            </w:r>
          </w:p>
        </w:tc>
        <w:tc>
          <w:tcPr>
            <w:tcW w:w="1111" w:type="pct"/>
            <w:vAlign w:val="center"/>
          </w:tcPr>
          <w:p w14:paraId="441B100C">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环境保护措施</w:t>
            </w:r>
          </w:p>
        </w:tc>
        <w:tc>
          <w:tcPr>
            <w:tcW w:w="1668" w:type="pct"/>
            <w:vAlign w:val="center"/>
          </w:tcPr>
          <w:p w14:paraId="07F7FDDF">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rPr>
              <w:t>执行标准</w:t>
            </w:r>
          </w:p>
        </w:tc>
      </w:tr>
      <w:tr w14:paraId="4CF2B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restart"/>
            <w:vAlign w:val="center"/>
          </w:tcPr>
          <w:p w14:paraId="1BB93224">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大气环境</w:t>
            </w:r>
          </w:p>
        </w:tc>
        <w:tc>
          <w:tcPr>
            <w:tcW w:w="707" w:type="pct"/>
            <w:vAlign w:val="center"/>
          </w:tcPr>
          <w:p w14:paraId="1E1581BE">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切割工序</w:t>
            </w:r>
          </w:p>
        </w:tc>
        <w:tc>
          <w:tcPr>
            <w:tcW w:w="908" w:type="pct"/>
            <w:vAlign w:val="center"/>
          </w:tcPr>
          <w:p w14:paraId="2527E0A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颗粒物</w:t>
            </w:r>
          </w:p>
        </w:tc>
        <w:tc>
          <w:tcPr>
            <w:tcW w:w="1111" w:type="pct"/>
            <w:vAlign w:val="center"/>
          </w:tcPr>
          <w:p w14:paraId="4F3C8A15">
            <w:pPr>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滤筒除尘器</w:t>
            </w:r>
            <w:r>
              <w:rPr>
                <w:rFonts w:hint="eastAsia" w:eastAsia="宋体" w:cs="Times New Roman"/>
                <w:color w:val="auto"/>
                <w:szCs w:val="21"/>
                <w:lang w:eastAsia="zh-CN"/>
              </w:rPr>
              <w:t>+15m高排气筒</w:t>
            </w:r>
          </w:p>
        </w:tc>
        <w:tc>
          <w:tcPr>
            <w:tcW w:w="1668" w:type="pct"/>
            <w:vMerge w:val="restart"/>
            <w:vAlign w:val="center"/>
          </w:tcPr>
          <w:p w14:paraId="2B5523D5">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《大气污染综合排放标准》（GB16297­1996）</w:t>
            </w:r>
            <w:r>
              <w:rPr>
                <w:rFonts w:hint="eastAsia" w:eastAsia="宋体" w:cs="Times New Roman"/>
                <w:color w:val="auto"/>
                <w:szCs w:val="21"/>
                <w:lang w:eastAsia="zh-CN"/>
              </w:rPr>
              <w:t>表2及</w:t>
            </w:r>
            <w:r>
              <w:rPr>
                <w:rFonts w:eastAsia="宋体" w:cs="Times New Roman"/>
                <w:color w:val="auto"/>
                <w:szCs w:val="21"/>
                <w:lang w:eastAsia="zh-CN"/>
              </w:rPr>
              <w:t>无组织排放监控浓度限值</w:t>
            </w:r>
          </w:p>
        </w:tc>
      </w:tr>
      <w:tr w14:paraId="23C8E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178C418C">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Align w:val="center"/>
          </w:tcPr>
          <w:p w14:paraId="2487E343">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焊接工序</w:t>
            </w:r>
          </w:p>
        </w:tc>
        <w:tc>
          <w:tcPr>
            <w:tcW w:w="908" w:type="pct"/>
            <w:vAlign w:val="center"/>
          </w:tcPr>
          <w:p w14:paraId="2761109E">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颗粒物</w:t>
            </w:r>
          </w:p>
        </w:tc>
        <w:tc>
          <w:tcPr>
            <w:tcW w:w="1111" w:type="pct"/>
            <w:vAlign w:val="center"/>
          </w:tcPr>
          <w:p w14:paraId="07EDBAF4">
            <w:pPr>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滤筒式烟尘净化器</w:t>
            </w:r>
          </w:p>
        </w:tc>
        <w:tc>
          <w:tcPr>
            <w:tcW w:w="1668" w:type="pct"/>
            <w:vMerge w:val="continue"/>
            <w:vAlign w:val="center"/>
          </w:tcPr>
          <w:p w14:paraId="572AB248">
            <w:pPr>
              <w:adjustRightInd w:val="0"/>
              <w:snapToGrid w:val="0"/>
              <w:spacing w:line="240" w:lineRule="auto"/>
              <w:ind w:left="0" w:leftChars="0" w:right="0" w:rightChars="0" w:firstLine="0" w:firstLineChars="0"/>
              <w:rPr>
                <w:rFonts w:eastAsia="宋体" w:cs="Times New Roman"/>
                <w:color w:val="auto"/>
                <w:szCs w:val="21"/>
                <w:lang w:eastAsia="zh-CN"/>
              </w:rPr>
            </w:pPr>
          </w:p>
        </w:tc>
      </w:tr>
      <w:tr w14:paraId="2B287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41D61D26">
            <w:pPr>
              <w:adjustRightInd w:val="0"/>
              <w:snapToGrid w:val="0"/>
              <w:spacing w:line="240" w:lineRule="auto"/>
              <w:ind w:left="0" w:leftChars="0" w:right="0" w:rightChars="0" w:firstLine="0" w:firstLineChars="0"/>
              <w:jc w:val="center"/>
              <w:rPr>
                <w:rFonts w:eastAsia="宋体" w:cs="Times New Roman"/>
                <w:color w:val="auto"/>
                <w:szCs w:val="21"/>
              </w:rPr>
            </w:pPr>
          </w:p>
        </w:tc>
        <w:tc>
          <w:tcPr>
            <w:tcW w:w="707" w:type="pct"/>
            <w:vAlign w:val="center"/>
          </w:tcPr>
          <w:p w14:paraId="7C44DE2E">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喷涂</w:t>
            </w:r>
          </w:p>
        </w:tc>
        <w:tc>
          <w:tcPr>
            <w:tcW w:w="908" w:type="pct"/>
            <w:vAlign w:val="center"/>
          </w:tcPr>
          <w:p w14:paraId="2F6997ED">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颗粒物</w:t>
            </w:r>
          </w:p>
        </w:tc>
        <w:tc>
          <w:tcPr>
            <w:tcW w:w="1111" w:type="pct"/>
            <w:vAlign w:val="center"/>
          </w:tcPr>
          <w:p w14:paraId="1B27D958">
            <w:pPr>
              <w:snapToGrid w:val="0"/>
              <w:spacing w:line="240" w:lineRule="auto"/>
              <w:ind w:left="0" w:leftChars="0" w:right="0" w:rightChars="0" w:firstLine="0" w:firstLineChars="0"/>
              <w:jc w:val="center"/>
              <w:rPr>
                <w:rFonts w:eastAsia="宋体" w:cs="Times New Roman"/>
                <w:bCs/>
                <w:color w:val="0000FF"/>
                <w:kern w:val="2"/>
                <w:szCs w:val="21"/>
                <w:lang w:eastAsia="zh-CN"/>
              </w:rPr>
            </w:pPr>
            <w:r>
              <w:rPr>
                <w:rFonts w:eastAsia="宋体" w:cs="Times New Roman"/>
                <w:bCs/>
                <w:color w:val="0000FF"/>
                <w:kern w:val="2"/>
                <w:szCs w:val="21"/>
                <w:lang w:eastAsia="zh-CN"/>
              </w:rPr>
              <w:t>旋风回收装置+</w:t>
            </w:r>
          </w:p>
          <w:p w14:paraId="76BC0BF3">
            <w:pPr>
              <w:snapToGrid w:val="0"/>
              <w:spacing w:line="240" w:lineRule="auto"/>
              <w:ind w:left="0" w:leftChars="0" w:right="0" w:rightChars="0" w:firstLine="0" w:firstLineChars="0"/>
              <w:jc w:val="center"/>
              <w:rPr>
                <w:rFonts w:cs="Times New Roman"/>
                <w:color w:val="auto"/>
                <w:szCs w:val="21"/>
                <w:lang w:eastAsia="zh-CN"/>
              </w:rPr>
            </w:pPr>
            <w:r>
              <w:rPr>
                <w:rFonts w:hint="eastAsia" w:eastAsia="宋体" w:cs="Times New Roman"/>
                <w:bCs/>
                <w:color w:val="0000FF"/>
                <w:kern w:val="2"/>
                <w:szCs w:val="21"/>
                <w:lang w:eastAsia="zh-CN"/>
              </w:rPr>
              <w:t>脉冲布袋除尘器</w:t>
            </w:r>
            <w:r>
              <w:rPr>
                <w:rFonts w:hint="eastAsia" w:eastAsia="宋体" w:cs="Times New Roman"/>
                <w:color w:val="auto"/>
                <w:szCs w:val="21"/>
                <w:lang w:eastAsia="zh-CN"/>
              </w:rPr>
              <w:t>+15m高排气筒</w:t>
            </w:r>
          </w:p>
        </w:tc>
        <w:tc>
          <w:tcPr>
            <w:tcW w:w="1668" w:type="pct"/>
            <w:vMerge w:val="continue"/>
            <w:vAlign w:val="center"/>
          </w:tcPr>
          <w:p w14:paraId="1B6043D2">
            <w:pPr>
              <w:adjustRightInd w:val="0"/>
              <w:snapToGrid w:val="0"/>
              <w:spacing w:line="240" w:lineRule="auto"/>
              <w:ind w:left="0" w:leftChars="0" w:right="0" w:rightChars="0" w:firstLine="0" w:firstLineChars="0"/>
              <w:rPr>
                <w:rFonts w:eastAsia="宋体" w:cs="Times New Roman"/>
                <w:color w:val="auto"/>
                <w:szCs w:val="21"/>
                <w:lang w:eastAsia="zh-CN"/>
              </w:rPr>
            </w:pPr>
          </w:p>
        </w:tc>
      </w:tr>
      <w:tr w14:paraId="1F339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48344BF3">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Align w:val="center"/>
          </w:tcPr>
          <w:p w14:paraId="17BD57A9">
            <w:pPr>
              <w:adjustRightInd w:val="0"/>
              <w:snapToGrid w:val="0"/>
              <w:spacing w:line="240" w:lineRule="auto"/>
              <w:ind w:left="0" w:leftChars="0" w:right="0" w:rightChars="0" w:firstLine="0" w:firstLineChars="0"/>
              <w:jc w:val="center"/>
              <w:rPr>
                <w:color w:val="auto"/>
                <w:lang w:eastAsia="zh-CN"/>
              </w:rPr>
            </w:pPr>
            <w:r>
              <w:rPr>
                <w:rFonts w:hint="eastAsia" w:eastAsia="宋体" w:cs="Times New Roman"/>
                <w:color w:val="auto"/>
                <w:szCs w:val="21"/>
                <w:lang w:eastAsia="zh-CN"/>
              </w:rPr>
              <w:t>固化、题字</w:t>
            </w:r>
          </w:p>
        </w:tc>
        <w:tc>
          <w:tcPr>
            <w:tcW w:w="908" w:type="pct"/>
            <w:vAlign w:val="center"/>
          </w:tcPr>
          <w:p w14:paraId="71D7CA4B">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非甲烷总烃</w:t>
            </w:r>
          </w:p>
        </w:tc>
        <w:tc>
          <w:tcPr>
            <w:tcW w:w="1111" w:type="pct"/>
            <w:vAlign w:val="center"/>
          </w:tcPr>
          <w:p w14:paraId="13FCD8F3">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kern w:val="2"/>
                <w:szCs w:val="21"/>
                <w:lang w:eastAsia="zh-CN"/>
              </w:rPr>
              <w:t>二级活性炭吸附</w:t>
            </w:r>
            <w:r>
              <w:rPr>
                <w:rFonts w:hint="eastAsia" w:eastAsia="宋体" w:cs="Times New Roman"/>
                <w:color w:val="auto"/>
                <w:szCs w:val="21"/>
                <w:lang w:eastAsia="zh-CN"/>
              </w:rPr>
              <w:t>+15m高排气筒</w:t>
            </w:r>
          </w:p>
        </w:tc>
        <w:tc>
          <w:tcPr>
            <w:tcW w:w="1668" w:type="pct"/>
            <w:vAlign w:val="center"/>
          </w:tcPr>
          <w:p w14:paraId="540A4064">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cs="Times New Roman"/>
                <w:color w:val="auto"/>
                <w:szCs w:val="21"/>
                <w:lang w:eastAsia="zh-CN"/>
              </w:rPr>
              <w:t>《挥发性有机物排放控制标准》（DB61/T1061-2017）</w:t>
            </w:r>
            <w:r>
              <w:rPr>
                <w:rFonts w:hint="eastAsia" w:cs="Times New Roman"/>
                <w:color w:val="auto"/>
                <w:szCs w:val="21"/>
                <w:lang w:eastAsia="zh-CN"/>
              </w:rPr>
              <w:t>、</w:t>
            </w:r>
            <w:r>
              <w:rPr>
                <w:rFonts w:eastAsia="宋体" w:cs="Times New Roman"/>
                <w:color w:val="auto"/>
                <w:kern w:val="2"/>
                <w:szCs w:val="21"/>
                <w:lang w:eastAsia="zh-CN"/>
              </w:rPr>
              <w:t>《挥发性有机物无组织排放控制标准》（GB37822-2019）</w:t>
            </w:r>
          </w:p>
        </w:tc>
      </w:tr>
      <w:tr w14:paraId="655DC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45CBDBF9">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Merge w:val="restart"/>
            <w:vAlign w:val="center"/>
          </w:tcPr>
          <w:p w14:paraId="460112B8">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燃烧机</w:t>
            </w:r>
          </w:p>
        </w:tc>
        <w:tc>
          <w:tcPr>
            <w:tcW w:w="908" w:type="pct"/>
            <w:vAlign w:val="center"/>
          </w:tcPr>
          <w:p w14:paraId="454AD502">
            <w:pPr>
              <w:widowControl/>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bidi="ar"/>
              </w:rPr>
              <w:t>颗粒物</w:t>
            </w:r>
          </w:p>
        </w:tc>
        <w:tc>
          <w:tcPr>
            <w:tcW w:w="1111" w:type="pct"/>
            <w:vMerge w:val="restart"/>
            <w:vAlign w:val="center"/>
          </w:tcPr>
          <w:p w14:paraId="38C13962">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15m高排气筒</w:t>
            </w:r>
          </w:p>
        </w:tc>
        <w:tc>
          <w:tcPr>
            <w:tcW w:w="1668" w:type="pct"/>
            <w:vMerge w:val="restart"/>
            <w:vAlign w:val="center"/>
          </w:tcPr>
          <w:p w14:paraId="20D193DC">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bidi="ar"/>
              </w:rPr>
              <w:t>《工业炉窑大气污染综合治理方案》（环大气[2019]56号）重点地区标准限值</w:t>
            </w:r>
          </w:p>
        </w:tc>
      </w:tr>
      <w:tr w14:paraId="403D2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618C1F98">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Merge w:val="continue"/>
            <w:vAlign w:val="center"/>
          </w:tcPr>
          <w:p w14:paraId="2B373CE9">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908" w:type="pct"/>
            <w:vAlign w:val="center"/>
          </w:tcPr>
          <w:p w14:paraId="3AF6DC8B">
            <w:pPr>
              <w:widowControl/>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bidi="ar"/>
              </w:rPr>
              <w:t>SO</w:t>
            </w:r>
            <w:r>
              <w:rPr>
                <w:rFonts w:eastAsia="宋体" w:cs="Times New Roman"/>
                <w:color w:val="auto"/>
                <w:szCs w:val="21"/>
                <w:vertAlign w:val="subscript"/>
                <w:lang w:eastAsia="zh-CN" w:bidi="ar"/>
              </w:rPr>
              <w:t>2</w:t>
            </w:r>
          </w:p>
        </w:tc>
        <w:tc>
          <w:tcPr>
            <w:tcW w:w="1111" w:type="pct"/>
            <w:vMerge w:val="continue"/>
            <w:vAlign w:val="center"/>
          </w:tcPr>
          <w:p w14:paraId="2024190F">
            <w:pPr>
              <w:adjustRightInd w:val="0"/>
              <w:snapToGrid w:val="0"/>
              <w:spacing w:line="240" w:lineRule="auto"/>
              <w:ind w:left="0" w:leftChars="0" w:right="0" w:rightChars="0" w:firstLine="0" w:firstLineChars="0"/>
              <w:rPr>
                <w:rFonts w:eastAsia="宋体" w:cs="Times New Roman"/>
                <w:color w:val="auto"/>
                <w:szCs w:val="21"/>
                <w:lang w:eastAsia="zh-CN"/>
              </w:rPr>
            </w:pPr>
          </w:p>
        </w:tc>
        <w:tc>
          <w:tcPr>
            <w:tcW w:w="1668" w:type="pct"/>
            <w:vMerge w:val="continue"/>
            <w:vAlign w:val="center"/>
          </w:tcPr>
          <w:p w14:paraId="475C96CE">
            <w:pPr>
              <w:adjustRightInd w:val="0"/>
              <w:snapToGrid w:val="0"/>
              <w:spacing w:line="240" w:lineRule="auto"/>
              <w:ind w:left="0" w:leftChars="0" w:right="0" w:rightChars="0" w:firstLine="0" w:firstLineChars="0"/>
              <w:rPr>
                <w:rFonts w:eastAsia="宋体" w:cs="Times New Roman"/>
                <w:color w:val="auto"/>
                <w:szCs w:val="21"/>
                <w:lang w:eastAsia="zh-CN"/>
              </w:rPr>
            </w:pPr>
          </w:p>
        </w:tc>
      </w:tr>
      <w:tr w14:paraId="253BC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5DF3B822">
            <w:pPr>
              <w:adjustRightInd w:val="0"/>
              <w:snapToGrid w:val="0"/>
              <w:spacing w:line="240" w:lineRule="auto"/>
              <w:ind w:left="0" w:leftChars="0" w:right="0" w:rightChars="0" w:firstLine="0" w:firstLineChars="0"/>
              <w:jc w:val="center"/>
              <w:rPr>
                <w:rFonts w:eastAsia="宋体" w:cs="Times New Roman"/>
                <w:color w:val="auto"/>
                <w:szCs w:val="21"/>
              </w:rPr>
            </w:pPr>
          </w:p>
        </w:tc>
        <w:tc>
          <w:tcPr>
            <w:tcW w:w="707" w:type="pct"/>
            <w:vMerge w:val="continue"/>
            <w:vAlign w:val="center"/>
          </w:tcPr>
          <w:p w14:paraId="5D404B8F">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908" w:type="pct"/>
            <w:vAlign w:val="center"/>
          </w:tcPr>
          <w:p w14:paraId="5AC7EB75">
            <w:pPr>
              <w:widowControl/>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bidi="ar"/>
              </w:rPr>
              <w:t>NO</w:t>
            </w:r>
            <w:r>
              <w:rPr>
                <w:rFonts w:eastAsia="宋体" w:cs="Times New Roman"/>
                <w:color w:val="auto"/>
                <w:szCs w:val="21"/>
                <w:vertAlign w:val="subscript"/>
                <w:lang w:eastAsia="zh-CN" w:bidi="ar"/>
              </w:rPr>
              <w:t>X</w:t>
            </w:r>
          </w:p>
        </w:tc>
        <w:tc>
          <w:tcPr>
            <w:tcW w:w="1111" w:type="pct"/>
            <w:vMerge w:val="continue"/>
            <w:vAlign w:val="center"/>
          </w:tcPr>
          <w:p w14:paraId="5C3CB73E">
            <w:pPr>
              <w:adjustRightInd w:val="0"/>
              <w:snapToGrid w:val="0"/>
              <w:spacing w:line="240" w:lineRule="auto"/>
              <w:ind w:left="0" w:leftChars="0" w:right="0" w:rightChars="0" w:firstLine="0" w:firstLineChars="0"/>
              <w:rPr>
                <w:rFonts w:eastAsia="宋体" w:cs="Times New Roman"/>
                <w:color w:val="auto"/>
                <w:szCs w:val="21"/>
                <w:lang w:eastAsia="zh-CN"/>
              </w:rPr>
            </w:pPr>
          </w:p>
        </w:tc>
        <w:tc>
          <w:tcPr>
            <w:tcW w:w="1668" w:type="pct"/>
            <w:vMerge w:val="continue"/>
            <w:vAlign w:val="center"/>
          </w:tcPr>
          <w:p w14:paraId="71B840FC">
            <w:pPr>
              <w:adjustRightInd w:val="0"/>
              <w:snapToGrid w:val="0"/>
              <w:spacing w:line="240" w:lineRule="auto"/>
              <w:ind w:left="0" w:leftChars="0" w:right="0" w:rightChars="0" w:firstLine="0" w:firstLineChars="0"/>
              <w:rPr>
                <w:rFonts w:eastAsia="宋体" w:cs="Times New Roman"/>
                <w:color w:val="auto"/>
                <w:szCs w:val="21"/>
                <w:lang w:eastAsia="zh-CN"/>
              </w:rPr>
            </w:pPr>
          </w:p>
        </w:tc>
      </w:tr>
      <w:tr w14:paraId="58F99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04E5AC1A">
            <w:pPr>
              <w:adjustRightInd w:val="0"/>
              <w:snapToGrid w:val="0"/>
              <w:spacing w:line="240" w:lineRule="auto"/>
              <w:ind w:left="0" w:leftChars="0" w:right="0" w:rightChars="0" w:firstLine="0" w:firstLineChars="0"/>
              <w:jc w:val="center"/>
              <w:rPr>
                <w:rFonts w:eastAsia="宋体" w:cs="Times New Roman"/>
                <w:color w:val="auto"/>
                <w:szCs w:val="21"/>
              </w:rPr>
            </w:pPr>
          </w:p>
        </w:tc>
        <w:tc>
          <w:tcPr>
            <w:tcW w:w="707" w:type="pct"/>
            <w:vAlign w:val="center"/>
          </w:tcPr>
          <w:p w14:paraId="3168582C">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食堂油烟</w:t>
            </w:r>
          </w:p>
        </w:tc>
        <w:tc>
          <w:tcPr>
            <w:tcW w:w="908" w:type="pct"/>
            <w:vAlign w:val="center"/>
          </w:tcPr>
          <w:p w14:paraId="49507CFB">
            <w:pPr>
              <w:spacing w:line="240" w:lineRule="auto"/>
              <w:ind w:firstLine="0" w:firstLineChars="0"/>
              <w:jc w:val="center"/>
              <w:rPr>
                <w:rFonts w:eastAsia="宋体" w:cs="Times New Roman"/>
                <w:color w:val="auto"/>
                <w:szCs w:val="21"/>
                <w:lang w:eastAsia="zh-CN"/>
              </w:rPr>
            </w:pPr>
            <w:r>
              <w:rPr>
                <w:rFonts w:hint="eastAsia" w:eastAsia="宋体" w:cs="Times New Roman"/>
                <w:color w:val="auto"/>
                <w:szCs w:val="21"/>
                <w:lang w:eastAsia="zh-CN"/>
              </w:rPr>
              <w:t>油烟</w:t>
            </w:r>
          </w:p>
        </w:tc>
        <w:tc>
          <w:tcPr>
            <w:tcW w:w="1111" w:type="pct"/>
            <w:vAlign w:val="center"/>
          </w:tcPr>
          <w:p w14:paraId="0F53E05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油烟净化器</w:t>
            </w:r>
          </w:p>
        </w:tc>
        <w:tc>
          <w:tcPr>
            <w:tcW w:w="1668" w:type="pct"/>
            <w:vAlign w:val="center"/>
          </w:tcPr>
          <w:p w14:paraId="0DAC4CA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《饮食业油烟排放标准（试行）》（GB 18483-2001）表2</w:t>
            </w:r>
          </w:p>
        </w:tc>
      </w:tr>
      <w:tr w14:paraId="27D05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Align w:val="center"/>
          </w:tcPr>
          <w:p w14:paraId="2959DA5D">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水污染物</w:t>
            </w:r>
          </w:p>
        </w:tc>
        <w:tc>
          <w:tcPr>
            <w:tcW w:w="707" w:type="pct"/>
            <w:vAlign w:val="center"/>
          </w:tcPr>
          <w:p w14:paraId="1C443DC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生活污水</w:t>
            </w:r>
          </w:p>
        </w:tc>
        <w:tc>
          <w:tcPr>
            <w:tcW w:w="908" w:type="pct"/>
            <w:vAlign w:val="center"/>
          </w:tcPr>
          <w:p w14:paraId="486E4154">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COD、BOD</w:t>
            </w:r>
            <w:r>
              <w:rPr>
                <w:rFonts w:eastAsia="宋体" w:cs="Times New Roman"/>
                <w:color w:val="auto"/>
                <w:szCs w:val="21"/>
                <w:vertAlign w:val="subscript"/>
                <w:lang w:eastAsia="zh-CN"/>
              </w:rPr>
              <w:t>5</w:t>
            </w:r>
            <w:r>
              <w:rPr>
                <w:rFonts w:eastAsia="宋体" w:cs="Times New Roman"/>
                <w:color w:val="auto"/>
                <w:szCs w:val="21"/>
                <w:lang w:eastAsia="zh-CN"/>
              </w:rPr>
              <w:t>、氨氮、SS、</w:t>
            </w:r>
            <w:r>
              <w:rPr>
                <w:rFonts w:hint="eastAsia" w:eastAsia="宋体" w:cs="Times New Roman"/>
                <w:color w:val="auto"/>
                <w:szCs w:val="21"/>
                <w:lang w:eastAsia="zh-CN"/>
              </w:rPr>
              <w:t>TN</w:t>
            </w:r>
            <w:r>
              <w:rPr>
                <w:rFonts w:eastAsia="宋体" w:cs="Times New Roman"/>
                <w:color w:val="auto"/>
                <w:szCs w:val="21"/>
                <w:lang w:eastAsia="zh-CN"/>
              </w:rPr>
              <w:t>、</w:t>
            </w:r>
            <w:r>
              <w:rPr>
                <w:rFonts w:hint="eastAsia" w:eastAsia="宋体" w:cs="Times New Roman"/>
                <w:color w:val="auto"/>
                <w:szCs w:val="21"/>
                <w:lang w:eastAsia="zh-CN"/>
              </w:rPr>
              <w:t>TP</w:t>
            </w:r>
          </w:p>
        </w:tc>
        <w:tc>
          <w:tcPr>
            <w:tcW w:w="1111" w:type="pct"/>
            <w:vAlign w:val="center"/>
          </w:tcPr>
          <w:p w14:paraId="2DF0E77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1座化粪池（</w:t>
            </w:r>
            <w:r>
              <w:rPr>
                <w:rFonts w:hint="eastAsia" w:eastAsia="宋体" w:cs="Times New Roman"/>
                <w:color w:val="auto"/>
                <w:szCs w:val="21"/>
                <w:lang w:eastAsia="zh-CN"/>
              </w:rPr>
              <w:t>2</w:t>
            </w:r>
            <w:r>
              <w:rPr>
                <w:rFonts w:eastAsia="宋体" w:cs="Times New Roman"/>
                <w:color w:val="auto"/>
                <w:szCs w:val="21"/>
                <w:lang w:eastAsia="zh-CN"/>
              </w:rPr>
              <w:t>0m</w:t>
            </w:r>
            <w:r>
              <w:rPr>
                <w:rFonts w:eastAsia="宋体" w:cs="Times New Roman"/>
                <w:color w:val="auto"/>
                <w:szCs w:val="21"/>
                <w:vertAlign w:val="superscript"/>
                <w:lang w:eastAsia="zh-CN"/>
              </w:rPr>
              <w:t>3</w:t>
            </w:r>
            <w:r>
              <w:rPr>
                <w:rFonts w:eastAsia="宋体" w:cs="Times New Roman"/>
                <w:color w:val="auto"/>
                <w:szCs w:val="21"/>
                <w:lang w:eastAsia="zh-CN"/>
              </w:rPr>
              <w:t>）</w:t>
            </w:r>
          </w:p>
        </w:tc>
        <w:tc>
          <w:tcPr>
            <w:tcW w:w="1668" w:type="pct"/>
            <w:vAlign w:val="center"/>
          </w:tcPr>
          <w:p w14:paraId="4DCFFCCF">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val="zh-CN" w:eastAsia="zh-CN"/>
              </w:rPr>
              <w:t>《污水排入城镇下水道水质标准》（GB/T31962-2015）B等级标准和《污水综合排放标准》（GB8978-1996）三级标准</w:t>
            </w:r>
          </w:p>
        </w:tc>
      </w:tr>
      <w:tr w14:paraId="2AD1B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Align w:val="center"/>
          </w:tcPr>
          <w:p w14:paraId="39FD4B1E">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声环境</w:t>
            </w:r>
          </w:p>
        </w:tc>
        <w:tc>
          <w:tcPr>
            <w:tcW w:w="707" w:type="pct"/>
            <w:vAlign w:val="center"/>
          </w:tcPr>
          <w:p w14:paraId="0C3EA802">
            <w:pPr>
              <w:adjustRightInd w:val="0"/>
              <w:snapToGrid w:val="0"/>
              <w:spacing w:line="240" w:lineRule="auto"/>
              <w:ind w:left="0" w:leftChars="0" w:right="0" w:rightChars="0" w:firstLine="0" w:firstLineChars="0"/>
              <w:jc w:val="center"/>
              <w:rPr>
                <w:rFonts w:eastAsia="宋体" w:cs="Times New Roman"/>
                <w:color w:val="auto"/>
                <w:szCs w:val="21"/>
              </w:rPr>
            </w:pPr>
            <w:r>
              <w:rPr>
                <w:rFonts w:eastAsia="宋体" w:cs="Times New Roman"/>
                <w:color w:val="auto"/>
                <w:szCs w:val="21"/>
                <w:lang w:eastAsia="zh-CN"/>
              </w:rPr>
              <w:t>生产设备</w:t>
            </w:r>
          </w:p>
        </w:tc>
        <w:tc>
          <w:tcPr>
            <w:tcW w:w="908" w:type="pct"/>
            <w:vAlign w:val="center"/>
          </w:tcPr>
          <w:p w14:paraId="341B170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等效A声级</w:t>
            </w:r>
          </w:p>
        </w:tc>
        <w:tc>
          <w:tcPr>
            <w:tcW w:w="1111" w:type="pct"/>
            <w:vAlign w:val="center"/>
          </w:tcPr>
          <w:p w14:paraId="4D1E45DB">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选用低噪声设备、基础减振、厂房隔声等</w:t>
            </w:r>
          </w:p>
        </w:tc>
        <w:tc>
          <w:tcPr>
            <w:tcW w:w="1668" w:type="pct"/>
            <w:vAlign w:val="center"/>
          </w:tcPr>
          <w:p w14:paraId="01E4F1E2">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《工业企业厂界环境噪声排放标准》（GB12348-2008）中3类标准</w:t>
            </w:r>
          </w:p>
        </w:tc>
      </w:tr>
      <w:tr w14:paraId="24F79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Align w:val="center"/>
          </w:tcPr>
          <w:p w14:paraId="7D4C258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电磁辐射</w:t>
            </w:r>
          </w:p>
        </w:tc>
        <w:tc>
          <w:tcPr>
            <w:tcW w:w="707" w:type="pct"/>
            <w:vAlign w:val="center"/>
          </w:tcPr>
          <w:p w14:paraId="2B5677B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908" w:type="pct"/>
            <w:vAlign w:val="center"/>
          </w:tcPr>
          <w:p w14:paraId="0018C438">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111" w:type="pct"/>
            <w:vAlign w:val="center"/>
          </w:tcPr>
          <w:p w14:paraId="3660A295">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668" w:type="pct"/>
            <w:vAlign w:val="center"/>
          </w:tcPr>
          <w:p w14:paraId="35FBC334">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r>
      <w:tr w14:paraId="70D59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restart"/>
            <w:vAlign w:val="center"/>
          </w:tcPr>
          <w:p w14:paraId="0CCECF5B">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固体废物</w:t>
            </w:r>
          </w:p>
        </w:tc>
        <w:tc>
          <w:tcPr>
            <w:tcW w:w="707" w:type="pct"/>
            <w:vAlign w:val="center"/>
          </w:tcPr>
          <w:p w14:paraId="2D7821E2">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机加</w:t>
            </w:r>
          </w:p>
        </w:tc>
        <w:tc>
          <w:tcPr>
            <w:tcW w:w="908" w:type="pct"/>
            <w:vAlign w:val="center"/>
          </w:tcPr>
          <w:p w14:paraId="7F2B8683">
            <w:pPr>
              <w:adjustRightInd w:val="0"/>
              <w:snapToGrid w:val="0"/>
              <w:spacing w:line="240" w:lineRule="auto"/>
              <w:ind w:left="0" w:leftChars="0" w:right="0" w:rightChars="0" w:firstLine="0" w:firstLineChars="0"/>
              <w:jc w:val="center"/>
              <w:rPr>
                <w:rFonts w:cs="Times New Roman"/>
                <w:color w:val="auto"/>
                <w:szCs w:val="21"/>
                <w:lang w:val="zh-CN" w:eastAsia="zh-CN"/>
              </w:rPr>
            </w:pPr>
            <w:r>
              <w:rPr>
                <w:rFonts w:hint="eastAsia" w:cs="Times New Roman"/>
                <w:snapToGrid w:val="0"/>
                <w:color w:val="auto"/>
                <w:szCs w:val="21"/>
                <w:lang w:eastAsia="zh-CN"/>
              </w:rPr>
              <w:t>废边角料</w:t>
            </w:r>
          </w:p>
        </w:tc>
        <w:tc>
          <w:tcPr>
            <w:tcW w:w="1111" w:type="pct"/>
            <w:vMerge w:val="restart"/>
            <w:vAlign w:val="center"/>
          </w:tcPr>
          <w:p w14:paraId="31DBF4F5">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废木料、废包装</w:t>
            </w:r>
            <w:r>
              <w:rPr>
                <w:rFonts w:cs="Times New Roman"/>
                <w:color w:val="auto"/>
                <w:szCs w:val="21"/>
                <w:lang w:eastAsia="zh-CN"/>
              </w:rPr>
              <w:t>分类收集，存储于一般固废暂存间，外售处理</w:t>
            </w:r>
          </w:p>
        </w:tc>
        <w:tc>
          <w:tcPr>
            <w:tcW w:w="1668" w:type="pct"/>
            <w:vMerge w:val="restart"/>
            <w:vAlign w:val="center"/>
          </w:tcPr>
          <w:p w14:paraId="539B029F">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《工业固体废物贮存和填埋污染控制标准》（GB18599-2020）中相关规定</w:t>
            </w:r>
          </w:p>
        </w:tc>
      </w:tr>
      <w:tr w14:paraId="59F51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6F654C76">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Align w:val="center"/>
          </w:tcPr>
          <w:p w14:paraId="4ADF4858">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焊接</w:t>
            </w:r>
          </w:p>
        </w:tc>
        <w:tc>
          <w:tcPr>
            <w:tcW w:w="908" w:type="pct"/>
            <w:vAlign w:val="center"/>
          </w:tcPr>
          <w:p w14:paraId="57A07A08">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焊接废料</w:t>
            </w:r>
          </w:p>
        </w:tc>
        <w:tc>
          <w:tcPr>
            <w:tcW w:w="1111" w:type="pct"/>
            <w:vMerge w:val="continue"/>
            <w:vAlign w:val="center"/>
          </w:tcPr>
          <w:p w14:paraId="4DFC6AA0">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1668" w:type="pct"/>
            <w:vMerge w:val="continue"/>
            <w:vAlign w:val="center"/>
          </w:tcPr>
          <w:p w14:paraId="6DDF1643">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r>
      <w:tr w14:paraId="5C085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7E9A87EF">
            <w:pPr>
              <w:adjustRightInd w:val="0"/>
              <w:snapToGrid w:val="0"/>
              <w:spacing w:line="240" w:lineRule="auto"/>
              <w:ind w:left="0" w:leftChars="0" w:right="0" w:rightChars="0" w:firstLine="0" w:firstLineChars="0"/>
              <w:jc w:val="center"/>
              <w:rPr>
                <w:rFonts w:eastAsia="宋体" w:cs="Times New Roman"/>
                <w:color w:val="auto"/>
                <w:szCs w:val="21"/>
                <w:lang w:eastAsia="zh-CN"/>
              </w:rPr>
            </w:pPr>
          </w:p>
          <w:p w14:paraId="6F211359">
            <w:pPr>
              <w:pStyle w:val="25"/>
              <w:rPr>
                <w:color w:val="auto"/>
                <w:lang w:eastAsia="zh-CN"/>
              </w:rPr>
            </w:pPr>
          </w:p>
        </w:tc>
        <w:tc>
          <w:tcPr>
            <w:tcW w:w="707" w:type="pct"/>
            <w:vAlign w:val="center"/>
          </w:tcPr>
          <w:p w14:paraId="47739C1F">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机加</w:t>
            </w:r>
          </w:p>
        </w:tc>
        <w:tc>
          <w:tcPr>
            <w:tcW w:w="908" w:type="pct"/>
            <w:vAlign w:val="center"/>
          </w:tcPr>
          <w:p w14:paraId="704490F7">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除尘器收集粉尘</w:t>
            </w:r>
          </w:p>
        </w:tc>
        <w:tc>
          <w:tcPr>
            <w:tcW w:w="1111" w:type="pct"/>
            <w:vMerge w:val="continue"/>
            <w:vAlign w:val="center"/>
          </w:tcPr>
          <w:p w14:paraId="6C269D87">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1668" w:type="pct"/>
            <w:vMerge w:val="continue"/>
            <w:vAlign w:val="center"/>
          </w:tcPr>
          <w:p w14:paraId="56AAF40C">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r>
      <w:tr w14:paraId="6D23C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08569DE0">
            <w:pPr>
              <w:pStyle w:val="25"/>
              <w:rPr>
                <w:color w:val="auto"/>
                <w:lang w:eastAsia="zh-CN"/>
              </w:rPr>
            </w:pPr>
          </w:p>
        </w:tc>
        <w:tc>
          <w:tcPr>
            <w:tcW w:w="707" w:type="pct"/>
            <w:vAlign w:val="center"/>
          </w:tcPr>
          <w:p w14:paraId="234A9EB7">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废气治理</w:t>
            </w:r>
          </w:p>
        </w:tc>
        <w:tc>
          <w:tcPr>
            <w:tcW w:w="908" w:type="pct"/>
            <w:vAlign w:val="center"/>
          </w:tcPr>
          <w:p w14:paraId="13B6DD04">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废滤芯</w:t>
            </w:r>
          </w:p>
        </w:tc>
        <w:tc>
          <w:tcPr>
            <w:tcW w:w="1111" w:type="pct"/>
            <w:vMerge w:val="continue"/>
            <w:vAlign w:val="center"/>
          </w:tcPr>
          <w:p w14:paraId="72B39008">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1668" w:type="pct"/>
            <w:vMerge w:val="continue"/>
            <w:vAlign w:val="center"/>
          </w:tcPr>
          <w:p w14:paraId="08F7D16B">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r>
      <w:tr w14:paraId="1CDEC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6750A652">
            <w:pPr>
              <w:pStyle w:val="25"/>
              <w:rPr>
                <w:color w:val="auto"/>
                <w:lang w:eastAsia="zh-CN"/>
              </w:rPr>
            </w:pPr>
          </w:p>
        </w:tc>
        <w:tc>
          <w:tcPr>
            <w:tcW w:w="707" w:type="pct"/>
            <w:vAlign w:val="center"/>
          </w:tcPr>
          <w:p w14:paraId="284EE95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车间</w:t>
            </w:r>
          </w:p>
        </w:tc>
        <w:tc>
          <w:tcPr>
            <w:tcW w:w="908" w:type="pct"/>
            <w:vAlign w:val="center"/>
          </w:tcPr>
          <w:p w14:paraId="6347801A">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废包装</w:t>
            </w:r>
          </w:p>
        </w:tc>
        <w:tc>
          <w:tcPr>
            <w:tcW w:w="1111" w:type="pct"/>
            <w:vMerge w:val="continue"/>
            <w:vAlign w:val="center"/>
          </w:tcPr>
          <w:p w14:paraId="10265D1F">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1668" w:type="pct"/>
            <w:vMerge w:val="continue"/>
            <w:vAlign w:val="center"/>
          </w:tcPr>
          <w:p w14:paraId="5FB093B6">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r>
      <w:tr w14:paraId="07890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624811DA">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Merge w:val="restart"/>
            <w:vAlign w:val="center"/>
          </w:tcPr>
          <w:p w14:paraId="70C6C660">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题字工序</w:t>
            </w:r>
          </w:p>
        </w:tc>
        <w:tc>
          <w:tcPr>
            <w:tcW w:w="908" w:type="pct"/>
            <w:vAlign w:val="center"/>
          </w:tcPr>
          <w:p w14:paraId="549C1C2E">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废油墨桶</w:t>
            </w:r>
          </w:p>
        </w:tc>
        <w:tc>
          <w:tcPr>
            <w:tcW w:w="1111" w:type="pct"/>
            <w:vMerge w:val="restart"/>
            <w:vAlign w:val="center"/>
          </w:tcPr>
          <w:p w14:paraId="4EF99A2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cs="Times New Roman"/>
                <w:snapToGrid w:val="0"/>
                <w:color w:val="auto"/>
                <w:szCs w:val="21"/>
                <w:lang w:eastAsia="zh-CN"/>
              </w:rPr>
              <w:t>分类收集，危废暂存间暂存</w:t>
            </w:r>
          </w:p>
        </w:tc>
        <w:tc>
          <w:tcPr>
            <w:tcW w:w="1668" w:type="pct"/>
            <w:vMerge w:val="restart"/>
            <w:vAlign w:val="center"/>
          </w:tcPr>
          <w:p w14:paraId="535A6367">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cs="Times New Roman"/>
                <w:snapToGrid w:val="0"/>
                <w:color w:val="auto"/>
                <w:szCs w:val="21"/>
                <w:lang w:eastAsia="zh-CN"/>
              </w:rPr>
              <w:t>定期交有资质单位处置</w:t>
            </w:r>
          </w:p>
        </w:tc>
      </w:tr>
      <w:tr w14:paraId="2CE44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0BE89A52">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Merge w:val="continue"/>
            <w:vAlign w:val="center"/>
          </w:tcPr>
          <w:p w14:paraId="0479E51A">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c>
          <w:tcPr>
            <w:tcW w:w="908" w:type="pct"/>
            <w:vAlign w:val="center"/>
          </w:tcPr>
          <w:p w14:paraId="7F2DC29A">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w:t>
            </w:r>
            <w:r>
              <w:rPr>
                <w:rFonts w:hint="eastAsia" w:cs="Times New Roman"/>
                <w:snapToGrid w:val="0"/>
                <w:color w:val="auto"/>
                <w:lang w:val="en-US" w:eastAsia="zh-CN"/>
              </w:rPr>
              <w:t>稀释剂</w:t>
            </w:r>
            <w:r>
              <w:rPr>
                <w:rFonts w:hint="eastAsia" w:cs="Times New Roman"/>
                <w:snapToGrid w:val="0"/>
                <w:color w:val="auto"/>
                <w:szCs w:val="21"/>
                <w:lang w:eastAsia="zh-CN"/>
              </w:rPr>
              <w:t>桶</w:t>
            </w:r>
          </w:p>
        </w:tc>
        <w:tc>
          <w:tcPr>
            <w:tcW w:w="1111" w:type="pct"/>
            <w:vMerge w:val="continue"/>
            <w:vAlign w:val="center"/>
          </w:tcPr>
          <w:p w14:paraId="3D785258">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c>
          <w:tcPr>
            <w:tcW w:w="1668" w:type="pct"/>
            <w:vMerge w:val="continue"/>
            <w:vAlign w:val="center"/>
          </w:tcPr>
          <w:p w14:paraId="3F989EF6">
            <w:pPr>
              <w:adjustRightInd w:val="0"/>
              <w:snapToGrid w:val="0"/>
              <w:spacing w:line="240" w:lineRule="auto"/>
              <w:ind w:left="0" w:leftChars="0" w:right="0" w:rightChars="0" w:firstLine="0" w:firstLineChars="0"/>
              <w:jc w:val="center"/>
              <w:rPr>
                <w:rFonts w:cs="Times New Roman"/>
                <w:snapToGrid w:val="0"/>
                <w:color w:val="auto"/>
                <w:szCs w:val="21"/>
                <w:lang w:eastAsia="zh-CN"/>
              </w:rPr>
            </w:pPr>
          </w:p>
        </w:tc>
      </w:tr>
      <w:tr w14:paraId="33D3C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0A5621B7">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Align w:val="center"/>
          </w:tcPr>
          <w:p w14:paraId="3A319B8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废气治理</w:t>
            </w:r>
          </w:p>
        </w:tc>
        <w:tc>
          <w:tcPr>
            <w:tcW w:w="908" w:type="pct"/>
            <w:vAlign w:val="center"/>
          </w:tcPr>
          <w:p w14:paraId="1B07B31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废活性炭</w:t>
            </w:r>
          </w:p>
        </w:tc>
        <w:tc>
          <w:tcPr>
            <w:tcW w:w="1111" w:type="pct"/>
            <w:vMerge w:val="continue"/>
            <w:vAlign w:val="center"/>
          </w:tcPr>
          <w:p w14:paraId="3212BADF">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1668" w:type="pct"/>
            <w:vMerge w:val="continue"/>
            <w:vAlign w:val="center"/>
          </w:tcPr>
          <w:p w14:paraId="3CCA4078">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r>
      <w:tr w14:paraId="6A0F6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34DF360E">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Align w:val="center"/>
          </w:tcPr>
          <w:p w14:paraId="76A9ADB0">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车间</w:t>
            </w:r>
          </w:p>
        </w:tc>
        <w:tc>
          <w:tcPr>
            <w:tcW w:w="908" w:type="pct"/>
            <w:vAlign w:val="center"/>
          </w:tcPr>
          <w:p w14:paraId="356B195B">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废含油劳保用品</w:t>
            </w:r>
          </w:p>
        </w:tc>
        <w:tc>
          <w:tcPr>
            <w:tcW w:w="1111" w:type="pct"/>
            <w:vMerge w:val="continue"/>
            <w:vAlign w:val="center"/>
          </w:tcPr>
          <w:p w14:paraId="5AFF7C38">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1668" w:type="pct"/>
            <w:vMerge w:val="continue"/>
            <w:vAlign w:val="center"/>
          </w:tcPr>
          <w:p w14:paraId="0F2E3ABB">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r>
      <w:tr w14:paraId="6B303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4E554D59">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Align w:val="center"/>
          </w:tcPr>
          <w:p w14:paraId="2CA8BDA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设备维修</w:t>
            </w:r>
          </w:p>
        </w:tc>
        <w:tc>
          <w:tcPr>
            <w:tcW w:w="908" w:type="pct"/>
            <w:vAlign w:val="center"/>
          </w:tcPr>
          <w:p w14:paraId="1F554B8C">
            <w:pPr>
              <w:adjustRightInd w:val="0"/>
              <w:snapToGrid w:val="0"/>
              <w:spacing w:line="240" w:lineRule="auto"/>
              <w:ind w:left="0" w:leftChars="0" w:right="0" w:rightChars="0" w:firstLine="0" w:firstLineChars="0"/>
              <w:jc w:val="center"/>
              <w:rPr>
                <w:rFonts w:cs="Times New Roman"/>
                <w:snapToGrid w:val="0"/>
                <w:color w:val="auto"/>
                <w:szCs w:val="21"/>
                <w:lang w:val="zh-CN" w:eastAsia="zh-CN"/>
              </w:rPr>
            </w:pPr>
            <w:r>
              <w:rPr>
                <w:rFonts w:hint="eastAsia" w:cs="Times New Roman"/>
                <w:snapToGrid w:val="0"/>
                <w:color w:val="auto"/>
                <w:szCs w:val="21"/>
                <w:lang w:eastAsia="zh-CN"/>
              </w:rPr>
              <w:t>废润滑油</w:t>
            </w:r>
          </w:p>
        </w:tc>
        <w:tc>
          <w:tcPr>
            <w:tcW w:w="1111" w:type="pct"/>
            <w:vMerge w:val="continue"/>
            <w:vAlign w:val="center"/>
          </w:tcPr>
          <w:p w14:paraId="5B2607FD">
            <w:pPr>
              <w:adjustRightInd w:val="0"/>
              <w:snapToGrid w:val="0"/>
              <w:spacing w:line="240" w:lineRule="auto"/>
              <w:ind w:left="0" w:leftChars="0" w:right="0" w:rightChars="0" w:firstLine="0" w:firstLineChars="0"/>
              <w:rPr>
                <w:rFonts w:eastAsia="宋体" w:cs="Times New Roman"/>
                <w:color w:val="auto"/>
                <w:szCs w:val="21"/>
                <w:lang w:eastAsia="zh-CN"/>
              </w:rPr>
            </w:pPr>
          </w:p>
        </w:tc>
        <w:tc>
          <w:tcPr>
            <w:tcW w:w="1668" w:type="pct"/>
            <w:vMerge w:val="continue"/>
            <w:vAlign w:val="center"/>
          </w:tcPr>
          <w:p w14:paraId="393CF6C0">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r>
      <w:tr w14:paraId="46C23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610D27FE">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Merge w:val="restart"/>
            <w:vAlign w:val="center"/>
          </w:tcPr>
          <w:p w14:paraId="2D013B3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cs="Times New Roman"/>
                <w:snapToGrid w:val="0"/>
                <w:color w:val="auto"/>
                <w:szCs w:val="21"/>
                <w:lang w:eastAsia="zh-CN"/>
              </w:rPr>
              <w:t>员工生活</w:t>
            </w:r>
          </w:p>
        </w:tc>
        <w:tc>
          <w:tcPr>
            <w:tcW w:w="908" w:type="pct"/>
            <w:vAlign w:val="center"/>
          </w:tcPr>
          <w:p w14:paraId="4371C202">
            <w:pPr>
              <w:adjustRightInd w:val="0"/>
              <w:snapToGrid w:val="0"/>
              <w:spacing w:line="240" w:lineRule="auto"/>
              <w:ind w:left="0" w:leftChars="0" w:right="0" w:rightChars="0" w:firstLine="0" w:firstLineChars="0"/>
              <w:jc w:val="center"/>
              <w:rPr>
                <w:rFonts w:eastAsia="宋体" w:cs="Times New Roman"/>
                <w:color w:val="auto"/>
                <w:szCs w:val="21"/>
                <w:lang w:val="zh-CN" w:eastAsia="zh-CN"/>
              </w:rPr>
            </w:pPr>
            <w:r>
              <w:rPr>
                <w:rFonts w:hint="eastAsia" w:cs="Times New Roman"/>
                <w:snapToGrid w:val="0"/>
                <w:color w:val="auto"/>
                <w:szCs w:val="21"/>
                <w:lang w:eastAsia="zh-CN"/>
              </w:rPr>
              <w:t>生活垃圾</w:t>
            </w:r>
          </w:p>
        </w:tc>
        <w:tc>
          <w:tcPr>
            <w:tcW w:w="1111" w:type="pct"/>
            <w:vAlign w:val="center"/>
          </w:tcPr>
          <w:p w14:paraId="2EBD54C9">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生活垃圾</w:t>
            </w:r>
            <w:r>
              <w:rPr>
                <w:rFonts w:hint="eastAsia" w:eastAsia="宋体" w:cs="Times New Roman"/>
                <w:color w:val="auto"/>
                <w:szCs w:val="21"/>
                <w:lang w:eastAsia="zh-CN"/>
              </w:rPr>
              <w:t>分类</w:t>
            </w:r>
            <w:r>
              <w:rPr>
                <w:rFonts w:eastAsia="宋体" w:cs="Times New Roman"/>
                <w:color w:val="auto"/>
                <w:szCs w:val="21"/>
                <w:lang w:eastAsia="zh-CN"/>
              </w:rPr>
              <w:t>收集后交环卫部门处理</w:t>
            </w:r>
          </w:p>
        </w:tc>
        <w:tc>
          <w:tcPr>
            <w:tcW w:w="1668" w:type="pct"/>
            <w:vAlign w:val="center"/>
          </w:tcPr>
          <w:p w14:paraId="06847961">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r>
      <w:tr w14:paraId="4AD52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4" w:type="pct"/>
            <w:vMerge w:val="continue"/>
            <w:vAlign w:val="center"/>
          </w:tcPr>
          <w:p w14:paraId="21A0F8F1">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707" w:type="pct"/>
            <w:vMerge w:val="continue"/>
            <w:vAlign w:val="center"/>
          </w:tcPr>
          <w:p w14:paraId="05A00186">
            <w:pPr>
              <w:adjustRightInd w:val="0"/>
              <w:snapToGrid w:val="0"/>
              <w:spacing w:line="240" w:lineRule="auto"/>
              <w:ind w:left="0" w:leftChars="0" w:right="0" w:rightChars="0" w:firstLine="0" w:firstLineChars="0"/>
              <w:jc w:val="center"/>
              <w:rPr>
                <w:rFonts w:eastAsia="宋体" w:cs="Times New Roman"/>
                <w:color w:val="auto"/>
                <w:szCs w:val="21"/>
                <w:lang w:eastAsia="zh-CN"/>
              </w:rPr>
            </w:pPr>
          </w:p>
        </w:tc>
        <w:tc>
          <w:tcPr>
            <w:tcW w:w="908" w:type="pct"/>
            <w:vAlign w:val="center"/>
          </w:tcPr>
          <w:p w14:paraId="2B877C8A">
            <w:pPr>
              <w:adjustRightInd w:val="0"/>
              <w:snapToGrid w:val="0"/>
              <w:spacing w:line="240" w:lineRule="auto"/>
              <w:ind w:left="0" w:leftChars="0" w:right="0" w:rightChars="0" w:firstLine="0" w:firstLineChars="0"/>
              <w:jc w:val="center"/>
              <w:rPr>
                <w:rFonts w:eastAsia="宋体" w:cs="Times New Roman"/>
                <w:color w:val="auto"/>
                <w:szCs w:val="21"/>
                <w:lang w:val="zh-CN" w:eastAsia="zh-CN"/>
              </w:rPr>
            </w:pPr>
            <w:r>
              <w:rPr>
                <w:rFonts w:hint="eastAsia" w:cs="Times New Roman"/>
                <w:snapToGrid w:val="0"/>
                <w:color w:val="auto"/>
                <w:szCs w:val="21"/>
                <w:lang w:eastAsia="zh-CN"/>
              </w:rPr>
              <w:t>废油脂</w:t>
            </w:r>
          </w:p>
        </w:tc>
        <w:tc>
          <w:tcPr>
            <w:tcW w:w="1111" w:type="pct"/>
            <w:vAlign w:val="center"/>
          </w:tcPr>
          <w:p w14:paraId="2CE94BF4">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收集后交有资质单位处置</w:t>
            </w:r>
          </w:p>
        </w:tc>
        <w:tc>
          <w:tcPr>
            <w:tcW w:w="1668" w:type="pct"/>
            <w:vAlign w:val="center"/>
          </w:tcPr>
          <w:p w14:paraId="2F2924A5">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r>
      <w:tr w14:paraId="5BF5B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604" w:type="pct"/>
            <w:vAlign w:val="center"/>
          </w:tcPr>
          <w:p w14:paraId="3C9E2CEE">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土壤及地下水污染防治措施</w:t>
            </w:r>
          </w:p>
        </w:tc>
        <w:tc>
          <w:tcPr>
            <w:tcW w:w="4395" w:type="pct"/>
            <w:gridSpan w:val="4"/>
            <w:vAlign w:val="center"/>
          </w:tcPr>
          <w:p w14:paraId="79749F86">
            <w:pPr>
              <w:adjustRightInd w:val="0"/>
              <w:snapToGrid w:val="0"/>
              <w:spacing w:line="240" w:lineRule="auto"/>
              <w:ind w:left="0" w:leftChars="0" w:right="0" w:rightChars="0" w:firstLine="0" w:firstLineChars="0"/>
              <w:rPr>
                <w:rFonts w:eastAsia="宋体" w:cs="Times New Roman"/>
                <w:color w:val="auto"/>
                <w:szCs w:val="21"/>
                <w:lang w:val="en-GB" w:eastAsia="zh-CN"/>
              </w:rPr>
            </w:pPr>
            <w:r>
              <w:rPr>
                <w:rFonts w:eastAsia="宋体" w:cs="Times New Roman"/>
                <w:color w:val="auto"/>
                <w:szCs w:val="21"/>
                <w:lang w:eastAsia="zh-CN"/>
              </w:rPr>
              <w:t>对厂区采取分区防渗措施：重点防渗区危险废物暂存间地面先采用耐腐蚀水泥硬化，再使用环氧树脂漆涂抹表面，对地面进行防腐防渗，防渗效果等效黏土防渗层Mb≥6.0m，K≤1×10</w:t>
            </w:r>
            <w:r>
              <w:rPr>
                <w:rFonts w:eastAsia="宋体" w:cs="Times New Roman"/>
                <w:color w:val="auto"/>
                <w:szCs w:val="21"/>
                <w:vertAlign w:val="superscript"/>
                <w:lang w:eastAsia="zh-CN"/>
              </w:rPr>
              <w:t>-7</w:t>
            </w:r>
            <w:r>
              <w:rPr>
                <w:rFonts w:eastAsia="宋体" w:cs="Times New Roman"/>
                <w:color w:val="auto"/>
                <w:szCs w:val="21"/>
                <w:lang w:eastAsia="zh-CN"/>
              </w:rPr>
              <w:t>cm/s，或参照GB18598执行。</w:t>
            </w:r>
          </w:p>
        </w:tc>
      </w:tr>
      <w:tr w14:paraId="7F7D4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604" w:type="pct"/>
            <w:vAlign w:val="center"/>
          </w:tcPr>
          <w:p w14:paraId="325FF008">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生态保护措施</w:t>
            </w:r>
          </w:p>
        </w:tc>
        <w:tc>
          <w:tcPr>
            <w:tcW w:w="4395" w:type="pct"/>
            <w:gridSpan w:val="4"/>
            <w:vAlign w:val="center"/>
          </w:tcPr>
          <w:p w14:paraId="20DD70DB">
            <w:pPr>
              <w:adjustRightInd w:val="0"/>
              <w:snapToGrid w:val="0"/>
              <w:spacing w:line="240" w:lineRule="auto"/>
              <w:ind w:left="0" w:leftChars="0" w:right="0" w:rightChars="0" w:firstLine="0" w:firstLineChars="0"/>
              <w:jc w:val="center"/>
              <w:rPr>
                <w:rFonts w:eastAsia="宋体" w:cs="Times New Roman"/>
                <w:color w:val="auto"/>
                <w:szCs w:val="21"/>
                <w:lang w:val="en-GB" w:eastAsia="zh-CN"/>
              </w:rPr>
            </w:pPr>
            <w:r>
              <w:rPr>
                <w:rFonts w:eastAsia="宋体" w:cs="Times New Roman"/>
                <w:color w:val="auto"/>
                <w:szCs w:val="21"/>
                <w:lang w:eastAsia="zh-CN"/>
              </w:rPr>
              <w:t>无</w:t>
            </w:r>
          </w:p>
        </w:tc>
      </w:tr>
      <w:tr w14:paraId="78E1E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7" w:hRule="atLeast"/>
          <w:jc w:val="center"/>
        </w:trPr>
        <w:tc>
          <w:tcPr>
            <w:tcW w:w="604" w:type="pct"/>
            <w:vAlign w:val="center"/>
          </w:tcPr>
          <w:p w14:paraId="34A13CD3">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环境风险</w:t>
            </w:r>
          </w:p>
          <w:p w14:paraId="7F8130F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防范措施</w:t>
            </w:r>
          </w:p>
        </w:tc>
        <w:tc>
          <w:tcPr>
            <w:tcW w:w="4395" w:type="pct"/>
            <w:gridSpan w:val="4"/>
            <w:vAlign w:val="center"/>
          </w:tcPr>
          <w:p w14:paraId="3C1737A6">
            <w:pPr>
              <w:adjustRightInd w:val="0"/>
              <w:spacing w:line="240" w:lineRule="auto"/>
              <w:ind w:left="0" w:leftChars="0" w:right="0" w:rightChars="0" w:firstLine="0" w:firstLineChars="0"/>
              <w:rPr>
                <w:color w:val="auto"/>
                <w:szCs w:val="21"/>
                <w:lang w:eastAsia="zh-CN"/>
              </w:rPr>
            </w:pPr>
            <w:r>
              <w:rPr>
                <w:rFonts w:hint="eastAsia" w:ascii="宋体" w:hAnsi="宋体" w:cs="宋体"/>
                <w:color w:val="auto"/>
                <w:szCs w:val="21"/>
                <w:lang w:eastAsia="zh-CN"/>
              </w:rPr>
              <w:t>（1）</w:t>
            </w:r>
            <w:r>
              <w:rPr>
                <w:color w:val="auto"/>
                <w:szCs w:val="21"/>
                <w:lang w:eastAsia="zh-CN"/>
              </w:rPr>
              <w:t>规范设置危废暂存间，按要求做好防渗防漏措施。</w:t>
            </w:r>
          </w:p>
          <w:p w14:paraId="4F6E9EFF">
            <w:pPr>
              <w:adjustRightInd w:val="0"/>
              <w:spacing w:line="240" w:lineRule="auto"/>
              <w:ind w:left="0" w:leftChars="0" w:right="0" w:rightChars="0" w:firstLine="0" w:firstLineChars="0"/>
              <w:rPr>
                <w:color w:val="auto"/>
                <w:szCs w:val="21"/>
                <w:lang w:eastAsia="zh-CN"/>
              </w:rPr>
            </w:pPr>
            <w:r>
              <w:rPr>
                <w:rFonts w:hint="eastAsia" w:ascii="宋体" w:hAnsi="宋体" w:cs="宋体"/>
                <w:color w:val="auto"/>
                <w:szCs w:val="21"/>
                <w:lang w:eastAsia="zh-CN"/>
              </w:rPr>
              <w:t>（2）</w:t>
            </w:r>
            <w:r>
              <w:rPr>
                <w:color w:val="auto"/>
                <w:szCs w:val="21"/>
                <w:lang w:eastAsia="zh-CN"/>
              </w:rPr>
              <w:t>制定快速有效的环境风险事故应急救援预案，建立环境风险事故报警系统体系，确保各种通讯工具处于良好状态，制定标准的报警方法和程序，并对工人进行紧急事态时的报警培训，做好救援专业队伍的组织、训练和演练，对工人进行自救和互救知识的宣传教育，杜绝液体储存和装卸过程中的跑、冒、滴、漏现象发生。</w:t>
            </w:r>
          </w:p>
          <w:p w14:paraId="05A46052">
            <w:pPr>
              <w:adjustRightInd w:val="0"/>
              <w:spacing w:line="240" w:lineRule="auto"/>
              <w:ind w:left="0" w:leftChars="0" w:right="0" w:rightChars="0" w:firstLine="0" w:firstLineChars="0"/>
              <w:rPr>
                <w:color w:val="auto"/>
                <w:szCs w:val="21"/>
                <w:lang w:eastAsia="zh-CN"/>
              </w:rPr>
            </w:pPr>
            <w:r>
              <w:rPr>
                <w:rFonts w:hint="eastAsia" w:ascii="宋体" w:hAnsi="宋体" w:cs="宋体"/>
                <w:color w:val="auto"/>
                <w:szCs w:val="21"/>
                <w:lang w:eastAsia="zh-CN"/>
              </w:rPr>
              <w:t>（3）</w:t>
            </w:r>
            <w:r>
              <w:rPr>
                <w:color w:val="auto"/>
                <w:szCs w:val="21"/>
                <w:lang w:eastAsia="zh-CN"/>
              </w:rPr>
              <w:t>企业要制定环保责任制，企业领导为第一责任人，全面负责企业的环保事务；指定专门人员负责环保事务，确保环保治理措施落实及环境监测工作。</w:t>
            </w:r>
          </w:p>
          <w:p w14:paraId="56D9DF92">
            <w:pPr>
              <w:adjustRightInd w:val="0"/>
              <w:snapToGrid w:val="0"/>
              <w:spacing w:line="240" w:lineRule="auto"/>
              <w:ind w:left="0" w:leftChars="0" w:right="0" w:rightChars="0" w:firstLine="0" w:firstLineChars="0"/>
              <w:jc w:val="both"/>
              <w:rPr>
                <w:color w:val="auto"/>
                <w:lang w:val="en-GB" w:eastAsia="zh-CN"/>
              </w:rPr>
            </w:pPr>
            <w:r>
              <w:rPr>
                <w:rFonts w:hint="eastAsia" w:ascii="宋体" w:hAnsi="宋体" w:cs="宋体"/>
                <w:color w:val="auto"/>
                <w:szCs w:val="21"/>
                <w:lang w:eastAsia="zh-CN"/>
              </w:rPr>
              <w:t>（4）</w:t>
            </w:r>
            <w:r>
              <w:rPr>
                <w:color w:val="auto"/>
                <w:szCs w:val="21"/>
                <w:lang w:eastAsia="zh-CN"/>
              </w:rPr>
              <w:t>建立环保管理制度，加强生产的环境管理水平，危险废物必须按照管理要求收集后交由有资质的单位处理处置，加强对各污染防治处理设施的检查和维护，保证其正常运行。</w:t>
            </w:r>
          </w:p>
        </w:tc>
      </w:tr>
      <w:tr w14:paraId="59ED0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5" w:hRule="atLeast"/>
          <w:jc w:val="center"/>
        </w:trPr>
        <w:tc>
          <w:tcPr>
            <w:tcW w:w="604" w:type="pct"/>
            <w:vAlign w:val="center"/>
          </w:tcPr>
          <w:p w14:paraId="2D1CB3B2">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其他环境</w:t>
            </w:r>
          </w:p>
          <w:p w14:paraId="2A937CB5">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rPr>
              <w:t>管理要求</w:t>
            </w:r>
          </w:p>
        </w:tc>
        <w:tc>
          <w:tcPr>
            <w:tcW w:w="4395" w:type="pct"/>
            <w:gridSpan w:val="4"/>
            <w:vAlign w:val="center"/>
          </w:tcPr>
          <w:p w14:paraId="5975072E">
            <w:pPr>
              <w:adjustRightInd w:val="0"/>
              <w:snapToGrid w:val="0"/>
              <w:spacing w:line="240" w:lineRule="auto"/>
              <w:ind w:left="0" w:leftChars="0" w:right="0" w:rightChars="0" w:firstLine="0" w:firstLineChars="0"/>
              <w:jc w:val="both"/>
              <w:rPr>
                <w:rFonts w:eastAsia="宋体" w:cs="Times New Roman"/>
                <w:color w:val="auto"/>
                <w:szCs w:val="21"/>
                <w:lang w:eastAsia="zh-CN"/>
              </w:rPr>
            </w:pPr>
          </w:p>
          <w:p w14:paraId="6E928AA1">
            <w:pPr>
              <w:adjustRightInd w:val="0"/>
              <w:snapToGrid w:val="0"/>
              <w:spacing w:line="240" w:lineRule="auto"/>
              <w:ind w:left="0" w:leftChars="0" w:right="0" w:rightChars="0" w:firstLine="0" w:firstLineChars="0"/>
              <w:jc w:val="both"/>
              <w:rPr>
                <w:rFonts w:eastAsia="宋体" w:cs="Times New Roman"/>
                <w:color w:val="auto"/>
                <w:szCs w:val="21"/>
                <w:lang w:eastAsia="zh-CN"/>
              </w:rPr>
            </w:pPr>
          </w:p>
          <w:p w14:paraId="1399943D">
            <w:pPr>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（1）定期监测污染物排放浓度和排放量是否符合国家、省、市和行业规定的排放标准，确保污染物排放总量控制在允许的环境容量内。</w:t>
            </w:r>
          </w:p>
          <w:p w14:paraId="0BB54273">
            <w:pPr>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2）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w:t>
            </w:r>
            <w:r>
              <w:rPr>
                <w:rFonts w:hint="eastAsia" w:eastAsia="宋体" w:cs="Times New Roman"/>
                <w:color w:val="auto"/>
                <w:szCs w:val="21"/>
                <w:lang w:eastAsia="zh-CN"/>
              </w:rPr>
              <w:t>“</w:t>
            </w:r>
            <w:r>
              <w:rPr>
                <w:rFonts w:eastAsia="宋体" w:cs="Times New Roman"/>
                <w:color w:val="auto"/>
                <w:szCs w:val="21"/>
                <w:lang w:eastAsia="zh-CN"/>
              </w:rPr>
              <w:t>三同时</w:t>
            </w:r>
            <w:r>
              <w:rPr>
                <w:rFonts w:hint="eastAsia" w:eastAsia="宋体" w:cs="Times New Roman"/>
                <w:color w:val="auto"/>
                <w:szCs w:val="21"/>
                <w:lang w:eastAsia="zh-CN"/>
              </w:rPr>
              <w:t>”</w:t>
            </w:r>
            <w:r>
              <w:rPr>
                <w:rFonts w:eastAsia="宋体" w:cs="Times New Roman"/>
                <w:color w:val="auto"/>
                <w:szCs w:val="21"/>
                <w:lang w:eastAsia="zh-CN"/>
              </w:rPr>
              <w:t>落实情况，编制竣工环境保护验收报告，组织实施竣工验收。</w:t>
            </w:r>
          </w:p>
          <w:p w14:paraId="2E37E79D">
            <w:pPr>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3）定期在国家排污许可证管理信息平台填报信息，编制排污许可证执行报告，及时报送有核发权的环境保护主管部门并公开，执行报告主要内容包括生产信息、污染防治设施运行情况、污染物按证排放情况等。</w:t>
            </w:r>
          </w:p>
          <w:p w14:paraId="75C97A17">
            <w:pPr>
              <w:adjustRightInd w:val="0"/>
              <w:snapToGrid w:val="0"/>
              <w:spacing w:line="240" w:lineRule="auto"/>
              <w:ind w:left="0" w:leftChars="0" w:right="0" w:rightChars="0" w:firstLine="0" w:firstLineChars="0"/>
              <w:jc w:val="both"/>
              <w:rPr>
                <w:rFonts w:eastAsia="宋体" w:cs="Times New Roman"/>
                <w:color w:val="auto"/>
                <w:szCs w:val="21"/>
                <w:lang w:eastAsia="zh-CN"/>
              </w:rPr>
            </w:pPr>
            <w:r>
              <w:rPr>
                <w:rFonts w:eastAsia="宋体" w:cs="Times New Roman"/>
                <w:color w:val="auto"/>
                <w:szCs w:val="21"/>
                <w:lang w:eastAsia="zh-CN"/>
              </w:rPr>
              <w:t>（4）项目产生的危险废物收集后应暂存于危废暂存间，定期交有危废处理资质单位处置。</w:t>
            </w:r>
          </w:p>
          <w:p w14:paraId="35E434D0">
            <w:pPr>
              <w:pStyle w:val="2"/>
              <w:ind w:left="0" w:leftChars="0" w:firstLine="0" w:firstLineChars="0"/>
              <w:rPr>
                <w:color w:val="auto"/>
                <w:lang w:eastAsia="zh-CN"/>
              </w:rPr>
            </w:pPr>
          </w:p>
        </w:tc>
      </w:tr>
    </w:tbl>
    <w:p w14:paraId="00768BC9">
      <w:pPr>
        <w:ind w:firstLine="422"/>
        <w:rPr>
          <w:rFonts w:eastAsia="宋体" w:cs="Times New Roman"/>
          <w:b/>
          <w:bCs/>
          <w:color w:val="auto"/>
          <w:lang w:eastAsia="zh-CN"/>
        </w:rPr>
      </w:pPr>
      <w:bookmarkStart w:id="14" w:name="_Toc29631"/>
      <w:r>
        <w:rPr>
          <w:rFonts w:eastAsia="宋体" w:cs="Times New Roman"/>
          <w:b/>
          <w:bCs/>
          <w:color w:val="auto"/>
          <w:lang w:eastAsia="zh-CN"/>
        </w:rPr>
        <w:br w:type="page"/>
      </w:r>
    </w:p>
    <w:p w14:paraId="248D2250">
      <w:pPr>
        <w:pStyle w:val="8"/>
        <w:spacing w:line="240" w:lineRule="auto"/>
        <w:ind w:firstLine="0" w:firstLineChars="0"/>
        <w:jc w:val="center"/>
        <w:outlineLvl w:val="0"/>
        <w:rPr>
          <w:rFonts w:ascii="Times New Roman" w:hAnsi="Times New Roman" w:eastAsia="宋体" w:cs="Times New Roman"/>
          <w:b/>
          <w:bCs/>
          <w:color w:val="auto"/>
        </w:rPr>
      </w:pPr>
      <w:r>
        <w:rPr>
          <w:rFonts w:ascii="Times New Roman" w:hAnsi="Times New Roman" w:eastAsia="宋体" w:cs="Times New Roman"/>
          <w:b/>
          <w:bCs/>
          <w:color w:val="auto"/>
        </w:rPr>
        <w:t>六、结论</w:t>
      </w:r>
      <w:bookmarkEnd w:id="14"/>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2"/>
      </w:tblGrid>
      <w:tr w14:paraId="7AF7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1" w:hRule="atLeast"/>
        </w:trPr>
        <w:tc>
          <w:tcPr>
            <w:tcW w:w="9292" w:type="dxa"/>
          </w:tcPr>
          <w:p w14:paraId="199DF3A3">
            <w:pPr>
              <w:ind w:left="0" w:leftChars="0" w:right="0" w:rightChars="0" w:firstLine="480"/>
              <w:jc w:val="both"/>
              <w:rPr>
                <w:color w:val="auto"/>
                <w:sz w:val="24"/>
                <w:lang w:eastAsia="zh-CN"/>
              </w:rPr>
            </w:pPr>
            <w:r>
              <w:rPr>
                <w:rFonts w:hint="eastAsia"/>
                <w:bCs/>
                <w:color w:val="auto"/>
                <w:sz w:val="24"/>
                <w:lang w:eastAsia="zh-CN"/>
              </w:rPr>
              <w:t>本项目建设符合国家产业政策，选址合理，平面布置符合安全环保要求，</w:t>
            </w:r>
            <w:r>
              <w:rPr>
                <w:rFonts w:hint="eastAsia"/>
                <w:color w:val="auto"/>
                <w:sz w:val="24"/>
                <w:lang w:eastAsia="zh-CN"/>
              </w:rPr>
              <w:t>在认真落实工程设计和本报告提出的各项污染防治措施、生态保护措施，确保环保设施正常稳定运行的前提下，污染物能够达标排放，对周围环境影响小，不改变区域环境功能，从环境影响角度分析，项目建设可行。</w:t>
            </w:r>
          </w:p>
          <w:p w14:paraId="7F42FA06">
            <w:pPr>
              <w:ind w:firstLine="420"/>
              <w:jc w:val="both"/>
              <w:rPr>
                <w:color w:val="auto"/>
                <w:lang w:eastAsia="zh-CN"/>
              </w:rPr>
            </w:pPr>
          </w:p>
        </w:tc>
      </w:tr>
    </w:tbl>
    <w:p w14:paraId="7922BACA">
      <w:pPr>
        <w:spacing w:line="240" w:lineRule="auto"/>
        <w:rPr>
          <w:rFonts w:eastAsia="宋体" w:cs="Times New Roman"/>
          <w:color w:val="auto"/>
          <w:sz w:val="20"/>
          <w:szCs w:val="20"/>
          <w:lang w:eastAsia="zh-CN"/>
        </w:rPr>
        <w:sectPr>
          <w:footerReference r:id="rId14" w:type="default"/>
          <w:pgSz w:w="11910" w:h="16838"/>
          <w:pgMar w:top="1417" w:right="1417" w:bottom="1417" w:left="1417" w:header="720" w:footer="1043" w:gutter="0"/>
          <w:cols w:space="0" w:num="1"/>
        </w:sectPr>
      </w:pPr>
    </w:p>
    <w:p w14:paraId="79FB760C">
      <w:pPr>
        <w:spacing w:before="3" w:line="240" w:lineRule="auto"/>
        <w:ind w:firstLine="643"/>
        <w:rPr>
          <w:rFonts w:eastAsia="宋体" w:cs="Times New Roman"/>
          <w:b/>
          <w:bCs/>
          <w:color w:val="auto"/>
          <w:sz w:val="32"/>
          <w:szCs w:val="32"/>
          <w:lang w:eastAsia="zh-CN"/>
        </w:rPr>
      </w:pPr>
      <w:bookmarkStart w:id="15" w:name="_Toc16238"/>
      <w:r>
        <w:rPr>
          <w:rFonts w:eastAsia="宋体" w:cs="Times New Roman"/>
          <w:b/>
          <w:bCs/>
          <w:color w:val="auto"/>
          <w:sz w:val="32"/>
          <w:szCs w:val="32"/>
          <w:lang w:eastAsia="zh-CN"/>
        </w:rPr>
        <w:t>附表</w:t>
      </w:r>
      <w:bookmarkEnd w:id="15"/>
    </w:p>
    <w:p w14:paraId="748C3B21">
      <w:pPr>
        <w:adjustRightInd w:val="0"/>
        <w:snapToGrid w:val="0"/>
        <w:spacing w:line="240" w:lineRule="auto"/>
        <w:ind w:left="0" w:leftChars="0" w:right="0" w:rightChars="0" w:firstLine="0" w:firstLineChars="0"/>
        <w:jc w:val="center"/>
        <w:rPr>
          <w:rFonts w:eastAsia="宋体" w:cs="Times New Roman"/>
          <w:b/>
          <w:bCs/>
          <w:color w:val="auto"/>
          <w:sz w:val="24"/>
          <w:szCs w:val="24"/>
          <w:lang w:eastAsia="zh-CN"/>
        </w:rPr>
      </w:pPr>
      <w:bookmarkStart w:id="16" w:name="_Toc22676"/>
      <w:r>
        <w:rPr>
          <w:rFonts w:eastAsia="宋体" w:cs="Times New Roman"/>
          <w:b/>
          <w:bCs/>
          <w:color w:val="auto"/>
          <w:sz w:val="24"/>
          <w:szCs w:val="24"/>
          <w:lang w:eastAsia="zh-CN"/>
        </w:rPr>
        <w:t>建设项目污染物排放量汇总表（单位：t/a）</w:t>
      </w:r>
      <w:bookmarkEnd w:id="16"/>
    </w:p>
    <w:p w14:paraId="177E7B96">
      <w:pPr>
        <w:spacing w:line="240" w:lineRule="auto"/>
        <w:rPr>
          <w:rFonts w:eastAsia="宋体" w:cs="Times New Roman"/>
          <w:color w:val="auto"/>
          <w:sz w:val="20"/>
          <w:szCs w:val="20"/>
          <w:lang w:eastAsia="zh-CN"/>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697"/>
        <w:gridCol w:w="1669"/>
        <w:gridCol w:w="1552"/>
        <w:gridCol w:w="1552"/>
        <w:gridCol w:w="1558"/>
        <w:gridCol w:w="1657"/>
        <w:gridCol w:w="1982"/>
        <w:gridCol w:w="1264"/>
      </w:tblGrid>
      <w:tr w14:paraId="5C62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453" w:type="pct"/>
            <w:vAlign w:val="center"/>
          </w:tcPr>
          <w:p w14:paraId="04C951E1">
            <w:pPr>
              <w:pStyle w:val="25"/>
              <w:adjustRightInd w:val="0"/>
              <w:snapToGrid w:val="0"/>
              <w:spacing w:after="0"/>
              <w:ind w:left="0" w:leftChars="0" w:firstLine="0" w:firstLineChars="0"/>
              <w:jc w:val="center"/>
              <w:rPr>
                <w:rFonts w:ascii="Times New Roman" w:eastAsia="宋体" w:cs="Times New Roman"/>
                <w:b/>
                <w:bCs/>
                <w:color w:val="auto"/>
                <w:szCs w:val="21"/>
                <w:lang w:eastAsia="zh-CN"/>
              </w:rPr>
            </w:pPr>
          </w:p>
          <w:p w14:paraId="64487FDF">
            <w:pPr>
              <w:pStyle w:val="25"/>
              <w:adjustRightInd w:val="0"/>
              <w:snapToGrid w:val="0"/>
              <w:spacing w:after="0"/>
              <w:ind w:left="0" w:leftChars="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分类</w:t>
            </w:r>
          </w:p>
          <w:p w14:paraId="5FF56881">
            <w:pPr>
              <w:pStyle w:val="25"/>
              <w:adjustRightInd w:val="0"/>
              <w:snapToGrid w:val="0"/>
              <w:spacing w:after="0"/>
              <w:ind w:left="0" w:leftChars="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项目</w:t>
            </w:r>
          </w:p>
        </w:tc>
        <w:tc>
          <w:tcPr>
            <w:tcW w:w="596" w:type="pct"/>
            <w:vAlign w:val="center"/>
          </w:tcPr>
          <w:p w14:paraId="5D4EC3A0">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污染物名称</w:t>
            </w:r>
          </w:p>
        </w:tc>
        <w:tc>
          <w:tcPr>
            <w:tcW w:w="586" w:type="pct"/>
            <w:vAlign w:val="center"/>
          </w:tcPr>
          <w:p w14:paraId="575C6036">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现有工程排放量(固体废物产生量)①</w:t>
            </w:r>
          </w:p>
        </w:tc>
        <w:tc>
          <w:tcPr>
            <w:tcW w:w="545" w:type="pct"/>
            <w:vAlign w:val="center"/>
          </w:tcPr>
          <w:p w14:paraId="199247E9">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现有工程许可排放量②</w:t>
            </w:r>
          </w:p>
        </w:tc>
        <w:tc>
          <w:tcPr>
            <w:tcW w:w="545" w:type="pct"/>
            <w:vAlign w:val="center"/>
          </w:tcPr>
          <w:p w14:paraId="15AF4111">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在建工程排放量(固体废物产生量)③</w:t>
            </w:r>
          </w:p>
        </w:tc>
        <w:tc>
          <w:tcPr>
            <w:tcW w:w="547" w:type="pct"/>
            <w:vAlign w:val="center"/>
          </w:tcPr>
          <w:p w14:paraId="3F9E10AA">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本项目排放量(固体废物产生量)④</w:t>
            </w:r>
          </w:p>
        </w:tc>
        <w:tc>
          <w:tcPr>
            <w:tcW w:w="582" w:type="pct"/>
            <w:vAlign w:val="center"/>
          </w:tcPr>
          <w:p w14:paraId="7FADCABB">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以新带老削减量(新建项目不填)⑤</w:t>
            </w:r>
          </w:p>
        </w:tc>
        <w:tc>
          <w:tcPr>
            <w:tcW w:w="696" w:type="pct"/>
            <w:vAlign w:val="center"/>
          </w:tcPr>
          <w:p w14:paraId="54175034">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本项目建成后全厂排放量(固体废物产生量)⑥</w:t>
            </w:r>
          </w:p>
        </w:tc>
        <w:tc>
          <w:tcPr>
            <w:tcW w:w="444" w:type="pct"/>
            <w:vAlign w:val="center"/>
          </w:tcPr>
          <w:p w14:paraId="629729B4">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变化量</w:t>
            </w:r>
          </w:p>
          <w:p w14:paraId="35DEAD6F">
            <w:pPr>
              <w:pStyle w:val="25"/>
              <w:adjustRightInd w:val="0"/>
              <w:snapToGrid w:val="0"/>
              <w:spacing w:after="0"/>
              <w:ind w:left="-63" w:leftChars="-30" w:firstLine="0" w:firstLineChars="0"/>
              <w:jc w:val="center"/>
              <w:rPr>
                <w:rFonts w:ascii="Times New Roman" w:eastAsia="宋体" w:cs="Times New Roman"/>
                <w:b/>
                <w:bCs/>
                <w:color w:val="auto"/>
                <w:szCs w:val="21"/>
                <w:lang w:eastAsia="zh-CN"/>
              </w:rPr>
            </w:pPr>
            <w:r>
              <w:rPr>
                <w:rFonts w:ascii="Times New Roman" w:eastAsia="宋体" w:cs="Times New Roman"/>
                <w:b/>
                <w:bCs/>
                <w:color w:val="auto"/>
                <w:szCs w:val="21"/>
                <w:lang w:eastAsia="zh-CN"/>
              </w:rPr>
              <w:t>⑦</w:t>
            </w:r>
          </w:p>
        </w:tc>
      </w:tr>
      <w:tr w14:paraId="2B7A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restart"/>
            <w:vAlign w:val="center"/>
          </w:tcPr>
          <w:p w14:paraId="08CF1FEB">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废气</w:t>
            </w:r>
          </w:p>
        </w:tc>
        <w:tc>
          <w:tcPr>
            <w:tcW w:w="596" w:type="pct"/>
            <w:vAlign w:val="center"/>
          </w:tcPr>
          <w:p w14:paraId="66F28D28">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颗粒物</w:t>
            </w:r>
          </w:p>
        </w:tc>
        <w:tc>
          <w:tcPr>
            <w:tcW w:w="586" w:type="pct"/>
            <w:vAlign w:val="center"/>
          </w:tcPr>
          <w:p w14:paraId="34DB173F">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0.0786</w:t>
            </w:r>
          </w:p>
        </w:tc>
        <w:tc>
          <w:tcPr>
            <w:tcW w:w="545" w:type="pct"/>
            <w:vAlign w:val="center"/>
          </w:tcPr>
          <w:p w14:paraId="001995E2">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545" w:type="pct"/>
            <w:vAlign w:val="center"/>
          </w:tcPr>
          <w:p w14:paraId="0F31BA58">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547" w:type="pct"/>
            <w:vAlign w:val="center"/>
          </w:tcPr>
          <w:p w14:paraId="01C2C26D">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0.0919</w:t>
            </w:r>
          </w:p>
        </w:tc>
        <w:tc>
          <w:tcPr>
            <w:tcW w:w="582" w:type="pct"/>
            <w:vAlign w:val="center"/>
          </w:tcPr>
          <w:p w14:paraId="20E7F14F">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1982" w:type="dxa"/>
            <w:vAlign w:val="center"/>
          </w:tcPr>
          <w:p w14:paraId="5F81BB38">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0.1705</w:t>
            </w:r>
          </w:p>
        </w:tc>
        <w:tc>
          <w:tcPr>
            <w:tcW w:w="444" w:type="pct"/>
            <w:vAlign w:val="center"/>
          </w:tcPr>
          <w:p w14:paraId="013B65CE">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+0.0919</w:t>
            </w:r>
          </w:p>
        </w:tc>
      </w:tr>
      <w:tr w14:paraId="2B03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76A383CA">
            <w:pPr>
              <w:pStyle w:val="25"/>
              <w:adjustRightInd w:val="0"/>
              <w:snapToGrid w:val="0"/>
              <w:spacing w:after="0"/>
              <w:ind w:left="0" w:leftChars="0" w:firstLine="0" w:firstLineChars="0"/>
              <w:jc w:val="center"/>
              <w:rPr>
                <w:rFonts w:ascii="Times New Roman" w:eastAsia="宋体" w:cs="Times New Roman"/>
                <w:color w:val="auto"/>
                <w:szCs w:val="21"/>
              </w:rPr>
            </w:pPr>
          </w:p>
        </w:tc>
        <w:tc>
          <w:tcPr>
            <w:tcW w:w="596" w:type="pct"/>
            <w:vAlign w:val="center"/>
          </w:tcPr>
          <w:p w14:paraId="16615F2E">
            <w:pPr>
              <w:widowControl/>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bidi="ar"/>
              </w:rPr>
              <w:t>SO</w:t>
            </w:r>
            <w:r>
              <w:rPr>
                <w:rFonts w:eastAsia="宋体" w:cs="Times New Roman"/>
                <w:color w:val="auto"/>
                <w:szCs w:val="21"/>
                <w:vertAlign w:val="subscript"/>
                <w:lang w:eastAsia="zh-CN" w:bidi="ar"/>
              </w:rPr>
              <w:t>2</w:t>
            </w:r>
          </w:p>
        </w:tc>
        <w:tc>
          <w:tcPr>
            <w:tcW w:w="586" w:type="pct"/>
            <w:vAlign w:val="center"/>
          </w:tcPr>
          <w:p w14:paraId="725D66D2">
            <w:pPr>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0.0114</w:t>
            </w:r>
          </w:p>
        </w:tc>
        <w:tc>
          <w:tcPr>
            <w:tcW w:w="545" w:type="pct"/>
            <w:vAlign w:val="center"/>
          </w:tcPr>
          <w:p w14:paraId="304B8D87">
            <w:pPr>
              <w:pStyle w:val="25"/>
              <w:adjustRightInd w:val="0"/>
              <w:snapToGrid w:val="0"/>
              <w:spacing w:after="0"/>
              <w:ind w:left="0" w:leftChars="0" w:firstLine="0" w:firstLineChars="0"/>
              <w:jc w:val="center"/>
              <w:rPr>
                <w:rFonts w:ascii="Times New Roman" w:eastAsia="宋体" w:cs="Times New Roman"/>
                <w:color w:val="auto"/>
                <w:szCs w:val="21"/>
              </w:rPr>
            </w:pPr>
            <w:r>
              <w:rPr>
                <w:rFonts w:ascii="Times New Roman" w:eastAsia="宋体" w:cs="Times New Roman"/>
                <w:color w:val="auto"/>
                <w:szCs w:val="21"/>
                <w:lang w:eastAsia="zh-CN"/>
              </w:rPr>
              <w:t>/</w:t>
            </w:r>
          </w:p>
        </w:tc>
        <w:tc>
          <w:tcPr>
            <w:tcW w:w="545" w:type="pct"/>
            <w:vAlign w:val="center"/>
          </w:tcPr>
          <w:p w14:paraId="5843A40A">
            <w:pPr>
              <w:pStyle w:val="25"/>
              <w:adjustRightInd w:val="0"/>
              <w:snapToGrid w:val="0"/>
              <w:spacing w:after="0"/>
              <w:ind w:left="0" w:leftChars="0" w:firstLine="0" w:firstLineChars="0"/>
              <w:jc w:val="center"/>
              <w:rPr>
                <w:rFonts w:ascii="Times New Roman" w:eastAsia="宋体" w:cs="Times New Roman"/>
                <w:color w:val="auto"/>
                <w:szCs w:val="21"/>
              </w:rPr>
            </w:pPr>
            <w:r>
              <w:rPr>
                <w:rFonts w:ascii="Times New Roman" w:eastAsia="宋体" w:cs="Times New Roman"/>
                <w:color w:val="auto"/>
                <w:szCs w:val="21"/>
                <w:lang w:eastAsia="zh-CN"/>
              </w:rPr>
              <w:t>/</w:t>
            </w:r>
          </w:p>
        </w:tc>
        <w:tc>
          <w:tcPr>
            <w:tcW w:w="547" w:type="pct"/>
            <w:vAlign w:val="center"/>
          </w:tcPr>
          <w:p w14:paraId="765EAC72">
            <w:pPr>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kern w:val="2"/>
                <w:szCs w:val="21"/>
                <w:lang w:eastAsia="zh-CN"/>
              </w:rPr>
              <w:t>0.0038</w:t>
            </w:r>
          </w:p>
        </w:tc>
        <w:tc>
          <w:tcPr>
            <w:tcW w:w="582" w:type="pct"/>
            <w:vAlign w:val="center"/>
          </w:tcPr>
          <w:p w14:paraId="6698A2FE">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1982" w:type="dxa"/>
            <w:vAlign w:val="center"/>
          </w:tcPr>
          <w:p w14:paraId="512D1CE0">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0.0152</w:t>
            </w:r>
          </w:p>
        </w:tc>
        <w:tc>
          <w:tcPr>
            <w:tcW w:w="444" w:type="pct"/>
            <w:vAlign w:val="center"/>
          </w:tcPr>
          <w:p w14:paraId="46853000">
            <w:pPr>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kern w:val="2"/>
                <w:szCs w:val="21"/>
                <w:lang w:eastAsia="zh-CN"/>
              </w:rPr>
              <w:t>+0.0038</w:t>
            </w:r>
          </w:p>
        </w:tc>
      </w:tr>
      <w:tr w14:paraId="168E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7FC16D5E">
            <w:pPr>
              <w:pStyle w:val="25"/>
              <w:adjustRightInd w:val="0"/>
              <w:snapToGrid w:val="0"/>
              <w:spacing w:after="0"/>
              <w:ind w:left="0" w:leftChars="0" w:firstLine="0" w:firstLineChars="0"/>
              <w:jc w:val="center"/>
              <w:rPr>
                <w:rFonts w:ascii="Times New Roman" w:eastAsia="宋体" w:cs="Times New Roman"/>
                <w:color w:val="auto"/>
                <w:szCs w:val="21"/>
              </w:rPr>
            </w:pPr>
          </w:p>
        </w:tc>
        <w:tc>
          <w:tcPr>
            <w:tcW w:w="596" w:type="pct"/>
            <w:vAlign w:val="center"/>
          </w:tcPr>
          <w:p w14:paraId="3C0FD3DA">
            <w:pPr>
              <w:widowControl/>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szCs w:val="21"/>
                <w:lang w:eastAsia="zh-CN" w:bidi="ar"/>
              </w:rPr>
              <w:t>NO</w:t>
            </w:r>
            <w:r>
              <w:rPr>
                <w:rFonts w:eastAsia="宋体" w:cs="Times New Roman"/>
                <w:color w:val="auto"/>
                <w:szCs w:val="21"/>
                <w:vertAlign w:val="subscript"/>
                <w:lang w:eastAsia="zh-CN" w:bidi="ar"/>
              </w:rPr>
              <w:t>X</w:t>
            </w:r>
          </w:p>
        </w:tc>
        <w:tc>
          <w:tcPr>
            <w:tcW w:w="586" w:type="pct"/>
            <w:vAlign w:val="center"/>
          </w:tcPr>
          <w:p w14:paraId="62AD112C">
            <w:pPr>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0.0258</w:t>
            </w:r>
          </w:p>
        </w:tc>
        <w:tc>
          <w:tcPr>
            <w:tcW w:w="545" w:type="pct"/>
            <w:vAlign w:val="center"/>
          </w:tcPr>
          <w:p w14:paraId="1E7D5DF8">
            <w:pPr>
              <w:pStyle w:val="25"/>
              <w:adjustRightInd w:val="0"/>
              <w:snapToGrid w:val="0"/>
              <w:spacing w:after="0"/>
              <w:ind w:left="0" w:leftChars="0" w:firstLine="0" w:firstLineChars="0"/>
              <w:jc w:val="center"/>
              <w:rPr>
                <w:rFonts w:ascii="Times New Roman" w:eastAsia="宋体" w:cs="Times New Roman"/>
                <w:color w:val="auto"/>
                <w:szCs w:val="21"/>
              </w:rPr>
            </w:pPr>
            <w:r>
              <w:rPr>
                <w:rFonts w:ascii="Times New Roman" w:eastAsia="宋体" w:cs="Times New Roman"/>
                <w:color w:val="auto"/>
                <w:szCs w:val="21"/>
                <w:lang w:eastAsia="zh-CN"/>
              </w:rPr>
              <w:t>/</w:t>
            </w:r>
          </w:p>
        </w:tc>
        <w:tc>
          <w:tcPr>
            <w:tcW w:w="545" w:type="pct"/>
            <w:vAlign w:val="center"/>
          </w:tcPr>
          <w:p w14:paraId="048C6A13">
            <w:pPr>
              <w:pStyle w:val="25"/>
              <w:adjustRightInd w:val="0"/>
              <w:snapToGrid w:val="0"/>
              <w:spacing w:after="0"/>
              <w:ind w:left="0" w:leftChars="0" w:firstLine="0" w:firstLineChars="0"/>
              <w:jc w:val="center"/>
              <w:rPr>
                <w:rFonts w:ascii="Times New Roman" w:eastAsia="宋体" w:cs="Times New Roman"/>
                <w:color w:val="auto"/>
                <w:szCs w:val="21"/>
              </w:rPr>
            </w:pPr>
            <w:r>
              <w:rPr>
                <w:rFonts w:ascii="Times New Roman" w:eastAsia="宋体" w:cs="Times New Roman"/>
                <w:color w:val="auto"/>
                <w:szCs w:val="21"/>
                <w:lang w:eastAsia="zh-CN"/>
              </w:rPr>
              <w:t>/</w:t>
            </w:r>
          </w:p>
        </w:tc>
        <w:tc>
          <w:tcPr>
            <w:tcW w:w="547" w:type="pct"/>
            <w:vAlign w:val="center"/>
          </w:tcPr>
          <w:p w14:paraId="1903329B">
            <w:pPr>
              <w:snapToGrid w:val="0"/>
              <w:spacing w:line="240" w:lineRule="auto"/>
              <w:ind w:left="0" w:leftChars="0" w:right="0" w:rightChars="0" w:firstLine="0" w:firstLineChars="0"/>
              <w:jc w:val="center"/>
              <w:rPr>
                <w:rFonts w:eastAsia="宋体" w:cs="Times New Roman"/>
                <w:color w:val="auto"/>
                <w:szCs w:val="21"/>
                <w:lang w:eastAsia="zh-CN"/>
              </w:rPr>
            </w:pPr>
            <w:r>
              <w:rPr>
                <w:rFonts w:eastAsia="宋体" w:cs="Times New Roman"/>
                <w:color w:val="auto"/>
                <w:kern w:val="2"/>
                <w:szCs w:val="21"/>
                <w:lang w:eastAsia="zh-CN"/>
              </w:rPr>
              <w:t>0.008</w:t>
            </w:r>
          </w:p>
        </w:tc>
        <w:tc>
          <w:tcPr>
            <w:tcW w:w="582" w:type="pct"/>
            <w:vAlign w:val="center"/>
          </w:tcPr>
          <w:p w14:paraId="68226F49">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1982" w:type="dxa"/>
            <w:vAlign w:val="center"/>
          </w:tcPr>
          <w:p w14:paraId="172F735E">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0.0338</w:t>
            </w:r>
          </w:p>
        </w:tc>
        <w:tc>
          <w:tcPr>
            <w:tcW w:w="444" w:type="pct"/>
            <w:vAlign w:val="center"/>
          </w:tcPr>
          <w:p w14:paraId="6DB269D2">
            <w:pPr>
              <w:snapToGrid w:val="0"/>
              <w:spacing w:line="240" w:lineRule="auto"/>
              <w:ind w:left="0" w:leftChars="0" w:right="0" w:rightChars="0" w:firstLine="0" w:firstLineChars="0"/>
              <w:jc w:val="center"/>
              <w:rPr>
                <w:rFonts w:eastAsia="宋体" w:cs="Times New Roman"/>
                <w:color w:val="auto"/>
                <w:szCs w:val="21"/>
              </w:rPr>
            </w:pPr>
            <w:r>
              <w:rPr>
                <w:rFonts w:hint="eastAsia" w:eastAsia="宋体" w:cs="Times New Roman"/>
                <w:color w:val="auto"/>
                <w:kern w:val="2"/>
                <w:szCs w:val="21"/>
                <w:lang w:eastAsia="zh-CN"/>
              </w:rPr>
              <w:t>+</w:t>
            </w:r>
            <w:r>
              <w:rPr>
                <w:rFonts w:eastAsia="宋体" w:cs="Times New Roman"/>
                <w:color w:val="auto"/>
                <w:kern w:val="2"/>
                <w:szCs w:val="21"/>
                <w:lang w:eastAsia="zh-CN"/>
              </w:rPr>
              <w:t>0.008</w:t>
            </w:r>
          </w:p>
        </w:tc>
      </w:tr>
      <w:tr w14:paraId="1F53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2B123459">
            <w:pPr>
              <w:pStyle w:val="25"/>
              <w:adjustRightInd w:val="0"/>
              <w:snapToGrid w:val="0"/>
              <w:spacing w:after="0"/>
              <w:ind w:left="0" w:leftChars="0" w:firstLine="0" w:firstLineChars="0"/>
              <w:jc w:val="center"/>
              <w:rPr>
                <w:rFonts w:ascii="Times New Roman" w:eastAsia="宋体" w:cs="Times New Roman"/>
                <w:color w:val="auto"/>
                <w:szCs w:val="21"/>
              </w:rPr>
            </w:pPr>
          </w:p>
        </w:tc>
        <w:tc>
          <w:tcPr>
            <w:tcW w:w="596" w:type="pct"/>
            <w:vAlign w:val="center"/>
          </w:tcPr>
          <w:p w14:paraId="18FF4012">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eastAsia="宋体" w:cs="Times New Roman"/>
                <w:color w:val="auto"/>
                <w:szCs w:val="21"/>
                <w:lang w:eastAsia="zh-CN"/>
              </w:rPr>
              <w:t>非甲烷总烃</w:t>
            </w:r>
          </w:p>
        </w:tc>
        <w:tc>
          <w:tcPr>
            <w:tcW w:w="586" w:type="pct"/>
            <w:vAlign w:val="center"/>
          </w:tcPr>
          <w:p w14:paraId="7BA772A3">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0.009</w:t>
            </w:r>
          </w:p>
        </w:tc>
        <w:tc>
          <w:tcPr>
            <w:tcW w:w="545" w:type="pct"/>
            <w:vAlign w:val="center"/>
          </w:tcPr>
          <w:p w14:paraId="03D765AD">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w:t>
            </w:r>
          </w:p>
        </w:tc>
        <w:tc>
          <w:tcPr>
            <w:tcW w:w="545" w:type="pct"/>
            <w:vAlign w:val="center"/>
          </w:tcPr>
          <w:p w14:paraId="55A6FF47">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w:t>
            </w:r>
          </w:p>
        </w:tc>
        <w:tc>
          <w:tcPr>
            <w:tcW w:w="547" w:type="pct"/>
            <w:vAlign w:val="center"/>
          </w:tcPr>
          <w:p w14:paraId="037E4F90">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0.0884</w:t>
            </w:r>
          </w:p>
        </w:tc>
        <w:tc>
          <w:tcPr>
            <w:tcW w:w="582" w:type="pct"/>
            <w:vAlign w:val="center"/>
          </w:tcPr>
          <w:p w14:paraId="6D9253CE">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w:t>
            </w:r>
          </w:p>
        </w:tc>
        <w:tc>
          <w:tcPr>
            <w:tcW w:w="1982" w:type="dxa"/>
            <w:vAlign w:val="center"/>
          </w:tcPr>
          <w:p w14:paraId="2250C365">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eastAsia="宋体" w:cs="Times New Roman"/>
                <w:color w:val="auto"/>
                <w:szCs w:val="21"/>
                <w:lang w:eastAsia="zh-CN" w:bidi="ar"/>
              </w:rPr>
              <w:t>0.0974</w:t>
            </w:r>
          </w:p>
        </w:tc>
        <w:tc>
          <w:tcPr>
            <w:tcW w:w="444" w:type="pct"/>
            <w:vAlign w:val="center"/>
          </w:tcPr>
          <w:p w14:paraId="3ED42960">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+0.0884</w:t>
            </w:r>
          </w:p>
        </w:tc>
      </w:tr>
      <w:tr w14:paraId="06DE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restart"/>
            <w:vAlign w:val="center"/>
          </w:tcPr>
          <w:p w14:paraId="53AC6E87">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废水</w:t>
            </w:r>
          </w:p>
        </w:tc>
        <w:tc>
          <w:tcPr>
            <w:tcW w:w="596" w:type="pct"/>
            <w:vAlign w:val="center"/>
          </w:tcPr>
          <w:p w14:paraId="1D6494F8">
            <w:pPr>
              <w:adjustRightInd w:val="0"/>
              <w:snapToGrid w:val="0"/>
              <w:spacing w:line="240" w:lineRule="auto"/>
              <w:ind w:firstLine="0" w:firstLineChars="0"/>
              <w:jc w:val="center"/>
              <w:rPr>
                <w:rFonts w:cs="Times New Roman" w:eastAsiaTheme="minorHAnsi"/>
                <w:bCs/>
                <w:color w:val="auto"/>
                <w:sz w:val="22"/>
                <w:szCs w:val="21"/>
                <w:lang w:eastAsia="zh-CN"/>
              </w:rPr>
            </w:pPr>
            <w:r>
              <w:rPr>
                <w:rFonts w:cs="Times New Roman"/>
                <w:bCs/>
                <w:color w:val="auto"/>
                <w:szCs w:val="21"/>
              </w:rPr>
              <w:t>COD</w:t>
            </w:r>
          </w:p>
        </w:tc>
        <w:tc>
          <w:tcPr>
            <w:tcW w:w="586" w:type="pct"/>
            <w:vAlign w:val="center"/>
          </w:tcPr>
          <w:p w14:paraId="01819271">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0.237</w:t>
            </w:r>
          </w:p>
        </w:tc>
        <w:tc>
          <w:tcPr>
            <w:tcW w:w="545" w:type="pct"/>
            <w:vAlign w:val="center"/>
          </w:tcPr>
          <w:p w14:paraId="19BE5A0E">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545" w:type="pct"/>
            <w:vAlign w:val="center"/>
          </w:tcPr>
          <w:p w14:paraId="7D673C18">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547" w:type="pct"/>
            <w:vAlign w:val="center"/>
          </w:tcPr>
          <w:p w14:paraId="57715553">
            <w:pPr>
              <w:pStyle w:val="25"/>
              <w:adjustRightInd w:val="0"/>
              <w:snapToGrid w:val="0"/>
              <w:spacing w:after="0"/>
              <w:ind w:left="0" w:leftChars="0" w:firstLine="0" w:firstLineChars="0"/>
              <w:jc w:val="center"/>
              <w:rPr>
                <w:rFonts w:ascii="Times New Roman" w:cs="Times New Roman" w:eastAsiaTheme="minorHAnsi"/>
                <w:bCs/>
                <w:color w:val="auto"/>
                <w:szCs w:val="20"/>
                <w:lang w:eastAsia="zh-CN"/>
              </w:rPr>
            </w:pPr>
            <w:r>
              <w:rPr>
                <w:rFonts w:hint="eastAsia" w:ascii="Times New Roman" w:eastAsia="宋体" w:cs="Times New Roman"/>
                <w:color w:val="auto"/>
                <w:szCs w:val="21"/>
                <w:lang w:eastAsia="zh-CN"/>
              </w:rPr>
              <w:t>0.1142</w:t>
            </w:r>
          </w:p>
        </w:tc>
        <w:tc>
          <w:tcPr>
            <w:tcW w:w="582" w:type="pct"/>
            <w:vAlign w:val="center"/>
          </w:tcPr>
          <w:p w14:paraId="1DA2FFD4">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1982" w:type="dxa"/>
            <w:vAlign w:val="center"/>
          </w:tcPr>
          <w:p w14:paraId="1F9C17AC">
            <w:pPr>
              <w:widowControl/>
              <w:spacing w:line="240" w:lineRule="auto"/>
              <w:ind w:left="0" w:leftChars="0" w:right="0" w:rightChars="0" w:firstLine="0" w:firstLineChars="0"/>
              <w:jc w:val="center"/>
              <w:textAlignment w:val="center"/>
              <w:rPr>
                <w:rFonts w:cs="Times New Roman" w:eastAsiaTheme="minorHAnsi"/>
                <w:bCs/>
                <w:color w:val="auto"/>
                <w:szCs w:val="20"/>
                <w:lang w:eastAsia="zh-CN"/>
              </w:rPr>
            </w:pPr>
            <w:r>
              <w:rPr>
                <w:rFonts w:eastAsia="宋体" w:cs="Times New Roman"/>
                <w:color w:val="auto"/>
                <w:szCs w:val="21"/>
                <w:lang w:eastAsia="zh-CN" w:bidi="ar"/>
              </w:rPr>
              <w:t>0.3512</w:t>
            </w:r>
          </w:p>
        </w:tc>
        <w:tc>
          <w:tcPr>
            <w:tcW w:w="444" w:type="pct"/>
            <w:vAlign w:val="center"/>
          </w:tcPr>
          <w:p w14:paraId="472AF67F">
            <w:pPr>
              <w:pStyle w:val="25"/>
              <w:adjustRightInd w:val="0"/>
              <w:snapToGrid w:val="0"/>
              <w:spacing w:after="0"/>
              <w:ind w:left="0" w:leftChars="0" w:firstLine="0" w:firstLineChars="0"/>
              <w:jc w:val="center"/>
              <w:rPr>
                <w:rFonts w:ascii="Times New Roman" w:eastAsia="宋体" w:cs="Times New Roman"/>
                <w:color w:val="auto"/>
                <w:szCs w:val="21"/>
              </w:rPr>
            </w:pPr>
            <w:r>
              <w:rPr>
                <w:rFonts w:hint="eastAsia" w:ascii="Times New Roman" w:eastAsia="宋体" w:cs="Times New Roman"/>
                <w:color w:val="auto"/>
                <w:szCs w:val="21"/>
                <w:lang w:eastAsia="zh-CN"/>
              </w:rPr>
              <w:t>+0.1142</w:t>
            </w:r>
          </w:p>
        </w:tc>
      </w:tr>
      <w:tr w14:paraId="2981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5C1A44B3">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2BF41B09">
            <w:pPr>
              <w:adjustRightInd w:val="0"/>
              <w:snapToGrid w:val="0"/>
              <w:spacing w:line="240" w:lineRule="auto"/>
              <w:ind w:firstLine="0" w:firstLineChars="0"/>
              <w:jc w:val="center"/>
              <w:rPr>
                <w:rFonts w:cs="Times New Roman" w:eastAsiaTheme="minorHAnsi"/>
                <w:bCs/>
                <w:color w:val="auto"/>
                <w:sz w:val="22"/>
                <w:szCs w:val="21"/>
                <w:lang w:eastAsia="zh-CN"/>
              </w:rPr>
            </w:pPr>
            <w:r>
              <w:rPr>
                <w:rFonts w:cs="Times New Roman"/>
                <w:bCs/>
                <w:color w:val="auto"/>
                <w:szCs w:val="21"/>
              </w:rPr>
              <w:t>氨氮</w:t>
            </w:r>
          </w:p>
        </w:tc>
        <w:tc>
          <w:tcPr>
            <w:tcW w:w="586" w:type="pct"/>
            <w:vAlign w:val="center"/>
          </w:tcPr>
          <w:p w14:paraId="4450CD9B">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hint="eastAsia" w:ascii="Times New Roman" w:eastAsia="宋体" w:cs="Times New Roman"/>
                <w:color w:val="auto"/>
                <w:szCs w:val="21"/>
                <w:lang w:eastAsia="zh-CN"/>
              </w:rPr>
              <w:t>0.029</w:t>
            </w:r>
          </w:p>
        </w:tc>
        <w:tc>
          <w:tcPr>
            <w:tcW w:w="545" w:type="pct"/>
            <w:vAlign w:val="center"/>
          </w:tcPr>
          <w:p w14:paraId="786C1654">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545" w:type="pct"/>
            <w:vAlign w:val="center"/>
          </w:tcPr>
          <w:p w14:paraId="6543C10D">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547" w:type="pct"/>
            <w:vAlign w:val="center"/>
          </w:tcPr>
          <w:p w14:paraId="1CAA4420">
            <w:pPr>
              <w:pStyle w:val="25"/>
              <w:adjustRightInd w:val="0"/>
              <w:snapToGrid w:val="0"/>
              <w:spacing w:after="0"/>
              <w:ind w:left="0" w:leftChars="0" w:firstLine="0" w:firstLineChars="0"/>
              <w:jc w:val="center"/>
              <w:rPr>
                <w:rFonts w:ascii="Times New Roman" w:cs="Times New Roman" w:eastAsiaTheme="minorHAnsi"/>
                <w:bCs/>
                <w:color w:val="auto"/>
                <w:szCs w:val="20"/>
                <w:lang w:eastAsia="zh-CN"/>
              </w:rPr>
            </w:pPr>
            <w:r>
              <w:rPr>
                <w:rFonts w:hint="eastAsia" w:ascii="Times New Roman" w:eastAsia="宋体" w:cs="Times New Roman"/>
                <w:color w:val="auto"/>
                <w:szCs w:val="21"/>
                <w:lang w:eastAsia="zh-CN"/>
              </w:rPr>
              <w:t>0.0118</w:t>
            </w:r>
          </w:p>
        </w:tc>
        <w:tc>
          <w:tcPr>
            <w:tcW w:w="582" w:type="pct"/>
            <w:vAlign w:val="center"/>
          </w:tcPr>
          <w:p w14:paraId="3DB058C9">
            <w:pPr>
              <w:adjustRightInd w:val="0"/>
              <w:snapToGrid w:val="0"/>
              <w:spacing w:line="240" w:lineRule="auto"/>
              <w:ind w:left="0" w:leftChars="0" w:firstLine="0" w:firstLineChars="0"/>
              <w:jc w:val="center"/>
              <w:rPr>
                <w:rFonts w:eastAsia="宋体" w:cs="Times New Roman"/>
                <w:color w:val="auto"/>
                <w:szCs w:val="21"/>
              </w:rPr>
            </w:pPr>
            <w:r>
              <w:rPr>
                <w:rFonts w:eastAsia="宋体" w:cs="Times New Roman"/>
                <w:color w:val="auto"/>
                <w:szCs w:val="21"/>
                <w:lang w:eastAsia="zh-CN"/>
              </w:rPr>
              <w:t>/</w:t>
            </w:r>
          </w:p>
        </w:tc>
        <w:tc>
          <w:tcPr>
            <w:tcW w:w="1982" w:type="dxa"/>
            <w:vAlign w:val="center"/>
          </w:tcPr>
          <w:p w14:paraId="3551CA6D">
            <w:pPr>
              <w:widowControl/>
              <w:spacing w:line="240" w:lineRule="auto"/>
              <w:ind w:left="0" w:leftChars="0" w:right="0" w:rightChars="0" w:firstLine="0" w:firstLineChars="0"/>
              <w:jc w:val="center"/>
              <w:textAlignment w:val="center"/>
              <w:rPr>
                <w:rFonts w:cs="Times New Roman" w:eastAsiaTheme="minorHAnsi"/>
                <w:bCs/>
                <w:color w:val="auto"/>
                <w:szCs w:val="20"/>
                <w:lang w:eastAsia="zh-CN"/>
              </w:rPr>
            </w:pPr>
            <w:r>
              <w:rPr>
                <w:rFonts w:eastAsia="宋体" w:cs="Times New Roman"/>
                <w:color w:val="auto"/>
                <w:szCs w:val="21"/>
                <w:lang w:eastAsia="zh-CN" w:bidi="ar"/>
              </w:rPr>
              <w:t>0.0408</w:t>
            </w:r>
          </w:p>
        </w:tc>
        <w:tc>
          <w:tcPr>
            <w:tcW w:w="444" w:type="pct"/>
            <w:vAlign w:val="center"/>
          </w:tcPr>
          <w:p w14:paraId="3AFA5D5F">
            <w:pPr>
              <w:pStyle w:val="25"/>
              <w:adjustRightInd w:val="0"/>
              <w:snapToGrid w:val="0"/>
              <w:spacing w:after="0"/>
              <w:ind w:left="0" w:leftChars="0" w:firstLine="0" w:firstLineChars="0"/>
              <w:jc w:val="center"/>
              <w:rPr>
                <w:rFonts w:ascii="Times New Roman" w:eastAsia="宋体" w:cs="Times New Roman"/>
                <w:color w:val="auto"/>
                <w:szCs w:val="21"/>
              </w:rPr>
            </w:pPr>
            <w:r>
              <w:rPr>
                <w:rFonts w:hint="eastAsia" w:ascii="Times New Roman" w:eastAsia="宋体" w:cs="Times New Roman"/>
                <w:color w:val="auto"/>
                <w:szCs w:val="21"/>
                <w:lang w:eastAsia="zh-CN"/>
              </w:rPr>
              <w:t>+0.0118</w:t>
            </w:r>
          </w:p>
        </w:tc>
      </w:tr>
      <w:tr w14:paraId="643A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restart"/>
            <w:vAlign w:val="center"/>
          </w:tcPr>
          <w:p w14:paraId="4B532193">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一般工业固体废物</w:t>
            </w:r>
          </w:p>
        </w:tc>
        <w:tc>
          <w:tcPr>
            <w:tcW w:w="596" w:type="pct"/>
            <w:vAlign w:val="center"/>
          </w:tcPr>
          <w:p w14:paraId="7A509874">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废边角料</w:t>
            </w:r>
          </w:p>
        </w:tc>
        <w:tc>
          <w:tcPr>
            <w:tcW w:w="586" w:type="pct"/>
            <w:vAlign w:val="center"/>
          </w:tcPr>
          <w:p w14:paraId="5FF3424B">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11.5</w:t>
            </w:r>
          </w:p>
        </w:tc>
        <w:tc>
          <w:tcPr>
            <w:tcW w:w="545" w:type="pct"/>
            <w:vAlign w:val="center"/>
          </w:tcPr>
          <w:p w14:paraId="5218D5A1">
            <w:pPr>
              <w:adjustRightInd w:val="0"/>
              <w:snapToGrid w:val="0"/>
              <w:spacing w:line="240" w:lineRule="auto"/>
              <w:ind w:left="0" w:leftChars="0" w:firstLine="0" w:firstLineChars="0"/>
              <w:jc w:val="center"/>
              <w:rPr>
                <w:rFonts w:cs="Times New Roman"/>
                <w:color w:val="auto"/>
                <w:szCs w:val="21"/>
              </w:rPr>
            </w:pPr>
            <w:r>
              <w:rPr>
                <w:rFonts w:eastAsia="宋体" w:cs="Times New Roman"/>
                <w:color w:val="auto"/>
                <w:szCs w:val="21"/>
                <w:lang w:eastAsia="zh-CN"/>
              </w:rPr>
              <w:t>/</w:t>
            </w:r>
          </w:p>
        </w:tc>
        <w:tc>
          <w:tcPr>
            <w:tcW w:w="545" w:type="pct"/>
            <w:vAlign w:val="center"/>
          </w:tcPr>
          <w:p w14:paraId="121ACC53">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547" w:type="pct"/>
            <w:vAlign w:val="center"/>
          </w:tcPr>
          <w:p w14:paraId="6428AED7">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2</w:t>
            </w:r>
          </w:p>
        </w:tc>
        <w:tc>
          <w:tcPr>
            <w:tcW w:w="582" w:type="pct"/>
            <w:vAlign w:val="center"/>
          </w:tcPr>
          <w:p w14:paraId="4A93382E">
            <w:pPr>
              <w:adjustRightInd w:val="0"/>
              <w:snapToGrid w:val="0"/>
              <w:spacing w:line="240" w:lineRule="auto"/>
              <w:ind w:left="0" w:leftChars="0" w:firstLine="0" w:firstLineChars="0"/>
              <w:jc w:val="center"/>
              <w:rPr>
                <w:rFonts w:eastAsia="宋体" w:cs="Times New Roman"/>
                <w:color w:val="auto"/>
                <w:szCs w:val="21"/>
              </w:rPr>
            </w:pPr>
            <w:r>
              <w:rPr>
                <w:rFonts w:eastAsia="宋体" w:cs="Times New Roman"/>
                <w:color w:val="auto"/>
                <w:szCs w:val="21"/>
                <w:lang w:eastAsia="zh-CN"/>
              </w:rPr>
              <w:t>/</w:t>
            </w:r>
          </w:p>
        </w:tc>
        <w:tc>
          <w:tcPr>
            <w:tcW w:w="1982" w:type="dxa"/>
            <w:vAlign w:val="center"/>
          </w:tcPr>
          <w:p w14:paraId="3DF7234D">
            <w:pPr>
              <w:widowControl/>
              <w:spacing w:line="240" w:lineRule="auto"/>
              <w:ind w:left="0" w:leftChars="0" w:right="0" w:rightChars="0" w:firstLine="0" w:firstLineChars="0"/>
              <w:jc w:val="center"/>
              <w:textAlignment w:val="center"/>
              <w:rPr>
                <w:rFonts w:eastAsia="宋体" w:cs="Times New Roman"/>
                <w:color w:val="auto"/>
                <w:szCs w:val="21"/>
                <w:lang w:eastAsia="zh-CN"/>
              </w:rPr>
            </w:pPr>
            <w:r>
              <w:rPr>
                <w:rFonts w:hint="eastAsia" w:eastAsia="宋体" w:cs="Times New Roman"/>
                <w:color w:val="auto"/>
                <w:szCs w:val="21"/>
                <w:lang w:eastAsia="zh-CN" w:bidi="ar"/>
              </w:rPr>
              <w:t>10.8</w:t>
            </w:r>
          </w:p>
        </w:tc>
        <w:tc>
          <w:tcPr>
            <w:tcW w:w="444" w:type="pct"/>
            <w:vAlign w:val="center"/>
          </w:tcPr>
          <w:p w14:paraId="5C233F49">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cs="Times New Roman"/>
                <w:snapToGrid w:val="0"/>
                <w:color w:val="auto"/>
                <w:szCs w:val="21"/>
                <w:lang w:eastAsia="zh-CN"/>
              </w:rPr>
              <w:t>+2</w:t>
            </w:r>
          </w:p>
        </w:tc>
      </w:tr>
      <w:tr w14:paraId="4B7D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248A1909">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16629E58">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焊接废料</w:t>
            </w:r>
          </w:p>
        </w:tc>
        <w:tc>
          <w:tcPr>
            <w:tcW w:w="586" w:type="pct"/>
            <w:vAlign w:val="center"/>
          </w:tcPr>
          <w:p w14:paraId="48F29CF4">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0.02</w:t>
            </w:r>
          </w:p>
        </w:tc>
        <w:tc>
          <w:tcPr>
            <w:tcW w:w="545" w:type="pct"/>
            <w:vAlign w:val="center"/>
          </w:tcPr>
          <w:p w14:paraId="0A708D75">
            <w:pPr>
              <w:adjustRightInd w:val="0"/>
              <w:snapToGrid w:val="0"/>
              <w:spacing w:line="240" w:lineRule="auto"/>
              <w:ind w:left="0" w:leftChars="0" w:firstLine="0" w:firstLineChars="0"/>
              <w:jc w:val="center"/>
              <w:rPr>
                <w:rFonts w:cs="Times New Roman"/>
                <w:color w:val="auto"/>
                <w:szCs w:val="21"/>
              </w:rPr>
            </w:pPr>
            <w:r>
              <w:rPr>
                <w:rFonts w:eastAsia="宋体" w:cs="Times New Roman"/>
                <w:color w:val="auto"/>
                <w:szCs w:val="21"/>
                <w:lang w:eastAsia="zh-CN"/>
              </w:rPr>
              <w:t>/</w:t>
            </w:r>
          </w:p>
        </w:tc>
        <w:tc>
          <w:tcPr>
            <w:tcW w:w="545" w:type="pct"/>
            <w:vAlign w:val="center"/>
          </w:tcPr>
          <w:p w14:paraId="2F0B9074">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547" w:type="pct"/>
            <w:vAlign w:val="center"/>
          </w:tcPr>
          <w:p w14:paraId="074CFD35">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0.02</w:t>
            </w:r>
          </w:p>
        </w:tc>
        <w:tc>
          <w:tcPr>
            <w:tcW w:w="582" w:type="pct"/>
            <w:vAlign w:val="center"/>
          </w:tcPr>
          <w:p w14:paraId="3D811A71">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982" w:type="dxa"/>
            <w:vAlign w:val="center"/>
          </w:tcPr>
          <w:p w14:paraId="36977DD2">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0.04</w:t>
            </w:r>
          </w:p>
        </w:tc>
        <w:tc>
          <w:tcPr>
            <w:tcW w:w="444" w:type="pct"/>
            <w:vAlign w:val="center"/>
          </w:tcPr>
          <w:p w14:paraId="4D0BFAE5">
            <w:pPr>
              <w:adjustRightInd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snapToGrid w:val="0"/>
                <w:color w:val="auto"/>
                <w:szCs w:val="21"/>
                <w:lang w:eastAsia="zh-CN"/>
              </w:rPr>
              <w:t>+0.02</w:t>
            </w:r>
          </w:p>
        </w:tc>
      </w:tr>
      <w:tr w14:paraId="4869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7C85613C">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67D6E781">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除尘器收集粉尘</w:t>
            </w:r>
          </w:p>
        </w:tc>
        <w:tc>
          <w:tcPr>
            <w:tcW w:w="586" w:type="pct"/>
            <w:vAlign w:val="center"/>
          </w:tcPr>
          <w:p w14:paraId="46B3FEC5">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0.87</w:t>
            </w:r>
          </w:p>
        </w:tc>
        <w:tc>
          <w:tcPr>
            <w:tcW w:w="545" w:type="pct"/>
            <w:vAlign w:val="center"/>
          </w:tcPr>
          <w:p w14:paraId="7BD6FCA7">
            <w:pPr>
              <w:adjustRightInd w:val="0"/>
              <w:snapToGrid w:val="0"/>
              <w:spacing w:line="240" w:lineRule="auto"/>
              <w:ind w:left="0" w:lef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c>
          <w:tcPr>
            <w:tcW w:w="545" w:type="pct"/>
            <w:vAlign w:val="center"/>
          </w:tcPr>
          <w:p w14:paraId="33185736">
            <w:pPr>
              <w:adjustRightInd w:val="0"/>
              <w:snapToGrid w:val="0"/>
              <w:spacing w:line="240" w:lineRule="auto"/>
              <w:ind w:left="0" w:lef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c>
          <w:tcPr>
            <w:tcW w:w="547" w:type="pct"/>
            <w:vAlign w:val="center"/>
          </w:tcPr>
          <w:p w14:paraId="1C731743">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0.5225</w:t>
            </w:r>
          </w:p>
        </w:tc>
        <w:tc>
          <w:tcPr>
            <w:tcW w:w="582" w:type="pct"/>
            <w:vAlign w:val="center"/>
          </w:tcPr>
          <w:p w14:paraId="5E298467">
            <w:pPr>
              <w:adjustRightInd w:val="0"/>
              <w:snapToGrid w:val="0"/>
              <w:spacing w:line="240" w:lineRule="auto"/>
              <w:ind w:left="0" w:lef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c>
          <w:tcPr>
            <w:tcW w:w="1982" w:type="dxa"/>
            <w:vAlign w:val="center"/>
          </w:tcPr>
          <w:p w14:paraId="7787D255">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1.3925</w:t>
            </w:r>
          </w:p>
        </w:tc>
        <w:tc>
          <w:tcPr>
            <w:tcW w:w="444" w:type="pct"/>
            <w:vAlign w:val="center"/>
          </w:tcPr>
          <w:p w14:paraId="34161CD5">
            <w:pPr>
              <w:adjustRightInd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snapToGrid w:val="0"/>
                <w:color w:val="auto"/>
                <w:szCs w:val="21"/>
                <w:lang w:eastAsia="zh-CN"/>
              </w:rPr>
              <w:t>+0.5225</w:t>
            </w:r>
          </w:p>
        </w:tc>
      </w:tr>
      <w:tr w14:paraId="7FEB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788E4E19">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2B037ABA">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废滤芯</w:t>
            </w:r>
          </w:p>
        </w:tc>
        <w:tc>
          <w:tcPr>
            <w:tcW w:w="586" w:type="pct"/>
            <w:vAlign w:val="center"/>
          </w:tcPr>
          <w:p w14:paraId="616F9E25">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0.5</w:t>
            </w:r>
          </w:p>
        </w:tc>
        <w:tc>
          <w:tcPr>
            <w:tcW w:w="545" w:type="pct"/>
            <w:vAlign w:val="center"/>
          </w:tcPr>
          <w:p w14:paraId="00F9C71B">
            <w:pPr>
              <w:adjustRightInd w:val="0"/>
              <w:snapToGrid w:val="0"/>
              <w:spacing w:line="240" w:lineRule="auto"/>
              <w:ind w:left="0" w:lef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c>
          <w:tcPr>
            <w:tcW w:w="545" w:type="pct"/>
            <w:vAlign w:val="center"/>
          </w:tcPr>
          <w:p w14:paraId="23E03EB3">
            <w:pPr>
              <w:adjustRightInd w:val="0"/>
              <w:snapToGrid w:val="0"/>
              <w:spacing w:line="240" w:lineRule="auto"/>
              <w:ind w:left="0" w:lef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c>
          <w:tcPr>
            <w:tcW w:w="547" w:type="pct"/>
            <w:vAlign w:val="center"/>
          </w:tcPr>
          <w:p w14:paraId="1118EC9D">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0.5</w:t>
            </w:r>
          </w:p>
        </w:tc>
        <w:tc>
          <w:tcPr>
            <w:tcW w:w="582" w:type="pct"/>
            <w:vAlign w:val="center"/>
          </w:tcPr>
          <w:p w14:paraId="2A10533E">
            <w:pPr>
              <w:adjustRightInd w:val="0"/>
              <w:snapToGrid w:val="0"/>
              <w:spacing w:line="240" w:lineRule="auto"/>
              <w:ind w:left="0" w:lef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w:t>
            </w:r>
          </w:p>
        </w:tc>
        <w:tc>
          <w:tcPr>
            <w:tcW w:w="1982" w:type="dxa"/>
            <w:vAlign w:val="center"/>
          </w:tcPr>
          <w:p w14:paraId="359D4F07">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1</w:t>
            </w:r>
          </w:p>
        </w:tc>
        <w:tc>
          <w:tcPr>
            <w:tcW w:w="444" w:type="pct"/>
            <w:vAlign w:val="center"/>
          </w:tcPr>
          <w:p w14:paraId="5A140236">
            <w:pPr>
              <w:adjustRightInd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snapToGrid w:val="0"/>
                <w:color w:val="auto"/>
                <w:szCs w:val="21"/>
                <w:lang w:eastAsia="zh-CN"/>
              </w:rPr>
              <w:t>+0.5</w:t>
            </w:r>
          </w:p>
        </w:tc>
      </w:tr>
      <w:tr w14:paraId="5A6B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626FE105">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63381621">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废包装</w:t>
            </w:r>
          </w:p>
        </w:tc>
        <w:tc>
          <w:tcPr>
            <w:tcW w:w="586" w:type="pct"/>
            <w:vAlign w:val="center"/>
          </w:tcPr>
          <w:p w14:paraId="5DB3E718">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0.01</w:t>
            </w:r>
          </w:p>
        </w:tc>
        <w:tc>
          <w:tcPr>
            <w:tcW w:w="545" w:type="pct"/>
            <w:vAlign w:val="center"/>
          </w:tcPr>
          <w:p w14:paraId="5F8E1257">
            <w:pPr>
              <w:adjustRightInd w:val="0"/>
              <w:snapToGrid w:val="0"/>
              <w:spacing w:line="240" w:lineRule="auto"/>
              <w:ind w:left="0" w:leftChars="0" w:firstLine="0" w:firstLineChars="0"/>
              <w:jc w:val="center"/>
              <w:rPr>
                <w:rFonts w:cs="Times New Roman"/>
                <w:color w:val="auto"/>
                <w:szCs w:val="21"/>
              </w:rPr>
            </w:pPr>
            <w:r>
              <w:rPr>
                <w:rFonts w:eastAsia="宋体" w:cs="Times New Roman"/>
                <w:color w:val="auto"/>
                <w:szCs w:val="21"/>
                <w:lang w:eastAsia="zh-CN"/>
              </w:rPr>
              <w:t>/</w:t>
            </w:r>
          </w:p>
        </w:tc>
        <w:tc>
          <w:tcPr>
            <w:tcW w:w="545" w:type="pct"/>
            <w:vAlign w:val="center"/>
          </w:tcPr>
          <w:p w14:paraId="69E1C313">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547" w:type="pct"/>
            <w:vAlign w:val="center"/>
          </w:tcPr>
          <w:p w14:paraId="3E2F3F70">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0.01</w:t>
            </w:r>
          </w:p>
        </w:tc>
        <w:tc>
          <w:tcPr>
            <w:tcW w:w="582" w:type="pct"/>
            <w:vAlign w:val="center"/>
          </w:tcPr>
          <w:p w14:paraId="2BFA4E03">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982" w:type="dxa"/>
            <w:vAlign w:val="center"/>
          </w:tcPr>
          <w:p w14:paraId="05517304">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0.02</w:t>
            </w:r>
          </w:p>
        </w:tc>
        <w:tc>
          <w:tcPr>
            <w:tcW w:w="444" w:type="pct"/>
            <w:vAlign w:val="center"/>
          </w:tcPr>
          <w:p w14:paraId="1314AA4F">
            <w:pPr>
              <w:adjustRightInd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snapToGrid w:val="0"/>
                <w:color w:val="auto"/>
                <w:szCs w:val="21"/>
                <w:lang w:eastAsia="zh-CN"/>
              </w:rPr>
              <w:t>+0.01</w:t>
            </w:r>
          </w:p>
        </w:tc>
      </w:tr>
      <w:tr w14:paraId="59D1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restart"/>
            <w:vAlign w:val="center"/>
          </w:tcPr>
          <w:p w14:paraId="3D5D5D18">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危险废物</w:t>
            </w:r>
          </w:p>
        </w:tc>
        <w:tc>
          <w:tcPr>
            <w:tcW w:w="596" w:type="pct"/>
            <w:vAlign w:val="center"/>
          </w:tcPr>
          <w:p w14:paraId="55CE6260">
            <w:pPr>
              <w:adjustRightInd w:val="0"/>
              <w:snapToGrid w:val="0"/>
              <w:spacing w:line="240" w:lineRule="auto"/>
              <w:ind w:left="0" w:leftChars="0" w:right="0" w:rightChars="0" w:firstLine="0" w:firstLineChars="0"/>
              <w:jc w:val="center"/>
              <w:rPr>
                <w:rFonts w:cs="Times New Roman"/>
                <w:snapToGrid w:val="0"/>
                <w:color w:val="auto"/>
                <w:szCs w:val="21"/>
              </w:rPr>
            </w:pPr>
            <w:r>
              <w:rPr>
                <w:rFonts w:hint="eastAsia" w:cs="Times New Roman"/>
                <w:snapToGrid w:val="0"/>
                <w:color w:val="auto"/>
                <w:szCs w:val="21"/>
                <w:lang w:eastAsia="zh-CN"/>
              </w:rPr>
              <w:t>废油墨桶</w:t>
            </w:r>
          </w:p>
        </w:tc>
        <w:tc>
          <w:tcPr>
            <w:tcW w:w="586" w:type="pct"/>
            <w:vAlign w:val="center"/>
          </w:tcPr>
          <w:p w14:paraId="33B0AB09">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0</w:t>
            </w:r>
          </w:p>
        </w:tc>
        <w:tc>
          <w:tcPr>
            <w:tcW w:w="545" w:type="pct"/>
            <w:vAlign w:val="center"/>
          </w:tcPr>
          <w:p w14:paraId="643CD044">
            <w:pPr>
              <w:pStyle w:val="25"/>
              <w:adjustRightInd w:val="0"/>
              <w:snapToGrid w:val="0"/>
              <w:spacing w:after="0"/>
              <w:ind w:left="0" w:leftChars="0" w:firstLine="0" w:firstLineChars="0"/>
              <w:jc w:val="center"/>
              <w:rPr>
                <w:rFonts w:ascii="Times New Roman" w:cs="Times New Roman"/>
                <w:color w:val="auto"/>
                <w:szCs w:val="21"/>
              </w:rPr>
            </w:pPr>
            <w:r>
              <w:rPr>
                <w:rFonts w:ascii="Times New Roman" w:eastAsia="宋体" w:cs="Times New Roman"/>
                <w:color w:val="auto"/>
                <w:szCs w:val="21"/>
                <w:lang w:eastAsia="zh-CN"/>
              </w:rPr>
              <w:t>/</w:t>
            </w:r>
          </w:p>
        </w:tc>
        <w:tc>
          <w:tcPr>
            <w:tcW w:w="545" w:type="pct"/>
            <w:vAlign w:val="center"/>
          </w:tcPr>
          <w:p w14:paraId="1B997C63">
            <w:pPr>
              <w:pStyle w:val="25"/>
              <w:adjustRightInd w:val="0"/>
              <w:snapToGrid w:val="0"/>
              <w:spacing w:after="0"/>
              <w:ind w:left="0" w:leftChars="0" w:firstLine="0" w:firstLineChars="0"/>
              <w:jc w:val="center"/>
              <w:rPr>
                <w:rFonts w:ascii="Times New Roman" w:cs="Times New Roman"/>
                <w:color w:val="auto"/>
                <w:szCs w:val="21"/>
                <w:lang w:eastAsia="zh-CN"/>
              </w:rPr>
            </w:pPr>
            <w:r>
              <w:rPr>
                <w:rFonts w:ascii="Times New Roman" w:eastAsia="宋体" w:cs="Times New Roman"/>
                <w:color w:val="auto"/>
                <w:szCs w:val="21"/>
                <w:lang w:eastAsia="zh-CN"/>
              </w:rPr>
              <w:t>/</w:t>
            </w:r>
          </w:p>
        </w:tc>
        <w:tc>
          <w:tcPr>
            <w:tcW w:w="547" w:type="pct"/>
            <w:vAlign w:val="center"/>
          </w:tcPr>
          <w:p w14:paraId="1C441501">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0.02</w:t>
            </w:r>
          </w:p>
        </w:tc>
        <w:tc>
          <w:tcPr>
            <w:tcW w:w="582" w:type="pct"/>
            <w:vAlign w:val="center"/>
          </w:tcPr>
          <w:p w14:paraId="695B0D45">
            <w:pPr>
              <w:pStyle w:val="25"/>
              <w:adjustRightInd w:val="0"/>
              <w:snapToGrid w:val="0"/>
              <w:spacing w:after="0"/>
              <w:ind w:left="0" w:leftChars="0" w:firstLine="0" w:firstLineChars="0"/>
              <w:jc w:val="center"/>
              <w:rPr>
                <w:rFonts w:ascii="Times New Roman" w:eastAsia="宋体" w:cs="Times New Roman"/>
                <w:color w:val="auto"/>
                <w:szCs w:val="21"/>
              </w:rPr>
            </w:pPr>
            <w:r>
              <w:rPr>
                <w:rFonts w:ascii="Times New Roman" w:eastAsia="宋体" w:cs="Times New Roman"/>
                <w:color w:val="auto"/>
                <w:szCs w:val="21"/>
                <w:lang w:eastAsia="zh-CN"/>
              </w:rPr>
              <w:t>/</w:t>
            </w:r>
          </w:p>
        </w:tc>
        <w:tc>
          <w:tcPr>
            <w:tcW w:w="1982" w:type="dxa"/>
            <w:vAlign w:val="center"/>
          </w:tcPr>
          <w:p w14:paraId="22F29D70">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0.02</w:t>
            </w:r>
          </w:p>
        </w:tc>
        <w:tc>
          <w:tcPr>
            <w:tcW w:w="444" w:type="pct"/>
            <w:vAlign w:val="center"/>
          </w:tcPr>
          <w:p w14:paraId="4F4FE552">
            <w:pPr>
              <w:adjustRightInd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snapToGrid w:val="0"/>
                <w:color w:val="auto"/>
                <w:szCs w:val="21"/>
                <w:lang w:eastAsia="zh-CN"/>
              </w:rPr>
              <w:t>+0.02</w:t>
            </w:r>
          </w:p>
        </w:tc>
      </w:tr>
      <w:tr w14:paraId="379B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74B11813">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36A05BD9">
            <w:pPr>
              <w:adjustRightInd w:val="0"/>
              <w:snapToGrid w:val="0"/>
              <w:spacing w:line="240" w:lineRule="auto"/>
              <w:ind w:left="0" w:leftChars="0" w:right="0" w:rightChars="0" w:firstLine="0" w:firstLineChars="0"/>
              <w:jc w:val="center"/>
              <w:rPr>
                <w:rFonts w:cs="Times New Roman"/>
                <w:snapToGrid w:val="0"/>
                <w:color w:val="auto"/>
                <w:szCs w:val="21"/>
              </w:rPr>
            </w:pPr>
            <w:r>
              <w:rPr>
                <w:rFonts w:hint="eastAsia" w:cs="Times New Roman"/>
                <w:snapToGrid w:val="0"/>
                <w:color w:val="auto"/>
                <w:szCs w:val="21"/>
                <w:lang w:eastAsia="zh-CN"/>
              </w:rPr>
              <w:t>废</w:t>
            </w:r>
            <w:r>
              <w:rPr>
                <w:rFonts w:hint="eastAsia" w:cs="Times New Roman"/>
                <w:snapToGrid w:val="0"/>
                <w:color w:val="auto"/>
                <w:lang w:val="en-US" w:eastAsia="zh-CN"/>
              </w:rPr>
              <w:t>稀释剂</w:t>
            </w:r>
            <w:r>
              <w:rPr>
                <w:rFonts w:hint="eastAsia" w:cs="Times New Roman"/>
                <w:snapToGrid w:val="0"/>
                <w:color w:val="auto"/>
                <w:szCs w:val="21"/>
                <w:lang w:eastAsia="zh-CN"/>
              </w:rPr>
              <w:t>桶</w:t>
            </w:r>
          </w:p>
        </w:tc>
        <w:tc>
          <w:tcPr>
            <w:tcW w:w="586" w:type="pct"/>
            <w:vAlign w:val="center"/>
          </w:tcPr>
          <w:p w14:paraId="05753147">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0</w:t>
            </w:r>
          </w:p>
        </w:tc>
        <w:tc>
          <w:tcPr>
            <w:tcW w:w="545" w:type="pct"/>
            <w:vAlign w:val="center"/>
          </w:tcPr>
          <w:p w14:paraId="005B4236">
            <w:pPr>
              <w:adjustRightInd w:val="0"/>
              <w:snapToGrid w:val="0"/>
              <w:spacing w:line="240" w:lineRule="auto"/>
              <w:ind w:left="0" w:leftChars="0" w:firstLine="0" w:firstLineChars="0"/>
              <w:jc w:val="center"/>
              <w:rPr>
                <w:rFonts w:cs="Times New Roman"/>
                <w:color w:val="auto"/>
                <w:szCs w:val="21"/>
              </w:rPr>
            </w:pPr>
            <w:r>
              <w:rPr>
                <w:rFonts w:eastAsia="宋体" w:cs="Times New Roman"/>
                <w:color w:val="auto"/>
                <w:szCs w:val="21"/>
                <w:lang w:eastAsia="zh-CN"/>
              </w:rPr>
              <w:t>/</w:t>
            </w:r>
          </w:p>
        </w:tc>
        <w:tc>
          <w:tcPr>
            <w:tcW w:w="545" w:type="pct"/>
            <w:vAlign w:val="center"/>
          </w:tcPr>
          <w:p w14:paraId="46EA2FEE">
            <w:pPr>
              <w:adjustRightInd w:val="0"/>
              <w:snapToGrid w:val="0"/>
              <w:spacing w:line="240" w:lineRule="auto"/>
              <w:ind w:left="0" w:leftChars="0" w:firstLine="0" w:firstLineChars="0"/>
              <w:jc w:val="center"/>
              <w:rPr>
                <w:rFonts w:cs="Times New Roman"/>
                <w:color w:val="auto"/>
                <w:szCs w:val="21"/>
                <w:lang w:eastAsia="zh-CN"/>
              </w:rPr>
            </w:pPr>
            <w:r>
              <w:rPr>
                <w:rFonts w:eastAsia="宋体" w:cs="Times New Roman"/>
                <w:color w:val="auto"/>
                <w:szCs w:val="21"/>
                <w:lang w:eastAsia="zh-CN"/>
              </w:rPr>
              <w:t>/</w:t>
            </w:r>
          </w:p>
        </w:tc>
        <w:tc>
          <w:tcPr>
            <w:tcW w:w="547" w:type="pct"/>
            <w:vAlign w:val="center"/>
          </w:tcPr>
          <w:p w14:paraId="043103BA">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0.0015</w:t>
            </w:r>
          </w:p>
        </w:tc>
        <w:tc>
          <w:tcPr>
            <w:tcW w:w="582" w:type="pct"/>
            <w:vAlign w:val="center"/>
          </w:tcPr>
          <w:p w14:paraId="2A0C3F7E">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982" w:type="dxa"/>
            <w:vAlign w:val="center"/>
          </w:tcPr>
          <w:p w14:paraId="15A089B2">
            <w:pPr>
              <w:widowControl/>
              <w:spacing w:line="240" w:lineRule="auto"/>
              <w:ind w:left="0" w:leftChars="0" w:right="0" w:rightChars="0" w:firstLine="0" w:firstLineChars="0"/>
              <w:jc w:val="center"/>
              <w:textAlignment w:val="center"/>
              <w:rPr>
                <w:rFonts w:eastAsia="宋体" w:cs="Times New Roman"/>
                <w:color w:val="auto"/>
                <w:szCs w:val="21"/>
              </w:rPr>
            </w:pPr>
            <w:r>
              <w:rPr>
                <w:rFonts w:eastAsia="宋体" w:cs="Times New Roman"/>
                <w:color w:val="auto"/>
                <w:szCs w:val="21"/>
                <w:lang w:eastAsia="zh-CN" w:bidi="ar"/>
              </w:rPr>
              <w:t>0.0015</w:t>
            </w:r>
          </w:p>
        </w:tc>
        <w:tc>
          <w:tcPr>
            <w:tcW w:w="444" w:type="pct"/>
            <w:vAlign w:val="center"/>
          </w:tcPr>
          <w:p w14:paraId="137714ED">
            <w:pPr>
              <w:adjustRightInd w:val="0"/>
              <w:snapToGrid w:val="0"/>
              <w:spacing w:line="240" w:lineRule="auto"/>
              <w:ind w:left="0" w:leftChars="0" w:right="0" w:rightChars="0" w:firstLine="0" w:firstLineChars="0"/>
              <w:jc w:val="center"/>
              <w:rPr>
                <w:rFonts w:eastAsia="宋体" w:cs="Times New Roman"/>
                <w:color w:val="auto"/>
                <w:szCs w:val="21"/>
              </w:rPr>
            </w:pPr>
            <w:r>
              <w:rPr>
                <w:rFonts w:hint="eastAsia" w:cs="Times New Roman"/>
                <w:snapToGrid w:val="0"/>
                <w:color w:val="auto"/>
                <w:szCs w:val="21"/>
                <w:lang w:eastAsia="zh-CN"/>
              </w:rPr>
              <w:t>+0.0015</w:t>
            </w:r>
          </w:p>
        </w:tc>
      </w:tr>
      <w:tr w14:paraId="0774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58BB2A9A">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4E5922C8">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废活性炭</w:t>
            </w:r>
          </w:p>
        </w:tc>
        <w:tc>
          <w:tcPr>
            <w:tcW w:w="586" w:type="pct"/>
            <w:vAlign w:val="center"/>
          </w:tcPr>
          <w:p w14:paraId="65C22A76">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0.83</w:t>
            </w:r>
          </w:p>
        </w:tc>
        <w:tc>
          <w:tcPr>
            <w:tcW w:w="545" w:type="pct"/>
            <w:vAlign w:val="center"/>
          </w:tcPr>
          <w:p w14:paraId="28CCD6B2">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545" w:type="pct"/>
            <w:vAlign w:val="center"/>
          </w:tcPr>
          <w:p w14:paraId="138AB1B4">
            <w:pPr>
              <w:adjustRightInd w:val="0"/>
              <w:snapToGrid w:val="0"/>
              <w:spacing w:line="240" w:lineRule="auto"/>
              <w:ind w:left="0" w:leftChars="0" w:firstLine="0" w:firstLineChars="0"/>
              <w:jc w:val="center"/>
              <w:rPr>
                <w:rFonts w:cs="Times New Roman"/>
                <w:color w:val="auto"/>
                <w:szCs w:val="21"/>
                <w:lang w:eastAsia="zh-CN"/>
              </w:rPr>
            </w:pPr>
            <w:r>
              <w:rPr>
                <w:rFonts w:eastAsia="宋体" w:cs="Times New Roman"/>
                <w:color w:val="auto"/>
                <w:szCs w:val="21"/>
                <w:lang w:eastAsia="zh-CN"/>
              </w:rPr>
              <w:t>/</w:t>
            </w:r>
          </w:p>
        </w:tc>
        <w:tc>
          <w:tcPr>
            <w:tcW w:w="547" w:type="pct"/>
            <w:vAlign w:val="center"/>
          </w:tcPr>
          <w:p w14:paraId="39E4C984">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0.408</w:t>
            </w:r>
          </w:p>
        </w:tc>
        <w:tc>
          <w:tcPr>
            <w:tcW w:w="582" w:type="pct"/>
            <w:vAlign w:val="center"/>
          </w:tcPr>
          <w:p w14:paraId="5E5B494E">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982" w:type="dxa"/>
            <w:vAlign w:val="center"/>
          </w:tcPr>
          <w:p w14:paraId="4ADB34B7">
            <w:pPr>
              <w:widowControl/>
              <w:spacing w:line="240" w:lineRule="auto"/>
              <w:ind w:left="0" w:leftChars="0" w:right="0" w:rightChars="0" w:firstLine="0" w:firstLineChars="0"/>
              <w:jc w:val="center"/>
              <w:textAlignment w:val="center"/>
              <w:rPr>
                <w:rFonts w:eastAsia="宋体" w:cs="Times New Roman"/>
                <w:snapToGrid w:val="0"/>
                <w:color w:val="auto"/>
                <w:szCs w:val="21"/>
                <w:lang w:eastAsia="zh-CN"/>
              </w:rPr>
            </w:pPr>
            <w:r>
              <w:rPr>
                <w:rFonts w:eastAsia="宋体" w:cs="Times New Roman"/>
                <w:color w:val="auto"/>
                <w:szCs w:val="21"/>
                <w:lang w:eastAsia="zh-CN" w:bidi="ar"/>
              </w:rPr>
              <w:t>1.238</w:t>
            </w:r>
          </w:p>
        </w:tc>
        <w:tc>
          <w:tcPr>
            <w:tcW w:w="444" w:type="pct"/>
            <w:vAlign w:val="center"/>
          </w:tcPr>
          <w:p w14:paraId="5D9B22E4">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+0.408</w:t>
            </w:r>
          </w:p>
        </w:tc>
      </w:tr>
      <w:tr w14:paraId="66BD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59730B07">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4BEAAA2D">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废含油劳保用品</w:t>
            </w:r>
          </w:p>
        </w:tc>
        <w:tc>
          <w:tcPr>
            <w:tcW w:w="586" w:type="pct"/>
            <w:vAlign w:val="center"/>
          </w:tcPr>
          <w:p w14:paraId="4B9DAE28">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color w:val="auto"/>
                <w:szCs w:val="21"/>
                <w:lang w:eastAsia="zh-CN"/>
              </w:rPr>
              <w:t>0.01</w:t>
            </w:r>
          </w:p>
        </w:tc>
        <w:tc>
          <w:tcPr>
            <w:tcW w:w="545" w:type="pct"/>
            <w:vAlign w:val="center"/>
          </w:tcPr>
          <w:p w14:paraId="4E94317C">
            <w:pPr>
              <w:adjustRightInd w:val="0"/>
              <w:snapToGrid w:val="0"/>
              <w:spacing w:line="240" w:lineRule="auto"/>
              <w:ind w:left="0" w:leftChars="0" w:firstLine="0" w:firstLineChars="0"/>
              <w:jc w:val="center"/>
              <w:rPr>
                <w:rFonts w:cs="Times New Roman"/>
                <w:color w:val="auto"/>
                <w:szCs w:val="21"/>
                <w:lang w:eastAsia="zh-CN"/>
              </w:rPr>
            </w:pPr>
            <w:r>
              <w:rPr>
                <w:rFonts w:eastAsia="宋体" w:cs="Times New Roman"/>
                <w:color w:val="auto"/>
                <w:szCs w:val="21"/>
                <w:lang w:eastAsia="zh-CN"/>
              </w:rPr>
              <w:t>/</w:t>
            </w:r>
          </w:p>
        </w:tc>
        <w:tc>
          <w:tcPr>
            <w:tcW w:w="545" w:type="pct"/>
            <w:vAlign w:val="center"/>
          </w:tcPr>
          <w:p w14:paraId="339555D2">
            <w:pPr>
              <w:adjustRightInd w:val="0"/>
              <w:snapToGrid w:val="0"/>
              <w:spacing w:line="240" w:lineRule="auto"/>
              <w:ind w:left="0" w:leftChars="0" w:firstLine="0" w:firstLineChars="0"/>
              <w:jc w:val="center"/>
              <w:rPr>
                <w:rFonts w:cs="Times New Roman"/>
                <w:color w:val="auto"/>
                <w:szCs w:val="21"/>
                <w:lang w:eastAsia="zh-CN"/>
              </w:rPr>
            </w:pPr>
            <w:r>
              <w:rPr>
                <w:rFonts w:eastAsia="宋体" w:cs="Times New Roman"/>
                <w:color w:val="auto"/>
                <w:szCs w:val="21"/>
                <w:lang w:eastAsia="zh-CN"/>
              </w:rPr>
              <w:t>/</w:t>
            </w:r>
          </w:p>
        </w:tc>
        <w:tc>
          <w:tcPr>
            <w:tcW w:w="547" w:type="pct"/>
            <w:vAlign w:val="center"/>
          </w:tcPr>
          <w:p w14:paraId="711F291E">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0.02</w:t>
            </w:r>
          </w:p>
        </w:tc>
        <w:tc>
          <w:tcPr>
            <w:tcW w:w="582" w:type="pct"/>
            <w:vAlign w:val="center"/>
          </w:tcPr>
          <w:p w14:paraId="5AB6AF6E">
            <w:pPr>
              <w:adjustRightInd w:val="0"/>
              <w:snapToGrid w:val="0"/>
              <w:spacing w:line="240" w:lineRule="auto"/>
              <w:ind w:left="0" w:leftChars="0" w:firstLine="0" w:firstLineChars="0"/>
              <w:jc w:val="center"/>
              <w:rPr>
                <w:rFonts w:eastAsia="宋体" w:cs="Times New Roman"/>
                <w:color w:val="auto"/>
                <w:szCs w:val="21"/>
                <w:lang w:eastAsia="zh-CN"/>
              </w:rPr>
            </w:pPr>
            <w:r>
              <w:rPr>
                <w:rFonts w:eastAsia="宋体" w:cs="Times New Roman"/>
                <w:color w:val="auto"/>
                <w:szCs w:val="21"/>
                <w:lang w:eastAsia="zh-CN"/>
              </w:rPr>
              <w:t>/</w:t>
            </w:r>
          </w:p>
        </w:tc>
        <w:tc>
          <w:tcPr>
            <w:tcW w:w="1982" w:type="dxa"/>
            <w:vAlign w:val="center"/>
          </w:tcPr>
          <w:p w14:paraId="3CD656C1">
            <w:pPr>
              <w:widowControl/>
              <w:spacing w:line="240" w:lineRule="auto"/>
              <w:ind w:left="0" w:leftChars="0" w:right="0" w:rightChars="0" w:firstLine="0" w:firstLineChars="0"/>
              <w:jc w:val="center"/>
              <w:textAlignment w:val="center"/>
              <w:rPr>
                <w:rFonts w:eastAsia="宋体" w:cs="Times New Roman"/>
                <w:bCs/>
                <w:snapToGrid w:val="0"/>
                <w:color w:val="auto"/>
                <w:szCs w:val="21"/>
                <w:lang w:eastAsia="zh-CN"/>
              </w:rPr>
            </w:pPr>
            <w:r>
              <w:rPr>
                <w:rFonts w:eastAsia="宋体" w:cs="Times New Roman"/>
                <w:color w:val="auto"/>
                <w:szCs w:val="21"/>
                <w:lang w:eastAsia="zh-CN" w:bidi="ar"/>
              </w:rPr>
              <w:t>0.03</w:t>
            </w:r>
          </w:p>
        </w:tc>
        <w:tc>
          <w:tcPr>
            <w:tcW w:w="444" w:type="pct"/>
            <w:vAlign w:val="center"/>
          </w:tcPr>
          <w:p w14:paraId="437EE735">
            <w:pPr>
              <w:adjustRightInd w:val="0"/>
              <w:snapToGrid w:val="0"/>
              <w:spacing w:line="240" w:lineRule="auto"/>
              <w:ind w:left="0" w:leftChars="0" w:right="0" w:rightChars="0" w:firstLine="0" w:firstLineChars="0"/>
              <w:jc w:val="center"/>
              <w:rPr>
                <w:rFonts w:eastAsia="宋体" w:cs="Times New Roman"/>
                <w:bCs/>
                <w:snapToGrid w:val="0"/>
                <w:color w:val="auto"/>
                <w:szCs w:val="21"/>
                <w:lang w:eastAsia="zh-CN"/>
              </w:rPr>
            </w:pPr>
            <w:r>
              <w:rPr>
                <w:rFonts w:hint="eastAsia" w:cs="Times New Roman"/>
                <w:snapToGrid w:val="0"/>
                <w:color w:val="auto"/>
                <w:szCs w:val="21"/>
                <w:lang w:eastAsia="zh-CN"/>
              </w:rPr>
              <w:t>+0.02</w:t>
            </w:r>
          </w:p>
        </w:tc>
      </w:tr>
      <w:tr w14:paraId="3176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14:paraId="13501480">
            <w:pPr>
              <w:pStyle w:val="25"/>
              <w:adjustRightInd w:val="0"/>
              <w:snapToGrid w:val="0"/>
              <w:spacing w:after="0"/>
              <w:ind w:left="0" w:leftChars="0" w:firstLine="0" w:firstLineChars="0"/>
              <w:jc w:val="center"/>
              <w:rPr>
                <w:rFonts w:ascii="Times New Roman" w:eastAsia="宋体" w:cs="Times New Roman"/>
                <w:color w:val="auto"/>
                <w:szCs w:val="21"/>
                <w:lang w:eastAsia="zh-CN"/>
              </w:rPr>
            </w:pPr>
          </w:p>
        </w:tc>
        <w:tc>
          <w:tcPr>
            <w:tcW w:w="596" w:type="pct"/>
            <w:vAlign w:val="center"/>
          </w:tcPr>
          <w:p w14:paraId="122D916C">
            <w:pPr>
              <w:adjustRightInd w:val="0"/>
              <w:snapToGrid w:val="0"/>
              <w:spacing w:line="240" w:lineRule="auto"/>
              <w:ind w:left="0" w:leftChars="0" w:right="0" w:rightChars="0" w:firstLine="0" w:firstLineChars="0"/>
              <w:jc w:val="center"/>
              <w:rPr>
                <w:rFonts w:cs="Times New Roman"/>
                <w:snapToGrid w:val="0"/>
                <w:color w:val="auto"/>
                <w:szCs w:val="21"/>
                <w:lang w:eastAsia="zh-CN"/>
              </w:rPr>
            </w:pPr>
            <w:r>
              <w:rPr>
                <w:rFonts w:hint="eastAsia" w:cs="Times New Roman"/>
                <w:snapToGrid w:val="0"/>
                <w:color w:val="auto"/>
                <w:szCs w:val="21"/>
                <w:lang w:eastAsia="zh-CN"/>
              </w:rPr>
              <w:t>废润滑油</w:t>
            </w:r>
          </w:p>
        </w:tc>
        <w:tc>
          <w:tcPr>
            <w:tcW w:w="586" w:type="pct"/>
            <w:vAlign w:val="center"/>
          </w:tcPr>
          <w:p w14:paraId="2ED808BA">
            <w:pPr>
              <w:adjustRightInd w:val="0"/>
              <w:snapToGrid w:val="0"/>
              <w:spacing w:line="240" w:lineRule="auto"/>
              <w:ind w:left="0" w:leftChars="0" w:right="0" w:rightChars="0" w:firstLine="0" w:firstLineChars="0"/>
              <w:jc w:val="center"/>
              <w:rPr>
                <w:rFonts w:eastAsia="宋体" w:cs="Times New Roman"/>
                <w:color w:val="auto"/>
                <w:szCs w:val="21"/>
                <w:lang w:eastAsia="zh-CN"/>
              </w:rPr>
            </w:pPr>
            <w:r>
              <w:rPr>
                <w:rFonts w:hint="eastAsia" w:eastAsia="宋体" w:cs="Times New Roman"/>
                <w:color w:val="auto"/>
                <w:szCs w:val="21"/>
                <w:lang w:eastAsia="zh-CN"/>
              </w:rPr>
              <w:t>0.10</w:t>
            </w:r>
          </w:p>
        </w:tc>
        <w:tc>
          <w:tcPr>
            <w:tcW w:w="545" w:type="pct"/>
            <w:vAlign w:val="center"/>
          </w:tcPr>
          <w:p w14:paraId="3C16666F">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545" w:type="pct"/>
            <w:vAlign w:val="center"/>
          </w:tcPr>
          <w:p w14:paraId="27D8C89D">
            <w:pPr>
              <w:pStyle w:val="25"/>
              <w:adjustRightInd w:val="0"/>
              <w:snapToGrid w:val="0"/>
              <w:spacing w:after="0"/>
              <w:ind w:left="0" w:leftChars="0" w:firstLine="0" w:firstLineChars="0"/>
              <w:jc w:val="center"/>
              <w:rPr>
                <w:rFonts w:ascii="Times New Roman" w:cs="Times New Roman"/>
                <w:color w:val="auto"/>
                <w:szCs w:val="21"/>
                <w:lang w:eastAsia="zh-CN"/>
              </w:rPr>
            </w:pPr>
            <w:r>
              <w:rPr>
                <w:rFonts w:ascii="Times New Roman" w:eastAsia="宋体" w:cs="Times New Roman"/>
                <w:color w:val="auto"/>
                <w:szCs w:val="21"/>
                <w:lang w:eastAsia="zh-CN"/>
              </w:rPr>
              <w:t>/</w:t>
            </w:r>
          </w:p>
        </w:tc>
        <w:tc>
          <w:tcPr>
            <w:tcW w:w="547" w:type="pct"/>
            <w:vAlign w:val="center"/>
          </w:tcPr>
          <w:p w14:paraId="1389E2F9">
            <w:pPr>
              <w:adjustRightInd w:val="0"/>
              <w:snapToGrid w:val="0"/>
              <w:spacing w:line="240" w:lineRule="auto"/>
              <w:ind w:left="0" w:leftChars="0" w:right="0" w:rightChars="0" w:firstLine="0" w:firstLineChars="0"/>
              <w:jc w:val="center"/>
              <w:rPr>
                <w:rFonts w:eastAsia="宋体" w:cs="Times New Roman"/>
                <w:snapToGrid w:val="0"/>
                <w:color w:val="auto"/>
                <w:szCs w:val="21"/>
                <w:lang w:eastAsia="zh-CN"/>
              </w:rPr>
            </w:pPr>
            <w:r>
              <w:rPr>
                <w:rFonts w:hint="eastAsia" w:cs="Times New Roman"/>
                <w:snapToGrid w:val="0"/>
                <w:color w:val="auto"/>
                <w:szCs w:val="21"/>
                <w:lang w:eastAsia="zh-CN"/>
              </w:rPr>
              <w:t>0.05</w:t>
            </w:r>
          </w:p>
        </w:tc>
        <w:tc>
          <w:tcPr>
            <w:tcW w:w="582" w:type="pct"/>
            <w:vAlign w:val="center"/>
          </w:tcPr>
          <w:p w14:paraId="7B708642">
            <w:pPr>
              <w:pStyle w:val="25"/>
              <w:adjustRightInd w:val="0"/>
              <w:snapToGrid w:val="0"/>
              <w:spacing w:after="0"/>
              <w:ind w:left="0" w:leftChars="0" w:firstLine="0" w:firstLineChars="0"/>
              <w:jc w:val="center"/>
              <w:rPr>
                <w:rFonts w:ascii="Times New Roman" w:eastAsia="宋体" w:cs="Times New Roman"/>
                <w:color w:val="auto"/>
                <w:szCs w:val="21"/>
                <w:lang w:eastAsia="zh-CN"/>
              </w:rPr>
            </w:pPr>
            <w:r>
              <w:rPr>
                <w:rFonts w:ascii="Times New Roman" w:eastAsia="宋体" w:cs="Times New Roman"/>
                <w:color w:val="auto"/>
                <w:szCs w:val="21"/>
                <w:lang w:eastAsia="zh-CN"/>
              </w:rPr>
              <w:t>/</w:t>
            </w:r>
          </w:p>
        </w:tc>
        <w:tc>
          <w:tcPr>
            <w:tcW w:w="1982" w:type="dxa"/>
            <w:vAlign w:val="center"/>
          </w:tcPr>
          <w:p w14:paraId="47C6DADD">
            <w:pPr>
              <w:widowControl/>
              <w:spacing w:line="240" w:lineRule="auto"/>
              <w:ind w:left="0" w:leftChars="0" w:right="0" w:rightChars="0" w:firstLine="0" w:firstLineChars="0"/>
              <w:jc w:val="center"/>
              <w:textAlignment w:val="center"/>
              <w:rPr>
                <w:rFonts w:cs="Times New Roman"/>
                <w:color w:val="auto"/>
                <w:szCs w:val="21"/>
                <w:lang w:eastAsia="zh-CN"/>
              </w:rPr>
            </w:pPr>
            <w:r>
              <w:rPr>
                <w:rFonts w:eastAsia="宋体" w:cs="Times New Roman"/>
                <w:color w:val="auto"/>
                <w:szCs w:val="21"/>
                <w:lang w:eastAsia="zh-CN" w:bidi="ar"/>
              </w:rPr>
              <w:t>0.15</w:t>
            </w:r>
          </w:p>
        </w:tc>
        <w:tc>
          <w:tcPr>
            <w:tcW w:w="444" w:type="pct"/>
            <w:vAlign w:val="center"/>
          </w:tcPr>
          <w:p w14:paraId="0D2A66CD">
            <w:pPr>
              <w:adjustRightInd w:val="0"/>
              <w:snapToGrid w:val="0"/>
              <w:spacing w:line="240" w:lineRule="auto"/>
              <w:ind w:left="0" w:leftChars="0" w:right="0" w:rightChars="0" w:firstLine="0" w:firstLineChars="0"/>
              <w:jc w:val="center"/>
              <w:rPr>
                <w:rFonts w:cs="Times New Roman"/>
                <w:color w:val="auto"/>
                <w:szCs w:val="21"/>
                <w:lang w:eastAsia="zh-CN"/>
              </w:rPr>
            </w:pPr>
            <w:r>
              <w:rPr>
                <w:rFonts w:hint="eastAsia" w:cs="Times New Roman"/>
                <w:snapToGrid w:val="0"/>
                <w:color w:val="auto"/>
                <w:szCs w:val="21"/>
                <w:lang w:eastAsia="zh-CN"/>
              </w:rPr>
              <w:t>+0.05</w:t>
            </w:r>
          </w:p>
        </w:tc>
      </w:tr>
    </w:tbl>
    <w:p w14:paraId="061FD585">
      <w:pPr>
        <w:ind w:firstLine="392"/>
        <w:rPr>
          <w:rFonts w:eastAsia="宋体" w:cs="Times New Roman"/>
          <w:color w:val="auto"/>
          <w:szCs w:val="21"/>
          <w:lang w:eastAsia="zh-CN"/>
        </w:rPr>
      </w:pPr>
      <w:bookmarkStart w:id="17" w:name="_Toc15388"/>
      <w:r>
        <w:rPr>
          <w:rFonts w:eastAsia="宋体" w:cs="Times New Roman"/>
          <w:color w:val="auto"/>
          <w:spacing w:val="-7"/>
          <w:szCs w:val="21"/>
        </w:rPr>
        <w:t>注：⑥=①+③+④-⑤；⑦=⑥-①</w:t>
      </w:r>
      <w:bookmarkEnd w:id="17"/>
    </w:p>
    <w:sectPr>
      <w:pgSz w:w="16838" w:h="11910" w:orient="landscape"/>
      <w:pgMar w:top="1417" w:right="1417" w:bottom="1417" w:left="1417" w:header="720" w:footer="1043" w:gutter="0"/>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63" w:right="-63" w:firstLine="420"/>
      </w:pPr>
      <w:r>
        <w:separator/>
      </w:r>
    </w:p>
  </w:endnote>
  <w:endnote w:type="continuationSeparator" w:id="1">
    <w:p>
      <w:pPr>
        <w:spacing w:line="240" w:lineRule="auto"/>
        <w:ind w:left="-63" w:right="-63"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6F8DC97-D67B-4EEC-BA72-B9F51F818458}"/>
  </w:font>
  <w:font w:name="黑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embedRegular r:id="rId2" w:fontKey="{3601EA0C-3A16-48D5-ACB1-1C72BEEBE4EF}"/>
  </w:font>
  <w:font w:name="Calibri">
    <w:panose1 w:val="020F0502020204030204"/>
    <w:charset w:val="00"/>
    <w:family w:val="swiss"/>
    <w:pitch w:val="default"/>
    <w:sig w:usb0="A00002EF" w:usb1="4000207B" w:usb2="00000000" w:usb3="00000000" w:csb0="2000009F" w:csb1="00000000"/>
    <w:embedRegular r:id="rId3" w:fontKey="{52B0E260-DC22-424F-9E92-0A78E80909E7}"/>
  </w:font>
  <w:font w:name="微软雅黑">
    <w:panose1 w:val="020B0503020204020204"/>
    <w:charset w:val="86"/>
    <w:family w:val="swiss"/>
    <w:pitch w:val="default"/>
    <w:sig w:usb0="80000287" w:usb1="280F3C52" w:usb2="00000016" w:usb3="00000000" w:csb0="0004001F" w:csb1="00000000"/>
  </w:font>
  <w:font w:name="@宋体">
    <w:panose1 w:val="02010600030101010101"/>
    <w:charset w:val="86"/>
    <w:family w:val="auto"/>
    <w:pitch w:val="default"/>
    <w:sig w:usb0="0000000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embedRegular r:id="rId4" w:fontKey="{1D95F858-271A-450C-A378-61765D357EF9}"/>
  </w:font>
  <w:font w:name="方正小标宋_GBK">
    <w:panose1 w:val="02000000000000000000"/>
    <w:charset w:val="86"/>
    <w:family w:val="script"/>
    <w:pitch w:val="default"/>
    <w:sig w:usb0="A00002BF" w:usb1="38CF7CFA" w:usb2="00082016" w:usb3="00000000" w:csb0="00040001" w:csb1="00000000"/>
    <w:embedRegular r:id="rId5" w:fontKey="{EBEC1B48-7FE4-4720-8849-EF9CDCC06AD5}"/>
  </w:font>
  <w:font w:name="华文仿宋">
    <w:panose1 w:val="02010600040101010101"/>
    <w:charset w:val="86"/>
    <w:family w:val="auto"/>
    <w:pitch w:val="default"/>
    <w:sig w:usb0="00000287" w:usb1="080F0000" w:usb2="00000000" w:usb3="00000000" w:csb0="0004009F" w:csb1="DFD70000"/>
    <w:embedRegular r:id="rId6" w:fontKey="{BDDD7E40-347F-4ECC-810F-DA05054F07CD}"/>
  </w:font>
  <w:font w:name="仿宋">
    <w:panose1 w:val="02010609060101010101"/>
    <w:charset w:val="86"/>
    <w:family w:val="modern"/>
    <w:pitch w:val="default"/>
    <w:sig w:usb0="800002BF" w:usb1="38CF7CFA" w:usb2="00000016" w:usb3="00000000" w:csb0="00040001" w:csb1="00000000"/>
    <w:embedRegular r:id="rId7" w:fontKey="{DC10EB3E-7B24-446D-81D8-5AC3B18A8888}"/>
  </w:font>
  <w:font w:name="仿宋_GB2312">
    <w:panose1 w:val="02010609030101010101"/>
    <w:charset w:val="86"/>
    <w:family w:val="modern"/>
    <w:pitch w:val="default"/>
    <w:sig w:usb0="00000001" w:usb1="080E0000" w:usb2="00000000" w:usb3="00000000" w:csb0="00040000" w:csb1="00000000"/>
    <w:embedRegular r:id="rId8" w:fontKey="{117F18D1-A8B7-4AA7-AA17-1595D5ECF1C8}"/>
  </w:font>
  <w:font w:name="方正仿宋_GB2312">
    <w:panose1 w:val="02000000000000000000"/>
    <w:charset w:val="86"/>
    <w:family w:val="auto"/>
    <w:pitch w:val="default"/>
    <w:sig w:usb0="A00002BF" w:usb1="184F6CFA" w:usb2="00000012" w:usb3="00000000" w:csb0="00040001" w:csb1="00000000"/>
    <w:embedRegular r:id="rId9" w:fontKey="{694DFD61-6987-47BB-8828-EEC47988F708}"/>
  </w:font>
  <w:font w:name="方正楷体_GB2312">
    <w:panose1 w:val="02000000000000000000"/>
    <w:charset w:val="86"/>
    <w:family w:val="auto"/>
    <w:pitch w:val="default"/>
    <w:sig w:usb0="A00002BF" w:usb1="184F6CFA" w:usb2="00000012" w:usb3="00000000" w:csb0="00040001" w:csb1="00000000"/>
    <w:embedRegular r:id="rId10" w:fontKey="{1046008C-5F3F-4705-A72E-08BFDF81D04A}"/>
  </w:font>
  <w:font w:name="瀹嬩綋">
    <w:altName w:val="MingLiU"/>
    <w:panose1 w:val="00000000000000000000"/>
    <w:charset w:val="00"/>
    <w:family w:val="auto"/>
    <w:pitch w:val="default"/>
    <w:sig w:usb0="00000000" w:usb1="00000000" w:usb2="00000000" w:usb3="00000000" w:csb0="00000000" w:csb1="00000000"/>
    <w:embedRegular r:id="rId11" w:fontKey="{7403EAA1-5A1E-4BF9-8093-DCC66B933B75}"/>
  </w:font>
  <w:font w:name="等线">
    <w:panose1 w:val="02010600030101010101"/>
    <w:charset w:val="86"/>
    <w:family w:val="auto"/>
    <w:pitch w:val="default"/>
    <w:sig w:usb0="A00002BF" w:usb1="38CF7CFA" w:usb2="00000016" w:usb3="00000000" w:csb0="0004000F" w:csb1="00000000"/>
    <w:embedRegular r:id="rId12" w:fontKey="{BB38E570-B042-4E12-B909-71BE67685E8E}"/>
  </w:font>
  <w:font w:name="MingLiU">
    <w:panose1 w:val="02020509000000000000"/>
    <w:charset w:val="88"/>
    <w:family w:val="auto"/>
    <w:pitch w:val="default"/>
    <w:sig w:usb0="A00002FF" w:usb1="28CFFCFA" w:usb2="00000016" w:usb3="00000000" w:csb0="00100001" w:csb1="00000000"/>
  </w:font>
  <w:font w:name="Bookshelf Symbol 7">
    <w:panose1 w:val="05010101010101010101"/>
    <w:charset w:val="00"/>
    <w:family w:val="auto"/>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0E207">
    <w:pPr>
      <w:pStyle w:val="17"/>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3C947">
    <w:pPr>
      <w:pStyle w:val="17"/>
      <w:framePr w:wrap="around" w:vAnchor="text" w:hAnchor="margin" w:xAlign="center" w:y="1"/>
      <w:ind w:firstLine="360"/>
      <w:rPr>
        <w:rStyle w:val="30"/>
      </w:rPr>
    </w:pPr>
    <w:r>
      <w:fldChar w:fldCharType="begin"/>
    </w:r>
    <w:r>
      <w:rPr>
        <w:rStyle w:val="30"/>
      </w:rPr>
      <w:instrText xml:space="preserve">PAGE  </w:instrText>
    </w:r>
    <w:r>
      <w:fldChar w:fldCharType="end"/>
    </w:r>
  </w:p>
  <w:p w14:paraId="78923FDC">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4168E">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3B7B0">
    <w:pPr>
      <w:spacing w:line="14" w:lineRule="auto"/>
      <w:rPr>
        <w:sz w:val="20"/>
        <w:szCs w:val="20"/>
      </w:rPr>
    </w:pPr>
    <w:r>
      <w:rPr>
        <w:sz w:val="20"/>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55DE3">
                          <w:pPr>
                            <w:pStyle w:val="17"/>
                            <w:ind w:firstLine="420"/>
                            <w:rPr>
                              <w:sz w:val="21"/>
                              <w:szCs w:val="28"/>
                            </w:rPr>
                          </w:pPr>
                          <w:r>
                            <w:rPr>
                              <w:sz w:val="21"/>
                              <w:szCs w:val="28"/>
                            </w:rPr>
                            <w:fldChar w:fldCharType="begin"/>
                          </w:r>
                          <w:r>
                            <w:rPr>
                              <w:sz w:val="21"/>
                              <w:szCs w:val="28"/>
                            </w:rPr>
                            <w:instrText xml:space="preserve"> PAGE  \* MERGEFORMAT </w:instrText>
                          </w:r>
                          <w:r>
                            <w:rPr>
                              <w:sz w:val="21"/>
                              <w:szCs w:val="28"/>
                            </w:rPr>
                            <w:fldChar w:fldCharType="separate"/>
                          </w:r>
                          <w:r>
                            <w:rPr>
                              <w:sz w:val="21"/>
                              <w:szCs w:val="28"/>
                            </w:rPr>
                            <w:t>24</w:t>
                          </w:r>
                          <w:r>
                            <w:rPr>
                              <w:sz w:val="21"/>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V3vo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u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dXe+iwCAABXBAAADgAAAAAAAAABACAAAAAfAQAAZHJzL2Uyb0RvYy54bWxQSwUGAAAAAAYA&#10;BgBZAQAAvQUAAAAA&#10;">
              <v:fill on="f" focussize="0,0"/>
              <v:stroke on="f" weight="0.5pt"/>
              <v:imagedata o:title=""/>
              <o:lock v:ext="edit" aspectratio="f"/>
              <v:textbox inset="0mm,0mm,0mm,0mm" style="mso-fit-shape-to-text:t;">
                <w:txbxContent>
                  <w:p w14:paraId="6B255DE3">
                    <w:pPr>
                      <w:pStyle w:val="17"/>
                      <w:ind w:firstLine="420"/>
                      <w:rPr>
                        <w:sz w:val="21"/>
                        <w:szCs w:val="28"/>
                      </w:rPr>
                    </w:pPr>
                    <w:r>
                      <w:rPr>
                        <w:sz w:val="21"/>
                        <w:szCs w:val="28"/>
                      </w:rPr>
                      <w:fldChar w:fldCharType="begin"/>
                    </w:r>
                    <w:r>
                      <w:rPr>
                        <w:sz w:val="21"/>
                        <w:szCs w:val="28"/>
                      </w:rPr>
                      <w:instrText xml:space="preserve"> PAGE  \* MERGEFORMAT </w:instrText>
                    </w:r>
                    <w:r>
                      <w:rPr>
                        <w:sz w:val="21"/>
                        <w:szCs w:val="28"/>
                      </w:rPr>
                      <w:fldChar w:fldCharType="separate"/>
                    </w:r>
                    <w:r>
                      <w:rPr>
                        <w:sz w:val="21"/>
                        <w:szCs w:val="28"/>
                      </w:rPr>
                      <w:t>24</w:t>
                    </w:r>
                    <w:r>
                      <w:rPr>
                        <w:sz w:val="21"/>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87DD0">
    <w:pPr>
      <w:spacing w:line="14" w:lineRule="auto"/>
      <w:ind w:firstLine="420"/>
      <w:rPr>
        <w:sz w:val="20"/>
        <w:szCs w:val="20"/>
      </w:rPr>
    </w:pPr>
    <w:r>
      <w:rPr>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2956F">
                          <w:pPr>
                            <w:pStyle w:val="17"/>
                            <w:ind w:firstLine="36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Yjbo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mYjbotAgAAVwQAAA4AAAAAAAAAAQAgAAAAHwEAAGRycy9lMm9Eb2MueG1sUEsFBgAAAAAG&#10;AAYAWQEAAL4FAAAAAA==&#10;">
              <v:fill on="f" focussize="0,0"/>
              <v:stroke on="f" weight="0.5pt"/>
              <v:imagedata o:title=""/>
              <o:lock v:ext="edit" aspectratio="f"/>
              <v:textbox inset="0mm,0mm,0mm,0mm" style="mso-fit-shape-to-text:t;">
                <w:txbxContent>
                  <w:p w14:paraId="14A2956F">
                    <w:pPr>
                      <w:pStyle w:val="17"/>
                      <w:ind w:firstLine="360"/>
                    </w:pPr>
                    <w:r>
                      <w:fldChar w:fldCharType="begin"/>
                    </w:r>
                    <w:r>
                      <w:instrText xml:space="preserve"> PAGE  \* MERGEFORMAT </w:instrText>
                    </w:r>
                    <w:r>
                      <w:fldChar w:fldCharType="separate"/>
                    </w:r>
                    <w:r>
                      <w:t>53</w:t>
                    </w:r>
                    <w:r>
                      <w:fldChar w:fldCharType="end"/>
                    </w:r>
                  </w:p>
                </w:txbxContent>
              </v:textbox>
            </v:shape>
          </w:pict>
        </mc:Fallback>
      </mc:AlternateContent>
    </w:r>
    <w:r>
      <w:rPr>
        <w:lang w:eastAsia="zh-CN"/>
      </w:rPr>
      <mc:AlternateContent>
        <mc:Choice Requires="wps">
          <w:drawing>
            <wp:anchor distT="0" distB="0" distL="114300" distR="114300" simplePos="0" relativeHeight="251659264" behindDoc="1" locked="0" layoutInCell="1" allowOverlap="1">
              <wp:simplePos x="0" y="0"/>
              <wp:positionH relativeFrom="page">
                <wp:posOffset>5884545</wp:posOffset>
              </wp:positionH>
              <wp:positionV relativeFrom="page">
                <wp:posOffset>10033635</wp:posOffset>
              </wp:positionV>
              <wp:extent cx="718820" cy="203835"/>
              <wp:effectExtent l="0" t="0" r="0" b="0"/>
              <wp:wrapNone/>
              <wp:docPr id="20" name="文本框 6"/>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14:paraId="772F9AF3">
                          <w:pPr>
                            <w:spacing w:line="301" w:lineRule="exact"/>
                            <w:ind w:firstLine="560"/>
                            <w:rPr>
                              <w:rFonts w:ascii="宋体" w:hAnsi="宋体" w:eastAsia="宋体" w:cs="宋体"/>
                              <w:sz w:val="28"/>
                              <w:szCs w:val="28"/>
                              <w:lang w:eastAsia="zh-CN"/>
                            </w:rPr>
                          </w:pPr>
                        </w:p>
                      </w:txbxContent>
                    </wps:txbx>
                    <wps:bodyPr lIns="0" tIns="0" rIns="0" bIns="0" upright="1"/>
                  </wps:wsp>
                </a:graphicData>
              </a:graphic>
            </wp:anchor>
          </w:drawing>
        </mc:Choice>
        <mc:Fallback>
          <w:pict>
            <v:shape id="文本框 6" o:spid="_x0000_s1026" o:spt="202" type="#_x0000_t202" style="position:absolute;left:0pt;margin-left:463.35pt;margin-top:790.05pt;height:16.05pt;width:56.6pt;mso-position-horizontal-relative:page;mso-position-vertical-relative:page;z-index:-251657216;mso-width-relative:page;mso-height-relative:page;" filled="f" stroked="f" coordsize="21600,21600" o:gfxdata="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O81KtsAAAAOAQAADwAAAAAAAAABACAAAAAiAAAAZHJzL2Rvd25yZXYueG1sUEsB&#10;AhQAFAAAAAgAh07iQE6hQ6u5AQAAcgMAAA4AAAAAAAAAAQAgAAAAKgEAAGRycy9lMm9Eb2MueG1s&#10;UEsFBgAAAAAGAAYAWQEAAFUFAAAAAA==&#10;">
              <v:fill on="f" focussize="0,0"/>
              <v:stroke on="f"/>
              <v:imagedata o:title=""/>
              <o:lock v:ext="edit" aspectratio="f"/>
              <v:textbox inset="0mm,0mm,0mm,0mm">
                <w:txbxContent>
                  <w:p w14:paraId="772F9AF3">
                    <w:pPr>
                      <w:spacing w:line="301" w:lineRule="exact"/>
                      <w:ind w:firstLine="560"/>
                      <w:rPr>
                        <w:rFonts w:ascii="宋体" w:hAnsi="宋体" w:eastAsia="宋体" w:cs="宋体"/>
                        <w:sz w:val="28"/>
                        <w:szCs w:val="28"/>
                        <w:lang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1019D">
    <w:pPr>
      <w:spacing w:line="14" w:lineRule="auto"/>
      <w:rPr>
        <w:sz w:val="20"/>
        <w:szCs w:val="20"/>
      </w:rPr>
    </w:pPr>
    <w:r>
      <w:rPr>
        <w:sz w:val="20"/>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A118B">
                          <w:pPr>
                            <w:pStyle w:val="17"/>
                            <w:ind w:firstLine="360"/>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739A118B">
                    <w:pPr>
                      <w:pStyle w:val="17"/>
                      <w:ind w:firstLine="360"/>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ED9F4">
    <w:pPr>
      <w:spacing w:line="14" w:lineRule="auto"/>
      <w:ind w:firstLine="40"/>
      <w:rPr>
        <w:sz w:val="2"/>
        <w:szCs w:val="2"/>
      </w:rPr>
    </w:pPr>
    <w:r>
      <w:rPr>
        <w:sz w:val="2"/>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8BC2B">
                          <w:pPr>
                            <w:pStyle w:val="17"/>
                            <w:ind w:firstLine="36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ZTc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xlNzywCAABXBAAADgAAAAAAAAABACAAAAAfAQAAZHJzL2Uyb0RvYy54bWxQSwUGAAAAAAYA&#10;BgBZAQAAvQUAAAAA&#10;">
              <v:fill on="f" focussize="0,0"/>
              <v:stroke on="f" weight="0.5pt"/>
              <v:imagedata o:title=""/>
              <o:lock v:ext="edit" aspectratio="f"/>
              <v:textbox inset="0mm,0mm,0mm,0mm" style="mso-fit-shape-to-text:t;">
                <w:txbxContent>
                  <w:p w14:paraId="3778BC2B">
                    <w:pPr>
                      <w:pStyle w:val="17"/>
                      <w:ind w:firstLine="36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left="-63" w:right="-63" w:firstLine="420"/>
      </w:pPr>
      <w:r>
        <w:separator/>
      </w:r>
    </w:p>
  </w:footnote>
  <w:footnote w:type="continuationSeparator" w:id="1">
    <w:p>
      <w:pPr>
        <w:spacing w:line="360" w:lineRule="auto"/>
        <w:ind w:left="-63" w:right="-63"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439DB">
    <w:pPr>
      <w:pStyle w:val="1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BF912">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F6358">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74D9D8"/>
    <w:multiLevelType w:val="singleLevel"/>
    <w:tmpl w:val="B674D9D8"/>
    <w:lvl w:ilvl="0" w:tentative="0">
      <w:start w:val="1"/>
      <w:numFmt w:val="decimal"/>
      <w:lvlText w:val="%1."/>
      <w:lvlJc w:val="left"/>
      <w:pPr>
        <w:tabs>
          <w:tab w:val="left" w:pos="312"/>
        </w:tabs>
      </w:pPr>
    </w:lvl>
  </w:abstractNum>
  <w:abstractNum w:abstractNumId="1">
    <w:nsid w:val="0983B2A9"/>
    <w:multiLevelType w:val="singleLevel"/>
    <w:tmpl w:val="0983B2A9"/>
    <w:lvl w:ilvl="0" w:tentative="0">
      <w:start w:val="1"/>
      <w:numFmt w:val="decimal"/>
      <w:suff w:val="nothing"/>
      <w:lvlText w:val="（%1）"/>
      <w:lvlJc w:val="left"/>
    </w:lvl>
  </w:abstractNum>
  <w:abstractNum w:abstractNumId="2">
    <w:nsid w:val="0A74B6C6"/>
    <w:multiLevelType w:val="singleLevel"/>
    <w:tmpl w:val="0A74B6C6"/>
    <w:lvl w:ilvl="0" w:tentative="0">
      <w:start w:val="1"/>
      <w:numFmt w:val="decimal"/>
      <w:suff w:val="nothing"/>
      <w:lvlText w:val="（%1）"/>
      <w:lvlJc w:val="left"/>
    </w:lvl>
  </w:abstractNum>
  <w:abstractNum w:abstractNumId="3">
    <w:nsid w:val="1851649C"/>
    <w:multiLevelType w:val="singleLevel"/>
    <w:tmpl w:val="1851649C"/>
    <w:lvl w:ilvl="0" w:tentative="0">
      <w:start w:val="1"/>
      <w:numFmt w:val="decimal"/>
      <w:suff w:val="nothing"/>
      <w:lvlText w:val="（%1）"/>
      <w:lvlJc w:val="left"/>
    </w:lvl>
  </w:abstractNum>
  <w:abstractNum w:abstractNumId="4">
    <w:nsid w:val="185D4E5F"/>
    <w:multiLevelType w:val="multilevel"/>
    <w:tmpl w:val="185D4E5F"/>
    <w:lvl w:ilvl="0" w:tentative="0">
      <w:start w:val="1"/>
      <w:numFmt w:val="decimal"/>
      <w:pStyle w:val="62"/>
      <w:lvlText w:val="表%1."/>
      <w:lvlJc w:val="left"/>
      <w:pPr>
        <w:ind w:left="-1470" w:hanging="420"/>
      </w:pPr>
    </w:lvl>
    <w:lvl w:ilvl="1" w:tentative="0">
      <w:start w:val="1"/>
      <w:numFmt w:val="lowerLetter"/>
      <w:lvlText w:val="%2)"/>
      <w:lvlJc w:val="left"/>
      <w:pPr>
        <w:ind w:left="-14910" w:hanging="420"/>
      </w:pPr>
    </w:lvl>
    <w:lvl w:ilvl="2" w:tentative="0">
      <w:start w:val="1"/>
      <w:numFmt w:val="lowerRoman"/>
      <w:lvlText w:val="%3."/>
      <w:lvlJc w:val="right"/>
      <w:pPr>
        <w:ind w:left="-14490" w:hanging="420"/>
      </w:pPr>
    </w:lvl>
    <w:lvl w:ilvl="3" w:tentative="0">
      <w:start w:val="1"/>
      <w:numFmt w:val="decimal"/>
      <w:lvlText w:val="%4."/>
      <w:lvlJc w:val="left"/>
      <w:pPr>
        <w:ind w:left="-14070" w:hanging="420"/>
      </w:pPr>
    </w:lvl>
    <w:lvl w:ilvl="4" w:tentative="0">
      <w:start w:val="1"/>
      <w:numFmt w:val="lowerLetter"/>
      <w:lvlText w:val="%5)"/>
      <w:lvlJc w:val="left"/>
      <w:pPr>
        <w:ind w:left="-13650" w:hanging="420"/>
      </w:pPr>
    </w:lvl>
    <w:lvl w:ilvl="5" w:tentative="0">
      <w:start w:val="1"/>
      <w:numFmt w:val="lowerRoman"/>
      <w:lvlText w:val="%6."/>
      <w:lvlJc w:val="right"/>
      <w:pPr>
        <w:ind w:left="-13230" w:hanging="420"/>
      </w:pPr>
    </w:lvl>
    <w:lvl w:ilvl="6" w:tentative="0">
      <w:start w:val="1"/>
      <w:numFmt w:val="decimal"/>
      <w:lvlText w:val="%7."/>
      <w:lvlJc w:val="left"/>
      <w:pPr>
        <w:ind w:left="-12810" w:hanging="420"/>
      </w:pPr>
    </w:lvl>
    <w:lvl w:ilvl="7" w:tentative="0">
      <w:start w:val="1"/>
      <w:numFmt w:val="lowerLetter"/>
      <w:lvlText w:val="%8)"/>
      <w:lvlJc w:val="left"/>
      <w:pPr>
        <w:ind w:left="-12390" w:hanging="420"/>
      </w:pPr>
    </w:lvl>
    <w:lvl w:ilvl="8" w:tentative="0">
      <w:start w:val="1"/>
      <w:numFmt w:val="lowerRoman"/>
      <w:lvlText w:val="%9."/>
      <w:lvlJc w:val="right"/>
      <w:pPr>
        <w:ind w:left="-11970" w:hanging="420"/>
      </w:pPr>
    </w:lvl>
  </w:abstractNum>
  <w:abstractNum w:abstractNumId="5">
    <w:nsid w:val="27A66E52"/>
    <w:multiLevelType w:val="singleLevel"/>
    <w:tmpl w:val="27A66E52"/>
    <w:lvl w:ilvl="0" w:tentative="0">
      <w:start w:val="5"/>
      <w:numFmt w:val="chineseCounting"/>
      <w:suff w:val="nothing"/>
      <w:lvlText w:val="%1、"/>
      <w:lvlJc w:val="left"/>
      <w:pPr>
        <w:ind w:left="-337"/>
      </w:pPr>
      <w:rPr>
        <w:rFonts w:hint="eastAsia"/>
      </w:rPr>
    </w:lvl>
  </w:abstractNum>
  <w:abstractNum w:abstractNumId="6">
    <w:nsid w:val="4968CE94"/>
    <w:multiLevelType w:val="singleLevel"/>
    <w:tmpl w:val="4968CE94"/>
    <w:lvl w:ilvl="0" w:tentative="0">
      <w:start w:val="3"/>
      <w:numFmt w:val="decimal"/>
      <w:suff w:val="nothing"/>
      <w:lvlText w:val="%1、"/>
      <w:lvlJc w:val="left"/>
    </w:lvl>
  </w:abstractNum>
  <w:abstractNum w:abstractNumId="7">
    <w:nsid w:val="4BB819C7"/>
    <w:multiLevelType w:val="singleLevel"/>
    <w:tmpl w:val="4BB819C7"/>
    <w:lvl w:ilvl="0" w:tentative="0">
      <w:start w:val="1"/>
      <w:numFmt w:val="lowerLetter"/>
      <w:suff w:val="nothing"/>
      <w:lvlText w:val="%1、"/>
      <w:lvlJc w:val="left"/>
    </w:lvl>
  </w:abstractNum>
  <w:abstractNum w:abstractNumId="8">
    <w:nsid w:val="68132C8C"/>
    <w:multiLevelType w:val="singleLevel"/>
    <w:tmpl w:val="68132C8C"/>
    <w:lvl w:ilvl="0" w:tentative="0">
      <w:start w:val="1"/>
      <w:numFmt w:val="decimal"/>
      <w:suff w:val="nothing"/>
      <w:lvlText w:val="%1．"/>
      <w:lvlJc w:val="left"/>
    </w:lvl>
  </w:abstractNum>
  <w:num w:numId="1">
    <w:abstractNumId w:val="4"/>
  </w:num>
  <w:num w:numId="2">
    <w:abstractNumId w:val="2"/>
  </w:num>
  <w:num w:numId="3">
    <w:abstractNumId w:val="0"/>
  </w:num>
  <w:num w:numId="4">
    <w:abstractNumId w:val="8"/>
  </w:num>
  <w:num w:numId="5">
    <w:abstractNumId w:val="6"/>
  </w:num>
  <w:num w:numId="6">
    <w:abstractNumId w:val="1"/>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mNmI5YmMwOTMzMmNlZDNiMTVhOGZiYjRiZWVkYjAifQ=="/>
  </w:docVars>
  <w:rsids>
    <w:rsidRoot w:val="00172A27"/>
    <w:rsid w:val="00006582"/>
    <w:rsid w:val="00172A27"/>
    <w:rsid w:val="0023654E"/>
    <w:rsid w:val="002743E2"/>
    <w:rsid w:val="002C4B9E"/>
    <w:rsid w:val="002F741E"/>
    <w:rsid w:val="0031451C"/>
    <w:rsid w:val="003F18DB"/>
    <w:rsid w:val="006B0BFC"/>
    <w:rsid w:val="00737B6E"/>
    <w:rsid w:val="007A3821"/>
    <w:rsid w:val="007C04CA"/>
    <w:rsid w:val="0089240F"/>
    <w:rsid w:val="00AA2F07"/>
    <w:rsid w:val="00AC7E7B"/>
    <w:rsid w:val="00B22832"/>
    <w:rsid w:val="00C14D9F"/>
    <w:rsid w:val="00C61399"/>
    <w:rsid w:val="00C646B2"/>
    <w:rsid w:val="00C657D4"/>
    <w:rsid w:val="00E46AEF"/>
    <w:rsid w:val="00F302C1"/>
    <w:rsid w:val="00F34F00"/>
    <w:rsid w:val="00F81404"/>
    <w:rsid w:val="00FF4FD7"/>
    <w:rsid w:val="01534810"/>
    <w:rsid w:val="01C14A1F"/>
    <w:rsid w:val="01D14E6A"/>
    <w:rsid w:val="021860EA"/>
    <w:rsid w:val="02922E21"/>
    <w:rsid w:val="029C3223"/>
    <w:rsid w:val="02AA0518"/>
    <w:rsid w:val="03423FA7"/>
    <w:rsid w:val="03A04D68"/>
    <w:rsid w:val="03C66789"/>
    <w:rsid w:val="03CA264B"/>
    <w:rsid w:val="04692103"/>
    <w:rsid w:val="04734145"/>
    <w:rsid w:val="0478478F"/>
    <w:rsid w:val="04854582"/>
    <w:rsid w:val="04C07D32"/>
    <w:rsid w:val="04CA64D8"/>
    <w:rsid w:val="05570647"/>
    <w:rsid w:val="059032B7"/>
    <w:rsid w:val="05C66BF5"/>
    <w:rsid w:val="05D53C72"/>
    <w:rsid w:val="0612476F"/>
    <w:rsid w:val="063A5275"/>
    <w:rsid w:val="066A42D2"/>
    <w:rsid w:val="06934087"/>
    <w:rsid w:val="06B26F55"/>
    <w:rsid w:val="06E415DA"/>
    <w:rsid w:val="06EB20A9"/>
    <w:rsid w:val="06F61DF7"/>
    <w:rsid w:val="07126147"/>
    <w:rsid w:val="07336AEB"/>
    <w:rsid w:val="07443716"/>
    <w:rsid w:val="07726575"/>
    <w:rsid w:val="077F7C98"/>
    <w:rsid w:val="079A008C"/>
    <w:rsid w:val="07D14D2A"/>
    <w:rsid w:val="07F52B1F"/>
    <w:rsid w:val="080D2691"/>
    <w:rsid w:val="082B3B44"/>
    <w:rsid w:val="08326859"/>
    <w:rsid w:val="08B321EC"/>
    <w:rsid w:val="08CF77B8"/>
    <w:rsid w:val="08F70DC6"/>
    <w:rsid w:val="092F75B0"/>
    <w:rsid w:val="099B7A0F"/>
    <w:rsid w:val="09AD23CA"/>
    <w:rsid w:val="0A0C1573"/>
    <w:rsid w:val="0A0C7A42"/>
    <w:rsid w:val="0A5506BA"/>
    <w:rsid w:val="0ADB2161"/>
    <w:rsid w:val="0AF41A95"/>
    <w:rsid w:val="0B1819DC"/>
    <w:rsid w:val="0B2F632A"/>
    <w:rsid w:val="0B5E5DFE"/>
    <w:rsid w:val="0BCC6E61"/>
    <w:rsid w:val="0BD76472"/>
    <w:rsid w:val="0BFB189F"/>
    <w:rsid w:val="0BFF09DA"/>
    <w:rsid w:val="0C1B4A0E"/>
    <w:rsid w:val="0C2B625E"/>
    <w:rsid w:val="0C4C0F71"/>
    <w:rsid w:val="0CC2416B"/>
    <w:rsid w:val="0D2E7A97"/>
    <w:rsid w:val="0D6F1DD7"/>
    <w:rsid w:val="0D8F1802"/>
    <w:rsid w:val="0D97700A"/>
    <w:rsid w:val="0DB7701C"/>
    <w:rsid w:val="0E2165E4"/>
    <w:rsid w:val="0E5057A7"/>
    <w:rsid w:val="0E62201A"/>
    <w:rsid w:val="0E7B0409"/>
    <w:rsid w:val="0E81379D"/>
    <w:rsid w:val="0EEF1E4F"/>
    <w:rsid w:val="0F31382A"/>
    <w:rsid w:val="0F433331"/>
    <w:rsid w:val="0F736257"/>
    <w:rsid w:val="0F753D1A"/>
    <w:rsid w:val="0FC02557"/>
    <w:rsid w:val="10826EFC"/>
    <w:rsid w:val="10C61BEC"/>
    <w:rsid w:val="114A18CD"/>
    <w:rsid w:val="11A22EA1"/>
    <w:rsid w:val="12082922"/>
    <w:rsid w:val="122C5D80"/>
    <w:rsid w:val="1241350A"/>
    <w:rsid w:val="124336D6"/>
    <w:rsid w:val="12647A72"/>
    <w:rsid w:val="12D871B6"/>
    <w:rsid w:val="13117B7D"/>
    <w:rsid w:val="131B3DD9"/>
    <w:rsid w:val="132520FC"/>
    <w:rsid w:val="132B16DC"/>
    <w:rsid w:val="13340A4E"/>
    <w:rsid w:val="13460A78"/>
    <w:rsid w:val="135D4DFE"/>
    <w:rsid w:val="13CB1AED"/>
    <w:rsid w:val="14381FDE"/>
    <w:rsid w:val="1465510D"/>
    <w:rsid w:val="146F7E6D"/>
    <w:rsid w:val="147B78CB"/>
    <w:rsid w:val="14A942EC"/>
    <w:rsid w:val="153810F8"/>
    <w:rsid w:val="154D508D"/>
    <w:rsid w:val="155026AC"/>
    <w:rsid w:val="15897F1C"/>
    <w:rsid w:val="15A92F5A"/>
    <w:rsid w:val="164A11C8"/>
    <w:rsid w:val="166354E7"/>
    <w:rsid w:val="168E1FEF"/>
    <w:rsid w:val="16951821"/>
    <w:rsid w:val="16A30471"/>
    <w:rsid w:val="16A46AB2"/>
    <w:rsid w:val="16C635D0"/>
    <w:rsid w:val="16E15B36"/>
    <w:rsid w:val="16FD5D77"/>
    <w:rsid w:val="17F06C76"/>
    <w:rsid w:val="180B7D87"/>
    <w:rsid w:val="186407CC"/>
    <w:rsid w:val="18A26127"/>
    <w:rsid w:val="18AB2130"/>
    <w:rsid w:val="18B30FC7"/>
    <w:rsid w:val="1942142D"/>
    <w:rsid w:val="194B39CA"/>
    <w:rsid w:val="19627E6E"/>
    <w:rsid w:val="19B80D1D"/>
    <w:rsid w:val="19E917C3"/>
    <w:rsid w:val="1A2A51F6"/>
    <w:rsid w:val="1A7271EF"/>
    <w:rsid w:val="1ACC0D9D"/>
    <w:rsid w:val="1B414EA1"/>
    <w:rsid w:val="1C213B90"/>
    <w:rsid w:val="1C6F0157"/>
    <w:rsid w:val="1C6F2072"/>
    <w:rsid w:val="1C7A7CF1"/>
    <w:rsid w:val="1CEA3E7C"/>
    <w:rsid w:val="1D452576"/>
    <w:rsid w:val="1D5E7A54"/>
    <w:rsid w:val="1DC818B9"/>
    <w:rsid w:val="1DFA337A"/>
    <w:rsid w:val="1DFD2824"/>
    <w:rsid w:val="1E003C31"/>
    <w:rsid w:val="1E35423A"/>
    <w:rsid w:val="1E3A3BD5"/>
    <w:rsid w:val="1E3C734D"/>
    <w:rsid w:val="1E82375A"/>
    <w:rsid w:val="1F0F6A86"/>
    <w:rsid w:val="1F392A2D"/>
    <w:rsid w:val="1F4A0489"/>
    <w:rsid w:val="1F585163"/>
    <w:rsid w:val="1F907B68"/>
    <w:rsid w:val="200D6D10"/>
    <w:rsid w:val="20243FF2"/>
    <w:rsid w:val="207509C1"/>
    <w:rsid w:val="2077713A"/>
    <w:rsid w:val="209161B3"/>
    <w:rsid w:val="20CE273E"/>
    <w:rsid w:val="20D54DBD"/>
    <w:rsid w:val="210E107F"/>
    <w:rsid w:val="21163158"/>
    <w:rsid w:val="21232032"/>
    <w:rsid w:val="214476B4"/>
    <w:rsid w:val="215858F1"/>
    <w:rsid w:val="21C452C4"/>
    <w:rsid w:val="22112DCD"/>
    <w:rsid w:val="221C6E6B"/>
    <w:rsid w:val="225F4881"/>
    <w:rsid w:val="22A00141"/>
    <w:rsid w:val="23106F8A"/>
    <w:rsid w:val="23125863"/>
    <w:rsid w:val="23210EA2"/>
    <w:rsid w:val="234109C0"/>
    <w:rsid w:val="2342542F"/>
    <w:rsid w:val="2371662A"/>
    <w:rsid w:val="23CB5444"/>
    <w:rsid w:val="241A4435"/>
    <w:rsid w:val="24422424"/>
    <w:rsid w:val="245634EB"/>
    <w:rsid w:val="24912949"/>
    <w:rsid w:val="24A66845"/>
    <w:rsid w:val="251A45D3"/>
    <w:rsid w:val="251C5F1A"/>
    <w:rsid w:val="25BC39F6"/>
    <w:rsid w:val="25F50C74"/>
    <w:rsid w:val="26574909"/>
    <w:rsid w:val="26596D5F"/>
    <w:rsid w:val="269F7587"/>
    <w:rsid w:val="26C1430B"/>
    <w:rsid w:val="270556E8"/>
    <w:rsid w:val="270F348E"/>
    <w:rsid w:val="27254B82"/>
    <w:rsid w:val="27543937"/>
    <w:rsid w:val="27A6670B"/>
    <w:rsid w:val="27CE3F8D"/>
    <w:rsid w:val="27EA0066"/>
    <w:rsid w:val="28546DAA"/>
    <w:rsid w:val="28A142A5"/>
    <w:rsid w:val="29631930"/>
    <w:rsid w:val="29752CE2"/>
    <w:rsid w:val="2981765A"/>
    <w:rsid w:val="29BD1135"/>
    <w:rsid w:val="29E300A3"/>
    <w:rsid w:val="2A0C3E7C"/>
    <w:rsid w:val="2A3C6032"/>
    <w:rsid w:val="2A861BB9"/>
    <w:rsid w:val="2A9A57A3"/>
    <w:rsid w:val="2AFA54E3"/>
    <w:rsid w:val="2B5C2434"/>
    <w:rsid w:val="2B8F13FE"/>
    <w:rsid w:val="2BA904F2"/>
    <w:rsid w:val="2BC100C5"/>
    <w:rsid w:val="2BD3544E"/>
    <w:rsid w:val="2C0B06F1"/>
    <w:rsid w:val="2C896D83"/>
    <w:rsid w:val="2C9A4BF3"/>
    <w:rsid w:val="2C9E3855"/>
    <w:rsid w:val="2CC3275B"/>
    <w:rsid w:val="2D4E0074"/>
    <w:rsid w:val="2D59037A"/>
    <w:rsid w:val="2E055294"/>
    <w:rsid w:val="2E2A368A"/>
    <w:rsid w:val="2E6E0A52"/>
    <w:rsid w:val="2E6E3B4A"/>
    <w:rsid w:val="2F1F58FB"/>
    <w:rsid w:val="2F370867"/>
    <w:rsid w:val="2F8D1ACC"/>
    <w:rsid w:val="2F913D1C"/>
    <w:rsid w:val="2FBA44E8"/>
    <w:rsid w:val="302820BB"/>
    <w:rsid w:val="304F10E7"/>
    <w:rsid w:val="307878E5"/>
    <w:rsid w:val="3082649B"/>
    <w:rsid w:val="308B213B"/>
    <w:rsid w:val="30A10080"/>
    <w:rsid w:val="30D877EA"/>
    <w:rsid w:val="30E623A4"/>
    <w:rsid w:val="30E76E98"/>
    <w:rsid w:val="31040E5F"/>
    <w:rsid w:val="31102E48"/>
    <w:rsid w:val="312149DB"/>
    <w:rsid w:val="313764EC"/>
    <w:rsid w:val="318B64F9"/>
    <w:rsid w:val="31B45F77"/>
    <w:rsid w:val="31DF3A52"/>
    <w:rsid w:val="31FB15F5"/>
    <w:rsid w:val="322C7C2B"/>
    <w:rsid w:val="32654320"/>
    <w:rsid w:val="326A4C5E"/>
    <w:rsid w:val="338D6249"/>
    <w:rsid w:val="338F44F8"/>
    <w:rsid w:val="33B234E1"/>
    <w:rsid w:val="33B7453C"/>
    <w:rsid w:val="33E02FA5"/>
    <w:rsid w:val="34811424"/>
    <w:rsid w:val="354D6418"/>
    <w:rsid w:val="35577297"/>
    <w:rsid w:val="359E6C4E"/>
    <w:rsid w:val="35A54C8F"/>
    <w:rsid w:val="35CB174A"/>
    <w:rsid w:val="361D0B5E"/>
    <w:rsid w:val="364E3C95"/>
    <w:rsid w:val="367B0ADE"/>
    <w:rsid w:val="369D46B8"/>
    <w:rsid w:val="370F54B0"/>
    <w:rsid w:val="37337890"/>
    <w:rsid w:val="373E1844"/>
    <w:rsid w:val="37F82AFB"/>
    <w:rsid w:val="380663C5"/>
    <w:rsid w:val="38146FCB"/>
    <w:rsid w:val="381A265D"/>
    <w:rsid w:val="38544909"/>
    <w:rsid w:val="38D4072E"/>
    <w:rsid w:val="38E863CA"/>
    <w:rsid w:val="38FA6CBB"/>
    <w:rsid w:val="39127DE1"/>
    <w:rsid w:val="39317DFF"/>
    <w:rsid w:val="39377D37"/>
    <w:rsid w:val="396E1DAF"/>
    <w:rsid w:val="399359EE"/>
    <w:rsid w:val="399B0698"/>
    <w:rsid w:val="39A63EFB"/>
    <w:rsid w:val="39E1122C"/>
    <w:rsid w:val="39E276CF"/>
    <w:rsid w:val="3A59750F"/>
    <w:rsid w:val="3A976FB0"/>
    <w:rsid w:val="3AB65D95"/>
    <w:rsid w:val="3AC72351"/>
    <w:rsid w:val="3AD76AB4"/>
    <w:rsid w:val="3AD9698D"/>
    <w:rsid w:val="3ADD0722"/>
    <w:rsid w:val="3B08733B"/>
    <w:rsid w:val="3B637B49"/>
    <w:rsid w:val="3B9D51E7"/>
    <w:rsid w:val="3BAB2FED"/>
    <w:rsid w:val="3BE07E5D"/>
    <w:rsid w:val="3C0E141C"/>
    <w:rsid w:val="3C124C2A"/>
    <w:rsid w:val="3C1557B6"/>
    <w:rsid w:val="3C300BBD"/>
    <w:rsid w:val="3CD4305E"/>
    <w:rsid w:val="3CE04016"/>
    <w:rsid w:val="3CE2635D"/>
    <w:rsid w:val="3CFE671F"/>
    <w:rsid w:val="3D0C0F4A"/>
    <w:rsid w:val="3D4E2EEF"/>
    <w:rsid w:val="3D525F83"/>
    <w:rsid w:val="3DC6320C"/>
    <w:rsid w:val="3DE7737F"/>
    <w:rsid w:val="3E3569D0"/>
    <w:rsid w:val="3E500D27"/>
    <w:rsid w:val="3EDD6F84"/>
    <w:rsid w:val="3EEF0AD2"/>
    <w:rsid w:val="3EFA135D"/>
    <w:rsid w:val="3F7754AB"/>
    <w:rsid w:val="3F813747"/>
    <w:rsid w:val="4028370F"/>
    <w:rsid w:val="402A5581"/>
    <w:rsid w:val="40311C7B"/>
    <w:rsid w:val="40467776"/>
    <w:rsid w:val="40545D98"/>
    <w:rsid w:val="408C7E39"/>
    <w:rsid w:val="40BC70A3"/>
    <w:rsid w:val="40C2432C"/>
    <w:rsid w:val="40D64EC7"/>
    <w:rsid w:val="40E457C1"/>
    <w:rsid w:val="40E60450"/>
    <w:rsid w:val="40EB3ED6"/>
    <w:rsid w:val="41120516"/>
    <w:rsid w:val="413262CA"/>
    <w:rsid w:val="414E017E"/>
    <w:rsid w:val="4171348E"/>
    <w:rsid w:val="41B4536F"/>
    <w:rsid w:val="41C62E91"/>
    <w:rsid w:val="41C752EC"/>
    <w:rsid w:val="41FE7635"/>
    <w:rsid w:val="420D00AD"/>
    <w:rsid w:val="42242EE5"/>
    <w:rsid w:val="42276243"/>
    <w:rsid w:val="429E223F"/>
    <w:rsid w:val="437D1262"/>
    <w:rsid w:val="43AF4742"/>
    <w:rsid w:val="43C01F7C"/>
    <w:rsid w:val="43DC1A26"/>
    <w:rsid w:val="442E1B0B"/>
    <w:rsid w:val="445C1210"/>
    <w:rsid w:val="448C225F"/>
    <w:rsid w:val="44C11F2E"/>
    <w:rsid w:val="44F53E6A"/>
    <w:rsid w:val="450062E8"/>
    <w:rsid w:val="45034803"/>
    <w:rsid w:val="453A385F"/>
    <w:rsid w:val="4540703D"/>
    <w:rsid w:val="456F4E44"/>
    <w:rsid w:val="458A221C"/>
    <w:rsid w:val="45D92AC7"/>
    <w:rsid w:val="464020E9"/>
    <w:rsid w:val="46596166"/>
    <w:rsid w:val="469C526A"/>
    <w:rsid w:val="46AB157D"/>
    <w:rsid w:val="46B709B5"/>
    <w:rsid w:val="46D00A4D"/>
    <w:rsid w:val="46F36225"/>
    <w:rsid w:val="472F5737"/>
    <w:rsid w:val="4748364E"/>
    <w:rsid w:val="47600B18"/>
    <w:rsid w:val="47624818"/>
    <w:rsid w:val="479C2439"/>
    <w:rsid w:val="47E130CA"/>
    <w:rsid w:val="47F86DF5"/>
    <w:rsid w:val="480158A8"/>
    <w:rsid w:val="48021311"/>
    <w:rsid w:val="48103547"/>
    <w:rsid w:val="48197CDC"/>
    <w:rsid w:val="48621154"/>
    <w:rsid w:val="487023F8"/>
    <w:rsid w:val="48771D04"/>
    <w:rsid w:val="48A30F2F"/>
    <w:rsid w:val="493D4F29"/>
    <w:rsid w:val="495F3A7D"/>
    <w:rsid w:val="497158BE"/>
    <w:rsid w:val="498C6C03"/>
    <w:rsid w:val="4A1B335E"/>
    <w:rsid w:val="4A3B4F61"/>
    <w:rsid w:val="4ADA02F6"/>
    <w:rsid w:val="4B061811"/>
    <w:rsid w:val="4B296FCE"/>
    <w:rsid w:val="4B527FCB"/>
    <w:rsid w:val="4B6C11E9"/>
    <w:rsid w:val="4B7138D7"/>
    <w:rsid w:val="4B84610B"/>
    <w:rsid w:val="4B856C7C"/>
    <w:rsid w:val="4BC04CDF"/>
    <w:rsid w:val="4BEB0F8C"/>
    <w:rsid w:val="4BEC6E91"/>
    <w:rsid w:val="4C0A5870"/>
    <w:rsid w:val="4C147B6B"/>
    <w:rsid w:val="4C2E23D4"/>
    <w:rsid w:val="4C4C316E"/>
    <w:rsid w:val="4C9C4CF7"/>
    <w:rsid w:val="4CA81005"/>
    <w:rsid w:val="4CBF3B9E"/>
    <w:rsid w:val="4CD20ABA"/>
    <w:rsid w:val="4CFE4785"/>
    <w:rsid w:val="4D3B0743"/>
    <w:rsid w:val="4D454BD9"/>
    <w:rsid w:val="4DA92397"/>
    <w:rsid w:val="4DAE0DAA"/>
    <w:rsid w:val="4DBA5608"/>
    <w:rsid w:val="4E20070B"/>
    <w:rsid w:val="4EB31B3D"/>
    <w:rsid w:val="4ED105A1"/>
    <w:rsid w:val="4EE45730"/>
    <w:rsid w:val="4F032404"/>
    <w:rsid w:val="4FA345BC"/>
    <w:rsid w:val="4FD73B66"/>
    <w:rsid w:val="4FF8158A"/>
    <w:rsid w:val="4FFC154F"/>
    <w:rsid w:val="500E305D"/>
    <w:rsid w:val="502C2DF0"/>
    <w:rsid w:val="509E7741"/>
    <w:rsid w:val="50D73CBF"/>
    <w:rsid w:val="50DA5686"/>
    <w:rsid w:val="51145BE4"/>
    <w:rsid w:val="513302B1"/>
    <w:rsid w:val="513A753E"/>
    <w:rsid w:val="515111A8"/>
    <w:rsid w:val="51562E54"/>
    <w:rsid w:val="52446A4F"/>
    <w:rsid w:val="52BD58AA"/>
    <w:rsid w:val="52E97214"/>
    <w:rsid w:val="53060174"/>
    <w:rsid w:val="532351D3"/>
    <w:rsid w:val="5343150E"/>
    <w:rsid w:val="534A73DD"/>
    <w:rsid w:val="535A5C17"/>
    <w:rsid w:val="538C633C"/>
    <w:rsid w:val="53BC6DCF"/>
    <w:rsid w:val="53D6107A"/>
    <w:rsid w:val="5406019B"/>
    <w:rsid w:val="540E2EB8"/>
    <w:rsid w:val="54201EBE"/>
    <w:rsid w:val="542C5C75"/>
    <w:rsid w:val="54962592"/>
    <w:rsid w:val="54B4385D"/>
    <w:rsid w:val="54C807B7"/>
    <w:rsid w:val="54DE21E7"/>
    <w:rsid w:val="54E9604A"/>
    <w:rsid w:val="54FB4834"/>
    <w:rsid w:val="555D3318"/>
    <w:rsid w:val="558F3715"/>
    <w:rsid w:val="55E85142"/>
    <w:rsid w:val="560808ED"/>
    <w:rsid w:val="563116AB"/>
    <w:rsid w:val="563F0712"/>
    <w:rsid w:val="566D5B08"/>
    <w:rsid w:val="568D205B"/>
    <w:rsid w:val="56C47577"/>
    <w:rsid w:val="56F453FE"/>
    <w:rsid w:val="570E7695"/>
    <w:rsid w:val="588C69A8"/>
    <w:rsid w:val="58D40A81"/>
    <w:rsid w:val="58ED449B"/>
    <w:rsid w:val="592C2C48"/>
    <w:rsid w:val="59417D5C"/>
    <w:rsid w:val="59747B68"/>
    <w:rsid w:val="59BA24A4"/>
    <w:rsid w:val="59FA5BD0"/>
    <w:rsid w:val="5A1353F2"/>
    <w:rsid w:val="5AA61A84"/>
    <w:rsid w:val="5AFC6067"/>
    <w:rsid w:val="5B0C5AD4"/>
    <w:rsid w:val="5B115D46"/>
    <w:rsid w:val="5B3B0B4F"/>
    <w:rsid w:val="5B6A7ED8"/>
    <w:rsid w:val="5B7B5CB6"/>
    <w:rsid w:val="5C345DC0"/>
    <w:rsid w:val="5C77683C"/>
    <w:rsid w:val="5CD34BE9"/>
    <w:rsid w:val="5DA3495F"/>
    <w:rsid w:val="5DF27AC0"/>
    <w:rsid w:val="5E0A693F"/>
    <w:rsid w:val="5E3C20DF"/>
    <w:rsid w:val="5E525F9E"/>
    <w:rsid w:val="5E963FEB"/>
    <w:rsid w:val="5EE07FDF"/>
    <w:rsid w:val="5EE121D0"/>
    <w:rsid w:val="5EFD23AE"/>
    <w:rsid w:val="5F0C25F1"/>
    <w:rsid w:val="5F3E354F"/>
    <w:rsid w:val="5F48403A"/>
    <w:rsid w:val="5FA36293"/>
    <w:rsid w:val="60470092"/>
    <w:rsid w:val="60C83B80"/>
    <w:rsid w:val="61BB08BA"/>
    <w:rsid w:val="623D7971"/>
    <w:rsid w:val="627F4C44"/>
    <w:rsid w:val="62AC5EDB"/>
    <w:rsid w:val="62C13319"/>
    <w:rsid w:val="63145878"/>
    <w:rsid w:val="632507EF"/>
    <w:rsid w:val="633D32D4"/>
    <w:rsid w:val="637F3543"/>
    <w:rsid w:val="63BD76E3"/>
    <w:rsid w:val="63C9674D"/>
    <w:rsid w:val="6445068E"/>
    <w:rsid w:val="64713622"/>
    <w:rsid w:val="64A9150E"/>
    <w:rsid w:val="64B3420B"/>
    <w:rsid w:val="64CC6AAA"/>
    <w:rsid w:val="64D36AE2"/>
    <w:rsid w:val="65142C48"/>
    <w:rsid w:val="65143F5F"/>
    <w:rsid w:val="65222836"/>
    <w:rsid w:val="653168EF"/>
    <w:rsid w:val="65580C65"/>
    <w:rsid w:val="655F5C85"/>
    <w:rsid w:val="65620DFC"/>
    <w:rsid w:val="65641248"/>
    <w:rsid w:val="65683303"/>
    <w:rsid w:val="657A5389"/>
    <w:rsid w:val="658442A8"/>
    <w:rsid w:val="65B14874"/>
    <w:rsid w:val="65B448BD"/>
    <w:rsid w:val="65DC285F"/>
    <w:rsid w:val="66095373"/>
    <w:rsid w:val="6614405A"/>
    <w:rsid w:val="66383029"/>
    <w:rsid w:val="66D60B20"/>
    <w:rsid w:val="670321A1"/>
    <w:rsid w:val="674F7177"/>
    <w:rsid w:val="67DE6219"/>
    <w:rsid w:val="67E2608E"/>
    <w:rsid w:val="67F746DD"/>
    <w:rsid w:val="681F121A"/>
    <w:rsid w:val="684F3107"/>
    <w:rsid w:val="68555008"/>
    <w:rsid w:val="686F219A"/>
    <w:rsid w:val="68906567"/>
    <w:rsid w:val="68A25DA9"/>
    <w:rsid w:val="68A51AEC"/>
    <w:rsid w:val="68C05398"/>
    <w:rsid w:val="68E819D9"/>
    <w:rsid w:val="68EB5D6C"/>
    <w:rsid w:val="690C7B70"/>
    <w:rsid w:val="693B27BD"/>
    <w:rsid w:val="693C4DF8"/>
    <w:rsid w:val="696B1E96"/>
    <w:rsid w:val="699355B6"/>
    <w:rsid w:val="69BA15C7"/>
    <w:rsid w:val="69CB48E2"/>
    <w:rsid w:val="69CF4294"/>
    <w:rsid w:val="69DE7E9A"/>
    <w:rsid w:val="6AC75B75"/>
    <w:rsid w:val="6AD12691"/>
    <w:rsid w:val="6AE23EE9"/>
    <w:rsid w:val="6B4927D7"/>
    <w:rsid w:val="6B5351E5"/>
    <w:rsid w:val="6B792F54"/>
    <w:rsid w:val="6B81182C"/>
    <w:rsid w:val="6B850D54"/>
    <w:rsid w:val="6B88389E"/>
    <w:rsid w:val="6BB023E9"/>
    <w:rsid w:val="6BBB5808"/>
    <w:rsid w:val="6BDD432C"/>
    <w:rsid w:val="6C6774A2"/>
    <w:rsid w:val="6CCC5DFA"/>
    <w:rsid w:val="6CE117EE"/>
    <w:rsid w:val="6D074754"/>
    <w:rsid w:val="6D1A1D37"/>
    <w:rsid w:val="6D554E5A"/>
    <w:rsid w:val="6D590DC3"/>
    <w:rsid w:val="6D76600D"/>
    <w:rsid w:val="6DE93ECD"/>
    <w:rsid w:val="6DEC2F43"/>
    <w:rsid w:val="6E535B46"/>
    <w:rsid w:val="6E5E5A34"/>
    <w:rsid w:val="6E6B12BE"/>
    <w:rsid w:val="6EBC13EF"/>
    <w:rsid w:val="6ED05CAB"/>
    <w:rsid w:val="6EED5BF0"/>
    <w:rsid w:val="6EF60F36"/>
    <w:rsid w:val="6F0B4B75"/>
    <w:rsid w:val="6F224CD7"/>
    <w:rsid w:val="6F2C65F5"/>
    <w:rsid w:val="6F48284E"/>
    <w:rsid w:val="6FD06DAA"/>
    <w:rsid w:val="70260F68"/>
    <w:rsid w:val="705141F0"/>
    <w:rsid w:val="7134548E"/>
    <w:rsid w:val="71435B1C"/>
    <w:rsid w:val="717028BA"/>
    <w:rsid w:val="719D6158"/>
    <w:rsid w:val="71AB0C71"/>
    <w:rsid w:val="71D3794E"/>
    <w:rsid w:val="71E33CC6"/>
    <w:rsid w:val="71E40358"/>
    <w:rsid w:val="71EA6851"/>
    <w:rsid w:val="72365B5C"/>
    <w:rsid w:val="72733F4F"/>
    <w:rsid w:val="72D7714B"/>
    <w:rsid w:val="72E04173"/>
    <w:rsid w:val="72F72869"/>
    <w:rsid w:val="73914B6C"/>
    <w:rsid w:val="73BB2D69"/>
    <w:rsid w:val="73ED2A50"/>
    <w:rsid w:val="73FA589E"/>
    <w:rsid w:val="745D771F"/>
    <w:rsid w:val="74DE586D"/>
    <w:rsid w:val="754872D1"/>
    <w:rsid w:val="758E6AC2"/>
    <w:rsid w:val="75A7477B"/>
    <w:rsid w:val="764A3CD3"/>
    <w:rsid w:val="76812555"/>
    <w:rsid w:val="768949D2"/>
    <w:rsid w:val="7696615B"/>
    <w:rsid w:val="76DD3E97"/>
    <w:rsid w:val="77042E8A"/>
    <w:rsid w:val="770B30AF"/>
    <w:rsid w:val="77534E09"/>
    <w:rsid w:val="77B33289"/>
    <w:rsid w:val="78176923"/>
    <w:rsid w:val="78266C12"/>
    <w:rsid w:val="783630FF"/>
    <w:rsid w:val="787B771B"/>
    <w:rsid w:val="78C4067F"/>
    <w:rsid w:val="7967713E"/>
    <w:rsid w:val="797E1109"/>
    <w:rsid w:val="799846CA"/>
    <w:rsid w:val="79C94015"/>
    <w:rsid w:val="79DA1535"/>
    <w:rsid w:val="79ED65BC"/>
    <w:rsid w:val="7A0131D5"/>
    <w:rsid w:val="7A065C9A"/>
    <w:rsid w:val="7A2A0655"/>
    <w:rsid w:val="7A2A42D9"/>
    <w:rsid w:val="7B427A2D"/>
    <w:rsid w:val="7B711D02"/>
    <w:rsid w:val="7BA2440C"/>
    <w:rsid w:val="7BAC613C"/>
    <w:rsid w:val="7BB0282A"/>
    <w:rsid w:val="7BFA1DEE"/>
    <w:rsid w:val="7BFB4050"/>
    <w:rsid w:val="7C316E74"/>
    <w:rsid w:val="7C3876C7"/>
    <w:rsid w:val="7C5C7825"/>
    <w:rsid w:val="7C8A7229"/>
    <w:rsid w:val="7C8D379A"/>
    <w:rsid w:val="7D0F3E51"/>
    <w:rsid w:val="7D19298A"/>
    <w:rsid w:val="7D7D2314"/>
    <w:rsid w:val="7DA70658"/>
    <w:rsid w:val="7DB61C4E"/>
    <w:rsid w:val="7DD45275"/>
    <w:rsid w:val="7E05188E"/>
    <w:rsid w:val="7E077707"/>
    <w:rsid w:val="7E124826"/>
    <w:rsid w:val="7E467FEB"/>
    <w:rsid w:val="7E561A36"/>
    <w:rsid w:val="7E6263E8"/>
    <w:rsid w:val="7ECD5C30"/>
    <w:rsid w:val="7F3A3A44"/>
    <w:rsid w:val="7F5749FE"/>
    <w:rsid w:val="7F5C0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35"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spacing w:line="360" w:lineRule="auto"/>
      <w:ind w:left="-63" w:leftChars="-30" w:right="-63" w:rightChars="-30" w:firstLine="400" w:firstLineChars="200"/>
    </w:pPr>
    <w:rPr>
      <w:rFonts w:ascii="Times New Roman" w:hAnsi="Times New Roman" w:eastAsiaTheme="minorEastAsia" w:cstheme="minorBidi"/>
      <w:sz w:val="21"/>
      <w:szCs w:val="22"/>
      <w:lang w:val="en-US" w:eastAsia="en-US" w:bidi="ar-SA"/>
    </w:rPr>
  </w:style>
  <w:style w:type="paragraph" w:styleId="3">
    <w:name w:val="heading 1"/>
    <w:basedOn w:val="1"/>
    <w:next w:val="1"/>
    <w:autoRedefine/>
    <w:qFormat/>
    <w:uiPriority w:val="1"/>
    <w:pPr>
      <w:ind w:left="2372"/>
      <w:outlineLvl w:val="0"/>
    </w:pPr>
    <w:rPr>
      <w:rFonts w:ascii="微软雅黑" w:hAnsi="微软雅黑" w:eastAsia="微软雅黑"/>
      <w:sz w:val="38"/>
      <w:szCs w:val="38"/>
    </w:rPr>
  </w:style>
  <w:style w:type="paragraph" w:styleId="2">
    <w:name w:val="heading 2"/>
    <w:basedOn w:val="1"/>
    <w:next w:val="1"/>
    <w:autoRedefine/>
    <w:qFormat/>
    <w:uiPriority w:val="1"/>
    <w:pPr>
      <w:ind w:left="890"/>
      <w:outlineLvl w:val="1"/>
    </w:pPr>
    <w:rPr>
      <w:rFonts w:ascii="微软雅黑" w:hAnsi="微软雅黑" w:eastAsia="微软雅黑"/>
      <w:sz w:val="36"/>
      <w:szCs w:val="36"/>
    </w:rPr>
  </w:style>
  <w:style w:type="paragraph" w:styleId="4">
    <w:name w:val="heading 3"/>
    <w:basedOn w:val="1"/>
    <w:next w:val="1"/>
    <w:autoRedefine/>
    <w:semiHidden/>
    <w:unhideWhenUsed/>
    <w:qFormat/>
    <w:uiPriority w:val="0"/>
    <w:pPr>
      <w:spacing w:beforeAutospacing="1" w:afterAutospacing="1"/>
      <w:outlineLvl w:val="2"/>
    </w:pPr>
    <w:rPr>
      <w:rFonts w:hint="eastAsia" w:ascii="宋体" w:hAnsi="宋体" w:eastAsia="宋体" w:cs="Times New Roman"/>
      <w:b/>
      <w:bCs/>
      <w:sz w:val="27"/>
      <w:szCs w:val="27"/>
      <w:lang w:eastAsia="zh-CN"/>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spacing w:line="264" w:lineRule="auto"/>
      <w:ind w:firstLine="476"/>
    </w:pPr>
    <w:rPr>
      <w:rFonts w:ascii="@宋体" w:hAnsi="@宋体" w:eastAsia="Arial Unicode MS" w:cs="@宋体"/>
      <w:spacing w:val="10"/>
      <w:sz w:val="24"/>
      <w:szCs w:val="20"/>
    </w:rPr>
  </w:style>
  <w:style w:type="paragraph" w:styleId="6">
    <w:name w:val="caption"/>
    <w:basedOn w:val="1"/>
    <w:next w:val="1"/>
    <w:autoRedefine/>
    <w:unhideWhenUsed/>
    <w:qFormat/>
    <w:uiPriority w:val="35"/>
    <w:pPr>
      <w:keepNext/>
      <w:adjustRightInd w:val="0"/>
      <w:spacing w:beforeLines="50"/>
      <w:jc w:val="center"/>
    </w:pPr>
    <w:rPr>
      <w:rFonts w:eastAsia="黑体"/>
      <w:kern w:val="21"/>
      <w:szCs w:val="20"/>
    </w:rPr>
  </w:style>
  <w:style w:type="paragraph" w:styleId="7">
    <w:name w:val="annotation text"/>
    <w:basedOn w:val="1"/>
    <w:link w:val="82"/>
    <w:autoRedefine/>
    <w:qFormat/>
    <w:uiPriority w:val="0"/>
    <w:pPr>
      <w:ind w:firstLine="420"/>
    </w:pPr>
  </w:style>
  <w:style w:type="paragraph" w:styleId="8">
    <w:name w:val="Body Text"/>
    <w:basedOn w:val="1"/>
    <w:next w:val="1"/>
    <w:autoRedefine/>
    <w:qFormat/>
    <w:uiPriority w:val="1"/>
    <w:pPr>
      <w:spacing w:before="7"/>
    </w:pPr>
    <w:rPr>
      <w:rFonts w:ascii="黑体" w:hAnsi="黑体" w:eastAsia="黑体"/>
      <w:sz w:val="30"/>
      <w:szCs w:val="30"/>
    </w:rPr>
  </w:style>
  <w:style w:type="paragraph" w:styleId="9">
    <w:name w:val="Body Text Indent"/>
    <w:basedOn w:val="1"/>
    <w:next w:val="10"/>
    <w:autoRedefine/>
    <w:qFormat/>
    <w:uiPriority w:val="0"/>
    <w:pPr>
      <w:spacing w:before="60" w:line="460" w:lineRule="exact"/>
      <w:ind w:firstLine="540"/>
    </w:pPr>
    <w:rPr>
      <w:rFonts w:ascii="Arial Unicode MS"/>
      <w:sz w:val="28"/>
      <w:szCs w:val="20"/>
    </w:rPr>
  </w:style>
  <w:style w:type="paragraph" w:styleId="10">
    <w:name w:val="header"/>
    <w:basedOn w:val="1"/>
    <w:next w:val="11"/>
    <w:link w:val="6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11">
    <w:name w:val="样式5"/>
    <w:basedOn w:val="12"/>
    <w:autoRedefine/>
    <w:qFormat/>
    <w:uiPriority w:val="0"/>
    <w:pPr>
      <w:spacing w:line="380" w:lineRule="exact"/>
      <w:ind w:firstLine="566" w:firstLineChars="202"/>
    </w:pPr>
    <w:rPr>
      <w:rFonts w:eastAsia="华文行楷"/>
      <w:sz w:val="28"/>
    </w:rPr>
  </w:style>
  <w:style w:type="paragraph" w:customStyle="1" w:styleId="12">
    <w:name w:val="样式3"/>
    <w:basedOn w:val="13"/>
    <w:autoRedefine/>
    <w:qFormat/>
    <w:uiPriority w:val="0"/>
    <w:pPr>
      <w:ind w:firstLine="200" w:firstLineChars="200"/>
    </w:pPr>
    <w:rPr>
      <w:b/>
      <w:bCs/>
      <w:sz w:val="24"/>
      <w:lang w:val="en-GB"/>
    </w:rPr>
  </w:style>
  <w:style w:type="paragraph" w:styleId="13">
    <w:name w:val="List"/>
    <w:basedOn w:val="1"/>
    <w:autoRedefine/>
    <w:qFormat/>
    <w:uiPriority w:val="0"/>
    <w:pPr>
      <w:ind w:left="200" w:hanging="200" w:hangingChars="200"/>
    </w:pPr>
  </w:style>
  <w:style w:type="paragraph" w:styleId="14">
    <w:name w:val="toc 3"/>
    <w:basedOn w:val="1"/>
    <w:next w:val="1"/>
    <w:autoRedefine/>
    <w:qFormat/>
    <w:uiPriority w:val="0"/>
    <w:pPr>
      <w:ind w:left="840" w:leftChars="400"/>
    </w:pPr>
  </w:style>
  <w:style w:type="paragraph" w:styleId="15">
    <w:name w:val="Plain Text"/>
    <w:basedOn w:val="1"/>
    <w:autoRedefine/>
    <w:qFormat/>
    <w:uiPriority w:val="0"/>
    <w:rPr>
      <w:rFonts w:ascii="Arial Unicode MS" w:hAnsi="ˎ̥" w:eastAsia="Arial Unicode MS"/>
      <w:sz w:val="24"/>
      <w:szCs w:val="20"/>
    </w:rPr>
  </w:style>
  <w:style w:type="paragraph" w:styleId="16">
    <w:name w:val="Balloon Text"/>
    <w:basedOn w:val="1"/>
    <w:link w:val="84"/>
    <w:qFormat/>
    <w:uiPriority w:val="0"/>
    <w:pPr>
      <w:spacing w:line="240" w:lineRule="auto"/>
    </w:pPr>
    <w:rPr>
      <w:sz w:val="18"/>
      <w:szCs w:val="18"/>
    </w:rPr>
  </w:style>
  <w:style w:type="paragraph" w:styleId="17">
    <w:name w:val="footer"/>
    <w:basedOn w:val="1"/>
    <w:link w:val="63"/>
    <w:autoRedefine/>
    <w:qFormat/>
    <w:uiPriority w:val="0"/>
    <w:pPr>
      <w:tabs>
        <w:tab w:val="center" w:pos="4153"/>
        <w:tab w:val="right" w:pos="8306"/>
      </w:tabs>
      <w:snapToGrid w:val="0"/>
    </w:pPr>
    <w:rPr>
      <w:sz w:val="18"/>
    </w:rPr>
  </w:style>
  <w:style w:type="paragraph" w:styleId="18">
    <w:name w:val="toc 1"/>
    <w:basedOn w:val="1"/>
    <w:next w:val="1"/>
    <w:autoRedefine/>
    <w:qFormat/>
    <w:uiPriority w:val="0"/>
  </w:style>
  <w:style w:type="paragraph" w:styleId="19">
    <w:name w:val="table of figures"/>
    <w:basedOn w:val="1"/>
    <w:next w:val="1"/>
    <w:autoRedefine/>
    <w:qFormat/>
    <w:uiPriority w:val="0"/>
    <w:pPr>
      <w:ind w:left="200" w:leftChars="200" w:hanging="200" w:hangingChars="200"/>
    </w:pPr>
  </w:style>
  <w:style w:type="paragraph" w:styleId="20">
    <w:name w:val="toc 2"/>
    <w:basedOn w:val="1"/>
    <w:next w:val="1"/>
    <w:autoRedefine/>
    <w:qFormat/>
    <w:uiPriority w:val="39"/>
    <w:pPr>
      <w:ind w:left="210"/>
    </w:pPr>
    <w:rPr>
      <w:smallCaps/>
      <w:sz w:val="20"/>
      <w:szCs w:val="20"/>
    </w:rPr>
  </w:style>
  <w:style w:type="paragraph" w:styleId="21">
    <w:name w:val="Normal (Web)"/>
    <w:basedOn w:val="1"/>
    <w:autoRedefine/>
    <w:qFormat/>
    <w:uiPriority w:val="99"/>
    <w:pPr>
      <w:widowControl/>
      <w:spacing w:before="100" w:beforeAutospacing="1" w:after="100" w:afterAutospacing="1"/>
    </w:pPr>
    <w:rPr>
      <w:rFonts w:ascii="楷体_GB2312" w:hAnsi="楷体_GB2312" w:eastAsia="楷体_GB2312" w:cs="楷体_GB2312"/>
      <w:color w:val="000000"/>
      <w:sz w:val="24"/>
    </w:rPr>
  </w:style>
  <w:style w:type="paragraph" w:styleId="22">
    <w:name w:val="Title"/>
    <w:basedOn w:val="1"/>
    <w:next w:val="1"/>
    <w:autoRedefine/>
    <w:qFormat/>
    <w:uiPriority w:val="0"/>
    <w:pPr>
      <w:spacing w:line="600" w:lineRule="exact"/>
      <w:jc w:val="center"/>
    </w:pPr>
    <w:rPr>
      <w:rFonts w:hAnsi="@宋体" w:cs="@宋体"/>
      <w:b/>
      <w:bCs/>
      <w:spacing w:val="-10"/>
      <w:sz w:val="44"/>
      <w:szCs w:val="32"/>
    </w:rPr>
  </w:style>
  <w:style w:type="paragraph" w:styleId="23">
    <w:name w:val="annotation subject"/>
    <w:basedOn w:val="7"/>
    <w:next w:val="7"/>
    <w:link w:val="83"/>
    <w:qFormat/>
    <w:uiPriority w:val="0"/>
    <w:rPr>
      <w:b/>
      <w:bCs/>
    </w:rPr>
  </w:style>
  <w:style w:type="paragraph" w:styleId="24">
    <w:name w:val="Body Text First Indent"/>
    <w:basedOn w:val="8"/>
    <w:autoRedefine/>
    <w:qFormat/>
    <w:uiPriority w:val="0"/>
    <w:pPr>
      <w:spacing w:after="120" w:line="240" w:lineRule="auto"/>
      <w:ind w:firstLine="420" w:firstLineChars="100"/>
    </w:pPr>
    <w:rPr>
      <w:sz w:val="21"/>
    </w:rPr>
  </w:style>
  <w:style w:type="paragraph" w:styleId="25">
    <w:name w:val="Body Text First Indent 2"/>
    <w:basedOn w:val="9"/>
    <w:next w:val="1"/>
    <w:autoRedefine/>
    <w:qFormat/>
    <w:uiPriority w:val="99"/>
    <w:pPr>
      <w:spacing w:before="0" w:after="120" w:line="240" w:lineRule="auto"/>
      <w:ind w:left="420" w:leftChars="200" w:firstLine="420"/>
    </w:pPr>
    <w:rPr>
      <w:sz w:val="21"/>
      <w:szCs w:val="24"/>
    </w:rPr>
  </w:style>
  <w:style w:type="table" w:styleId="27">
    <w:name w:val="Table Grid"/>
    <w:basedOn w:val="26"/>
    <w:autoRedefine/>
    <w:qFormat/>
    <w:uiPriority w:val="0"/>
    <w:pPr>
      <w:widowControl w:val="0"/>
      <w:spacing w:line="520" w:lineRule="exact"/>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FollowedHyperlink"/>
    <w:basedOn w:val="28"/>
    <w:autoRedefine/>
    <w:qFormat/>
    <w:uiPriority w:val="0"/>
    <w:rPr>
      <w:color w:val="800080"/>
      <w:u w:val="none"/>
    </w:rPr>
  </w:style>
  <w:style w:type="character" w:styleId="32">
    <w:name w:val="Hyperlink"/>
    <w:basedOn w:val="28"/>
    <w:autoRedefine/>
    <w:qFormat/>
    <w:uiPriority w:val="0"/>
    <w:rPr>
      <w:color w:val="0000FF"/>
      <w:u w:val="single"/>
    </w:rPr>
  </w:style>
  <w:style w:type="character" w:styleId="33">
    <w:name w:val="annotation reference"/>
    <w:autoRedefine/>
    <w:qFormat/>
    <w:uiPriority w:val="99"/>
    <w:rPr>
      <w:sz w:val="21"/>
      <w:szCs w:val="21"/>
    </w:rPr>
  </w:style>
  <w:style w:type="paragraph" w:customStyle="1" w:styleId="34">
    <w:name w:val="Default1"/>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Default"/>
    <w:autoRedefine/>
    <w:qFormat/>
    <w:uiPriority w:val="0"/>
    <w:pPr>
      <w:widowControl w:val="0"/>
      <w:autoSpaceDE w:val="0"/>
      <w:autoSpaceDN w:val="0"/>
      <w:adjustRightInd w:val="0"/>
    </w:pPr>
    <w:rPr>
      <w:rFonts w:ascii="Arial Unicode MS" w:hAnsi="Times New Roman" w:eastAsia="宋体" w:cs="Arial Unicode MS"/>
      <w:color w:val="000000"/>
      <w:sz w:val="24"/>
      <w:szCs w:val="24"/>
      <w:lang w:val="en-US" w:eastAsia="zh-CN" w:bidi="ar-SA"/>
    </w:rPr>
  </w:style>
  <w:style w:type="table" w:customStyle="1" w:styleId="36">
    <w:name w:val="Table Normal"/>
    <w:autoRedefine/>
    <w:semiHidden/>
    <w:unhideWhenUsed/>
    <w:qFormat/>
    <w:uiPriority w:val="2"/>
    <w:tblPr>
      <w:tblCellMar>
        <w:top w:w="0" w:type="dxa"/>
        <w:left w:w="0" w:type="dxa"/>
        <w:bottom w:w="0" w:type="dxa"/>
        <w:right w:w="0" w:type="dxa"/>
      </w:tblCellMar>
    </w:tblPr>
  </w:style>
  <w:style w:type="paragraph" w:styleId="37">
    <w:name w:val="List Paragraph"/>
    <w:basedOn w:val="1"/>
    <w:autoRedefine/>
    <w:qFormat/>
    <w:uiPriority w:val="1"/>
  </w:style>
  <w:style w:type="paragraph" w:customStyle="1" w:styleId="38">
    <w:name w:val="Table Paragraph"/>
    <w:basedOn w:val="1"/>
    <w:autoRedefine/>
    <w:qFormat/>
    <w:uiPriority w:val="1"/>
  </w:style>
  <w:style w:type="paragraph" w:customStyle="1" w:styleId="39">
    <w:name w:val="环评正文"/>
    <w:basedOn w:val="1"/>
    <w:autoRedefine/>
    <w:qFormat/>
    <w:uiPriority w:val="0"/>
    <w:pPr>
      <w:tabs>
        <w:tab w:val="left" w:pos="4540"/>
      </w:tabs>
      <w:spacing w:line="520" w:lineRule="exact"/>
      <w:ind w:firstLine="200"/>
    </w:pPr>
    <w:rPr>
      <w:rFonts w:eastAsia="宋体" w:cs="Times New Roman"/>
      <w:sz w:val="28"/>
    </w:rPr>
  </w:style>
  <w:style w:type="paragraph" w:customStyle="1" w:styleId="40">
    <w:name w:val="正文4号"/>
    <w:autoRedefine/>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4"/>
      <w:sz w:val="24"/>
      <w:szCs w:val="24"/>
      <w:lang w:val="en-US" w:eastAsia="zh-CN" w:bidi="ar-SA"/>
    </w:rPr>
  </w:style>
  <w:style w:type="paragraph" w:customStyle="1" w:styleId="41">
    <w:name w:val="正文2"/>
    <w:basedOn w:val="1"/>
    <w:autoRedefine/>
    <w:qFormat/>
    <w:uiPriority w:val="0"/>
    <w:pPr>
      <w:adjustRightInd w:val="0"/>
      <w:snapToGrid w:val="0"/>
      <w:spacing w:line="440" w:lineRule="atLeast"/>
      <w:ind w:firstLine="567"/>
    </w:pPr>
    <w:rPr>
      <w:sz w:val="24"/>
      <w:szCs w:val="20"/>
    </w:rPr>
  </w:style>
  <w:style w:type="paragraph" w:customStyle="1" w:styleId="42">
    <w:name w:val="表"/>
    <w:basedOn w:val="22"/>
    <w:autoRedefine/>
    <w:qFormat/>
    <w:uiPriority w:val="0"/>
    <w:pPr>
      <w:spacing w:line="300" w:lineRule="exact"/>
    </w:pPr>
    <w:rPr>
      <w:rFonts w:hAnsi="Times New Roman"/>
      <w:b w:val="0"/>
      <w:sz w:val="21"/>
    </w:rPr>
  </w:style>
  <w:style w:type="paragraph" w:customStyle="1" w:styleId="43">
    <w:name w:val="样式 正文文本文本正文正文文字 Char Char Char Char + 居中 首行缩进:  0 厘米 段前: 6 磅"/>
    <w:basedOn w:val="8"/>
    <w:autoRedefine/>
    <w:qFormat/>
    <w:uiPriority w:val="0"/>
    <w:pPr>
      <w:adjustRightInd w:val="0"/>
      <w:spacing w:before="120" w:line="240" w:lineRule="auto"/>
      <w:ind w:firstLine="0" w:firstLineChars="0"/>
      <w:jc w:val="center"/>
      <w:textAlignment w:val="baseline"/>
    </w:pPr>
    <w:rPr>
      <w:rFonts w:ascii="宋体"/>
      <w:snapToGrid w:val="0"/>
      <w:w w:val="90"/>
      <w:szCs w:val="20"/>
    </w:rPr>
  </w:style>
  <w:style w:type="paragraph" w:customStyle="1" w:styleId="44">
    <w:name w:val="p0"/>
    <w:basedOn w:val="1"/>
    <w:autoRedefine/>
    <w:qFormat/>
    <w:uiPriority w:val="0"/>
    <w:pPr>
      <w:widowControl/>
    </w:pPr>
    <w:rPr>
      <w:szCs w:val="21"/>
    </w:rPr>
  </w:style>
  <w:style w:type="paragraph" w:customStyle="1" w:styleId="45">
    <w:name w:val="4正文"/>
    <w:basedOn w:val="1"/>
    <w:autoRedefine/>
    <w:qFormat/>
    <w:uiPriority w:val="0"/>
    <w:pPr>
      <w:ind w:firstLine="480"/>
    </w:pPr>
  </w:style>
  <w:style w:type="paragraph" w:customStyle="1" w:styleId="46">
    <w:name w:val="项目正文，无格式"/>
    <w:basedOn w:val="1"/>
    <w:autoRedefine/>
    <w:qFormat/>
    <w:uiPriority w:val="0"/>
    <w:pPr>
      <w:jc w:val="center"/>
    </w:pPr>
    <w:rPr>
      <w:sz w:val="20"/>
      <w:szCs w:val="18"/>
    </w:rPr>
  </w:style>
  <w:style w:type="paragraph" w:customStyle="1" w:styleId="47">
    <w:name w:val="图表题"/>
    <w:basedOn w:val="1"/>
    <w:next w:val="1"/>
    <w:autoRedefine/>
    <w:qFormat/>
    <w:uiPriority w:val="0"/>
    <w:pPr>
      <w:adjustRightInd w:val="0"/>
      <w:snapToGrid w:val="0"/>
      <w:jc w:val="center"/>
    </w:pPr>
    <w:rPr>
      <w:rFonts w:eastAsia="黑体"/>
      <w:sz w:val="24"/>
      <w:szCs w:val="20"/>
    </w:rPr>
  </w:style>
  <w:style w:type="paragraph" w:customStyle="1" w:styleId="48">
    <w:name w:val="WPSOffice手动目录 1"/>
    <w:autoRedefine/>
    <w:qFormat/>
    <w:uiPriority w:val="0"/>
    <w:rPr>
      <w:rFonts w:ascii="Calibri" w:hAnsi="Calibri" w:eastAsia="宋体" w:cs="Times New Roman"/>
      <w:lang w:val="en-US" w:eastAsia="zh-CN" w:bidi="ar-SA"/>
    </w:rPr>
  </w:style>
  <w:style w:type="paragraph" w:customStyle="1" w:styleId="49">
    <w:name w:val="表格标题"/>
    <w:basedOn w:val="24"/>
    <w:autoRedefine/>
    <w:qFormat/>
    <w:uiPriority w:val="0"/>
    <w:pPr>
      <w:ind w:firstLine="0" w:firstLineChars="0"/>
      <w:jc w:val="center"/>
    </w:pPr>
    <w:rPr>
      <w:b/>
    </w:rPr>
  </w:style>
  <w:style w:type="paragraph" w:customStyle="1" w:styleId="50">
    <w:name w:val="正文(首行缩进)"/>
    <w:basedOn w:val="1"/>
    <w:autoRedefine/>
    <w:qFormat/>
    <w:uiPriority w:val="0"/>
    <w:pPr>
      <w:tabs>
        <w:tab w:val="left" w:pos="4584"/>
      </w:tabs>
      <w:adjustRightInd w:val="0"/>
      <w:snapToGrid w:val="0"/>
      <w:ind w:firstLine="200"/>
    </w:pPr>
    <w:rPr>
      <w:bCs/>
      <w:snapToGrid w:val="0"/>
      <w:sz w:val="24"/>
    </w:rPr>
  </w:style>
  <w:style w:type="paragraph" w:customStyle="1" w:styleId="51">
    <w:name w:val="应填表格"/>
    <w:basedOn w:val="1"/>
    <w:autoRedefine/>
    <w:qFormat/>
    <w:uiPriority w:val="0"/>
    <w:pPr>
      <w:adjustRightInd w:val="0"/>
      <w:spacing w:before="40" w:after="40"/>
      <w:textAlignment w:val="baseline"/>
    </w:pPr>
    <w:rPr>
      <w:sz w:val="24"/>
      <w:szCs w:val="20"/>
    </w:rPr>
  </w:style>
  <w:style w:type="paragraph" w:customStyle="1" w:styleId="52">
    <w:name w:val="+正文"/>
    <w:basedOn w:val="1"/>
    <w:autoRedefine/>
    <w:qFormat/>
    <w:uiPriority w:val="0"/>
    <w:pPr>
      <w:adjustRightInd w:val="0"/>
      <w:snapToGrid w:val="0"/>
      <w:ind w:firstLine="200"/>
      <w:jc w:val="both"/>
    </w:pPr>
  </w:style>
  <w:style w:type="paragraph" w:customStyle="1" w:styleId="53">
    <w:name w:val="环评表头"/>
    <w:basedOn w:val="54"/>
    <w:autoRedefine/>
    <w:qFormat/>
    <w:uiPriority w:val="0"/>
    <w:pPr>
      <w:tabs>
        <w:tab w:val="left" w:pos="900"/>
        <w:tab w:val="left" w:pos="1935"/>
      </w:tabs>
      <w:ind w:right="210" w:rightChars="100" w:firstLine="482"/>
      <w:outlineLvl w:val="9"/>
    </w:pPr>
    <w:rPr>
      <w:rFonts w:eastAsia="黑体"/>
      <w:sz w:val="24"/>
    </w:rPr>
  </w:style>
  <w:style w:type="paragraph" w:customStyle="1" w:styleId="54">
    <w:name w:val="环评四级标题"/>
    <w:basedOn w:val="55"/>
    <w:next w:val="39"/>
    <w:autoRedefine/>
    <w:qFormat/>
    <w:uiPriority w:val="0"/>
    <w:pPr>
      <w:tabs>
        <w:tab w:val="left" w:pos="900"/>
      </w:tabs>
      <w:outlineLvl w:val="3"/>
    </w:pPr>
    <w:rPr>
      <w:rFonts w:eastAsia="宋体"/>
    </w:rPr>
  </w:style>
  <w:style w:type="paragraph" w:customStyle="1" w:styleId="55">
    <w:name w:val="环评三级标题"/>
    <w:basedOn w:val="1"/>
    <w:next w:val="39"/>
    <w:autoRedefine/>
    <w:qFormat/>
    <w:uiPriority w:val="0"/>
    <w:pPr>
      <w:tabs>
        <w:tab w:val="left" w:pos="900"/>
      </w:tabs>
      <w:spacing w:line="520" w:lineRule="exact"/>
      <w:ind w:firstLine="560"/>
      <w:outlineLvl w:val="2"/>
    </w:pPr>
    <w:rPr>
      <w:rFonts w:eastAsia="楷体_GB2312" w:cs="Times New Roman"/>
      <w:b/>
      <w:sz w:val="28"/>
      <w:szCs w:val="20"/>
    </w:rPr>
  </w:style>
  <w:style w:type="paragraph" w:customStyle="1" w:styleId="56">
    <w:name w:val="表格"/>
    <w:basedOn w:val="13"/>
    <w:next w:val="1"/>
    <w:autoRedefine/>
    <w:qFormat/>
    <w:uiPriority w:val="0"/>
    <w:pPr>
      <w:keepNext/>
      <w:widowControl/>
      <w:adjustRightInd w:val="0"/>
      <w:snapToGrid w:val="0"/>
      <w:spacing w:line="288" w:lineRule="auto"/>
      <w:ind w:left="0" w:firstLine="0" w:firstLineChars="0"/>
      <w:jc w:val="center"/>
    </w:pPr>
    <w:rPr>
      <w:szCs w:val="20"/>
    </w:rPr>
  </w:style>
  <w:style w:type="paragraph" w:customStyle="1" w:styleId="57">
    <w:name w:val="表格文字"/>
    <w:basedOn w:val="15"/>
    <w:autoRedefine/>
    <w:qFormat/>
    <w:uiPriority w:val="0"/>
    <w:pPr>
      <w:spacing w:line="0" w:lineRule="atLeast"/>
      <w:jc w:val="center"/>
    </w:pPr>
    <w:rPr>
      <w:sz w:val="28"/>
    </w:rPr>
  </w:style>
  <w:style w:type="character" w:customStyle="1" w:styleId="58">
    <w:name w:val="fontstyle01"/>
    <w:autoRedefine/>
    <w:qFormat/>
    <w:uiPriority w:val="0"/>
    <w:rPr>
      <w:rFonts w:hint="eastAsia" w:ascii="宋体" w:hAnsi="宋体" w:eastAsia="宋体"/>
      <w:color w:val="000000"/>
      <w:sz w:val="24"/>
      <w:szCs w:val="24"/>
    </w:rPr>
  </w:style>
  <w:style w:type="paragraph" w:customStyle="1" w:styleId="59">
    <w:name w:val="表头"/>
    <w:basedOn w:val="5"/>
    <w:next w:val="1"/>
    <w:autoRedefine/>
    <w:qFormat/>
    <w:uiPriority w:val="0"/>
    <w:pPr>
      <w:spacing w:before="240" w:line="480" w:lineRule="exact"/>
      <w:ind w:firstLine="0" w:firstLineChars="0"/>
      <w:jc w:val="center"/>
    </w:pPr>
    <w:rPr>
      <w:rFonts w:ascii="宋体" w:eastAsia="黑体"/>
      <w:spacing w:val="6"/>
      <w:position w:val="10"/>
    </w:rPr>
  </w:style>
  <w:style w:type="paragraph" w:customStyle="1" w:styleId="60">
    <w:name w:val="正文四号"/>
    <w:basedOn w:val="1"/>
    <w:next w:val="1"/>
    <w:autoRedefine/>
    <w:qFormat/>
    <w:uiPriority w:val="0"/>
    <w:pPr>
      <w:ind w:firstLine="200"/>
    </w:pPr>
    <w:rPr>
      <w:sz w:val="28"/>
      <w:szCs w:val="28"/>
    </w:rPr>
  </w:style>
  <w:style w:type="paragraph" w:customStyle="1" w:styleId="61">
    <w:name w:val="!hb1"/>
    <w:autoRedefine/>
    <w:qFormat/>
    <w:uiPriority w:val="0"/>
    <w:pPr>
      <w:widowControl w:val="0"/>
      <w:adjustRightInd w:val="0"/>
      <w:spacing w:line="360" w:lineRule="auto"/>
      <w:ind w:firstLine="200" w:firstLineChars="200"/>
      <w:jc w:val="both"/>
      <w:textAlignment w:val="baseline"/>
    </w:pPr>
    <w:rPr>
      <w:rFonts w:ascii="Times New Roman" w:hAnsi="Times New Roman" w:eastAsia="宋体" w:cs="黑体"/>
      <w:bCs/>
      <w:kern w:val="44"/>
      <w:sz w:val="24"/>
      <w:szCs w:val="32"/>
      <w:lang w:val="en-US" w:eastAsia="zh-CN" w:bidi="ar-SA"/>
    </w:rPr>
  </w:style>
  <w:style w:type="paragraph" w:customStyle="1" w:styleId="62">
    <w:name w:val="表头111"/>
    <w:basedOn w:val="1"/>
    <w:autoRedefine/>
    <w:qFormat/>
    <w:uiPriority w:val="0"/>
    <w:pPr>
      <w:numPr>
        <w:ilvl w:val="0"/>
        <w:numId w:val="1"/>
      </w:numPr>
      <w:ind w:left="420"/>
      <w:jc w:val="center"/>
    </w:pPr>
    <w:rPr>
      <w:b/>
      <w:sz w:val="24"/>
      <w:szCs w:val="21"/>
    </w:rPr>
  </w:style>
  <w:style w:type="character" w:customStyle="1" w:styleId="63">
    <w:name w:val="页脚 字符"/>
    <w:basedOn w:val="28"/>
    <w:link w:val="17"/>
    <w:autoRedefine/>
    <w:qFormat/>
    <w:uiPriority w:val="0"/>
    <w:rPr>
      <w:rFonts w:hint="default" w:ascii="Calibri" w:hAnsi="Calibri" w:cs="Calibri"/>
    </w:rPr>
  </w:style>
  <w:style w:type="character" w:customStyle="1" w:styleId="64">
    <w:name w:val="页眉 字符"/>
    <w:basedOn w:val="28"/>
    <w:link w:val="10"/>
    <w:autoRedefine/>
    <w:qFormat/>
    <w:uiPriority w:val="0"/>
    <w:rPr>
      <w:rFonts w:hint="default" w:ascii="Calibri" w:hAnsi="Calibri" w:cs="Calibri"/>
    </w:rPr>
  </w:style>
  <w:style w:type="character" w:customStyle="1" w:styleId="65">
    <w:name w:val="15"/>
    <w:basedOn w:val="28"/>
    <w:autoRedefine/>
    <w:qFormat/>
    <w:uiPriority w:val="0"/>
    <w:rPr>
      <w:rFonts w:hint="default" w:ascii="Times New Roman" w:hAnsi="Times New Roman" w:cs="Times New Roman"/>
      <w:color w:val="0000FF"/>
    </w:rPr>
  </w:style>
  <w:style w:type="paragraph" w:customStyle="1" w:styleId="66">
    <w:name w:val="样式 样式 样式 小四 左 首行缩进:  2 字符 + 首行缩进:  2 字符 Char + 右  0 字符1"/>
    <w:basedOn w:val="1"/>
    <w:autoRedefine/>
    <w:qFormat/>
    <w:uiPriority w:val="0"/>
    <w:pPr>
      <w:adjustRightInd w:val="0"/>
      <w:ind w:left="0" w:right="0" w:firstLine="200"/>
    </w:pPr>
    <w:rPr>
      <w:rFonts w:eastAsia="宋体" w:cs="Times New Roman"/>
      <w:kern w:val="2"/>
      <w:sz w:val="24"/>
      <w:szCs w:val="20"/>
      <w:lang w:eastAsia="zh-CN"/>
    </w:rPr>
  </w:style>
  <w:style w:type="paragraph" w:customStyle="1" w:styleId="67">
    <w:name w:val="惠泽正文"/>
    <w:basedOn w:val="1"/>
    <w:autoRedefine/>
    <w:qFormat/>
    <w:uiPriority w:val="0"/>
    <w:pPr>
      <w:spacing w:line="480" w:lineRule="exact"/>
      <w:ind w:firstLine="480"/>
    </w:pPr>
    <w:rPr>
      <w:rFonts w:hAnsi="宋体" w:cs="宋体"/>
    </w:rPr>
  </w:style>
  <w:style w:type="character" w:customStyle="1" w:styleId="68">
    <w:name w:val="font11"/>
    <w:basedOn w:val="28"/>
    <w:autoRedefine/>
    <w:qFormat/>
    <w:uiPriority w:val="0"/>
    <w:rPr>
      <w:rFonts w:hint="eastAsia" w:ascii="宋体" w:hAnsi="宋体" w:eastAsia="宋体" w:cs="宋体"/>
      <w:color w:val="000000"/>
      <w:sz w:val="21"/>
      <w:szCs w:val="21"/>
      <w:u w:val="none"/>
    </w:rPr>
  </w:style>
  <w:style w:type="paragraph" w:customStyle="1" w:styleId="69">
    <w:name w:val="正文-ls"/>
    <w:basedOn w:val="1"/>
    <w:autoRedefine/>
    <w:qFormat/>
    <w:uiPriority w:val="0"/>
    <w:pPr>
      <w:ind w:firstLine="200"/>
    </w:pPr>
    <w:rPr>
      <w:rFonts w:hAnsi="宋体"/>
      <w:sz w:val="24"/>
      <w:szCs w:val="20"/>
    </w:rPr>
  </w:style>
  <w:style w:type="paragraph" w:customStyle="1" w:styleId="70">
    <w:name w:val="河南正文"/>
    <w:basedOn w:val="9"/>
    <w:autoRedefine/>
    <w:qFormat/>
    <w:uiPriority w:val="0"/>
    <w:pPr>
      <w:spacing w:line="520" w:lineRule="exact"/>
      <w:ind w:left="0" w:leftChars="0" w:firstLine="560"/>
    </w:pPr>
    <w:rPr>
      <w:kern w:val="2"/>
      <w:szCs w:val="21"/>
      <w:lang w:eastAsia="zh-CN"/>
    </w:rPr>
  </w:style>
  <w:style w:type="character" w:customStyle="1" w:styleId="71">
    <w:name w:val="hover28"/>
    <w:basedOn w:val="28"/>
    <w:autoRedefine/>
    <w:qFormat/>
    <w:uiPriority w:val="0"/>
  </w:style>
  <w:style w:type="character" w:customStyle="1" w:styleId="72">
    <w:name w:val="radio-btn"/>
    <w:basedOn w:val="28"/>
    <w:autoRedefine/>
    <w:qFormat/>
    <w:uiPriority w:val="0"/>
  </w:style>
  <w:style w:type="character" w:customStyle="1" w:styleId="73">
    <w:name w:val="lable"/>
    <w:basedOn w:val="28"/>
    <w:autoRedefine/>
    <w:qFormat/>
    <w:uiPriority w:val="0"/>
  </w:style>
  <w:style w:type="character" w:customStyle="1" w:styleId="74">
    <w:name w:val="cur1"/>
    <w:basedOn w:val="28"/>
    <w:autoRedefine/>
    <w:qFormat/>
    <w:uiPriority w:val="0"/>
    <w:rPr>
      <w:color w:val="FFFFFF"/>
      <w:shd w:val="clear" w:color="auto" w:fill="0C79CC"/>
    </w:rPr>
  </w:style>
  <w:style w:type="character" w:customStyle="1" w:styleId="75">
    <w:name w:val="NormalCharacter"/>
    <w:autoRedefine/>
    <w:semiHidden/>
    <w:qFormat/>
    <w:uiPriority w:val="0"/>
  </w:style>
  <w:style w:type="paragraph" w:customStyle="1" w:styleId="76">
    <w:name w:val="Table Text"/>
    <w:basedOn w:val="1"/>
    <w:autoRedefine/>
    <w:semiHidden/>
    <w:qFormat/>
    <w:uiPriority w:val="0"/>
    <w:rPr>
      <w:rFonts w:ascii="宋体" w:hAnsi="宋体" w:eastAsia="宋体" w:cs="宋体"/>
      <w:sz w:val="24"/>
      <w:szCs w:val="24"/>
    </w:rPr>
  </w:style>
  <w:style w:type="paragraph" w:customStyle="1" w:styleId="77">
    <w:name w:val="4表格内容"/>
    <w:basedOn w:val="1"/>
    <w:autoRedefine/>
    <w:qFormat/>
    <w:uiPriority w:val="0"/>
    <w:pPr>
      <w:adjustRightInd w:val="0"/>
      <w:snapToGrid w:val="0"/>
      <w:jc w:val="center"/>
    </w:pPr>
    <w:rPr>
      <w:rFonts w:eastAsia="宋体"/>
      <w:bCs/>
      <w:kern w:val="44"/>
      <w:szCs w:val="24"/>
    </w:rPr>
  </w:style>
  <w:style w:type="paragraph" w:customStyle="1" w:styleId="78">
    <w:name w:val="22222"/>
    <w:basedOn w:val="1"/>
    <w:autoRedefine/>
    <w:qFormat/>
    <w:uiPriority w:val="0"/>
    <w:pPr>
      <w:spacing w:line="480" w:lineRule="exact"/>
      <w:ind w:firstLine="480"/>
    </w:pPr>
    <w:rPr>
      <w:rFonts w:hAnsi="宋体"/>
      <w:sz w:val="24"/>
    </w:rPr>
  </w:style>
  <w:style w:type="paragraph" w:customStyle="1" w:styleId="79">
    <w:name w:val="表格内容"/>
    <w:basedOn w:val="1"/>
    <w:autoRedefine/>
    <w:qFormat/>
    <w:uiPriority w:val="0"/>
    <w:pPr>
      <w:adjustRightInd w:val="0"/>
      <w:snapToGrid w:val="0"/>
      <w:jc w:val="center"/>
      <w:textAlignment w:val="center"/>
    </w:pPr>
  </w:style>
  <w:style w:type="paragraph" w:customStyle="1" w:styleId="80">
    <w:name w:val="正文 首行缩进:  2 字符"/>
    <w:basedOn w:val="1"/>
    <w:qFormat/>
    <w:uiPriority w:val="0"/>
    <w:pPr>
      <w:spacing w:line="240" w:lineRule="auto"/>
      <w:ind w:firstLine="579"/>
    </w:pPr>
    <w:rPr>
      <w:rFonts w:cs="宋体"/>
      <w:szCs w:val="20"/>
    </w:rPr>
  </w:style>
  <w:style w:type="paragraph" w:customStyle="1" w:styleId="81">
    <w:name w:val="0正文"/>
    <w:basedOn w:val="1"/>
    <w:qFormat/>
    <w:uiPriority w:val="0"/>
    <w:pPr>
      <w:ind w:firstLine="480"/>
    </w:pPr>
    <w:rPr>
      <w:sz w:val="24"/>
    </w:rPr>
  </w:style>
  <w:style w:type="character" w:customStyle="1" w:styleId="82">
    <w:name w:val="批注文字 字符"/>
    <w:basedOn w:val="28"/>
    <w:link w:val="7"/>
    <w:qFormat/>
    <w:uiPriority w:val="0"/>
    <w:rPr>
      <w:rFonts w:eastAsiaTheme="minorEastAsia" w:cstheme="minorBidi"/>
      <w:sz w:val="21"/>
      <w:szCs w:val="22"/>
      <w:lang w:eastAsia="en-US"/>
    </w:rPr>
  </w:style>
  <w:style w:type="character" w:customStyle="1" w:styleId="83">
    <w:name w:val="批注主题 字符"/>
    <w:basedOn w:val="82"/>
    <w:link w:val="23"/>
    <w:qFormat/>
    <w:uiPriority w:val="0"/>
    <w:rPr>
      <w:rFonts w:eastAsiaTheme="minorEastAsia" w:cstheme="minorBidi"/>
      <w:b/>
      <w:bCs/>
      <w:sz w:val="21"/>
      <w:szCs w:val="22"/>
      <w:lang w:eastAsia="en-US"/>
    </w:rPr>
  </w:style>
  <w:style w:type="character" w:customStyle="1" w:styleId="84">
    <w:name w:val="批注框文本 字符"/>
    <w:basedOn w:val="28"/>
    <w:link w:val="16"/>
    <w:qFormat/>
    <w:uiPriority w:val="0"/>
    <w:rPr>
      <w:rFonts w:eastAsiaTheme="minorEastAsia" w:cstheme="minorBidi"/>
      <w:sz w:val="18"/>
      <w:szCs w:val="18"/>
      <w:lang w:eastAsia="en-US"/>
    </w:rPr>
  </w:style>
  <w:style w:type="paragraph" w:customStyle="1" w:styleId="85">
    <w:name w:val="修订1"/>
    <w:hidden/>
    <w:semiHidden/>
    <w:qFormat/>
    <w:uiPriority w:val="99"/>
    <w:rPr>
      <w:rFonts w:ascii="Times New Roman" w:hAnsi="Times New Roman" w:eastAsiaTheme="minorEastAsia" w:cstheme="minorBidi"/>
      <w:sz w:val="21"/>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9D24D5-6BDB-4CBC-B3F8-BF78E0117C34}">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57</Pages>
  <Words>34010</Words>
  <Characters>39981</Characters>
  <Lines>315</Lines>
  <Paragraphs>88</Paragraphs>
  <TotalTime>6</TotalTime>
  <ScaleCrop>false</ScaleCrop>
  <LinksUpToDate>false</LinksUpToDate>
  <CharactersWithSpaces>40487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2024-06-05T03:03:00Z</dcterms:created>
  <dc:creator>lhj</dc:creator>
  <cp:lastModifiedBy>Administrator</cp:lastModifiedBy>
  <cp:lastPrinted>2021-03-23T08:45:00Z</cp:lastPrinted>
  <dcterms:modified xsi:type="dcterms:W3CDTF">2024-07-03T08:05:06Z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2021-03-16T00:00:00Z</vt:filetime>
  </property>
  <property fmtid="{D5CDD505-2E9C-101B-9397-08002B2CF9AE}" pid="5" name="KSOProductBuildVer">
    <vt:lpwstr>2052-12.1.0.17133</vt:lpwstr>
  </property>
  <property fmtid="{D5CDD505-2E9C-101B-9397-08002B2CF9AE}" pid="6" name="ICV">
    <vt:lpwstr>8736E09B36C9401383063FD6570DADAE_13</vt:lpwstr>
  </property>
</Properties>
</file>