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auto"/>
          <w:sz w:val="36"/>
          <w:szCs w:val="36"/>
        </w:rPr>
      </w:pPr>
    </w:p>
    <w:p>
      <w:pPr>
        <w:rPr>
          <w:rFonts w:eastAsia="仿宋_GB2312"/>
          <w:color w:val="auto"/>
          <w:sz w:val="36"/>
          <w:szCs w:val="36"/>
        </w:rPr>
      </w:pPr>
    </w:p>
    <w:p>
      <w:pPr>
        <w:rPr>
          <w:rFonts w:eastAsia="仿宋_GB2312"/>
          <w:color w:val="auto"/>
          <w:sz w:val="36"/>
          <w:szCs w:val="36"/>
        </w:rPr>
      </w:pPr>
    </w:p>
    <w:p>
      <w:pPr>
        <w:rPr>
          <w:rFonts w:eastAsia="仿宋_GB2312"/>
          <w:color w:val="auto"/>
          <w:sz w:val="36"/>
          <w:szCs w:val="36"/>
        </w:rPr>
      </w:pPr>
    </w:p>
    <w:p>
      <w:pPr>
        <w:adjustRightInd w:val="0"/>
        <w:snapToGrid w:val="0"/>
        <w:jc w:val="center"/>
        <w:outlineLvl w:val="0"/>
        <w:rPr>
          <w:rFonts w:eastAsia="方正小标宋_GBK"/>
          <w:bCs/>
          <w:color w:val="auto"/>
          <w:sz w:val="72"/>
          <w:szCs w:val="72"/>
        </w:rPr>
      </w:pPr>
      <w:r>
        <w:rPr>
          <w:rFonts w:eastAsia="方正小标宋_GBK"/>
          <w:bCs/>
          <w:color w:val="auto"/>
          <w:sz w:val="72"/>
          <w:szCs w:val="72"/>
        </w:rPr>
        <w:t>建设项目环境影响报告表</w:t>
      </w:r>
    </w:p>
    <w:p>
      <w:pPr>
        <w:adjustRightInd w:val="0"/>
        <w:snapToGrid w:val="0"/>
        <w:spacing w:before="192" w:beforeLines="80"/>
        <w:jc w:val="center"/>
        <w:rPr>
          <w:rFonts w:eastAsia="楷体_GB2312"/>
          <w:bCs/>
          <w:color w:val="auto"/>
          <w:sz w:val="48"/>
          <w:szCs w:val="48"/>
        </w:rPr>
      </w:pPr>
      <w:r>
        <w:rPr>
          <w:rFonts w:eastAsia="楷体_GB2312"/>
          <w:bCs/>
          <w:color w:val="auto"/>
          <w:sz w:val="48"/>
          <w:szCs w:val="48"/>
        </w:rPr>
        <w:t>（污染影响类）</w:t>
      </w:r>
    </w:p>
    <w:p>
      <w:pPr>
        <w:rPr>
          <w:rFonts w:ascii="仿宋" w:hAnsi="仿宋" w:eastAsia="仿宋"/>
          <w:color w:val="auto"/>
        </w:rPr>
      </w:pPr>
    </w:p>
    <w:p>
      <w:pPr>
        <w:rPr>
          <w:rFonts w:ascii="仿宋" w:hAnsi="仿宋" w:eastAsia="仿宋"/>
          <w:color w:val="auto"/>
          <w:sz w:val="44"/>
          <w:szCs w:val="44"/>
        </w:rPr>
      </w:pPr>
    </w:p>
    <w:p>
      <w:pPr>
        <w:rPr>
          <w:rFonts w:ascii="仿宋" w:hAnsi="仿宋" w:eastAsia="仿宋"/>
          <w:color w:val="auto"/>
          <w:sz w:val="44"/>
          <w:szCs w:val="44"/>
        </w:rPr>
      </w:pPr>
    </w:p>
    <w:p>
      <w:pPr>
        <w:adjustRightInd w:val="0"/>
        <w:snapToGrid w:val="0"/>
        <w:spacing w:line="288" w:lineRule="auto"/>
        <w:rPr>
          <w:rFonts w:ascii="仿宋" w:hAnsi="仿宋" w:eastAsia="仿宋"/>
          <w:color w:val="auto"/>
          <w:sz w:val="44"/>
          <w:szCs w:val="44"/>
        </w:rPr>
      </w:pPr>
    </w:p>
    <w:p>
      <w:pPr>
        <w:adjustRightInd w:val="0"/>
        <w:snapToGrid w:val="0"/>
        <w:spacing w:line="288" w:lineRule="auto"/>
        <w:rPr>
          <w:rFonts w:ascii="仿宋" w:hAnsi="仿宋" w:eastAsia="仿宋"/>
          <w:color w:val="auto"/>
          <w:sz w:val="44"/>
          <w:szCs w:val="44"/>
        </w:rPr>
      </w:pPr>
    </w:p>
    <w:tbl>
      <w:tblPr>
        <w:tblStyle w:val="7"/>
        <w:tblW w:w="0" w:type="auto"/>
        <w:tblInd w:w="8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05"/>
        <w:gridCol w:w="1227"/>
        <w:gridCol w:w="4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5" w:type="dxa"/>
          </w:tcPr>
          <w:p>
            <w:pPr>
              <w:spacing w:line="360" w:lineRule="auto"/>
              <w:ind w:left="-105" w:leftChars="-50" w:right="-210" w:rightChars="-100"/>
              <w:rPr>
                <w:rFonts w:ascii="仿宋" w:hAnsi="仿宋" w:eastAsia="仿宋"/>
                <w:color w:val="auto"/>
                <w:sz w:val="32"/>
                <w:szCs w:val="32"/>
                <w:u w:val="single"/>
              </w:rPr>
            </w:pPr>
            <w:r>
              <w:rPr>
                <w:rFonts w:ascii="仿宋" w:hAnsi="仿宋" w:eastAsia="仿宋"/>
                <w:color w:val="auto"/>
                <w:sz w:val="32"/>
                <w:szCs w:val="32"/>
              </w:rPr>
              <w:t>项目名称：</w:t>
            </w:r>
          </w:p>
        </w:tc>
        <w:tc>
          <w:tcPr>
            <w:tcW w:w="6162" w:type="dxa"/>
            <w:gridSpan w:val="2"/>
          </w:tcPr>
          <w:p>
            <w:pPr>
              <w:spacing w:line="360" w:lineRule="auto"/>
              <w:ind w:left="-105" w:leftChars="-50" w:right="-105" w:rightChars="-50"/>
              <w:rPr>
                <w:rFonts w:ascii="仿宋" w:hAnsi="仿宋" w:eastAsia="仿宋"/>
                <w:color w:val="auto"/>
                <w:sz w:val="32"/>
                <w:szCs w:val="32"/>
                <w:u w:val="single"/>
              </w:rPr>
            </w:pPr>
            <w:r>
              <w:rPr>
                <w:rFonts w:hint="eastAsia" w:ascii="仿宋" w:hAnsi="仿宋" w:eastAsia="仿宋"/>
                <w:color w:val="auto"/>
                <w:sz w:val="32"/>
                <w:szCs w:val="32"/>
                <w:u w:val="single"/>
              </w:rPr>
              <w:t xml:space="preserve">西安长安强森医院有限公司建设项目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32" w:type="dxa"/>
            <w:gridSpan w:val="2"/>
          </w:tcPr>
          <w:p>
            <w:pPr>
              <w:spacing w:line="360" w:lineRule="auto"/>
              <w:ind w:left="-105" w:leftChars="-50" w:right="-210" w:rightChars="-100"/>
              <w:rPr>
                <w:rFonts w:ascii="仿宋" w:hAnsi="仿宋" w:eastAsia="仿宋"/>
                <w:color w:val="auto"/>
                <w:sz w:val="32"/>
                <w:szCs w:val="32"/>
                <w:u w:val="single"/>
              </w:rPr>
            </w:pPr>
            <w:r>
              <w:rPr>
                <w:rFonts w:ascii="仿宋" w:hAnsi="仿宋" w:eastAsia="仿宋"/>
                <w:color w:val="auto"/>
                <w:sz w:val="32"/>
                <w:szCs w:val="32"/>
              </w:rPr>
              <w:t>建设单位（盖章）：</w:t>
            </w:r>
          </w:p>
        </w:tc>
        <w:tc>
          <w:tcPr>
            <w:tcW w:w="4935" w:type="dxa"/>
          </w:tcPr>
          <w:p>
            <w:pPr>
              <w:spacing w:line="360" w:lineRule="auto"/>
              <w:ind w:left="-105" w:leftChars="-50" w:right="-105" w:rightChars="-50"/>
              <w:rPr>
                <w:rFonts w:ascii="仿宋" w:hAnsi="仿宋" w:eastAsia="仿宋"/>
                <w:color w:val="auto"/>
                <w:sz w:val="32"/>
                <w:szCs w:val="32"/>
                <w:u w:val="single"/>
              </w:rPr>
            </w:pPr>
            <w:r>
              <w:rPr>
                <w:rFonts w:hint="eastAsia" w:ascii="仿宋" w:hAnsi="仿宋" w:eastAsia="仿宋"/>
                <w:color w:val="auto"/>
                <w:sz w:val="32"/>
                <w:szCs w:val="32"/>
                <w:u w:val="single"/>
              </w:rPr>
              <w:t xml:space="preserve">西安长安强森医院有限公司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5" w:type="dxa"/>
          </w:tcPr>
          <w:p>
            <w:pPr>
              <w:spacing w:line="360" w:lineRule="auto"/>
              <w:ind w:left="-105" w:leftChars="-50" w:right="-210" w:rightChars="-100"/>
              <w:rPr>
                <w:rFonts w:ascii="仿宋" w:hAnsi="仿宋" w:eastAsia="仿宋"/>
                <w:color w:val="auto"/>
                <w:sz w:val="32"/>
                <w:szCs w:val="32"/>
                <w:u w:val="single"/>
              </w:rPr>
            </w:pPr>
            <w:r>
              <w:rPr>
                <w:rFonts w:ascii="仿宋" w:hAnsi="仿宋" w:eastAsia="仿宋"/>
                <w:color w:val="auto"/>
                <w:sz w:val="32"/>
                <w:szCs w:val="32"/>
              </w:rPr>
              <w:t>编制日期：</w:t>
            </w:r>
          </w:p>
        </w:tc>
        <w:tc>
          <w:tcPr>
            <w:tcW w:w="6162" w:type="dxa"/>
            <w:gridSpan w:val="2"/>
          </w:tcPr>
          <w:p>
            <w:pPr>
              <w:spacing w:line="360" w:lineRule="auto"/>
              <w:ind w:left="-105" w:leftChars="-50" w:right="-210" w:rightChars="-100"/>
              <w:rPr>
                <w:rFonts w:ascii="仿宋" w:hAnsi="仿宋" w:eastAsia="仿宋"/>
                <w:color w:val="auto"/>
                <w:sz w:val="32"/>
                <w:szCs w:val="32"/>
                <w:u w:val="single"/>
              </w:rPr>
            </w:pP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202</w:t>
            </w:r>
            <w:r>
              <w:rPr>
                <w:rFonts w:hint="eastAsia" w:ascii="仿宋" w:hAnsi="仿宋" w:eastAsia="仿宋"/>
                <w:color w:val="auto"/>
                <w:sz w:val="32"/>
                <w:szCs w:val="32"/>
                <w:u w:val="single"/>
              </w:rPr>
              <w:t>4</w:t>
            </w:r>
            <w:r>
              <w:rPr>
                <w:rFonts w:ascii="仿宋" w:hAnsi="仿宋" w:eastAsia="仿宋"/>
                <w:color w:val="auto"/>
                <w:sz w:val="32"/>
                <w:szCs w:val="32"/>
                <w:u w:val="single"/>
              </w:rPr>
              <w:t>年</w:t>
            </w:r>
            <w:r>
              <w:rPr>
                <w:rFonts w:hint="eastAsia" w:ascii="仿宋" w:hAnsi="仿宋" w:eastAsia="仿宋"/>
                <w:color w:val="auto"/>
                <w:sz w:val="32"/>
                <w:szCs w:val="32"/>
                <w:u w:val="single"/>
              </w:rPr>
              <w:t>6</w:t>
            </w:r>
            <w:r>
              <w:rPr>
                <w:rFonts w:ascii="仿宋" w:hAnsi="仿宋" w:eastAsia="仿宋"/>
                <w:color w:val="auto"/>
                <w:sz w:val="32"/>
                <w:szCs w:val="32"/>
                <w:u w:val="single"/>
              </w:rPr>
              <w:t xml:space="preserve">月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p>
        </w:tc>
      </w:tr>
    </w:tbl>
    <w:p>
      <w:pPr>
        <w:adjustRightInd w:val="0"/>
        <w:snapToGrid w:val="0"/>
        <w:spacing w:line="288" w:lineRule="auto"/>
        <w:jc w:val="center"/>
        <w:rPr>
          <w:rFonts w:ascii="仿宋" w:hAnsi="仿宋" w:eastAsia="仿宋"/>
          <w:color w:val="auto"/>
          <w:sz w:val="36"/>
          <w:szCs w:val="36"/>
        </w:rPr>
      </w:pPr>
    </w:p>
    <w:p>
      <w:pPr>
        <w:adjustRightInd w:val="0"/>
        <w:snapToGrid w:val="0"/>
        <w:spacing w:line="288" w:lineRule="auto"/>
        <w:jc w:val="center"/>
        <w:rPr>
          <w:rFonts w:ascii="仿宋" w:hAnsi="仿宋" w:eastAsia="仿宋"/>
          <w:color w:val="auto"/>
          <w:sz w:val="36"/>
          <w:szCs w:val="36"/>
        </w:rPr>
      </w:pPr>
    </w:p>
    <w:p>
      <w:pPr>
        <w:adjustRightInd w:val="0"/>
        <w:snapToGrid w:val="0"/>
        <w:spacing w:line="288" w:lineRule="auto"/>
        <w:jc w:val="center"/>
        <w:rPr>
          <w:rFonts w:ascii="仿宋" w:hAnsi="仿宋" w:eastAsia="仿宋"/>
          <w:color w:val="auto"/>
          <w:sz w:val="36"/>
          <w:szCs w:val="36"/>
        </w:rPr>
      </w:pPr>
    </w:p>
    <w:p>
      <w:pPr>
        <w:adjustRightInd w:val="0"/>
        <w:snapToGrid w:val="0"/>
        <w:spacing w:line="288" w:lineRule="auto"/>
        <w:jc w:val="center"/>
        <w:rPr>
          <w:rFonts w:ascii="仿宋" w:hAnsi="仿宋" w:eastAsia="仿宋"/>
          <w:color w:val="auto"/>
          <w:sz w:val="36"/>
          <w:szCs w:val="36"/>
        </w:rPr>
      </w:pPr>
    </w:p>
    <w:p>
      <w:pPr>
        <w:adjustRightInd w:val="0"/>
        <w:snapToGrid w:val="0"/>
        <w:spacing w:line="288" w:lineRule="auto"/>
        <w:jc w:val="center"/>
        <w:rPr>
          <w:rFonts w:ascii="仿宋" w:hAnsi="仿宋" w:eastAsia="仿宋"/>
          <w:color w:val="auto"/>
          <w:sz w:val="36"/>
          <w:szCs w:val="36"/>
        </w:rPr>
      </w:pPr>
      <w:r>
        <w:rPr>
          <w:rFonts w:ascii="仿宋" w:hAnsi="仿宋" w:eastAsia="仿宋"/>
          <w:color w:val="auto"/>
          <w:sz w:val="36"/>
          <w:szCs w:val="36"/>
        </w:rPr>
        <w:t>中华人民共和国生态环境部制</w:t>
      </w:r>
    </w:p>
    <w:p>
      <w:pPr>
        <w:adjustRightInd w:val="0"/>
        <w:snapToGrid w:val="0"/>
        <w:spacing w:line="288" w:lineRule="auto"/>
        <w:ind w:firstLine="1040"/>
        <w:rPr>
          <w:rFonts w:eastAsia="仿宋_GB2312"/>
          <w:color w:val="auto"/>
          <w:sz w:val="36"/>
          <w:szCs w:val="36"/>
        </w:rPr>
        <w:sectPr>
          <w:footerReference r:id="rId5" w:type="even"/>
          <w:pgSz w:w="11906" w:h="16838"/>
          <w:pgMar w:top="1701" w:right="1531" w:bottom="1701" w:left="1531" w:header="851" w:footer="1077" w:gutter="0"/>
          <w:pgNumType w:start="3"/>
          <w:cols w:space="720" w:num="1"/>
          <w:docGrid w:linePitch="312" w:charSpace="0"/>
        </w:sectPr>
      </w:pPr>
    </w:p>
    <w:p>
      <w:pPr>
        <w:tabs>
          <w:tab w:val="right" w:leader="dot" w:pos="8834"/>
        </w:tabs>
        <w:jc w:val="center"/>
        <w:rPr>
          <w:b/>
          <w:bCs/>
          <w:color w:val="auto"/>
          <w:sz w:val="32"/>
          <w:szCs w:val="40"/>
        </w:rPr>
      </w:pPr>
      <w:r>
        <w:rPr>
          <w:b/>
          <w:bCs/>
          <w:color w:val="auto"/>
          <w:sz w:val="32"/>
          <w:szCs w:val="40"/>
        </w:rPr>
        <w:t>目  录</w:t>
      </w:r>
    </w:p>
    <w:p>
      <w:pPr>
        <w:tabs>
          <w:tab w:val="right" w:leader="dot" w:pos="8834"/>
        </w:tabs>
        <w:spacing w:line="360" w:lineRule="auto"/>
        <w:ind w:firstLine="422"/>
        <w:rPr>
          <w:color w:val="auto"/>
          <w:sz w:val="28"/>
          <w:szCs w:val="28"/>
        </w:rPr>
      </w:pPr>
      <w:r>
        <w:rPr>
          <w:color w:val="auto"/>
        </w:rPr>
        <w:fldChar w:fldCharType="begin"/>
      </w:r>
      <w:r>
        <w:rPr>
          <w:color w:val="auto"/>
        </w:rPr>
        <w:instrText xml:space="preserve"> TOC \o "1-1" \h \z \u </w:instrText>
      </w:r>
      <w:r>
        <w:rPr>
          <w:color w:val="auto"/>
        </w:rPr>
        <w:fldChar w:fldCharType="separate"/>
      </w:r>
    </w:p>
    <w:p>
      <w:pPr>
        <w:tabs>
          <w:tab w:val="right" w:leader="dot" w:pos="8834"/>
        </w:tabs>
        <w:spacing w:line="360" w:lineRule="auto"/>
        <w:rPr>
          <w:color w:val="auto"/>
          <w:sz w:val="28"/>
          <w:szCs w:val="28"/>
        </w:rPr>
      </w:pPr>
      <w:r>
        <w:rPr>
          <w:color w:val="auto"/>
        </w:rPr>
        <w:fldChar w:fldCharType="begin"/>
      </w:r>
      <w:r>
        <w:rPr>
          <w:color w:val="auto"/>
        </w:rPr>
        <w:instrText xml:space="preserve"> HYPERLINK \l "_Toc117495858" </w:instrText>
      </w:r>
      <w:r>
        <w:rPr>
          <w:color w:val="auto"/>
        </w:rPr>
        <w:fldChar w:fldCharType="separate"/>
      </w:r>
      <w:r>
        <w:rPr>
          <w:snapToGrid w:val="0"/>
          <w:color w:val="auto"/>
          <w:sz w:val="28"/>
          <w:szCs w:val="28"/>
        </w:rPr>
        <w:t>一、建设项目基本情况</w:t>
      </w:r>
      <w:r>
        <w:rPr>
          <w:color w:val="auto"/>
          <w:sz w:val="28"/>
          <w:szCs w:val="28"/>
        </w:rPr>
        <w:tab/>
      </w:r>
      <w:r>
        <w:rPr>
          <w:color w:val="auto"/>
          <w:sz w:val="28"/>
          <w:szCs w:val="28"/>
        </w:rPr>
        <w:fldChar w:fldCharType="begin"/>
      </w:r>
      <w:r>
        <w:rPr>
          <w:color w:val="auto"/>
          <w:sz w:val="28"/>
          <w:szCs w:val="28"/>
        </w:rPr>
        <w:instrText xml:space="preserve"> PAGEREF _Toc117495858 \h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tabs>
          <w:tab w:val="right" w:leader="dot" w:pos="8834"/>
        </w:tabs>
        <w:spacing w:line="360" w:lineRule="auto"/>
        <w:rPr>
          <w:color w:val="auto"/>
          <w:sz w:val="28"/>
          <w:szCs w:val="28"/>
        </w:rPr>
      </w:pPr>
      <w:r>
        <w:rPr>
          <w:color w:val="auto"/>
        </w:rPr>
        <w:fldChar w:fldCharType="begin"/>
      </w:r>
      <w:r>
        <w:rPr>
          <w:color w:val="auto"/>
        </w:rPr>
        <w:instrText xml:space="preserve"> HYPERLINK \l "_Toc117495859" </w:instrText>
      </w:r>
      <w:r>
        <w:rPr>
          <w:color w:val="auto"/>
        </w:rPr>
        <w:fldChar w:fldCharType="separate"/>
      </w:r>
      <w:r>
        <w:rPr>
          <w:snapToGrid w:val="0"/>
          <w:color w:val="auto"/>
          <w:sz w:val="28"/>
          <w:szCs w:val="28"/>
        </w:rPr>
        <w:t>二、建设项目工程分析</w:t>
      </w:r>
      <w:r>
        <w:rPr>
          <w:color w:val="auto"/>
          <w:sz w:val="28"/>
          <w:szCs w:val="28"/>
        </w:rPr>
        <w:tab/>
      </w:r>
      <w:r>
        <w:rPr>
          <w:color w:val="auto"/>
          <w:sz w:val="28"/>
          <w:szCs w:val="28"/>
        </w:rPr>
        <w:fldChar w:fldCharType="begin"/>
      </w:r>
      <w:r>
        <w:rPr>
          <w:color w:val="auto"/>
          <w:sz w:val="28"/>
          <w:szCs w:val="28"/>
        </w:rPr>
        <w:instrText xml:space="preserve"> PAGEREF _Toc117495859 \h </w:instrText>
      </w:r>
      <w:r>
        <w:rPr>
          <w:color w:val="auto"/>
          <w:sz w:val="28"/>
          <w:szCs w:val="28"/>
        </w:rPr>
        <w:fldChar w:fldCharType="separate"/>
      </w:r>
      <w:r>
        <w:rPr>
          <w:color w:val="auto"/>
          <w:sz w:val="28"/>
          <w:szCs w:val="28"/>
        </w:rPr>
        <w:t>12</w:t>
      </w:r>
      <w:r>
        <w:rPr>
          <w:color w:val="auto"/>
          <w:sz w:val="28"/>
          <w:szCs w:val="28"/>
        </w:rPr>
        <w:fldChar w:fldCharType="end"/>
      </w:r>
      <w:r>
        <w:rPr>
          <w:color w:val="auto"/>
          <w:sz w:val="28"/>
          <w:szCs w:val="28"/>
        </w:rPr>
        <w:fldChar w:fldCharType="end"/>
      </w:r>
    </w:p>
    <w:p>
      <w:pPr>
        <w:tabs>
          <w:tab w:val="right" w:leader="dot" w:pos="8834"/>
        </w:tabs>
        <w:spacing w:line="360" w:lineRule="auto"/>
        <w:rPr>
          <w:color w:val="auto"/>
          <w:sz w:val="28"/>
          <w:szCs w:val="28"/>
        </w:rPr>
      </w:pPr>
      <w:r>
        <w:rPr>
          <w:color w:val="auto"/>
        </w:rPr>
        <w:fldChar w:fldCharType="begin"/>
      </w:r>
      <w:r>
        <w:rPr>
          <w:color w:val="auto"/>
        </w:rPr>
        <w:instrText xml:space="preserve"> HYPERLINK \l "_Toc117495860" </w:instrText>
      </w:r>
      <w:r>
        <w:rPr>
          <w:color w:val="auto"/>
        </w:rPr>
        <w:fldChar w:fldCharType="separate"/>
      </w:r>
      <w:r>
        <w:rPr>
          <w:snapToGrid w:val="0"/>
          <w:color w:val="auto"/>
          <w:sz w:val="28"/>
          <w:szCs w:val="28"/>
        </w:rPr>
        <w:t>三、区域环境质量现状、环境保护目标及评价标准</w:t>
      </w:r>
      <w:r>
        <w:rPr>
          <w:color w:val="auto"/>
          <w:sz w:val="28"/>
          <w:szCs w:val="28"/>
        </w:rPr>
        <w:tab/>
      </w:r>
      <w:r>
        <w:rPr>
          <w:color w:val="auto"/>
          <w:sz w:val="28"/>
          <w:szCs w:val="28"/>
        </w:rPr>
        <w:fldChar w:fldCharType="begin"/>
      </w:r>
      <w:r>
        <w:rPr>
          <w:color w:val="auto"/>
          <w:sz w:val="28"/>
          <w:szCs w:val="28"/>
        </w:rPr>
        <w:instrText xml:space="preserve"> PAGEREF _Toc117495860 \h </w:instrText>
      </w:r>
      <w:r>
        <w:rPr>
          <w:color w:val="auto"/>
          <w:sz w:val="28"/>
          <w:szCs w:val="28"/>
        </w:rPr>
        <w:fldChar w:fldCharType="separate"/>
      </w:r>
      <w:r>
        <w:rPr>
          <w:color w:val="auto"/>
          <w:sz w:val="28"/>
          <w:szCs w:val="28"/>
        </w:rPr>
        <w:t>21</w:t>
      </w:r>
      <w:r>
        <w:rPr>
          <w:color w:val="auto"/>
          <w:sz w:val="28"/>
          <w:szCs w:val="28"/>
        </w:rPr>
        <w:fldChar w:fldCharType="end"/>
      </w:r>
      <w:r>
        <w:rPr>
          <w:color w:val="auto"/>
          <w:sz w:val="28"/>
          <w:szCs w:val="28"/>
        </w:rPr>
        <w:fldChar w:fldCharType="end"/>
      </w:r>
    </w:p>
    <w:p>
      <w:pPr>
        <w:tabs>
          <w:tab w:val="right" w:leader="dot" w:pos="8834"/>
        </w:tabs>
        <w:spacing w:line="360" w:lineRule="auto"/>
        <w:rPr>
          <w:color w:val="auto"/>
          <w:sz w:val="28"/>
          <w:szCs w:val="28"/>
        </w:rPr>
      </w:pPr>
      <w:r>
        <w:rPr>
          <w:color w:val="auto"/>
        </w:rPr>
        <w:fldChar w:fldCharType="begin"/>
      </w:r>
      <w:r>
        <w:rPr>
          <w:color w:val="auto"/>
        </w:rPr>
        <w:instrText xml:space="preserve"> HYPERLINK \l "_Toc117495861" </w:instrText>
      </w:r>
      <w:r>
        <w:rPr>
          <w:color w:val="auto"/>
        </w:rPr>
        <w:fldChar w:fldCharType="separate"/>
      </w:r>
      <w:r>
        <w:rPr>
          <w:snapToGrid w:val="0"/>
          <w:color w:val="auto"/>
          <w:sz w:val="28"/>
          <w:szCs w:val="28"/>
        </w:rPr>
        <w:t>四、主要环境影响和保护措施</w:t>
      </w:r>
      <w:r>
        <w:rPr>
          <w:color w:val="auto"/>
          <w:sz w:val="28"/>
          <w:szCs w:val="28"/>
        </w:rPr>
        <w:tab/>
      </w:r>
      <w:r>
        <w:rPr>
          <w:color w:val="auto"/>
          <w:sz w:val="28"/>
          <w:szCs w:val="28"/>
        </w:rPr>
        <w:fldChar w:fldCharType="begin"/>
      </w:r>
      <w:r>
        <w:rPr>
          <w:color w:val="auto"/>
          <w:sz w:val="28"/>
          <w:szCs w:val="28"/>
        </w:rPr>
        <w:instrText xml:space="preserve"> PAGEREF _Toc117495861 \h </w:instrText>
      </w:r>
      <w:r>
        <w:rPr>
          <w:color w:val="auto"/>
          <w:sz w:val="28"/>
          <w:szCs w:val="28"/>
        </w:rPr>
        <w:fldChar w:fldCharType="separate"/>
      </w:r>
      <w:r>
        <w:rPr>
          <w:color w:val="auto"/>
          <w:sz w:val="28"/>
          <w:szCs w:val="28"/>
        </w:rPr>
        <w:t>26</w:t>
      </w:r>
      <w:r>
        <w:rPr>
          <w:color w:val="auto"/>
          <w:sz w:val="28"/>
          <w:szCs w:val="28"/>
        </w:rPr>
        <w:fldChar w:fldCharType="end"/>
      </w:r>
      <w:r>
        <w:rPr>
          <w:color w:val="auto"/>
          <w:sz w:val="28"/>
          <w:szCs w:val="28"/>
        </w:rPr>
        <w:fldChar w:fldCharType="end"/>
      </w:r>
    </w:p>
    <w:p>
      <w:pPr>
        <w:tabs>
          <w:tab w:val="right" w:leader="dot" w:pos="8834"/>
        </w:tabs>
        <w:spacing w:line="360" w:lineRule="auto"/>
        <w:rPr>
          <w:color w:val="auto"/>
          <w:sz w:val="28"/>
          <w:szCs w:val="28"/>
        </w:rPr>
      </w:pPr>
      <w:r>
        <w:rPr>
          <w:color w:val="auto"/>
        </w:rPr>
        <w:fldChar w:fldCharType="begin"/>
      </w:r>
      <w:r>
        <w:rPr>
          <w:color w:val="auto"/>
        </w:rPr>
        <w:instrText xml:space="preserve"> HYPERLINK \l "_Toc117495862" </w:instrText>
      </w:r>
      <w:r>
        <w:rPr>
          <w:color w:val="auto"/>
        </w:rPr>
        <w:fldChar w:fldCharType="separate"/>
      </w:r>
      <w:r>
        <w:rPr>
          <w:snapToGrid w:val="0"/>
          <w:color w:val="auto"/>
          <w:sz w:val="28"/>
          <w:szCs w:val="28"/>
        </w:rPr>
        <w:t>五、环境保护措施监督检查清单</w:t>
      </w:r>
      <w:r>
        <w:rPr>
          <w:color w:val="auto"/>
          <w:sz w:val="28"/>
          <w:szCs w:val="28"/>
        </w:rPr>
        <w:tab/>
      </w:r>
      <w:r>
        <w:rPr>
          <w:color w:val="auto"/>
          <w:sz w:val="28"/>
          <w:szCs w:val="28"/>
        </w:rPr>
        <w:fldChar w:fldCharType="begin"/>
      </w:r>
      <w:r>
        <w:rPr>
          <w:color w:val="auto"/>
          <w:sz w:val="28"/>
          <w:szCs w:val="28"/>
        </w:rPr>
        <w:instrText xml:space="preserve"> PAGEREF _Toc117495862 \h </w:instrText>
      </w:r>
      <w:r>
        <w:rPr>
          <w:color w:val="auto"/>
          <w:sz w:val="28"/>
          <w:szCs w:val="28"/>
        </w:rPr>
        <w:fldChar w:fldCharType="separate"/>
      </w:r>
      <w:r>
        <w:rPr>
          <w:color w:val="auto"/>
          <w:sz w:val="28"/>
          <w:szCs w:val="28"/>
        </w:rPr>
        <w:t>41</w:t>
      </w:r>
      <w:r>
        <w:rPr>
          <w:color w:val="auto"/>
          <w:sz w:val="28"/>
          <w:szCs w:val="28"/>
        </w:rPr>
        <w:fldChar w:fldCharType="end"/>
      </w:r>
      <w:r>
        <w:rPr>
          <w:color w:val="auto"/>
          <w:sz w:val="28"/>
          <w:szCs w:val="28"/>
        </w:rPr>
        <w:fldChar w:fldCharType="end"/>
      </w:r>
    </w:p>
    <w:p>
      <w:pPr>
        <w:tabs>
          <w:tab w:val="right" w:leader="dot" w:pos="8834"/>
        </w:tabs>
        <w:spacing w:line="360" w:lineRule="auto"/>
        <w:rPr>
          <w:color w:val="auto"/>
          <w:sz w:val="28"/>
          <w:szCs w:val="28"/>
        </w:rPr>
      </w:pPr>
      <w:r>
        <w:rPr>
          <w:color w:val="auto"/>
        </w:rPr>
        <w:fldChar w:fldCharType="begin"/>
      </w:r>
      <w:r>
        <w:rPr>
          <w:color w:val="auto"/>
        </w:rPr>
        <w:instrText xml:space="preserve"> HYPERLINK \l "_Toc117495863" </w:instrText>
      </w:r>
      <w:r>
        <w:rPr>
          <w:color w:val="auto"/>
        </w:rPr>
        <w:fldChar w:fldCharType="separate"/>
      </w:r>
      <w:r>
        <w:rPr>
          <w:snapToGrid w:val="0"/>
          <w:color w:val="auto"/>
          <w:sz w:val="28"/>
          <w:szCs w:val="28"/>
        </w:rPr>
        <w:t>六、结论</w:t>
      </w:r>
      <w:r>
        <w:rPr>
          <w:color w:val="auto"/>
          <w:sz w:val="28"/>
          <w:szCs w:val="28"/>
        </w:rPr>
        <w:tab/>
      </w:r>
      <w:r>
        <w:rPr>
          <w:color w:val="auto"/>
          <w:sz w:val="28"/>
          <w:szCs w:val="28"/>
        </w:rPr>
        <w:fldChar w:fldCharType="begin"/>
      </w:r>
      <w:r>
        <w:rPr>
          <w:color w:val="auto"/>
          <w:sz w:val="28"/>
          <w:szCs w:val="28"/>
        </w:rPr>
        <w:instrText xml:space="preserve"> PAGEREF _Toc117495863 \h </w:instrText>
      </w:r>
      <w:r>
        <w:rPr>
          <w:color w:val="auto"/>
          <w:sz w:val="28"/>
          <w:szCs w:val="28"/>
        </w:rPr>
        <w:fldChar w:fldCharType="separate"/>
      </w:r>
      <w:r>
        <w:rPr>
          <w:color w:val="auto"/>
          <w:sz w:val="28"/>
          <w:szCs w:val="28"/>
        </w:rPr>
        <w:t>43</w:t>
      </w:r>
      <w:r>
        <w:rPr>
          <w:color w:val="auto"/>
          <w:sz w:val="28"/>
          <w:szCs w:val="28"/>
        </w:rPr>
        <w:fldChar w:fldCharType="end"/>
      </w:r>
      <w:r>
        <w:rPr>
          <w:color w:val="auto"/>
          <w:sz w:val="28"/>
          <w:szCs w:val="28"/>
        </w:rPr>
        <w:fldChar w:fldCharType="end"/>
      </w:r>
    </w:p>
    <w:p>
      <w:pPr>
        <w:tabs>
          <w:tab w:val="right" w:leader="dot" w:pos="8834"/>
        </w:tabs>
        <w:spacing w:line="360" w:lineRule="auto"/>
        <w:rPr>
          <w:color w:val="auto"/>
        </w:rPr>
      </w:pPr>
      <w:r>
        <w:rPr>
          <w:color w:val="auto"/>
        </w:rPr>
        <w:fldChar w:fldCharType="begin"/>
      </w:r>
      <w:r>
        <w:rPr>
          <w:color w:val="auto"/>
        </w:rPr>
        <w:instrText xml:space="preserve"> HYPERLINK \l "_Toc117495865" </w:instrText>
      </w:r>
      <w:r>
        <w:rPr>
          <w:color w:val="auto"/>
        </w:rPr>
        <w:fldChar w:fldCharType="separate"/>
      </w:r>
      <w:r>
        <w:rPr>
          <w:snapToGrid w:val="0"/>
          <w:color w:val="auto"/>
          <w:sz w:val="28"/>
          <w:szCs w:val="28"/>
        </w:rPr>
        <w:t>建设项目污染物排放量汇总表</w:t>
      </w:r>
      <w:r>
        <w:rPr>
          <w:color w:val="auto"/>
          <w:sz w:val="28"/>
          <w:szCs w:val="28"/>
        </w:rPr>
        <w:tab/>
      </w:r>
      <w:r>
        <w:rPr>
          <w:color w:val="auto"/>
          <w:sz w:val="28"/>
          <w:szCs w:val="28"/>
        </w:rPr>
        <w:fldChar w:fldCharType="begin"/>
      </w:r>
      <w:r>
        <w:rPr>
          <w:color w:val="auto"/>
          <w:sz w:val="28"/>
          <w:szCs w:val="28"/>
        </w:rPr>
        <w:instrText xml:space="preserve"> PAGEREF _Toc117495865 \h </w:instrText>
      </w:r>
      <w:r>
        <w:rPr>
          <w:color w:val="auto"/>
          <w:sz w:val="28"/>
          <w:szCs w:val="28"/>
        </w:rPr>
        <w:fldChar w:fldCharType="separate"/>
      </w:r>
      <w:r>
        <w:rPr>
          <w:color w:val="auto"/>
          <w:sz w:val="28"/>
          <w:szCs w:val="28"/>
        </w:rPr>
        <w:t>44</w:t>
      </w:r>
      <w:r>
        <w:rPr>
          <w:color w:val="auto"/>
          <w:sz w:val="28"/>
          <w:szCs w:val="28"/>
        </w:rPr>
        <w:fldChar w:fldCharType="end"/>
      </w:r>
      <w:r>
        <w:rPr>
          <w:color w:val="auto"/>
          <w:sz w:val="28"/>
          <w:szCs w:val="28"/>
        </w:rPr>
        <w:fldChar w:fldCharType="end"/>
      </w:r>
    </w:p>
    <w:p>
      <w:pPr>
        <w:adjustRightInd w:val="0"/>
        <w:snapToGrid w:val="0"/>
        <w:jc w:val="left"/>
        <w:rPr>
          <w:rFonts w:eastAsia="仿宋_GB2312"/>
          <w:color w:val="auto"/>
          <w:sz w:val="36"/>
          <w:szCs w:val="36"/>
        </w:rPr>
      </w:pPr>
      <w:r>
        <w:rPr>
          <w:rFonts w:eastAsia="仿宋_GB2312"/>
          <w:color w:val="auto"/>
          <w:sz w:val="36"/>
          <w:szCs w:val="36"/>
        </w:rPr>
        <w:fldChar w:fldCharType="end"/>
      </w:r>
    </w:p>
    <w:p>
      <w:pPr>
        <w:adjustRightInd w:val="0"/>
        <w:spacing w:before="72" w:beforeLines="30"/>
        <w:jc w:val="left"/>
        <w:rPr>
          <w:b/>
          <w:color w:val="auto"/>
          <w:sz w:val="24"/>
          <w:szCs w:val="36"/>
        </w:rPr>
      </w:pPr>
      <w:r>
        <w:rPr>
          <w:b/>
          <w:color w:val="auto"/>
          <w:sz w:val="24"/>
          <w:szCs w:val="36"/>
        </w:rPr>
        <w:t>附图</w:t>
      </w:r>
    </w:p>
    <w:p>
      <w:pPr>
        <w:spacing w:before="72" w:beforeLines="30"/>
        <w:ind w:firstLine="480"/>
        <w:rPr>
          <w:color w:val="auto"/>
          <w:sz w:val="24"/>
        </w:rPr>
      </w:pPr>
      <w:r>
        <w:rPr>
          <w:color w:val="auto"/>
          <w:sz w:val="24"/>
        </w:rPr>
        <w:t>附图</w:t>
      </w:r>
      <w:r>
        <w:rPr>
          <w:rFonts w:hint="eastAsia"/>
          <w:color w:val="auto"/>
          <w:sz w:val="24"/>
        </w:rPr>
        <w:t>1</w:t>
      </w:r>
      <w:r>
        <w:rPr>
          <w:color w:val="auto"/>
          <w:sz w:val="24"/>
        </w:rPr>
        <w:t>：项目地理位置图</w:t>
      </w:r>
    </w:p>
    <w:p>
      <w:pPr>
        <w:spacing w:before="72" w:beforeLines="30"/>
        <w:ind w:firstLine="480"/>
        <w:rPr>
          <w:color w:val="auto"/>
          <w:sz w:val="24"/>
        </w:rPr>
      </w:pPr>
      <w:r>
        <w:rPr>
          <w:color w:val="auto"/>
          <w:sz w:val="24"/>
        </w:rPr>
        <w:t>附图</w:t>
      </w:r>
      <w:r>
        <w:rPr>
          <w:rFonts w:hint="eastAsia"/>
          <w:color w:val="auto"/>
          <w:sz w:val="24"/>
        </w:rPr>
        <w:t>2</w:t>
      </w:r>
      <w:r>
        <w:rPr>
          <w:color w:val="auto"/>
          <w:sz w:val="24"/>
        </w:rPr>
        <w:t>：项目四邻关系图</w:t>
      </w:r>
    </w:p>
    <w:p>
      <w:pPr>
        <w:spacing w:before="72" w:beforeLines="30"/>
        <w:ind w:firstLine="480"/>
        <w:rPr>
          <w:color w:val="auto"/>
          <w:sz w:val="24"/>
        </w:rPr>
      </w:pPr>
      <w:r>
        <w:rPr>
          <w:color w:val="auto"/>
          <w:sz w:val="24"/>
        </w:rPr>
        <w:t>附图</w:t>
      </w:r>
      <w:r>
        <w:rPr>
          <w:rFonts w:hint="eastAsia"/>
          <w:color w:val="auto"/>
          <w:sz w:val="24"/>
        </w:rPr>
        <w:t>3</w:t>
      </w:r>
      <w:r>
        <w:rPr>
          <w:color w:val="auto"/>
          <w:sz w:val="24"/>
        </w:rPr>
        <w:t>：项目平面图</w:t>
      </w:r>
    </w:p>
    <w:p>
      <w:pPr>
        <w:spacing w:before="72" w:beforeLines="30"/>
        <w:ind w:firstLine="480"/>
        <w:rPr>
          <w:color w:val="auto"/>
          <w:sz w:val="24"/>
        </w:rPr>
      </w:pPr>
      <w:r>
        <w:rPr>
          <w:color w:val="auto"/>
          <w:sz w:val="24"/>
        </w:rPr>
        <w:t>附图</w:t>
      </w:r>
      <w:r>
        <w:rPr>
          <w:rFonts w:hint="eastAsia"/>
          <w:color w:val="auto"/>
          <w:sz w:val="24"/>
        </w:rPr>
        <w:t>4</w:t>
      </w:r>
      <w:r>
        <w:rPr>
          <w:color w:val="auto"/>
          <w:sz w:val="24"/>
        </w:rPr>
        <w:t>：项目</w:t>
      </w:r>
      <w:r>
        <w:rPr>
          <w:rFonts w:hint="eastAsia"/>
          <w:color w:val="auto"/>
          <w:sz w:val="24"/>
        </w:rPr>
        <w:t>监测点位</w:t>
      </w:r>
      <w:r>
        <w:rPr>
          <w:color w:val="auto"/>
          <w:sz w:val="24"/>
        </w:rPr>
        <w:t>图</w:t>
      </w:r>
    </w:p>
    <w:p>
      <w:pPr>
        <w:spacing w:before="72" w:beforeLines="30"/>
        <w:ind w:firstLine="480"/>
        <w:rPr>
          <w:color w:val="auto"/>
          <w:sz w:val="24"/>
        </w:rPr>
      </w:pPr>
      <w:r>
        <w:rPr>
          <w:color w:val="auto"/>
          <w:sz w:val="24"/>
        </w:rPr>
        <w:t>附图</w:t>
      </w:r>
      <w:r>
        <w:rPr>
          <w:rFonts w:hint="eastAsia"/>
          <w:color w:val="auto"/>
          <w:sz w:val="24"/>
        </w:rPr>
        <w:t>5</w:t>
      </w:r>
      <w:r>
        <w:rPr>
          <w:color w:val="auto"/>
          <w:sz w:val="24"/>
        </w:rPr>
        <w:t>：项目环境保护目标</w:t>
      </w:r>
      <w:r>
        <w:rPr>
          <w:rFonts w:hint="eastAsia"/>
          <w:color w:val="auto"/>
          <w:sz w:val="24"/>
        </w:rPr>
        <w:t>分布</w:t>
      </w:r>
      <w:r>
        <w:rPr>
          <w:color w:val="auto"/>
          <w:sz w:val="24"/>
        </w:rPr>
        <w:t>图</w:t>
      </w:r>
    </w:p>
    <w:p>
      <w:pPr>
        <w:spacing w:before="72" w:beforeLines="30"/>
        <w:ind w:firstLine="480"/>
        <w:rPr>
          <w:color w:val="auto"/>
          <w:sz w:val="24"/>
        </w:rPr>
      </w:pPr>
      <w:r>
        <w:rPr>
          <w:color w:val="auto"/>
          <w:sz w:val="24"/>
        </w:rPr>
        <w:t>附图</w:t>
      </w:r>
      <w:r>
        <w:rPr>
          <w:rFonts w:hint="eastAsia"/>
          <w:color w:val="auto"/>
          <w:sz w:val="24"/>
        </w:rPr>
        <w:t>6</w:t>
      </w:r>
      <w:r>
        <w:rPr>
          <w:color w:val="auto"/>
          <w:sz w:val="24"/>
        </w:rPr>
        <w:t>：西安市生态环境管控单元分布示意图</w:t>
      </w:r>
    </w:p>
    <w:p>
      <w:pPr>
        <w:adjustRightInd w:val="0"/>
        <w:spacing w:before="72" w:beforeLines="30"/>
        <w:jc w:val="left"/>
        <w:rPr>
          <w:b/>
          <w:color w:val="auto"/>
          <w:sz w:val="24"/>
          <w:szCs w:val="36"/>
        </w:rPr>
      </w:pPr>
      <w:r>
        <w:rPr>
          <w:b/>
          <w:color w:val="auto"/>
          <w:sz w:val="24"/>
          <w:szCs w:val="36"/>
        </w:rPr>
        <w:t>附件</w:t>
      </w:r>
    </w:p>
    <w:p>
      <w:pPr>
        <w:spacing w:before="72" w:beforeLines="30"/>
        <w:ind w:firstLine="480"/>
        <w:rPr>
          <w:color w:val="auto"/>
          <w:sz w:val="24"/>
        </w:rPr>
      </w:pPr>
      <w:r>
        <w:rPr>
          <w:color w:val="auto"/>
          <w:sz w:val="24"/>
        </w:rPr>
        <w:t>附件1：环境影响评价委托书</w:t>
      </w:r>
    </w:p>
    <w:p>
      <w:pPr>
        <w:spacing w:before="72" w:beforeLines="30"/>
        <w:ind w:firstLine="480"/>
        <w:rPr>
          <w:color w:val="auto"/>
          <w:sz w:val="24"/>
        </w:rPr>
      </w:pPr>
      <w:r>
        <w:rPr>
          <w:color w:val="auto"/>
          <w:sz w:val="24"/>
        </w:rPr>
        <w:t>附件2：项目备案确认书</w:t>
      </w:r>
    </w:p>
    <w:p>
      <w:pPr>
        <w:spacing w:before="72" w:beforeLines="30"/>
        <w:ind w:firstLine="480"/>
        <w:rPr>
          <w:color w:val="auto"/>
          <w:sz w:val="24"/>
        </w:rPr>
      </w:pPr>
      <w:r>
        <w:rPr>
          <w:color w:val="auto"/>
          <w:sz w:val="24"/>
        </w:rPr>
        <w:t>附件3：</w:t>
      </w:r>
      <w:r>
        <w:rPr>
          <w:rFonts w:hint="eastAsia"/>
          <w:color w:val="auto"/>
          <w:sz w:val="24"/>
        </w:rPr>
        <w:t>租赁合同</w:t>
      </w:r>
    </w:p>
    <w:p>
      <w:pPr>
        <w:spacing w:before="72" w:beforeLines="30"/>
        <w:ind w:firstLine="480"/>
        <w:rPr>
          <w:color w:val="auto"/>
          <w:sz w:val="24"/>
        </w:rPr>
      </w:pPr>
      <w:r>
        <w:rPr>
          <w:color w:val="auto"/>
          <w:sz w:val="24"/>
        </w:rPr>
        <w:t>附件4：</w:t>
      </w:r>
      <w:r>
        <w:rPr>
          <w:rFonts w:hint="eastAsia"/>
          <w:color w:val="auto"/>
          <w:sz w:val="24"/>
        </w:rPr>
        <w:t>房产证</w:t>
      </w:r>
    </w:p>
    <w:p>
      <w:pPr>
        <w:spacing w:before="72" w:beforeLines="30"/>
        <w:ind w:firstLine="480"/>
        <w:rPr>
          <w:color w:val="auto"/>
          <w:sz w:val="24"/>
        </w:rPr>
      </w:pPr>
      <w:r>
        <w:rPr>
          <w:color w:val="auto"/>
          <w:sz w:val="24"/>
        </w:rPr>
        <w:t>附件</w:t>
      </w:r>
      <w:r>
        <w:rPr>
          <w:rFonts w:hint="eastAsia"/>
          <w:color w:val="auto"/>
          <w:sz w:val="24"/>
        </w:rPr>
        <w:t>5</w:t>
      </w:r>
      <w:r>
        <w:rPr>
          <w:color w:val="auto"/>
          <w:sz w:val="24"/>
        </w:rPr>
        <w:t>：</w:t>
      </w:r>
      <w:r>
        <w:rPr>
          <w:rFonts w:hint="eastAsia"/>
          <w:color w:val="auto"/>
          <w:sz w:val="24"/>
        </w:rPr>
        <w:t>现状监测报告</w:t>
      </w:r>
    </w:p>
    <w:p>
      <w:pPr>
        <w:spacing w:before="72" w:beforeLines="30"/>
        <w:ind w:firstLine="480"/>
        <w:rPr>
          <w:color w:val="auto"/>
          <w:sz w:val="24"/>
        </w:rPr>
      </w:pPr>
      <w:r>
        <w:rPr>
          <w:color w:val="auto"/>
          <w:sz w:val="24"/>
        </w:rPr>
        <w:t>附件</w:t>
      </w:r>
      <w:r>
        <w:rPr>
          <w:rFonts w:hint="eastAsia"/>
          <w:color w:val="auto"/>
          <w:sz w:val="24"/>
        </w:rPr>
        <w:t>6</w:t>
      </w:r>
      <w:r>
        <w:rPr>
          <w:color w:val="auto"/>
          <w:sz w:val="24"/>
        </w:rPr>
        <w:t>：陕西省“三线一单”生态环境管控单元对照分析报告</w:t>
      </w:r>
    </w:p>
    <w:p>
      <w:pPr>
        <w:spacing w:before="72" w:beforeLines="30"/>
        <w:ind w:firstLine="480"/>
        <w:rPr>
          <w:color w:val="auto"/>
          <w:sz w:val="24"/>
        </w:rPr>
      </w:pPr>
      <w:r>
        <w:rPr>
          <w:rFonts w:hint="eastAsia"/>
          <w:color w:val="auto"/>
          <w:sz w:val="24"/>
        </w:rPr>
        <w:t>附件7：国色天香小区（原名康桥小镇）环评批复</w:t>
      </w:r>
    </w:p>
    <w:p>
      <w:pPr>
        <w:spacing w:before="72" w:beforeLines="30"/>
        <w:ind w:firstLine="480"/>
        <w:rPr>
          <w:color w:val="auto"/>
          <w:sz w:val="24"/>
        </w:rPr>
      </w:pPr>
      <w:r>
        <w:rPr>
          <w:rFonts w:hint="eastAsia"/>
          <w:color w:val="auto"/>
          <w:sz w:val="24"/>
        </w:rPr>
        <w:t>附件8：国色天香小区环保验收</w:t>
      </w:r>
    </w:p>
    <w:p>
      <w:pPr>
        <w:spacing w:before="72" w:beforeLines="30"/>
        <w:ind w:firstLine="480"/>
        <w:rPr>
          <w:color w:val="auto"/>
          <w:sz w:val="24"/>
        </w:rPr>
      </w:pPr>
      <w:r>
        <w:rPr>
          <w:rFonts w:hint="eastAsia"/>
          <w:color w:val="auto"/>
          <w:sz w:val="24"/>
        </w:rPr>
        <w:t>附件9：环境影响登记表</w:t>
      </w:r>
    </w:p>
    <w:p>
      <w:pPr>
        <w:spacing w:before="72" w:beforeLines="30"/>
        <w:ind w:firstLine="480"/>
        <w:rPr>
          <w:color w:val="auto"/>
          <w:sz w:val="24"/>
        </w:rPr>
      </w:pPr>
      <w:r>
        <w:rPr>
          <w:rFonts w:hint="eastAsia"/>
          <w:color w:val="auto"/>
          <w:sz w:val="24"/>
        </w:rPr>
        <w:t>附件10：固定污染源排污登记回执</w:t>
      </w:r>
    </w:p>
    <w:p>
      <w:pPr>
        <w:spacing w:before="72" w:beforeLines="30"/>
        <w:ind w:firstLine="480"/>
        <w:rPr>
          <w:color w:val="auto"/>
          <w:sz w:val="24"/>
        </w:rPr>
      </w:pPr>
      <w:r>
        <w:rPr>
          <w:rFonts w:hint="eastAsia"/>
          <w:color w:val="auto"/>
          <w:sz w:val="24"/>
        </w:rPr>
        <w:t>附件11：废水检测报告</w:t>
      </w:r>
    </w:p>
    <w:p>
      <w:pPr>
        <w:spacing w:before="72" w:beforeLines="30"/>
        <w:ind w:firstLine="480"/>
        <w:rPr>
          <w:color w:val="auto"/>
          <w:sz w:val="24"/>
        </w:rPr>
      </w:pPr>
      <w:r>
        <w:rPr>
          <w:color w:val="auto"/>
          <w:sz w:val="24"/>
        </w:rPr>
        <w:t>附件</w:t>
      </w:r>
      <w:r>
        <w:rPr>
          <w:rFonts w:hint="eastAsia"/>
          <w:color w:val="auto"/>
          <w:sz w:val="24"/>
        </w:rPr>
        <w:t>12</w:t>
      </w:r>
      <w:r>
        <w:rPr>
          <w:color w:val="auto"/>
          <w:sz w:val="24"/>
        </w:rPr>
        <w:t>：</w:t>
      </w:r>
      <w:r>
        <w:rPr>
          <w:rFonts w:hint="eastAsia"/>
          <w:color w:val="auto"/>
          <w:sz w:val="24"/>
        </w:rPr>
        <w:t>输液瓶处置合同</w:t>
      </w:r>
    </w:p>
    <w:p>
      <w:pPr>
        <w:spacing w:before="72" w:beforeLines="30"/>
        <w:ind w:firstLine="480"/>
        <w:rPr>
          <w:color w:val="auto"/>
        </w:rPr>
      </w:pPr>
      <w:r>
        <w:rPr>
          <w:color w:val="auto"/>
          <w:sz w:val="24"/>
        </w:rPr>
        <w:t>附件</w:t>
      </w:r>
      <w:r>
        <w:rPr>
          <w:rFonts w:hint="eastAsia"/>
          <w:color w:val="auto"/>
          <w:sz w:val="24"/>
        </w:rPr>
        <w:t>13</w:t>
      </w:r>
      <w:r>
        <w:rPr>
          <w:color w:val="auto"/>
          <w:sz w:val="24"/>
        </w:rPr>
        <w:t>：</w:t>
      </w:r>
      <w:r>
        <w:rPr>
          <w:rFonts w:hint="eastAsia"/>
          <w:color w:val="auto"/>
          <w:sz w:val="24"/>
        </w:rPr>
        <w:t>医疗废物处置合同</w:t>
      </w:r>
    </w:p>
    <w:p>
      <w:pPr>
        <w:adjustRightInd w:val="0"/>
        <w:snapToGrid w:val="0"/>
        <w:spacing w:line="288" w:lineRule="auto"/>
        <w:rPr>
          <w:rFonts w:eastAsia="仿宋_GB2312"/>
          <w:color w:val="auto"/>
          <w:sz w:val="36"/>
          <w:szCs w:val="36"/>
        </w:rPr>
        <w:sectPr>
          <w:pgSz w:w="11906" w:h="16838"/>
          <w:pgMar w:top="1701" w:right="1531" w:bottom="1701" w:left="1531" w:header="851" w:footer="1077" w:gutter="0"/>
          <w:pgNumType w:start="3"/>
          <w:cols w:space="720" w:num="1"/>
          <w:docGrid w:linePitch="312" w:charSpace="0"/>
        </w:sectPr>
      </w:pPr>
    </w:p>
    <w:p>
      <w:pPr>
        <w:jc w:val="center"/>
        <w:outlineLvl w:val="0"/>
        <w:rPr>
          <w:rFonts w:eastAsia="黑体"/>
          <w:snapToGrid w:val="0"/>
          <w:color w:val="auto"/>
          <w:sz w:val="30"/>
          <w:szCs w:val="30"/>
        </w:rPr>
      </w:pPr>
      <w:bookmarkStart w:id="0" w:name="_Toc117495858"/>
      <w:r>
        <w:rPr>
          <w:rFonts w:eastAsia="黑体"/>
          <w:snapToGrid w:val="0"/>
          <w:color w:val="auto"/>
          <w:sz w:val="30"/>
          <w:szCs w:val="30"/>
        </w:rPr>
        <w:t>一、建设项目基本情况</w:t>
      </w:r>
      <w:bookmarkEnd w:id="0"/>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96"/>
        <w:gridCol w:w="2265"/>
        <w:gridCol w:w="1877"/>
        <w:gridCol w:w="28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6" w:type="dxa"/>
            <w:tcMar>
              <w:top w:w="16" w:type="dxa"/>
              <w:left w:w="16" w:type="dxa"/>
              <w:right w:w="16" w:type="dxa"/>
            </w:tcMar>
            <w:vAlign w:val="center"/>
          </w:tcPr>
          <w:p>
            <w:pPr>
              <w:adjustRightInd w:val="0"/>
              <w:snapToGrid w:val="0"/>
              <w:jc w:val="center"/>
              <w:rPr>
                <w:color w:val="auto"/>
                <w:sz w:val="24"/>
              </w:rPr>
            </w:pPr>
            <w:bookmarkStart w:id="1" w:name="_Hlk101948077"/>
            <w:r>
              <w:rPr>
                <w:color w:val="auto"/>
                <w:sz w:val="24"/>
              </w:rPr>
              <w:t>建设项目名称</w:t>
            </w:r>
          </w:p>
        </w:tc>
        <w:tc>
          <w:tcPr>
            <w:tcW w:w="6974" w:type="dxa"/>
            <w:gridSpan w:val="3"/>
            <w:vAlign w:val="center"/>
          </w:tcPr>
          <w:p>
            <w:pPr>
              <w:adjustRightInd w:val="0"/>
              <w:snapToGrid w:val="0"/>
              <w:jc w:val="center"/>
              <w:rPr>
                <w:color w:val="auto"/>
                <w:sz w:val="24"/>
              </w:rPr>
            </w:pPr>
            <w:r>
              <w:rPr>
                <w:rFonts w:hint="eastAsia"/>
                <w:color w:val="auto"/>
                <w:sz w:val="24"/>
              </w:rPr>
              <w:t>西安长安强森医院有限公司</w:t>
            </w:r>
            <w:r>
              <w:rPr>
                <w:rFonts w:hint="eastAsia"/>
                <w:color w:val="auto"/>
                <w:spacing w:val="-2"/>
                <w:sz w:val="24"/>
              </w:rPr>
              <w:t>建设项目</w:t>
            </w:r>
          </w:p>
        </w:tc>
      </w:tr>
      <w:bookmarkEnd w:id="1"/>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6" w:type="dxa"/>
            <w:tcMar>
              <w:top w:w="16" w:type="dxa"/>
              <w:left w:w="16" w:type="dxa"/>
              <w:right w:w="16" w:type="dxa"/>
            </w:tcMar>
            <w:vAlign w:val="center"/>
          </w:tcPr>
          <w:p>
            <w:pPr>
              <w:adjustRightInd w:val="0"/>
              <w:snapToGrid w:val="0"/>
              <w:jc w:val="center"/>
              <w:rPr>
                <w:color w:val="auto"/>
                <w:sz w:val="24"/>
              </w:rPr>
            </w:pPr>
            <w:r>
              <w:rPr>
                <w:color w:val="auto"/>
                <w:sz w:val="24"/>
              </w:rPr>
              <w:t>项目代码</w:t>
            </w:r>
          </w:p>
        </w:tc>
        <w:tc>
          <w:tcPr>
            <w:tcW w:w="6974" w:type="dxa"/>
            <w:gridSpan w:val="3"/>
            <w:vAlign w:val="center"/>
          </w:tcPr>
          <w:p>
            <w:pPr>
              <w:adjustRightInd w:val="0"/>
              <w:snapToGrid w:val="0"/>
              <w:jc w:val="center"/>
              <w:rPr>
                <w:color w:val="auto"/>
                <w:sz w:val="24"/>
              </w:rPr>
            </w:pPr>
            <w:r>
              <w:rPr>
                <w:color w:val="auto"/>
                <w:sz w:val="24"/>
              </w:rPr>
              <w:t>2405-610116-04-05-358717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6" w:type="dxa"/>
            <w:tcMar>
              <w:top w:w="16" w:type="dxa"/>
              <w:left w:w="16" w:type="dxa"/>
              <w:right w:w="16" w:type="dxa"/>
            </w:tcMar>
            <w:vAlign w:val="center"/>
          </w:tcPr>
          <w:p>
            <w:pPr>
              <w:adjustRightInd w:val="0"/>
              <w:snapToGrid w:val="0"/>
              <w:jc w:val="center"/>
              <w:rPr>
                <w:color w:val="auto"/>
                <w:sz w:val="24"/>
              </w:rPr>
            </w:pPr>
            <w:r>
              <w:rPr>
                <w:color w:val="auto"/>
                <w:sz w:val="24"/>
              </w:rPr>
              <w:t>建设单位联系人</w:t>
            </w:r>
          </w:p>
        </w:tc>
        <w:tc>
          <w:tcPr>
            <w:tcW w:w="2265" w:type="dxa"/>
            <w:vAlign w:val="center"/>
          </w:tcPr>
          <w:p>
            <w:pPr>
              <w:adjustRightInd w:val="0"/>
              <w:snapToGrid w:val="0"/>
              <w:jc w:val="center"/>
              <w:rPr>
                <w:rFonts w:hint="default" w:eastAsia="宋体"/>
                <w:color w:val="auto"/>
                <w:sz w:val="24"/>
                <w:lang w:val="en-US" w:eastAsia="zh-CN"/>
              </w:rPr>
            </w:pPr>
          </w:p>
        </w:tc>
        <w:tc>
          <w:tcPr>
            <w:tcW w:w="1877" w:type="dxa"/>
            <w:vAlign w:val="center"/>
          </w:tcPr>
          <w:p>
            <w:pPr>
              <w:adjustRightInd w:val="0"/>
              <w:snapToGrid w:val="0"/>
              <w:jc w:val="center"/>
              <w:rPr>
                <w:color w:val="auto"/>
                <w:sz w:val="24"/>
              </w:rPr>
            </w:pPr>
            <w:r>
              <w:rPr>
                <w:color w:val="auto"/>
                <w:sz w:val="24"/>
              </w:rPr>
              <w:t>联系方式</w:t>
            </w:r>
          </w:p>
        </w:tc>
        <w:tc>
          <w:tcPr>
            <w:tcW w:w="2832" w:type="dxa"/>
            <w:vAlign w:val="center"/>
          </w:tcPr>
          <w:p>
            <w:pPr>
              <w:adjustRightInd w:val="0"/>
              <w:snapToGrid w:val="0"/>
              <w:jc w:val="center"/>
              <w:rPr>
                <w:rFonts w:hint="default" w:eastAsia="宋体"/>
                <w:color w:val="auto"/>
                <w:sz w:val="24"/>
                <w:lang w:val="en-US" w:eastAsia="zh-CN"/>
              </w:rPr>
            </w:pPr>
            <w:bookmarkStart w:id="15" w:name="_GoBack"/>
            <w:bookmarkEnd w:id="1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6" w:type="dxa"/>
            <w:tcMar>
              <w:top w:w="16" w:type="dxa"/>
              <w:left w:w="16" w:type="dxa"/>
              <w:right w:w="16" w:type="dxa"/>
            </w:tcMar>
            <w:vAlign w:val="center"/>
          </w:tcPr>
          <w:p>
            <w:pPr>
              <w:adjustRightInd w:val="0"/>
              <w:snapToGrid w:val="0"/>
              <w:jc w:val="center"/>
              <w:rPr>
                <w:color w:val="auto"/>
                <w:sz w:val="24"/>
              </w:rPr>
            </w:pPr>
            <w:r>
              <w:rPr>
                <w:color w:val="auto"/>
                <w:sz w:val="24"/>
              </w:rPr>
              <w:t>建设地点</w:t>
            </w:r>
          </w:p>
        </w:tc>
        <w:tc>
          <w:tcPr>
            <w:tcW w:w="6974" w:type="dxa"/>
            <w:gridSpan w:val="3"/>
            <w:vAlign w:val="center"/>
          </w:tcPr>
          <w:p>
            <w:pPr>
              <w:adjustRightInd w:val="0"/>
              <w:snapToGrid w:val="0"/>
              <w:jc w:val="center"/>
              <w:rPr>
                <w:color w:val="auto"/>
                <w:sz w:val="24"/>
              </w:rPr>
            </w:pPr>
            <w:r>
              <w:rPr>
                <w:color w:val="auto"/>
                <w:sz w:val="24"/>
              </w:rPr>
              <w:t>西安市长安区西长安街989号国色天香小区22号商业楼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6" w:type="dxa"/>
            <w:tcMar>
              <w:top w:w="16" w:type="dxa"/>
              <w:left w:w="16" w:type="dxa"/>
              <w:right w:w="16" w:type="dxa"/>
            </w:tcMar>
            <w:vAlign w:val="center"/>
          </w:tcPr>
          <w:p>
            <w:pPr>
              <w:adjustRightInd w:val="0"/>
              <w:snapToGrid w:val="0"/>
              <w:jc w:val="center"/>
              <w:rPr>
                <w:color w:val="auto"/>
                <w:sz w:val="24"/>
              </w:rPr>
            </w:pPr>
            <w:r>
              <w:rPr>
                <w:color w:val="auto"/>
                <w:sz w:val="24"/>
              </w:rPr>
              <w:t>地理坐标</w:t>
            </w:r>
          </w:p>
        </w:tc>
        <w:tc>
          <w:tcPr>
            <w:tcW w:w="6974" w:type="dxa"/>
            <w:gridSpan w:val="3"/>
            <w:vAlign w:val="center"/>
          </w:tcPr>
          <w:p>
            <w:pPr>
              <w:jc w:val="center"/>
              <w:rPr>
                <w:color w:val="auto"/>
                <w:sz w:val="24"/>
              </w:rPr>
            </w:pPr>
            <w:r>
              <w:rPr>
                <w:color w:val="auto"/>
                <w:sz w:val="24"/>
              </w:rPr>
              <w:t>（E：</w:t>
            </w:r>
            <w:r>
              <w:rPr>
                <w:color w:val="auto"/>
                <w:sz w:val="24"/>
                <w:u w:val="single"/>
              </w:rPr>
              <w:t>108</w:t>
            </w:r>
            <w:r>
              <w:rPr>
                <w:color w:val="auto"/>
                <w:sz w:val="24"/>
              </w:rPr>
              <w:t>度</w:t>
            </w:r>
            <w:r>
              <w:rPr>
                <w:color w:val="auto"/>
                <w:sz w:val="24"/>
                <w:u w:val="single"/>
              </w:rPr>
              <w:t>5</w:t>
            </w:r>
            <w:r>
              <w:rPr>
                <w:rFonts w:hint="eastAsia"/>
                <w:color w:val="auto"/>
                <w:sz w:val="24"/>
                <w:u w:val="single"/>
              </w:rPr>
              <w:t>3</w:t>
            </w:r>
            <w:r>
              <w:rPr>
                <w:color w:val="auto"/>
                <w:sz w:val="24"/>
              </w:rPr>
              <w:t>分</w:t>
            </w:r>
            <w:r>
              <w:rPr>
                <w:rFonts w:hint="eastAsia"/>
                <w:color w:val="auto"/>
                <w:sz w:val="24"/>
                <w:u w:val="single"/>
              </w:rPr>
              <w:t>16.887</w:t>
            </w:r>
            <w:r>
              <w:rPr>
                <w:color w:val="auto"/>
                <w:sz w:val="24"/>
              </w:rPr>
              <w:t>秒，N：</w:t>
            </w:r>
            <w:r>
              <w:rPr>
                <w:color w:val="auto"/>
                <w:sz w:val="24"/>
                <w:u w:val="single"/>
              </w:rPr>
              <w:t>34</w:t>
            </w:r>
            <w:r>
              <w:rPr>
                <w:color w:val="auto"/>
                <w:sz w:val="24"/>
              </w:rPr>
              <w:t>度</w:t>
            </w:r>
            <w:r>
              <w:rPr>
                <w:rFonts w:hint="eastAsia"/>
                <w:color w:val="auto"/>
                <w:sz w:val="24"/>
                <w:u w:val="single"/>
              </w:rPr>
              <w:t>9</w:t>
            </w:r>
            <w:r>
              <w:rPr>
                <w:color w:val="auto"/>
                <w:sz w:val="24"/>
              </w:rPr>
              <w:t>分</w:t>
            </w:r>
            <w:r>
              <w:rPr>
                <w:rFonts w:hint="eastAsia"/>
                <w:color w:val="auto"/>
                <w:sz w:val="24"/>
                <w:u w:val="single"/>
              </w:rPr>
              <w:t>38.959</w:t>
            </w:r>
            <w:r>
              <w:rPr>
                <w:color w:val="auto"/>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896" w:type="dxa"/>
            <w:tcMar>
              <w:top w:w="16" w:type="dxa"/>
              <w:left w:w="16" w:type="dxa"/>
              <w:right w:w="16" w:type="dxa"/>
            </w:tcMar>
            <w:vAlign w:val="center"/>
          </w:tcPr>
          <w:p>
            <w:pPr>
              <w:adjustRightInd w:val="0"/>
              <w:snapToGrid w:val="0"/>
              <w:jc w:val="center"/>
              <w:rPr>
                <w:color w:val="auto"/>
                <w:sz w:val="24"/>
              </w:rPr>
            </w:pPr>
            <w:r>
              <w:rPr>
                <w:color w:val="auto"/>
                <w:sz w:val="24"/>
              </w:rPr>
              <w:t>国民经济</w:t>
            </w:r>
          </w:p>
          <w:p>
            <w:pPr>
              <w:adjustRightInd w:val="0"/>
              <w:snapToGrid w:val="0"/>
              <w:jc w:val="center"/>
              <w:rPr>
                <w:color w:val="auto"/>
                <w:sz w:val="24"/>
              </w:rPr>
            </w:pPr>
            <w:r>
              <w:rPr>
                <w:color w:val="auto"/>
                <w:sz w:val="24"/>
              </w:rPr>
              <w:t>行业类别</w:t>
            </w:r>
          </w:p>
        </w:tc>
        <w:tc>
          <w:tcPr>
            <w:tcW w:w="2265" w:type="dxa"/>
            <w:vAlign w:val="center"/>
          </w:tcPr>
          <w:p>
            <w:pPr>
              <w:adjustRightInd w:val="0"/>
              <w:snapToGrid w:val="0"/>
              <w:jc w:val="center"/>
              <w:rPr>
                <w:color w:val="auto"/>
                <w:sz w:val="24"/>
              </w:rPr>
            </w:pPr>
            <w:r>
              <w:rPr>
                <w:rFonts w:hint="eastAsia"/>
                <w:color w:val="auto"/>
                <w:sz w:val="24"/>
              </w:rPr>
              <w:t>Q8411综合医院</w:t>
            </w:r>
          </w:p>
        </w:tc>
        <w:tc>
          <w:tcPr>
            <w:tcW w:w="1877" w:type="dxa"/>
            <w:vAlign w:val="center"/>
          </w:tcPr>
          <w:p>
            <w:pPr>
              <w:adjustRightInd w:val="0"/>
              <w:snapToGrid w:val="0"/>
              <w:jc w:val="center"/>
              <w:rPr>
                <w:color w:val="auto"/>
                <w:sz w:val="24"/>
              </w:rPr>
            </w:pPr>
            <w:bookmarkStart w:id="2" w:name="_Hlk49843745"/>
            <w:r>
              <w:rPr>
                <w:color w:val="auto"/>
                <w:sz w:val="24"/>
              </w:rPr>
              <w:t>建设项目</w:t>
            </w:r>
          </w:p>
          <w:p>
            <w:pPr>
              <w:adjustRightInd w:val="0"/>
              <w:snapToGrid w:val="0"/>
              <w:jc w:val="center"/>
              <w:rPr>
                <w:color w:val="auto"/>
                <w:sz w:val="24"/>
              </w:rPr>
            </w:pPr>
            <w:r>
              <w:rPr>
                <w:color w:val="auto"/>
                <w:sz w:val="24"/>
              </w:rPr>
              <w:t>行业类别</w:t>
            </w:r>
            <w:bookmarkEnd w:id="2"/>
          </w:p>
        </w:tc>
        <w:tc>
          <w:tcPr>
            <w:tcW w:w="2832" w:type="dxa"/>
            <w:vAlign w:val="center"/>
          </w:tcPr>
          <w:p>
            <w:pPr>
              <w:adjustRightInd w:val="0"/>
              <w:snapToGrid w:val="0"/>
              <w:rPr>
                <w:color w:val="auto"/>
                <w:sz w:val="24"/>
              </w:rPr>
            </w:pPr>
            <w:r>
              <w:rPr>
                <w:rFonts w:hint="eastAsia"/>
                <w:color w:val="auto"/>
                <w:sz w:val="24"/>
              </w:rPr>
              <w:t>四十九、卫生84  108医院 841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896" w:type="dxa"/>
            <w:tcMar>
              <w:top w:w="16" w:type="dxa"/>
              <w:left w:w="16" w:type="dxa"/>
              <w:right w:w="16" w:type="dxa"/>
            </w:tcMar>
            <w:vAlign w:val="center"/>
          </w:tcPr>
          <w:p>
            <w:pPr>
              <w:adjustRightInd w:val="0"/>
              <w:snapToGrid w:val="0"/>
              <w:jc w:val="center"/>
              <w:rPr>
                <w:color w:val="auto"/>
                <w:sz w:val="24"/>
              </w:rPr>
            </w:pPr>
            <w:r>
              <w:rPr>
                <w:color w:val="auto"/>
                <w:sz w:val="24"/>
              </w:rPr>
              <w:t>建设性质</w:t>
            </w:r>
          </w:p>
        </w:tc>
        <w:tc>
          <w:tcPr>
            <w:tcW w:w="2265" w:type="dxa"/>
            <w:vAlign w:val="center"/>
          </w:tcPr>
          <w:p>
            <w:pPr>
              <w:jc w:val="left"/>
              <w:rPr>
                <w:rFonts w:asciiTheme="minorEastAsia" w:hAnsiTheme="minorEastAsia" w:eastAsiaTheme="minorEastAsia"/>
                <w:color w:val="auto"/>
                <w:sz w:val="24"/>
              </w:rPr>
            </w:pPr>
            <w:r>
              <w:rPr>
                <w:rFonts w:asciiTheme="minorEastAsia" w:hAnsiTheme="minorEastAsia" w:eastAsiaTheme="minorEastAsia"/>
                <w:color w:val="auto"/>
                <w:sz w:val="24"/>
              </w:rPr>
              <w:t>□新建</w:t>
            </w:r>
          </w:p>
          <w:p>
            <w:pPr>
              <w:jc w:val="left"/>
              <w:rPr>
                <w:rFonts w:asciiTheme="minorEastAsia" w:hAnsiTheme="minorEastAsia" w:eastAsiaTheme="minorEastAsia"/>
                <w:color w:val="auto"/>
                <w:sz w:val="24"/>
              </w:rPr>
            </w:pPr>
            <w:r>
              <w:rPr>
                <w:rFonts w:asciiTheme="minorEastAsia" w:hAnsiTheme="minorEastAsia" w:eastAsiaTheme="minorEastAsia"/>
                <w:color w:val="auto"/>
                <w:sz w:val="24"/>
              </w:rPr>
              <w:t>□改建</w:t>
            </w:r>
          </w:p>
          <w:p>
            <w:pPr>
              <w:jc w:val="left"/>
              <w:rPr>
                <w:rFonts w:asciiTheme="minorEastAsia" w:hAnsiTheme="minorEastAsia" w:eastAsiaTheme="minorEastAsia"/>
                <w:color w:val="auto"/>
                <w:sz w:val="24"/>
              </w:rPr>
            </w:pPr>
            <w:r>
              <w:rPr>
                <w:rFonts w:asciiTheme="minorEastAsia" w:hAnsiTheme="minorEastAsia" w:eastAsiaTheme="minorEastAsia"/>
                <w:color w:val="auto"/>
                <w:sz w:val="24"/>
              </w:rPr>
              <w:sym w:font="Wingdings 2" w:char="0052"/>
            </w:r>
            <w:r>
              <w:rPr>
                <w:rFonts w:asciiTheme="minorEastAsia" w:hAnsiTheme="minorEastAsia" w:eastAsiaTheme="minorEastAsia"/>
                <w:color w:val="auto"/>
                <w:sz w:val="24"/>
              </w:rPr>
              <w:t>扩建</w:t>
            </w:r>
          </w:p>
          <w:p>
            <w:pPr>
              <w:jc w:val="left"/>
              <w:rPr>
                <w:color w:val="auto"/>
                <w:sz w:val="24"/>
              </w:rPr>
            </w:pPr>
            <w:r>
              <w:rPr>
                <w:rFonts w:asciiTheme="minorEastAsia" w:hAnsiTheme="minorEastAsia" w:eastAsiaTheme="minorEastAsia"/>
                <w:color w:val="auto"/>
                <w:sz w:val="24"/>
              </w:rPr>
              <w:t>□技术改造</w:t>
            </w:r>
          </w:p>
        </w:tc>
        <w:tc>
          <w:tcPr>
            <w:tcW w:w="1877" w:type="dxa"/>
            <w:vAlign w:val="center"/>
          </w:tcPr>
          <w:p>
            <w:pPr>
              <w:adjustRightInd w:val="0"/>
              <w:snapToGrid w:val="0"/>
              <w:jc w:val="center"/>
              <w:rPr>
                <w:color w:val="auto"/>
                <w:sz w:val="24"/>
              </w:rPr>
            </w:pPr>
            <w:r>
              <w:rPr>
                <w:color w:val="auto"/>
                <w:sz w:val="24"/>
              </w:rPr>
              <w:t>建设项目</w:t>
            </w:r>
          </w:p>
          <w:p>
            <w:pPr>
              <w:adjustRightInd w:val="0"/>
              <w:snapToGrid w:val="0"/>
              <w:jc w:val="center"/>
              <w:rPr>
                <w:color w:val="auto"/>
                <w:sz w:val="24"/>
              </w:rPr>
            </w:pPr>
            <w:r>
              <w:rPr>
                <w:color w:val="auto"/>
                <w:sz w:val="24"/>
              </w:rPr>
              <w:t>申报情形</w:t>
            </w:r>
          </w:p>
        </w:tc>
        <w:tc>
          <w:tcPr>
            <w:tcW w:w="2832" w:type="dxa"/>
            <w:vAlign w:val="center"/>
          </w:tcPr>
          <w:p>
            <w:pPr>
              <w:jc w:val="left"/>
              <w:rPr>
                <w:color w:val="auto"/>
                <w:sz w:val="24"/>
              </w:rPr>
            </w:pPr>
            <w:r>
              <w:rPr>
                <w:color w:val="auto"/>
                <w:sz w:val="24"/>
              </w:rPr>
              <w:sym w:font="Wingdings 2" w:char="0052"/>
            </w:r>
            <w:r>
              <w:rPr>
                <w:color w:val="auto"/>
                <w:sz w:val="24"/>
              </w:rPr>
              <w:t xml:space="preserve">首次申报项目             </w:t>
            </w:r>
          </w:p>
          <w:p>
            <w:pPr>
              <w:jc w:val="left"/>
              <w:rPr>
                <w:color w:val="auto"/>
                <w:sz w:val="24"/>
              </w:rPr>
            </w:pPr>
            <w:r>
              <w:rPr>
                <w:color w:val="auto"/>
                <w:sz w:val="24"/>
              </w:rPr>
              <w:sym w:font="Wingdings 2" w:char="00A3"/>
            </w:r>
            <w:r>
              <w:rPr>
                <w:color w:val="auto"/>
                <w:sz w:val="24"/>
              </w:rPr>
              <w:t>不予批准后再次申报项目</w:t>
            </w:r>
          </w:p>
          <w:p>
            <w:pPr>
              <w:jc w:val="left"/>
              <w:rPr>
                <w:color w:val="auto"/>
                <w:sz w:val="24"/>
              </w:rPr>
            </w:pPr>
            <w:r>
              <w:rPr>
                <w:color w:val="auto"/>
                <w:sz w:val="24"/>
              </w:rPr>
              <w:sym w:font="Wingdings 2" w:char="00A3"/>
            </w:r>
            <w:r>
              <w:rPr>
                <w:color w:val="auto"/>
                <w:sz w:val="24"/>
              </w:rPr>
              <w:t xml:space="preserve">超五年重新审核项目     </w:t>
            </w:r>
          </w:p>
          <w:p>
            <w:pPr>
              <w:jc w:val="left"/>
              <w:rPr>
                <w:color w:val="auto"/>
                <w:sz w:val="24"/>
              </w:rPr>
            </w:pPr>
            <w:r>
              <w:rPr>
                <w:color w:val="auto"/>
                <w:sz w:val="24"/>
              </w:rPr>
              <w:sym w:font="Wingdings 2" w:char="00A3"/>
            </w:r>
            <w:r>
              <w:rPr>
                <w:color w:val="auto"/>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896" w:type="dxa"/>
            <w:tcMar>
              <w:top w:w="16" w:type="dxa"/>
              <w:left w:w="16" w:type="dxa"/>
              <w:right w:w="16" w:type="dxa"/>
            </w:tcMar>
            <w:vAlign w:val="center"/>
          </w:tcPr>
          <w:p>
            <w:pPr>
              <w:adjustRightInd w:val="0"/>
              <w:snapToGrid w:val="0"/>
              <w:jc w:val="center"/>
              <w:rPr>
                <w:color w:val="auto"/>
                <w:sz w:val="24"/>
              </w:rPr>
            </w:pPr>
            <w:r>
              <w:rPr>
                <w:color w:val="auto"/>
                <w:sz w:val="24"/>
              </w:rPr>
              <w:t>项目审批（核准/备案）部门（选填）</w:t>
            </w:r>
          </w:p>
        </w:tc>
        <w:tc>
          <w:tcPr>
            <w:tcW w:w="2265" w:type="dxa"/>
            <w:vAlign w:val="center"/>
          </w:tcPr>
          <w:p>
            <w:pPr>
              <w:adjustRightInd w:val="0"/>
              <w:snapToGrid w:val="0"/>
              <w:jc w:val="center"/>
              <w:rPr>
                <w:color w:val="auto"/>
                <w:sz w:val="24"/>
              </w:rPr>
            </w:pPr>
            <w:r>
              <w:rPr>
                <w:color w:val="auto"/>
                <w:sz w:val="24"/>
              </w:rPr>
              <w:t>西安市长安区发展和改革委员会</w:t>
            </w:r>
          </w:p>
        </w:tc>
        <w:tc>
          <w:tcPr>
            <w:tcW w:w="1877" w:type="dxa"/>
            <w:vAlign w:val="center"/>
          </w:tcPr>
          <w:p>
            <w:pPr>
              <w:adjustRightInd w:val="0"/>
              <w:snapToGrid w:val="0"/>
              <w:jc w:val="center"/>
              <w:rPr>
                <w:color w:val="auto"/>
                <w:sz w:val="24"/>
              </w:rPr>
            </w:pPr>
            <w:r>
              <w:rPr>
                <w:color w:val="auto"/>
                <w:sz w:val="24"/>
              </w:rPr>
              <w:t>项目审批（核准/</w:t>
            </w:r>
          </w:p>
          <w:p>
            <w:pPr>
              <w:adjustRightInd w:val="0"/>
              <w:snapToGrid w:val="0"/>
              <w:jc w:val="center"/>
              <w:rPr>
                <w:color w:val="auto"/>
                <w:sz w:val="24"/>
              </w:rPr>
            </w:pPr>
            <w:r>
              <w:rPr>
                <w:color w:val="auto"/>
                <w:sz w:val="24"/>
              </w:rPr>
              <w:t>备案）文号（选填）</w:t>
            </w:r>
          </w:p>
        </w:tc>
        <w:tc>
          <w:tcPr>
            <w:tcW w:w="2832" w:type="dxa"/>
            <w:vAlign w:val="center"/>
          </w:tcPr>
          <w:p>
            <w:pPr>
              <w:adjustRightInd w:val="0"/>
              <w:snapToGrid w:val="0"/>
              <w:jc w:val="center"/>
              <w:rPr>
                <w:color w:val="auto"/>
                <w:sz w:val="24"/>
              </w:rPr>
            </w:pPr>
            <w:r>
              <w:rPr>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6" w:type="dxa"/>
            <w:tcMar>
              <w:top w:w="16" w:type="dxa"/>
              <w:left w:w="16" w:type="dxa"/>
              <w:right w:w="16" w:type="dxa"/>
            </w:tcMar>
            <w:vAlign w:val="center"/>
          </w:tcPr>
          <w:p>
            <w:pPr>
              <w:adjustRightInd w:val="0"/>
              <w:snapToGrid w:val="0"/>
              <w:jc w:val="center"/>
              <w:rPr>
                <w:color w:val="auto"/>
                <w:sz w:val="24"/>
              </w:rPr>
            </w:pPr>
            <w:r>
              <w:rPr>
                <w:color w:val="auto"/>
                <w:sz w:val="24"/>
              </w:rPr>
              <w:t>总投资（万元）</w:t>
            </w:r>
          </w:p>
        </w:tc>
        <w:tc>
          <w:tcPr>
            <w:tcW w:w="2265" w:type="dxa"/>
            <w:vAlign w:val="center"/>
          </w:tcPr>
          <w:p>
            <w:pPr>
              <w:adjustRightInd w:val="0"/>
              <w:snapToGrid w:val="0"/>
              <w:jc w:val="center"/>
              <w:rPr>
                <w:color w:val="auto"/>
                <w:sz w:val="24"/>
              </w:rPr>
            </w:pPr>
            <w:r>
              <w:rPr>
                <w:color w:val="auto"/>
                <w:sz w:val="24"/>
              </w:rPr>
              <w:t>100</w:t>
            </w:r>
          </w:p>
        </w:tc>
        <w:tc>
          <w:tcPr>
            <w:tcW w:w="1877" w:type="dxa"/>
            <w:tcMar>
              <w:top w:w="16" w:type="dxa"/>
              <w:left w:w="16" w:type="dxa"/>
              <w:right w:w="16" w:type="dxa"/>
            </w:tcMar>
            <w:vAlign w:val="center"/>
          </w:tcPr>
          <w:p>
            <w:pPr>
              <w:adjustRightInd w:val="0"/>
              <w:snapToGrid w:val="0"/>
              <w:jc w:val="center"/>
              <w:rPr>
                <w:color w:val="auto"/>
                <w:sz w:val="24"/>
              </w:rPr>
            </w:pPr>
            <w:r>
              <w:rPr>
                <w:color w:val="auto"/>
                <w:sz w:val="24"/>
              </w:rPr>
              <w:t>环保投资（万元）</w:t>
            </w:r>
          </w:p>
        </w:tc>
        <w:tc>
          <w:tcPr>
            <w:tcW w:w="2832" w:type="dxa"/>
            <w:vAlign w:val="center"/>
          </w:tcPr>
          <w:p>
            <w:pPr>
              <w:adjustRightInd w:val="0"/>
              <w:snapToGrid w:val="0"/>
              <w:jc w:val="center"/>
              <w:rPr>
                <w:color w:val="auto"/>
                <w:sz w:val="24"/>
              </w:rPr>
            </w:pPr>
            <w:r>
              <w:rPr>
                <w:rFonts w:hint="eastAsia"/>
                <w:color w:val="auto"/>
                <w:sz w:val="24"/>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6" w:type="dxa"/>
            <w:tcMar>
              <w:top w:w="16" w:type="dxa"/>
              <w:left w:w="16" w:type="dxa"/>
              <w:right w:w="16" w:type="dxa"/>
            </w:tcMar>
            <w:vAlign w:val="center"/>
          </w:tcPr>
          <w:p>
            <w:pPr>
              <w:adjustRightInd w:val="0"/>
              <w:snapToGrid w:val="0"/>
              <w:jc w:val="center"/>
              <w:rPr>
                <w:color w:val="auto"/>
                <w:sz w:val="24"/>
              </w:rPr>
            </w:pPr>
            <w:r>
              <w:rPr>
                <w:color w:val="auto"/>
                <w:sz w:val="24"/>
              </w:rPr>
              <w:t>环保投资占比（%）</w:t>
            </w:r>
          </w:p>
        </w:tc>
        <w:tc>
          <w:tcPr>
            <w:tcW w:w="2265" w:type="dxa"/>
            <w:vAlign w:val="center"/>
          </w:tcPr>
          <w:p>
            <w:pPr>
              <w:adjustRightInd w:val="0"/>
              <w:snapToGrid w:val="0"/>
              <w:jc w:val="center"/>
              <w:rPr>
                <w:color w:val="auto"/>
                <w:sz w:val="24"/>
              </w:rPr>
            </w:pPr>
            <w:r>
              <w:rPr>
                <w:rFonts w:hint="eastAsia"/>
                <w:color w:val="auto"/>
                <w:sz w:val="24"/>
              </w:rPr>
              <w:t>8</w:t>
            </w:r>
            <w:r>
              <w:rPr>
                <w:color w:val="auto"/>
                <w:sz w:val="24"/>
              </w:rPr>
              <w:t>%</w:t>
            </w:r>
          </w:p>
        </w:tc>
        <w:tc>
          <w:tcPr>
            <w:tcW w:w="1877" w:type="dxa"/>
            <w:tcMar>
              <w:top w:w="16" w:type="dxa"/>
              <w:left w:w="16" w:type="dxa"/>
              <w:right w:w="16" w:type="dxa"/>
            </w:tcMar>
            <w:vAlign w:val="center"/>
          </w:tcPr>
          <w:p>
            <w:pPr>
              <w:adjustRightInd w:val="0"/>
              <w:snapToGrid w:val="0"/>
              <w:jc w:val="center"/>
              <w:rPr>
                <w:color w:val="auto"/>
                <w:sz w:val="24"/>
              </w:rPr>
            </w:pPr>
            <w:r>
              <w:rPr>
                <w:color w:val="auto"/>
                <w:sz w:val="24"/>
              </w:rPr>
              <w:t>施工工期</w:t>
            </w:r>
          </w:p>
        </w:tc>
        <w:tc>
          <w:tcPr>
            <w:tcW w:w="2832" w:type="dxa"/>
            <w:vAlign w:val="center"/>
          </w:tcPr>
          <w:p>
            <w:pPr>
              <w:adjustRightInd w:val="0"/>
              <w:snapToGrid w:val="0"/>
              <w:jc w:val="center"/>
              <w:rPr>
                <w:color w:val="auto"/>
                <w:sz w:val="24"/>
              </w:rPr>
            </w:pPr>
            <w:r>
              <w:rPr>
                <w:rFonts w:hint="eastAsia"/>
                <w:color w:val="auto"/>
                <w:sz w:val="24"/>
              </w:rPr>
              <w:t>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6" w:type="dxa"/>
            <w:tcMar>
              <w:top w:w="16" w:type="dxa"/>
              <w:left w:w="16" w:type="dxa"/>
              <w:right w:w="16" w:type="dxa"/>
            </w:tcMar>
            <w:vAlign w:val="center"/>
          </w:tcPr>
          <w:p>
            <w:pPr>
              <w:adjustRightInd w:val="0"/>
              <w:snapToGrid w:val="0"/>
              <w:jc w:val="center"/>
              <w:rPr>
                <w:color w:val="auto"/>
                <w:sz w:val="24"/>
              </w:rPr>
            </w:pPr>
            <w:r>
              <w:rPr>
                <w:color w:val="auto"/>
                <w:sz w:val="24"/>
              </w:rPr>
              <w:t>是否开工建设</w:t>
            </w:r>
          </w:p>
        </w:tc>
        <w:tc>
          <w:tcPr>
            <w:tcW w:w="2265" w:type="dxa"/>
            <w:vAlign w:val="center"/>
          </w:tcPr>
          <w:p>
            <w:pPr>
              <w:adjustRightInd w:val="0"/>
              <w:snapToGrid w:val="0"/>
              <w:rPr>
                <w:color w:val="auto"/>
                <w:sz w:val="24"/>
              </w:rPr>
            </w:pPr>
            <w:r>
              <w:rPr>
                <w:rFonts w:ascii="宋体" w:hAnsi="宋体"/>
                <w:color w:val="auto"/>
                <w:sz w:val="24"/>
              </w:rPr>
              <w:sym w:font="Wingdings 2" w:char="0052"/>
            </w:r>
            <w:r>
              <w:rPr>
                <w:color w:val="auto"/>
                <w:sz w:val="24"/>
              </w:rPr>
              <w:t>否</w:t>
            </w:r>
          </w:p>
          <w:p>
            <w:pPr>
              <w:adjustRightInd w:val="0"/>
              <w:snapToGrid w:val="0"/>
              <w:rPr>
                <w:color w:val="auto"/>
                <w:sz w:val="24"/>
              </w:rPr>
            </w:pPr>
            <w:r>
              <w:rPr>
                <w:color w:val="auto"/>
                <w:sz w:val="24"/>
              </w:rPr>
              <w:sym w:font="Wingdings 2" w:char="00A3"/>
            </w:r>
            <w:r>
              <w:rPr>
                <w:color w:val="auto"/>
                <w:sz w:val="24"/>
              </w:rPr>
              <w:t>是：</w:t>
            </w:r>
          </w:p>
        </w:tc>
        <w:tc>
          <w:tcPr>
            <w:tcW w:w="1877" w:type="dxa"/>
            <w:tcMar>
              <w:top w:w="16" w:type="dxa"/>
              <w:left w:w="16" w:type="dxa"/>
              <w:right w:w="16" w:type="dxa"/>
            </w:tcMar>
            <w:vAlign w:val="center"/>
          </w:tcPr>
          <w:p>
            <w:pPr>
              <w:adjustRightInd w:val="0"/>
              <w:snapToGrid w:val="0"/>
              <w:jc w:val="center"/>
              <w:rPr>
                <w:color w:val="auto"/>
                <w:spacing w:val="-6"/>
                <w:sz w:val="24"/>
              </w:rPr>
            </w:pPr>
            <w:r>
              <w:rPr>
                <w:color w:val="auto"/>
                <w:spacing w:val="-6"/>
                <w:sz w:val="24"/>
              </w:rPr>
              <w:t>用地（用海）</w:t>
            </w:r>
          </w:p>
          <w:p>
            <w:pPr>
              <w:adjustRightInd w:val="0"/>
              <w:snapToGrid w:val="0"/>
              <w:jc w:val="center"/>
              <w:rPr>
                <w:color w:val="auto"/>
                <w:sz w:val="24"/>
              </w:rPr>
            </w:pPr>
            <w:r>
              <w:rPr>
                <w:color w:val="auto"/>
                <w:spacing w:val="-6"/>
                <w:sz w:val="24"/>
              </w:rPr>
              <w:t>面积（m</w:t>
            </w:r>
            <w:r>
              <w:rPr>
                <w:color w:val="auto"/>
                <w:spacing w:val="-6"/>
                <w:sz w:val="24"/>
                <w:vertAlign w:val="superscript"/>
              </w:rPr>
              <w:t>2</w:t>
            </w:r>
            <w:r>
              <w:rPr>
                <w:color w:val="auto"/>
                <w:spacing w:val="-6"/>
                <w:sz w:val="24"/>
              </w:rPr>
              <w:t>）</w:t>
            </w:r>
          </w:p>
        </w:tc>
        <w:tc>
          <w:tcPr>
            <w:tcW w:w="2832" w:type="dxa"/>
            <w:vAlign w:val="center"/>
          </w:tcPr>
          <w:p>
            <w:pPr>
              <w:adjustRightInd w:val="0"/>
              <w:snapToGrid w:val="0"/>
              <w:jc w:val="center"/>
              <w:rPr>
                <w:color w:val="auto"/>
                <w:sz w:val="24"/>
              </w:rPr>
            </w:pPr>
            <w:r>
              <w:rPr>
                <w:rFonts w:hint="eastAsia"/>
                <w:color w:val="auto"/>
                <w:sz w:val="24"/>
              </w:rPr>
              <w:t>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96" w:type="dxa"/>
            <w:vAlign w:val="center"/>
          </w:tcPr>
          <w:p>
            <w:pPr>
              <w:autoSpaceDE w:val="0"/>
              <w:autoSpaceDN w:val="0"/>
              <w:adjustRightInd w:val="0"/>
              <w:snapToGrid w:val="0"/>
              <w:jc w:val="center"/>
              <w:rPr>
                <w:color w:val="auto"/>
                <w:kern w:val="0"/>
                <w:sz w:val="24"/>
              </w:rPr>
            </w:pPr>
            <w:r>
              <w:rPr>
                <w:color w:val="auto"/>
                <w:kern w:val="0"/>
                <w:sz w:val="24"/>
              </w:rPr>
              <w:t>专项评价</w:t>
            </w:r>
          </w:p>
          <w:p>
            <w:pPr>
              <w:autoSpaceDE w:val="0"/>
              <w:autoSpaceDN w:val="0"/>
              <w:adjustRightInd w:val="0"/>
              <w:snapToGrid w:val="0"/>
              <w:jc w:val="center"/>
              <w:rPr>
                <w:color w:val="auto"/>
                <w:kern w:val="0"/>
                <w:sz w:val="24"/>
              </w:rPr>
            </w:pPr>
            <w:r>
              <w:rPr>
                <w:color w:val="auto"/>
                <w:kern w:val="0"/>
                <w:sz w:val="24"/>
              </w:rPr>
              <w:t>设置情况</w:t>
            </w:r>
          </w:p>
        </w:tc>
        <w:tc>
          <w:tcPr>
            <w:tcW w:w="6974" w:type="dxa"/>
            <w:gridSpan w:val="3"/>
            <w:vAlign w:val="center"/>
          </w:tcPr>
          <w:p>
            <w:pPr>
              <w:autoSpaceDE w:val="0"/>
              <w:autoSpaceDN w:val="0"/>
              <w:adjustRightInd w:val="0"/>
              <w:snapToGrid w:val="0"/>
              <w:spacing w:line="360" w:lineRule="auto"/>
              <w:jc w:val="center"/>
              <w:rPr>
                <w:color w:val="auto"/>
                <w:kern w:val="0"/>
                <w:sz w:val="24"/>
              </w:rPr>
            </w:pPr>
            <w:r>
              <w:rPr>
                <w:rFonts w:hint="eastAsia"/>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896" w:type="dxa"/>
            <w:vAlign w:val="center"/>
          </w:tcPr>
          <w:p>
            <w:pPr>
              <w:autoSpaceDE w:val="0"/>
              <w:autoSpaceDN w:val="0"/>
              <w:adjustRightInd w:val="0"/>
              <w:snapToGrid w:val="0"/>
              <w:jc w:val="center"/>
              <w:rPr>
                <w:color w:val="auto"/>
                <w:kern w:val="0"/>
                <w:sz w:val="24"/>
              </w:rPr>
            </w:pPr>
            <w:r>
              <w:rPr>
                <w:color w:val="auto"/>
                <w:sz w:val="24"/>
              </w:rPr>
              <w:t>规划情况</w:t>
            </w:r>
          </w:p>
        </w:tc>
        <w:tc>
          <w:tcPr>
            <w:tcW w:w="6974" w:type="dxa"/>
            <w:gridSpan w:val="3"/>
            <w:vAlign w:val="center"/>
          </w:tcPr>
          <w:p>
            <w:pPr>
              <w:autoSpaceDE w:val="0"/>
              <w:autoSpaceDN w:val="0"/>
              <w:adjustRightInd w:val="0"/>
              <w:snapToGrid w:val="0"/>
              <w:spacing w:line="360" w:lineRule="auto"/>
              <w:jc w:val="center"/>
              <w:rPr>
                <w:color w:val="auto"/>
                <w:kern w:val="0"/>
                <w:sz w:val="24"/>
              </w:rPr>
            </w:pPr>
            <w:r>
              <w:rPr>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896" w:type="dxa"/>
            <w:vAlign w:val="center"/>
          </w:tcPr>
          <w:p>
            <w:pPr>
              <w:adjustRightInd w:val="0"/>
              <w:snapToGrid w:val="0"/>
              <w:jc w:val="center"/>
              <w:rPr>
                <w:color w:val="auto"/>
                <w:sz w:val="24"/>
              </w:rPr>
            </w:pPr>
            <w:r>
              <w:rPr>
                <w:color w:val="auto"/>
                <w:sz w:val="24"/>
              </w:rPr>
              <w:t>规划环境影响</w:t>
            </w:r>
          </w:p>
          <w:p>
            <w:pPr>
              <w:adjustRightInd w:val="0"/>
              <w:snapToGrid w:val="0"/>
              <w:jc w:val="center"/>
              <w:rPr>
                <w:color w:val="auto"/>
                <w:kern w:val="0"/>
                <w:sz w:val="24"/>
              </w:rPr>
            </w:pPr>
            <w:r>
              <w:rPr>
                <w:color w:val="auto"/>
                <w:sz w:val="24"/>
              </w:rPr>
              <w:t>评价情况</w:t>
            </w:r>
          </w:p>
        </w:tc>
        <w:tc>
          <w:tcPr>
            <w:tcW w:w="6974" w:type="dxa"/>
            <w:gridSpan w:val="3"/>
            <w:vAlign w:val="center"/>
          </w:tcPr>
          <w:p>
            <w:pPr>
              <w:autoSpaceDE w:val="0"/>
              <w:autoSpaceDN w:val="0"/>
              <w:adjustRightInd w:val="0"/>
              <w:snapToGrid w:val="0"/>
              <w:spacing w:line="360" w:lineRule="auto"/>
              <w:jc w:val="center"/>
              <w:rPr>
                <w:color w:val="auto"/>
                <w:kern w:val="0"/>
                <w:sz w:val="24"/>
              </w:rPr>
            </w:pPr>
            <w:r>
              <w:rPr>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896" w:type="dxa"/>
            <w:vAlign w:val="center"/>
          </w:tcPr>
          <w:p>
            <w:pPr>
              <w:autoSpaceDE w:val="0"/>
              <w:autoSpaceDN w:val="0"/>
              <w:adjustRightInd w:val="0"/>
              <w:snapToGrid w:val="0"/>
              <w:jc w:val="center"/>
              <w:rPr>
                <w:color w:val="auto"/>
                <w:kern w:val="0"/>
                <w:sz w:val="24"/>
              </w:rPr>
            </w:pPr>
            <w:r>
              <w:rPr>
                <w:color w:val="auto"/>
                <w:kern w:val="0"/>
                <w:sz w:val="24"/>
              </w:rPr>
              <w:t>规划及规划环境影响评价符合性分析</w:t>
            </w:r>
          </w:p>
        </w:tc>
        <w:tc>
          <w:tcPr>
            <w:tcW w:w="6974" w:type="dxa"/>
            <w:gridSpan w:val="3"/>
            <w:vAlign w:val="center"/>
          </w:tcPr>
          <w:p>
            <w:pPr>
              <w:autoSpaceDE w:val="0"/>
              <w:autoSpaceDN w:val="0"/>
              <w:adjustRightInd w:val="0"/>
              <w:snapToGrid w:val="0"/>
              <w:spacing w:line="360" w:lineRule="auto"/>
              <w:jc w:val="center"/>
              <w:rPr>
                <w:color w:val="auto"/>
                <w:kern w:val="0"/>
                <w:sz w:val="24"/>
              </w:rPr>
            </w:pPr>
            <w:r>
              <w:rPr>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6" w:type="dxa"/>
            <w:vAlign w:val="center"/>
          </w:tcPr>
          <w:p>
            <w:pPr>
              <w:autoSpaceDE w:val="0"/>
              <w:autoSpaceDN w:val="0"/>
              <w:adjustRightInd w:val="0"/>
              <w:snapToGrid w:val="0"/>
              <w:jc w:val="center"/>
              <w:rPr>
                <w:color w:val="auto"/>
                <w:kern w:val="0"/>
                <w:sz w:val="24"/>
              </w:rPr>
            </w:pPr>
            <w:r>
              <w:rPr>
                <w:color w:val="auto"/>
                <w:kern w:val="0"/>
                <w:sz w:val="24"/>
              </w:rPr>
              <w:t>其他符合性分析</w:t>
            </w:r>
          </w:p>
        </w:tc>
        <w:tc>
          <w:tcPr>
            <w:tcW w:w="6974" w:type="dxa"/>
            <w:gridSpan w:val="3"/>
            <w:vAlign w:val="center"/>
          </w:tcPr>
          <w:p>
            <w:pPr>
              <w:adjustRightInd w:val="0"/>
              <w:snapToGrid w:val="0"/>
              <w:spacing w:before="120" w:beforeLines="50" w:line="360" w:lineRule="auto"/>
              <w:ind w:firstLine="480" w:firstLineChars="200"/>
              <w:rPr>
                <w:color w:val="auto"/>
                <w:sz w:val="24"/>
              </w:rPr>
            </w:pPr>
            <w:r>
              <w:rPr>
                <w:color w:val="auto"/>
                <w:sz w:val="24"/>
              </w:rPr>
              <w:t>一、产业政策符合性分析</w:t>
            </w:r>
          </w:p>
          <w:p>
            <w:pPr>
              <w:autoSpaceDE w:val="0"/>
              <w:autoSpaceDN w:val="0"/>
              <w:adjustRightInd w:val="0"/>
              <w:snapToGrid w:val="0"/>
              <w:spacing w:line="360" w:lineRule="auto"/>
              <w:ind w:firstLine="480" w:firstLineChars="200"/>
              <w:rPr>
                <w:color w:val="auto"/>
                <w:sz w:val="24"/>
                <w:lang w:val="zh-CN"/>
              </w:rPr>
            </w:pPr>
            <w:r>
              <w:rPr>
                <w:color w:val="auto"/>
                <w:sz w:val="24"/>
              </w:rPr>
              <w:t>根据中华人民共和国国家发展和改革委员会发布的《产业结构调整指导目录》（2024年本），本项目属于其</w:t>
            </w:r>
            <w:r>
              <w:rPr>
                <w:rFonts w:hint="eastAsia" w:ascii="宋体" w:hAnsi="宋体" w:cs="宋体"/>
                <w:color w:val="auto"/>
                <w:sz w:val="24"/>
              </w:rPr>
              <w:t>中鼓励类的“三十七、科技服务业 1.医疗卫生服务设施建设”；符合《西部地区鼓励类产业目录（2020年本）》中“（六）陕西省 14、医疗机构经营”。</w:t>
            </w:r>
          </w:p>
          <w:p>
            <w:pPr>
              <w:pStyle w:val="12"/>
              <w:rPr>
                <w:color w:val="auto"/>
              </w:rPr>
            </w:pPr>
            <w:r>
              <w:rPr>
                <w:color w:val="auto"/>
              </w:rPr>
              <w:t>根据《市场准入负面清单》（2022年版）相关要求，本项目不属于禁止准入类；对照关于印发《陕西省限制投资类产业指导目录》的通知（陕发改产业[2007]97号），本项目不在其</w:t>
            </w:r>
            <w:r>
              <w:rPr>
                <w:rFonts w:hint="eastAsia"/>
                <w:color w:val="auto"/>
              </w:rPr>
              <w:t>中</w:t>
            </w:r>
            <w:r>
              <w:rPr>
                <w:color w:val="auto"/>
              </w:rPr>
              <w:t>。同时，本项目已取得</w:t>
            </w:r>
            <w:r>
              <w:rPr>
                <w:rFonts w:hint="eastAsia"/>
                <w:color w:val="auto"/>
              </w:rPr>
              <w:t>西安市长安区发展和改革委员会</w:t>
            </w:r>
            <w:r>
              <w:rPr>
                <w:color w:val="auto"/>
              </w:rPr>
              <w:t>关于本项目的备案确认书（见附件2），项目代码：2405-610116-04-05-358717。</w:t>
            </w:r>
          </w:p>
          <w:p>
            <w:pPr>
              <w:pStyle w:val="12"/>
              <w:rPr>
                <w:color w:val="auto"/>
              </w:rPr>
            </w:pPr>
            <w:r>
              <w:rPr>
                <w:color w:val="auto"/>
              </w:rPr>
              <w:t>二、“三线一单”符合性分析</w:t>
            </w:r>
          </w:p>
          <w:p>
            <w:pPr>
              <w:pStyle w:val="12"/>
              <w:rPr>
                <w:color w:val="auto"/>
              </w:rPr>
            </w:pPr>
            <w:r>
              <w:rPr>
                <w:rFonts w:hint="eastAsia"/>
                <w:color w:val="auto"/>
              </w:rPr>
              <w:t>1</w:t>
            </w:r>
            <w:r>
              <w:rPr>
                <w:color w:val="auto"/>
              </w:rPr>
              <w:t>、与《西安市人民政府关于印发“三线一单”生态环境分区管控方案的通知》（市政发〔2021〕22号）的符合性分析</w:t>
            </w:r>
          </w:p>
          <w:p>
            <w:pPr>
              <w:pStyle w:val="12"/>
              <w:rPr>
                <w:color w:val="auto"/>
              </w:rPr>
            </w:pPr>
            <w:r>
              <w:rPr>
                <w:color w:val="auto"/>
              </w:rPr>
              <w:t>根据《陕西省“三线一单”生态环境分区管控应用技术指南：环境影响评价（试行）》（陕环办发[2022]76号），建设项目环评文件与“三线一单”生态环境分区管控符合性分析采取“一图一表一说明”的表达方式，对照分析结果，论证建设的符合性。</w:t>
            </w:r>
          </w:p>
          <w:p>
            <w:pPr>
              <w:pStyle w:val="12"/>
              <w:rPr>
                <w:color w:val="auto"/>
              </w:rPr>
            </w:pPr>
            <w:r>
              <w:rPr>
                <w:color w:val="auto"/>
              </w:rPr>
              <w:t>（1）一图：根据本项目西安市“三线一单”生态环境管控单元对照分析报告，详见附图</w:t>
            </w:r>
            <w:r>
              <w:rPr>
                <w:rFonts w:hint="eastAsia"/>
                <w:color w:val="auto"/>
              </w:rPr>
              <w:t>6</w:t>
            </w:r>
            <w:r>
              <w:rPr>
                <w:color w:val="auto"/>
              </w:rPr>
              <w:t>。本项目所在区域为重点管控单元，不涉及生态保护红线。</w:t>
            </w:r>
          </w:p>
          <w:p>
            <w:pPr>
              <w:pStyle w:val="12"/>
              <w:rPr>
                <w:color w:val="auto"/>
              </w:rPr>
            </w:pPr>
            <w:r>
              <w:rPr>
                <w:color w:val="auto"/>
              </w:rPr>
              <w:t>（2）一表：根据陕西省“三线一单”数据应用系统导出的西安市“三线一单”生态环境管控单元对照分析报告，本项目建设范围涉及的生态环境管控单元准入清单具体见表1-1。</w:t>
            </w:r>
          </w:p>
          <w:p>
            <w:pPr>
              <w:autoSpaceDE w:val="0"/>
              <w:autoSpaceDN w:val="0"/>
              <w:adjustRightInd w:val="0"/>
              <w:snapToGrid w:val="0"/>
              <w:spacing w:line="360" w:lineRule="auto"/>
              <w:ind w:firstLine="480" w:firstLineChars="200"/>
              <w:jc w:val="left"/>
              <w:rPr>
                <w:color w:val="auto"/>
                <w:sz w:val="24"/>
              </w:rPr>
            </w:pPr>
            <w:r>
              <w:rPr>
                <w:color w:val="auto"/>
                <w:sz w:val="24"/>
              </w:rPr>
              <w:t>（3）一说明：对</w:t>
            </w:r>
            <w:r>
              <w:rPr>
                <w:rFonts w:asciiTheme="minorEastAsia" w:hAnsiTheme="minorEastAsia" w:eastAsiaTheme="minorEastAsia"/>
                <w:color w:val="auto"/>
                <w:sz w:val="24"/>
              </w:rPr>
              <w:t>照“西安市生态环境分区管控准入清单”中</w:t>
            </w:r>
            <w:r>
              <w:rPr>
                <w:color w:val="auto"/>
                <w:sz w:val="24"/>
              </w:rPr>
              <w:t>的重点管控单元要求，本项目满足各单元在空间布局约束、污染物排放管控等管控要求，因此，本项目的建设符合西安市</w:t>
            </w:r>
            <w:r>
              <w:rPr>
                <w:rFonts w:asciiTheme="minorEastAsia" w:hAnsiTheme="minorEastAsia" w:eastAsiaTheme="minorEastAsia"/>
                <w:color w:val="auto"/>
                <w:sz w:val="24"/>
              </w:rPr>
              <w:t>“三线一单”生态</w:t>
            </w:r>
            <w:r>
              <w:rPr>
                <w:color w:val="auto"/>
                <w:sz w:val="24"/>
              </w:rPr>
              <w:t>环境分区管控要求。</w:t>
            </w:r>
          </w:p>
          <w:p>
            <w:pPr>
              <w:pStyle w:val="15"/>
              <w:spacing w:before="24" w:after="24" w:afterLines="10"/>
              <w:ind w:firstLine="482"/>
              <w:rPr>
                <w:color w:val="auto"/>
              </w:rPr>
            </w:pPr>
            <w:r>
              <w:rPr>
                <w:color w:val="auto"/>
              </w:rPr>
              <w:t>表1-</w:t>
            </w:r>
            <w:r>
              <w:rPr>
                <w:rFonts w:hint="eastAsia"/>
                <w:color w:val="auto"/>
              </w:rPr>
              <w:t>1</w:t>
            </w:r>
            <w:r>
              <w:rPr>
                <w:color w:val="auto"/>
              </w:rPr>
              <w:t xml:space="preserve">  本项目建设范围涉及的生态环境管控单元准入清单</w:t>
            </w:r>
          </w:p>
          <w:tbl>
            <w:tblPr>
              <w:tblStyle w:val="6"/>
              <w:tblW w:w="6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
              <w:gridCol w:w="237"/>
              <w:gridCol w:w="283"/>
              <w:gridCol w:w="283"/>
              <w:gridCol w:w="567"/>
              <w:gridCol w:w="283"/>
              <w:gridCol w:w="2696"/>
              <w:gridCol w:w="426"/>
              <w:gridCol w:w="1478"/>
              <w:gridCol w:w="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3" w:type="pct"/>
                  <w:vAlign w:val="center"/>
                </w:tcPr>
                <w:p>
                  <w:pPr>
                    <w:spacing w:line="240" w:lineRule="exact"/>
                    <w:ind w:left="-105" w:leftChars="-50" w:right="-105" w:rightChars="-50"/>
                    <w:jc w:val="center"/>
                    <w:rPr>
                      <w:color w:val="auto"/>
                      <w:sz w:val="18"/>
                      <w:szCs w:val="18"/>
                    </w:rPr>
                  </w:pPr>
                  <w:r>
                    <w:rPr>
                      <w:color w:val="auto"/>
                      <w:sz w:val="18"/>
                      <w:szCs w:val="18"/>
                    </w:rPr>
                    <w:t>序号</w:t>
                  </w:r>
                </w:p>
              </w:tc>
              <w:tc>
                <w:tcPr>
                  <w:tcW w:w="173" w:type="pct"/>
                  <w:vAlign w:val="center"/>
                </w:tcPr>
                <w:p>
                  <w:pPr>
                    <w:spacing w:line="240" w:lineRule="exact"/>
                    <w:ind w:left="-105" w:leftChars="-50" w:right="-105" w:rightChars="-50"/>
                    <w:jc w:val="center"/>
                    <w:rPr>
                      <w:color w:val="auto"/>
                      <w:sz w:val="18"/>
                      <w:szCs w:val="18"/>
                    </w:rPr>
                  </w:pPr>
                  <w:r>
                    <w:rPr>
                      <w:color w:val="auto"/>
                      <w:sz w:val="18"/>
                      <w:szCs w:val="18"/>
                    </w:rPr>
                    <w:t>环境管控单元名称</w:t>
                  </w:r>
                </w:p>
              </w:tc>
              <w:tc>
                <w:tcPr>
                  <w:tcW w:w="206" w:type="pct"/>
                  <w:vAlign w:val="center"/>
                </w:tcPr>
                <w:p>
                  <w:pPr>
                    <w:spacing w:line="240" w:lineRule="exact"/>
                    <w:ind w:left="-105" w:leftChars="-50" w:right="-105" w:rightChars="-50"/>
                    <w:jc w:val="center"/>
                    <w:rPr>
                      <w:color w:val="auto"/>
                      <w:sz w:val="18"/>
                      <w:szCs w:val="18"/>
                    </w:rPr>
                  </w:pPr>
                  <w:r>
                    <w:rPr>
                      <w:color w:val="auto"/>
                      <w:sz w:val="18"/>
                      <w:szCs w:val="18"/>
                    </w:rPr>
                    <w:t>市</w:t>
                  </w:r>
                </w:p>
              </w:tc>
              <w:tc>
                <w:tcPr>
                  <w:tcW w:w="206" w:type="pct"/>
                  <w:vAlign w:val="center"/>
                </w:tcPr>
                <w:p>
                  <w:pPr>
                    <w:spacing w:line="240" w:lineRule="exact"/>
                    <w:ind w:left="-105" w:leftChars="-50" w:right="-105" w:rightChars="-50"/>
                    <w:jc w:val="center"/>
                    <w:rPr>
                      <w:color w:val="auto"/>
                      <w:sz w:val="18"/>
                      <w:szCs w:val="18"/>
                    </w:rPr>
                  </w:pPr>
                  <w:r>
                    <w:rPr>
                      <w:color w:val="auto"/>
                      <w:sz w:val="18"/>
                      <w:szCs w:val="18"/>
                    </w:rPr>
                    <w:t>区县</w:t>
                  </w:r>
                </w:p>
              </w:tc>
              <w:tc>
                <w:tcPr>
                  <w:tcW w:w="413" w:type="pct"/>
                  <w:vAlign w:val="center"/>
                </w:tcPr>
                <w:p>
                  <w:pPr>
                    <w:spacing w:line="240" w:lineRule="exact"/>
                    <w:ind w:left="-105" w:leftChars="-50" w:right="-105" w:rightChars="-50"/>
                    <w:jc w:val="center"/>
                    <w:rPr>
                      <w:color w:val="auto"/>
                      <w:sz w:val="18"/>
                      <w:szCs w:val="18"/>
                    </w:rPr>
                  </w:pPr>
                  <w:r>
                    <w:rPr>
                      <w:color w:val="auto"/>
                      <w:sz w:val="18"/>
                      <w:szCs w:val="18"/>
                    </w:rPr>
                    <w:t>单元要素属性</w:t>
                  </w:r>
                </w:p>
              </w:tc>
              <w:tc>
                <w:tcPr>
                  <w:tcW w:w="206" w:type="pct"/>
                  <w:vAlign w:val="center"/>
                </w:tcPr>
                <w:p>
                  <w:pPr>
                    <w:spacing w:line="240" w:lineRule="exact"/>
                    <w:ind w:left="-105" w:leftChars="-50" w:right="-105" w:rightChars="-50"/>
                    <w:jc w:val="center"/>
                    <w:rPr>
                      <w:color w:val="auto"/>
                      <w:sz w:val="18"/>
                      <w:szCs w:val="18"/>
                    </w:rPr>
                  </w:pPr>
                  <w:r>
                    <w:rPr>
                      <w:color w:val="auto"/>
                      <w:sz w:val="18"/>
                      <w:szCs w:val="18"/>
                    </w:rPr>
                    <w:t>管控单元分类</w:t>
                  </w:r>
                </w:p>
              </w:tc>
              <w:tc>
                <w:tcPr>
                  <w:tcW w:w="1964" w:type="pct"/>
                  <w:vAlign w:val="center"/>
                </w:tcPr>
                <w:p>
                  <w:pPr>
                    <w:spacing w:line="240" w:lineRule="exact"/>
                    <w:ind w:left="-105" w:leftChars="-50" w:right="-105" w:rightChars="-50"/>
                    <w:jc w:val="center"/>
                    <w:rPr>
                      <w:color w:val="auto"/>
                      <w:sz w:val="18"/>
                      <w:szCs w:val="18"/>
                    </w:rPr>
                  </w:pPr>
                  <w:r>
                    <w:rPr>
                      <w:color w:val="auto"/>
                      <w:sz w:val="18"/>
                      <w:szCs w:val="18"/>
                    </w:rPr>
                    <w:t>管控要求</w:t>
                  </w:r>
                </w:p>
              </w:tc>
              <w:tc>
                <w:tcPr>
                  <w:tcW w:w="310" w:type="pct"/>
                  <w:vAlign w:val="center"/>
                </w:tcPr>
                <w:p>
                  <w:pPr>
                    <w:spacing w:line="240" w:lineRule="exact"/>
                    <w:ind w:left="-105" w:leftChars="-50" w:right="-105" w:rightChars="-50"/>
                    <w:jc w:val="center"/>
                    <w:rPr>
                      <w:color w:val="auto"/>
                      <w:sz w:val="18"/>
                      <w:szCs w:val="18"/>
                    </w:rPr>
                  </w:pPr>
                  <w:r>
                    <w:rPr>
                      <w:color w:val="auto"/>
                      <w:sz w:val="18"/>
                      <w:szCs w:val="18"/>
                    </w:rPr>
                    <w:t>面积(平方米)</w:t>
                  </w:r>
                </w:p>
              </w:tc>
              <w:tc>
                <w:tcPr>
                  <w:tcW w:w="1077" w:type="pct"/>
                  <w:vAlign w:val="center"/>
                </w:tcPr>
                <w:p>
                  <w:pPr>
                    <w:spacing w:line="240" w:lineRule="exact"/>
                    <w:ind w:left="-105" w:leftChars="-50" w:right="-105" w:rightChars="-50"/>
                    <w:jc w:val="center"/>
                    <w:rPr>
                      <w:color w:val="auto"/>
                      <w:sz w:val="18"/>
                      <w:szCs w:val="18"/>
                    </w:rPr>
                  </w:pPr>
                  <w:r>
                    <w:rPr>
                      <w:color w:val="auto"/>
                      <w:sz w:val="18"/>
                      <w:szCs w:val="18"/>
                    </w:rPr>
                    <w:t>项目情况</w:t>
                  </w:r>
                </w:p>
              </w:tc>
              <w:tc>
                <w:tcPr>
                  <w:tcW w:w="271" w:type="pct"/>
                  <w:vAlign w:val="center"/>
                </w:tcPr>
                <w:p>
                  <w:pPr>
                    <w:spacing w:line="240" w:lineRule="exact"/>
                    <w:ind w:left="-105" w:leftChars="-50" w:right="-105" w:rightChars="-50"/>
                    <w:jc w:val="center"/>
                    <w:rPr>
                      <w:color w:val="auto"/>
                      <w:sz w:val="18"/>
                      <w:szCs w:val="18"/>
                    </w:rPr>
                  </w:pPr>
                  <w:r>
                    <w:rPr>
                      <w:color w:val="auto"/>
                      <w:sz w:val="18"/>
                      <w:szCs w:val="18"/>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3" w:type="pct"/>
                  <w:vMerge w:val="restart"/>
                  <w:vAlign w:val="center"/>
                </w:tcPr>
                <w:p>
                  <w:pPr>
                    <w:ind w:left="-105" w:right="-105"/>
                    <w:rPr>
                      <w:color w:val="auto"/>
                      <w:sz w:val="18"/>
                      <w:szCs w:val="18"/>
                    </w:rPr>
                  </w:pPr>
                  <w:r>
                    <w:rPr>
                      <w:color w:val="auto"/>
                      <w:sz w:val="18"/>
                      <w:szCs w:val="18"/>
                    </w:rPr>
                    <w:t>1</w:t>
                  </w:r>
                </w:p>
              </w:tc>
              <w:tc>
                <w:tcPr>
                  <w:tcW w:w="173" w:type="pct"/>
                  <w:vMerge w:val="restart"/>
                  <w:vAlign w:val="center"/>
                </w:tcPr>
                <w:p>
                  <w:pPr>
                    <w:ind w:left="-105" w:leftChars="-50" w:right="-105" w:rightChars="-50"/>
                    <w:rPr>
                      <w:color w:val="auto"/>
                      <w:sz w:val="18"/>
                      <w:szCs w:val="18"/>
                    </w:rPr>
                  </w:pPr>
                  <w:r>
                    <w:rPr>
                      <w:rFonts w:hint="eastAsia"/>
                      <w:color w:val="auto"/>
                      <w:sz w:val="18"/>
                      <w:szCs w:val="18"/>
                    </w:rPr>
                    <w:t>陕西省西安市长安区重点管控单元</w:t>
                  </w:r>
                </w:p>
                <w:p>
                  <w:pPr>
                    <w:ind w:left="-105" w:leftChars="-50" w:right="-105" w:rightChars="-50"/>
                    <w:rPr>
                      <w:color w:val="auto"/>
                      <w:sz w:val="18"/>
                      <w:szCs w:val="18"/>
                    </w:rPr>
                  </w:pPr>
                  <w:r>
                    <w:rPr>
                      <w:color w:val="auto"/>
                      <w:sz w:val="18"/>
                      <w:szCs w:val="18"/>
                    </w:rPr>
                    <w:t>1</w:t>
                  </w:r>
                </w:p>
              </w:tc>
              <w:tc>
                <w:tcPr>
                  <w:tcW w:w="206" w:type="pct"/>
                  <w:vMerge w:val="restart"/>
                  <w:vAlign w:val="center"/>
                </w:tcPr>
                <w:p>
                  <w:pPr>
                    <w:ind w:left="-105" w:leftChars="-50" w:right="-105" w:rightChars="-50"/>
                    <w:rPr>
                      <w:color w:val="auto"/>
                      <w:sz w:val="18"/>
                      <w:szCs w:val="18"/>
                    </w:rPr>
                  </w:pPr>
                  <w:r>
                    <w:rPr>
                      <w:color w:val="auto"/>
                      <w:sz w:val="18"/>
                      <w:szCs w:val="18"/>
                    </w:rPr>
                    <w:t>西安市</w:t>
                  </w:r>
                </w:p>
              </w:tc>
              <w:tc>
                <w:tcPr>
                  <w:tcW w:w="206" w:type="pct"/>
                  <w:vAlign w:val="center"/>
                </w:tcPr>
                <w:p>
                  <w:pPr>
                    <w:ind w:left="-105" w:leftChars="-50" w:right="-105" w:rightChars="-50"/>
                    <w:rPr>
                      <w:color w:val="auto"/>
                      <w:sz w:val="18"/>
                      <w:szCs w:val="18"/>
                    </w:rPr>
                  </w:pPr>
                  <w:r>
                    <w:rPr>
                      <w:color w:val="auto"/>
                      <w:sz w:val="18"/>
                      <w:szCs w:val="18"/>
                    </w:rPr>
                    <w:t>长安区</w:t>
                  </w:r>
                </w:p>
              </w:tc>
              <w:tc>
                <w:tcPr>
                  <w:tcW w:w="413" w:type="pct"/>
                  <w:vAlign w:val="center"/>
                </w:tcPr>
                <w:p>
                  <w:pPr>
                    <w:ind w:left="-105" w:leftChars="-50" w:right="-105" w:rightChars="-50"/>
                    <w:rPr>
                      <w:color w:val="auto"/>
                      <w:sz w:val="18"/>
                      <w:szCs w:val="18"/>
                    </w:rPr>
                  </w:pPr>
                  <w:r>
                    <w:rPr>
                      <w:rFonts w:hint="eastAsia"/>
                      <w:color w:val="auto"/>
                      <w:sz w:val="18"/>
                      <w:szCs w:val="18"/>
                    </w:rPr>
                    <w:t>大气环境受体敏感重点管控区、水环境城镇生活污染重点管控区、高污染燃料禁燃区</w:t>
                  </w:r>
                </w:p>
              </w:tc>
              <w:tc>
                <w:tcPr>
                  <w:tcW w:w="206" w:type="pct"/>
                  <w:vAlign w:val="center"/>
                </w:tcPr>
                <w:p>
                  <w:pPr>
                    <w:ind w:left="-105" w:leftChars="-50" w:right="-105" w:rightChars="-50"/>
                    <w:rPr>
                      <w:color w:val="auto"/>
                      <w:sz w:val="18"/>
                      <w:szCs w:val="18"/>
                    </w:rPr>
                  </w:pPr>
                  <w:r>
                    <w:rPr>
                      <w:color w:val="auto"/>
                      <w:sz w:val="18"/>
                      <w:szCs w:val="18"/>
                    </w:rPr>
                    <w:t>空间布局约束</w:t>
                  </w:r>
                </w:p>
              </w:tc>
              <w:tc>
                <w:tcPr>
                  <w:tcW w:w="1964" w:type="pct"/>
                  <w:vAlign w:val="center"/>
                </w:tcPr>
                <w:p>
                  <w:pPr>
                    <w:ind w:left="-105" w:leftChars="-50" w:right="-105" w:rightChars="-50"/>
                    <w:rPr>
                      <w:color w:val="auto"/>
                      <w:sz w:val="18"/>
                      <w:szCs w:val="18"/>
                    </w:rPr>
                  </w:pPr>
                  <w:r>
                    <w:rPr>
                      <w:rFonts w:hint="eastAsia"/>
                      <w:color w:val="auto"/>
                      <w:sz w:val="18"/>
                      <w:szCs w:val="18"/>
                    </w:rPr>
                    <w:t>大气环境受体敏感重点管控区：</w:t>
                  </w:r>
                  <w:r>
                    <w:rPr>
                      <w:color w:val="auto"/>
                      <w:sz w:val="18"/>
                      <w:szCs w:val="18"/>
                    </w:rPr>
                    <w:t>1.</w:t>
                  </w:r>
                  <w:r>
                    <w:rPr>
                      <w:rFonts w:hint="eastAsia"/>
                      <w:color w:val="auto"/>
                      <w:sz w:val="18"/>
                      <w:szCs w:val="18"/>
                    </w:rPr>
                    <w:t>严格控制新增《陕西省</w:t>
                  </w:r>
                  <w:r>
                    <w:rPr>
                      <w:color w:val="auto"/>
                      <w:sz w:val="18"/>
                      <w:szCs w:val="18"/>
                    </w:rPr>
                    <w:t>“</w:t>
                  </w:r>
                  <w:r>
                    <w:rPr>
                      <w:rFonts w:hint="eastAsia"/>
                      <w:color w:val="auto"/>
                      <w:sz w:val="18"/>
                      <w:szCs w:val="18"/>
                    </w:rPr>
                    <w:t>两高</w:t>
                  </w:r>
                  <w:r>
                    <w:rPr>
                      <w:color w:val="auto"/>
                      <w:sz w:val="18"/>
                      <w:szCs w:val="18"/>
                    </w:rPr>
                    <w:t>”</w:t>
                  </w:r>
                  <w:r>
                    <w:rPr>
                      <w:rFonts w:hint="eastAsia"/>
                      <w:color w:val="auto"/>
                      <w:sz w:val="18"/>
                      <w:szCs w:val="18"/>
                    </w:rPr>
                    <w:t>项目管理暂行目录》行业项目（民生等项目除外，后续对</w:t>
                  </w:r>
                  <w:r>
                    <w:rPr>
                      <w:color w:val="auto"/>
                      <w:sz w:val="18"/>
                      <w:szCs w:val="18"/>
                    </w:rPr>
                    <w:t>“</w:t>
                  </w:r>
                  <w:r>
                    <w:rPr>
                      <w:rFonts w:hint="eastAsia"/>
                      <w:color w:val="auto"/>
                      <w:sz w:val="18"/>
                      <w:szCs w:val="18"/>
                    </w:rPr>
                    <w:t>两高</w:t>
                  </w:r>
                  <w:r>
                    <w:rPr>
                      <w:color w:val="auto"/>
                      <w:sz w:val="18"/>
                      <w:szCs w:val="18"/>
                    </w:rPr>
                    <w:t>”</w:t>
                  </w:r>
                  <w:r>
                    <w:rPr>
                      <w:rFonts w:hint="eastAsia"/>
                      <w:color w:val="auto"/>
                      <w:sz w:val="18"/>
                      <w:szCs w:val="18"/>
                    </w:rPr>
                    <w:t>范围国家如有新规定的，从其规定）。</w:t>
                  </w:r>
                  <w:r>
                    <w:rPr>
                      <w:color w:val="auto"/>
                      <w:sz w:val="18"/>
                      <w:szCs w:val="18"/>
                    </w:rPr>
                    <w:t>2.</w:t>
                  </w:r>
                  <w:r>
                    <w:rPr>
                      <w:rFonts w:hint="eastAsia"/>
                      <w:color w:val="auto"/>
                      <w:sz w:val="18"/>
                      <w:szCs w:val="18"/>
                    </w:rPr>
                    <w:t>严禁新增钢铁、焦化、水泥熟料、平板玻璃、电解铝、氧化铝、煤化工产能。</w:t>
                  </w:r>
                  <w:r>
                    <w:rPr>
                      <w:color w:val="auto"/>
                      <w:sz w:val="18"/>
                      <w:szCs w:val="18"/>
                    </w:rPr>
                    <w:t>3.</w:t>
                  </w:r>
                  <w:r>
                    <w:rPr>
                      <w:rFonts w:hint="eastAsia"/>
                      <w:color w:val="auto"/>
                      <w:sz w:val="18"/>
                      <w:szCs w:val="18"/>
                    </w:rPr>
                    <w:t>推动重污染企业搬迁入园或依法关闭。</w:t>
                  </w:r>
                </w:p>
                <w:p>
                  <w:pPr>
                    <w:spacing w:before="48" w:beforeLines="20"/>
                    <w:ind w:left="-105" w:leftChars="-50" w:right="-105" w:rightChars="-50"/>
                    <w:rPr>
                      <w:color w:val="auto"/>
                      <w:sz w:val="18"/>
                      <w:szCs w:val="18"/>
                    </w:rPr>
                  </w:pPr>
                  <w:r>
                    <w:rPr>
                      <w:rFonts w:hint="eastAsia"/>
                      <w:color w:val="auto"/>
                      <w:sz w:val="18"/>
                      <w:szCs w:val="18"/>
                    </w:rPr>
                    <w:t>水环境城镇生活污染重点管控区：</w:t>
                  </w:r>
                  <w:r>
                    <w:rPr>
                      <w:color w:val="auto"/>
                      <w:sz w:val="18"/>
                      <w:szCs w:val="18"/>
                    </w:rPr>
                    <w:t>1.</w:t>
                  </w:r>
                  <w:r>
                    <w:rPr>
                      <w:rFonts w:hint="eastAsia"/>
                      <w:color w:val="auto"/>
                      <w:sz w:val="18"/>
                      <w:szCs w:val="18"/>
                    </w:rPr>
                    <w:t>持续推进城中村、老旧城区、城乡结合部污水截流、收集和城市雨污管道新建、改建。</w:t>
                  </w:r>
                </w:p>
              </w:tc>
              <w:tc>
                <w:tcPr>
                  <w:tcW w:w="310" w:type="pct"/>
                  <w:vMerge w:val="restart"/>
                  <w:vAlign w:val="center"/>
                </w:tcPr>
                <w:p>
                  <w:pPr>
                    <w:ind w:left="-105" w:leftChars="-50" w:right="-105" w:rightChars="-50"/>
                    <w:rPr>
                      <w:color w:val="auto"/>
                      <w:sz w:val="18"/>
                      <w:szCs w:val="18"/>
                    </w:rPr>
                  </w:pPr>
                  <w:r>
                    <w:rPr>
                      <w:rFonts w:hint="eastAsia"/>
                      <w:color w:val="auto"/>
                      <w:sz w:val="18"/>
                      <w:szCs w:val="18"/>
                    </w:rPr>
                    <w:t>270.42</w:t>
                  </w:r>
                </w:p>
              </w:tc>
              <w:tc>
                <w:tcPr>
                  <w:tcW w:w="1077" w:type="pct"/>
                  <w:vAlign w:val="center"/>
                </w:tcPr>
                <w:p>
                  <w:pPr>
                    <w:ind w:left="-105" w:leftChars="-50" w:right="-105" w:rightChars="-50"/>
                    <w:rPr>
                      <w:color w:val="auto"/>
                      <w:sz w:val="18"/>
                      <w:szCs w:val="18"/>
                    </w:rPr>
                  </w:pPr>
                  <w:r>
                    <w:rPr>
                      <w:rFonts w:hint="eastAsia"/>
                      <w:color w:val="auto"/>
                      <w:sz w:val="18"/>
                      <w:szCs w:val="18"/>
                    </w:rPr>
                    <w:t>本项目为综合医院项目，不属于两高类及禁止类项目，不属于高耗水、高污染项目，项目产生的医疗废水经一体化污水处理设施处理后与生活污水依托国色天香化粪池处理后，经市政污水管网排入西安市第九污水处理厂。</w:t>
                  </w:r>
                </w:p>
              </w:tc>
              <w:tc>
                <w:tcPr>
                  <w:tcW w:w="271" w:type="pct"/>
                  <w:vAlign w:val="center"/>
                </w:tcPr>
                <w:p>
                  <w:pPr>
                    <w:ind w:left="-105" w:leftChars="-50" w:right="-105" w:rightChars="-50"/>
                    <w:rPr>
                      <w:color w:val="auto"/>
                      <w:sz w:val="18"/>
                      <w:szCs w:val="18"/>
                    </w:rPr>
                  </w:pPr>
                  <w:r>
                    <w:rPr>
                      <w:color w:val="auto"/>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3" w:type="pct"/>
                  <w:vMerge w:val="continue"/>
                  <w:vAlign w:val="center"/>
                </w:tcPr>
                <w:p>
                  <w:pPr>
                    <w:ind w:left="-105" w:right="-105" w:firstLine="0"/>
                    <w:rPr>
                      <w:color w:val="auto"/>
                      <w:sz w:val="18"/>
                      <w:szCs w:val="18"/>
                    </w:rPr>
                  </w:pPr>
                </w:p>
              </w:tc>
              <w:tc>
                <w:tcPr>
                  <w:tcW w:w="173" w:type="pct"/>
                  <w:vMerge w:val="continue"/>
                  <w:vAlign w:val="center"/>
                </w:tcPr>
                <w:p>
                  <w:pPr>
                    <w:widowControl/>
                    <w:jc w:val="left"/>
                    <w:rPr>
                      <w:rFonts w:ascii="宋体" w:hAnsi="宋体" w:cs="宋体"/>
                      <w:color w:val="auto"/>
                      <w:kern w:val="0"/>
                      <w:sz w:val="16"/>
                      <w:szCs w:val="16"/>
                    </w:rPr>
                  </w:pPr>
                </w:p>
              </w:tc>
              <w:tc>
                <w:tcPr>
                  <w:tcW w:w="206" w:type="pct"/>
                  <w:vMerge w:val="continue"/>
                  <w:vAlign w:val="center"/>
                </w:tcPr>
                <w:p>
                  <w:pPr>
                    <w:ind w:left="-105" w:leftChars="-50" w:right="-105" w:rightChars="-50" w:firstLine="0"/>
                    <w:rPr>
                      <w:color w:val="auto"/>
                      <w:sz w:val="18"/>
                      <w:szCs w:val="18"/>
                    </w:rPr>
                  </w:pPr>
                </w:p>
              </w:tc>
              <w:tc>
                <w:tcPr>
                  <w:tcW w:w="206" w:type="pct"/>
                  <w:vAlign w:val="center"/>
                </w:tcPr>
                <w:p>
                  <w:pPr>
                    <w:ind w:left="-105" w:leftChars="-50" w:right="-105" w:rightChars="-50" w:firstLine="0"/>
                    <w:rPr>
                      <w:color w:val="auto"/>
                      <w:sz w:val="18"/>
                      <w:szCs w:val="18"/>
                    </w:rPr>
                  </w:pPr>
                </w:p>
              </w:tc>
              <w:tc>
                <w:tcPr>
                  <w:tcW w:w="413" w:type="pct"/>
                  <w:vAlign w:val="center"/>
                </w:tcPr>
                <w:p>
                  <w:pPr>
                    <w:widowControl/>
                    <w:jc w:val="left"/>
                    <w:rPr>
                      <w:rFonts w:ascii="宋体" w:hAnsi="宋体" w:cs="宋体"/>
                      <w:color w:val="auto"/>
                      <w:kern w:val="0"/>
                      <w:sz w:val="16"/>
                      <w:szCs w:val="16"/>
                    </w:rPr>
                  </w:pPr>
                </w:p>
              </w:tc>
              <w:tc>
                <w:tcPr>
                  <w:tcW w:w="206" w:type="pct"/>
                  <w:vAlign w:val="center"/>
                </w:tcPr>
                <w:p>
                  <w:pPr>
                    <w:ind w:left="-105" w:leftChars="-50" w:right="-105" w:rightChars="-50"/>
                    <w:rPr>
                      <w:color w:val="auto"/>
                      <w:sz w:val="18"/>
                      <w:szCs w:val="18"/>
                    </w:rPr>
                  </w:pPr>
                  <w:r>
                    <w:rPr>
                      <w:color w:val="auto"/>
                      <w:sz w:val="18"/>
                      <w:szCs w:val="18"/>
                    </w:rPr>
                    <w:t>污染物排放管控</w:t>
                  </w:r>
                </w:p>
              </w:tc>
              <w:tc>
                <w:tcPr>
                  <w:tcW w:w="1964" w:type="pct"/>
                  <w:vAlign w:val="center"/>
                </w:tcPr>
                <w:p>
                  <w:pPr>
                    <w:ind w:left="-105" w:leftChars="-50" w:right="-105" w:rightChars="-50"/>
                    <w:rPr>
                      <w:color w:val="auto"/>
                      <w:sz w:val="18"/>
                      <w:szCs w:val="18"/>
                    </w:rPr>
                  </w:pPr>
                  <w:r>
                    <w:rPr>
                      <w:rFonts w:hint="eastAsia"/>
                      <w:color w:val="auto"/>
                      <w:sz w:val="18"/>
                      <w:szCs w:val="18"/>
                    </w:rPr>
                    <w:t>大气环境受体敏感重点管控区：</w:t>
                  </w:r>
                  <w:r>
                    <w:rPr>
                      <w:color w:val="auto"/>
                      <w:sz w:val="18"/>
                      <w:szCs w:val="18"/>
                    </w:rPr>
                    <w:t>1.</w:t>
                  </w:r>
                  <w:r>
                    <w:rPr>
                      <w:rFonts w:hint="eastAsia"/>
                      <w:color w:val="auto"/>
                      <w:sz w:val="18"/>
                      <w:szCs w:val="18"/>
                    </w:rPr>
                    <w:t>城市建成区产生油烟的餐饮服务单位全部安装油烟净化装置并保持正常运行和定期维护。</w:t>
                  </w:r>
                  <w:r>
                    <w:rPr>
                      <w:color w:val="auto"/>
                      <w:sz w:val="18"/>
                      <w:szCs w:val="18"/>
                    </w:rPr>
                    <w:t>2.</w:t>
                  </w:r>
                  <w:r>
                    <w:rPr>
                      <w:rFonts w:hint="eastAsia"/>
                      <w:color w:val="auto"/>
                      <w:sz w:val="18"/>
                      <w:szCs w:val="18"/>
                    </w:rPr>
                    <w:t>持续因地制宜实施</w:t>
                  </w:r>
                  <w:r>
                    <w:rPr>
                      <w:color w:val="auto"/>
                      <w:sz w:val="18"/>
                      <w:szCs w:val="18"/>
                    </w:rPr>
                    <w:t>“</w:t>
                  </w:r>
                  <w:r>
                    <w:rPr>
                      <w:rFonts w:hint="eastAsia"/>
                      <w:color w:val="auto"/>
                      <w:sz w:val="18"/>
                      <w:szCs w:val="18"/>
                    </w:rPr>
                    <w:t>煤改气</w:t>
                  </w:r>
                  <w:r>
                    <w:rPr>
                      <w:color w:val="auto"/>
                      <w:sz w:val="18"/>
                      <w:szCs w:val="18"/>
                    </w:rPr>
                    <w:t>”</w:t>
                  </w:r>
                  <w:r>
                    <w:rPr>
                      <w:rFonts w:hint="eastAsia"/>
                      <w:color w:val="auto"/>
                      <w:sz w:val="18"/>
                      <w:szCs w:val="18"/>
                    </w:rPr>
                    <w:t>、</w:t>
                  </w:r>
                  <w:r>
                    <w:rPr>
                      <w:color w:val="auto"/>
                      <w:sz w:val="18"/>
                      <w:szCs w:val="18"/>
                    </w:rPr>
                    <w:t>“</w:t>
                  </w:r>
                  <w:r>
                    <w:rPr>
                      <w:rFonts w:hint="eastAsia"/>
                      <w:color w:val="auto"/>
                      <w:sz w:val="18"/>
                      <w:szCs w:val="18"/>
                    </w:rPr>
                    <w:t>油改气</w:t>
                  </w:r>
                  <w:r>
                    <w:rPr>
                      <w:color w:val="auto"/>
                      <w:sz w:val="18"/>
                      <w:szCs w:val="18"/>
                    </w:rPr>
                    <w:t>”</w:t>
                  </w:r>
                  <w:r>
                    <w:rPr>
                      <w:rFonts w:hint="eastAsia"/>
                      <w:color w:val="auto"/>
                      <w:sz w:val="18"/>
                      <w:szCs w:val="18"/>
                    </w:rPr>
                    <w:t>、电能、地热、生物质等清洁能源取暖措施。</w:t>
                  </w:r>
                  <w:r>
                    <w:rPr>
                      <w:color w:val="auto"/>
                      <w:sz w:val="18"/>
                      <w:szCs w:val="18"/>
                    </w:rPr>
                    <w:t>3.</w:t>
                  </w:r>
                  <w:r>
                    <w:rPr>
                      <w:rFonts w:hint="eastAsia"/>
                      <w:color w:val="auto"/>
                      <w:sz w:val="18"/>
                      <w:szCs w:val="18"/>
                    </w:rPr>
                    <w:t>鼓励将老旧车辆和非道路移动机械替换为清洁能源车辆。推进新能源或清洁能源汽车使用。</w:t>
                  </w:r>
                </w:p>
                <w:p>
                  <w:pPr>
                    <w:spacing w:before="48" w:beforeLines="20"/>
                    <w:ind w:left="-105" w:leftChars="-50" w:right="-105" w:rightChars="-50"/>
                    <w:rPr>
                      <w:color w:val="auto"/>
                      <w:sz w:val="18"/>
                      <w:szCs w:val="18"/>
                    </w:rPr>
                  </w:pPr>
                  <w:r>
                    <w:rPr>
                      <w:rFonts w:hint="eastAsia"/>
                      <w:color w:val="auto"/>
                      <w:sz w:val="18"/>
                      <w:szCs w:val="18"/>
                    </w:rPr>
                    <w:t>水环境城镇生活污染重点管控区：</w:t>
                  </w:r>
                  <w:r>
                    <w:rPr>
                      <w:color w:val="auto"/>
                      <w:sz w:val="18"/>
                      <w:szCs w:val="18"/>
                    </w:rPr>
                    <w:t>1.</w:t>
                  </w:r>
                  <w:r>
                    <w:rPr>
                      <w:rFonts w:hint="eastAsia"/>
                      <w:color w:val="auto"/>
                      <w:sz w:val="18"/>
                      <w:szCs w:val="18"/>
                    </w:rPr>
                    <w:t>加强城镇污水收集处理设施建设与提标改造。城镇生活污水处理达到《陕西省黄河流域污水综合排放标准》（</w:t>
                  </w:r>
                  <w:r>
                    <w:rPr>
                      <w:color w:val="auto"/>
                      <w:sz w:val="18"/>
                      <w:szCs w:val="18"/>
                    </w:rPr>
                    <w:t>DB61/224-2018</w:t>
                  </w:r>
                  <w:r>
                    <w:rPr>
                      <w:rFonts w:hint="eastAsia"/>
                      <w:color w:val="auto"/>
                      <w:sz w:val="18"/>
                      <w:szCs w:val="18"/>
                    </w:rPr>
                    <w:t>）排放限值要求。</w:t>
                  </w:r>
                  <w:r>
                    <w:rPr>
                      <w:color w:val="auto"/>
                      <w:sz w:val="18"/>
                      <w:szCs w:val="18"/>
                    </w:rPr>
                    <w:t>2.</w:t>
                  </w:r>
                  <w:r>
                    <w:rPr>
                      <w:rFonts w:hint="eastAsia"/>
                      <w:color w:val="auto"/>
                      <w:sz w:val="18"/>
                      <w:szCs w:val="18"/>
                    </w:rPr>
                    <w:t>城镇新区管网建设及老旧城区管网升级改造中实行雨污分流，鼓励推进初期雨水收集、处理和资源化利用，建设人工湿地水质净化工程，对处理达标后的尾水进一步净化。</w:t>
                  </w:r>
                  <w:r>
                    <w:rPr>
                      <w:color w:val="auto"/>
                      <w:sz w:val="18"/>
                      <w:szCs w:val="18"/>
                    </w:rPr>
                    <w:t>3.</w:t>
                  </w:r>
                  <w:r>
                    <w:rPr>
                      <w:rFonts w:hint="eastAsia"/>
                      <w:color w:val="auto"/>
                      <w:sz w:val="18"/>
                      <w:szCs w:val="18"/>
                    </w:rPr>
                    <w:t>污水处理厂出水用于绿化、农灌等用途的，合理确定管控要求，确保达到相应污水再生利用标准。</w:t>
                  </w:r>
                </w:p>
              </w:tc>
              <w:tc>
                <w:tcPr>
                  <w:tcW w:w="310" w:type="pct"/>
                  <w:vMerge w:val="continue"/>
                  <w:vAlign w:val="center"/>
                </w:tcPr>
                <w:p>
                  <w:pPr>
                    <w:ind w:left="-105" w:right="-105"/>
                    <w:rPr>
                      <w:color w:val="auto"/>
                      <w:sz w:val="18"/>
                      <w:szCs w:val="18"/>
                    </w:rPr>
                  </w:pPr>
                </w:p>
              </w:tc>
              <w:tc>
                <w:tcPr>
                  <w:tcW w:w="1077" w:type="pct"/>
                  <w:vAlign w:val="center"/>
                </w:tcPr>
                <w:p>
                  <w:pPr>
                    <w:ind w:left="-105" w:leftChars="-50" w:right="-105" w:rightChars="-50"/>
                    <w:rPr>
                      <w:color w:val="auto"/>
                      <w:sz w:val="18"/>
                      <w:szCs w:val="18"/>
                    </w:rPr>
                  </w:pPr>
                  <w:r>
                    <w:rPr>
                      <w:rFonts w:hint="eastAsia"/>
                      <w:color w:val="auto"/>
                      <w:sz w:val="18"/>
                      <w:szCs w:val="18"/>
                    </w:rPr>
                    <w:t>本项目为综合医院项目，不涉及煤、油，本项目医疗仪器等均使用电能。本项目产生的医疗废水及生活污水经一体化污水处理设施处理后进入国色天香化粪池，后经市政污水管网排入西安市第九污水处理厂。一体化污水处理设施密闭，日常通过喷洒除臭剂。</w:t>
                  </w:r>
                </w:p>
              </w:tc>
              <w:tc>
                <w:tcPr>
                  <w:tcW w:w="271" w:type="pct"/>
                  <w:vAlign w:val="center"/>
                </w:tcPr>
                <w:p>
                  <w:pPr>
                    <w:ind w:left="-105" w:right="-105"/>
                    <w:rPr>
                      <w:color w:val="auto"/>
                      <w:sz w:val="18"/>
                      <w:szCs w:val="18"/>
                    </w:rPr>
                  </w:pPr>
                  <w:r>
                    <w:rPr>
                      <w:color w:val="auto"/>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3" w:type="pct"/>
                  <w:vMerge w:val="continue"/>
                  <w:vAlign w:val="center"/>
                </w:tcPr>
                <w:p>
                  <w:pPr>
                    <w:widowControl/>
                    <w:ind w:left="-105" w:right="-105"/>
                    <w:jc w:val="left"/>
                    <w:rPr>
                      <w:color w:val="auto"/>
                      <w:kern w:val="0"/>
                      <w:sz w:val="18"/>
                      <w:szCs w:val="18"/>
                    </w:rPr>
                  </w:pPr>
                </w:p>
              </w:tc>
              <w:tc>
                <w:tcPr>
                  <w:tcW w:w="173" w:type="pct"/>
                  <w:vMerge w:val="continue"/>
                  <w:vAlign w:val="center"/>
                </w:tcPr>
                <w:p>
                  <w:pPr>
                    <w:widowControl/>
                    <w:ind w:left="-105" w:right="-105"/>
                    <w:jc w:val="left"/>
                    <w:rPr>
                      <w:color w:val="auto"/>
                      <w:kern w:val="0"/>
                      <w:sz w:val="18"/>
                      <w:szCs w:val="18"/>
                    </w:rPr>
                  </w:pPr>
                </w:p>
              </w:tc>
              <w:tc>
                <w:tcPr>
                  <w:tcW w:w="206" w:type="pct"/>
                  <w:vMerge w:val="continue"/>
                  <w:vAlign w:val="center"/>
                </w:tcPr>
                <w:p>
                  <w:pPr>
                    <w:widowControl/>
                    <w:ind w:left="-105" w:right="-105"/>
                    <w:jc w:val="left"/>
                    <w:rPr>
                      <w:color w:val="auto"/>
                      <w:kern w:val="0"/>
                      <w:sz w:val="18"/>
                      <w:szCs w:val="18"/>
                    </w:rPr>
                  </w:pPr>
                </w:p>
              </w:tc>
              <w:tc>
                <w:tcPr>
                  <w:tcW w:w="206" w:type="pct"/>
                  <w:vAlign w:val="center"/>
                </w:tcPr>
                <w:p>
                  <w:pPr>
                    <w:widowControl/>
                    <w:ind w:left="-105" w:right="-105"/>
                    <w:jc w:val="left"/>
                    <w:rPr>
                      <w:color w:val="auto"/>
                      <w:kern w:val="0"/>
                      <w:sz w:val="18"/>
                      <w:szCs w:val="18"/>
                    </w:rPr>
                  </w:pPr>
                </w:p>
              </w:tc>
              <w:tc>
                <w:tcPr>
                  <w:tcW w:w="413" w:type="pct"/>
                  <w:vAlign w:val="center"/>
                </w:tcPr>
                <w:p>
                  <w:pPr>
                    <w:spacing w:line="240" w:lineRule="exact"/>
                    <w:ind w:left="-105" w:leftChars="-50" w:right="-105" w:rightChars="-50"/>
                    <w:rPr>
                      <w:color w:val="auto"/>
                      <w:sz w:val="18"/>
                      <w:szCs w:val="18"/>
                    </w:rPr>
                  </w:pPr>
                </w:p>
              </w:tc>
              <w:tc>
                <w:tcPr>
                  <w:tcW w:w="206" w:type="pct"/>
                  <w:vAlign w:val="center"/>
                </w:tcPr>
                <w:p>
                  <w:pPr>
                    <w:ind w:left="-105" w:leftChars="-50" w:right="-105" w:rightChars="-50"/>
                    <w:rPr>
                      <w:color w:val="auto"/>
                      <w:sz w:val="18"/>
                      <w:szCs w:val="18"/>
                    </w:rPr>
                  </w:pPr>
                  <w:r>
                    <w:rPr>
                      <w:rFonts w:hint="eastAsia"/>
                      <w:color w:val="auto"/>
                      <w:sz w:val="18"/>
                      <w:szCs w:val="18"/>
                    </w:rPr>
                    <w:t>资源开发效率要求</w:t>
                  </w:r>
                </w:p>
              </w:tc>
              <w:tc>
                <w:tcPr>
                  <w:tcW w:w="1964" w:type="pct"/>
                  <w:vAlign w:val="center"/>
                </w:tcPr>
                <w:p>
                  <w:pPr>
                    <w:ind w:left="-105" w:leftChars="-50" w:right="-105" w:rightChars="-50"/>
                    <w:rPr>
                      <w:color w:val="auto"/>
                      <w:sz w:val="18"/>
                      <w:szCs w:val="18"/>
                    </w:rPr>
                  </w:pPr>
                  <w:r>
                    <w:rPr>
                      <w:rFonts w:hint="eastAsia"/>
                      <w:color w:val="auto"/>
                      <w:sz w:val="18"/>
                      <w:szCs w:val="18"/>
                    </w:rPr>
                    <w:t>高污染燃料禁燃区：</w:t>
                  </w:r>
                  <w:r>
                    <w:rPr>
                      <w:color w:val="auto"/>
                      <w:sz w:val="18"/>
                      <w:szCs w:val="18"/>
                    </w:rPr>
                    <w:t>1.</w:t>
                  </w:r>
                  <w:r>
                    <w:rPr>
                      <w:rFonts w:hint="eastAsia"/>
                      <w:color w:val="auto"/>
                      <w:sz w:val="18"/>
                      <w:szCs w:val="18"/>
                    </w:rPr>
                    <w:t>禁止销售、使用高污染燃料。禁止新建、扩建燃用高污染燃料的设施。已建成的，应当在市人民政府规定的期限内停止使用或者改用天然气、页岩气、煤层气、液化石油气、干热岩、电、太阳能或者其他清洁能源。</w:t>
                  </w:r>
                  <w:r>
                    <w:rPr>
                      <w:color w:val="auto"/>
                      <w:sz w:val="18"/>
                      <w:szCs w:val="18"/>
                    </w:rPr>
                    <w:t>2.</w:t>
                  </w:r>
                  <w:r>
                    <w:rPr>
                      <w:rFonts w:hint="eastAsia"/>
                      <w:color w:val="auto"/>
                      <w:sz w:val="18"/>
                      <w:szCs w:val="18"/>
                    </w:rPr>
                    <w:t>禁止燃放烟花爆竹。</w:t>
                  </w:r>
                </w:p>
              </w:tc>
              <w:tc>
                <w:tcPr>
                  <w:tcW w:w="310" w:type="pct"/>
                  <w:vMerge w:val="continue"/>
                  <w:vAlign w:val="center"/>
                </w:tcPr>
                <w:p>
                  <w:pPr>
                    <w:spacing w:line="240" w:lineRule="exact"/>
                    <w:ind w:left="-105" w:leftChars="-50" w:right="-105" w:rightChars="-50"/>
                    <w:rPr>
                      <w:color w:val="auto"/>
                      <w:sz w:val="18"/>
                      <w:szCs w:val="18"/>
                    </w:rPr>
                  </w:pPr>
                </w:p>
              </w:tc>
              <w:tc>
                <w:tcPr>
                  <w:tcW w:w="1077" w:type="pct"/>
                  <w:vAlign w:val="center"/>
                </w:tcPr>
                <w:p>
                  <w:pPr>
                    <w:ind w:left="-105" w:leftChars="-50" w:right="-105" w:rightChars="-50"/>
                    <w:rPr>
                      <w:color w:val="auto"/>
                      <w:sz w:val="18"/>
                      <w:szCs w:val="18"/>
                    </w:rPr>
                  </w:pPr>
                  <w:r>
                    <w:rPr>
                      <w:rFonts w:hint="eastAsia"/>
                      <w:color w:val="auto"/>
                      <w:sz w:val="18"/>
                      <w:szCs w:val="18"/>
                    </w:rPr>
                    <w:t>本项目为综合医院项目，不涉及高污染燃料，本项目油料仪器等均使用电能。</w:t>
                  </w:r>
                </w:p>
              </w:tc>
              <w:tc>
                <w:tcPr>
                  <w:tcW w:w="271" w:type="pct"/>
                  <w:vAlign w:val="center"/>
                </w:tcPr>
                <w:p>
                  <w:pPr>
                    <w:spacing w:line="240" w:lineRule="exact"/>
                    <w:ind w:left="-105" w:leftChars="-50" w:right="-105" w:rightChars="-50"/>
                    <w:rPr>
                      <w:color w:val="auto"/>
                      <w:sz w:val="18"/>
                      <w:szCs w:val="18"/>
                    </w:rPr>
                  </w:pPr>
                  <w:r>
                    <w:rPr>
                      <w:color w:val="auto"/>
                      <w:sz w:val="18"/>
                      <w:szCs w:val="18"/>
                    </w:rPr>
                    <w:t>符合</w:t>
                  </w:r>
                </w:p>
              </w:tc>
            </w:tr>
          </w:tbl>
          <w:p>
            <w:pPr>
              <w:adjustRightInd w:val="0"/>
              <w:snapToGrid w:val="0"/>
              <w:spacing w:before="120" w:beforeLines="50" w:line="360" w:lineRule="auto"/>
              <w:ind w:firstLine="480" w:firstLineChars="200"/>
              <w:rPr>
                <w:color w:val="auto"/>
                <w:kern w:val="0"/>
                <w:sz w:val="24"/>
              </w:rPr>
            </w:pPr>
            <w:r>
              <w:rPr>
                <w:color w:val="auto"/>
                <w:kern w:val="0"/>
                <w:sz w:val="24"/>
              </w:rPr>
              <w:t>三、其他符合性分析</w:t>
            </w:r>
          </w:p>
          <w:p>
            <w:pPr>
              <w:pStyle w:val="9"/>
              <w:ind w:right="-105" w:firstLine="420"/>
              <w:jc w:val="both"/>
              <w:rPr>
                <w:b w:val="0"/>
                <w:bCs w:val="0"/>
                <w:color w:val="auto"/>
              </w:rPr>
            </w:pPr>
            <w:r>
              <w:rPr>
                <w:b w:val="0"/>
                <w:bCs w:val="0"/>
                <w:color w:val="auto"/>
              </w:rPr>
              <w:t>与相关技术政策符合性分析见</w:t>
            </w:r>
            <w:r>
              <w:rPr>
                <w:rFonts w:hint="eastAsia"/>
                <w:b w:val="0"/>
                <w:bCs w:val="0"/>
                <w:color w:val="auto"/>
              </w:rPr>
              <w:t>下</w:t>
            </w:r>
            <w:r>
              <w:rPr>
                <w:b w:val="0"/>
                <w:bCs w:val="0"/>
                <w:color w:val="auto"/>
              </w:rPr>
              <w:t>表。</w:t>
            </w:r>
          </w:p>
          <w:p>
            <w:pPr>
              <w:pStyle w:val="15"/>
              <w:rPr>
                <w:color w:val="auto"/>
              </w:rPr>
            </w:pPr>
            <w:r>
              <w:rPr>
                <w:color w:val="auto"/>
              </w:rPr>
              <w:t>表1-</w:t>
            </w:r>
            <w:r>
              <w:rPr>
                <w:rFonts w:hint="eastAsia"/>
                <w:color w:val="auto"/>
              </w:rPr>
              <w:t>2</w:t>
            </w:r>
            <w:r>
              <w:rPr>
                <w:color w:val="auto"/>
              </w:rPr>
              <w:t xml:space="preserve">  本项目与其他政策符合性分析表</w:t>
            </w:r>
          </w:p>
          <w:tbl>
            <w:tblPr>
              <w:tblStyle w:val="6"/>
              <w:tblW w:w="6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2693"/>
              <w:gridCol w:w="2044"/>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Align w:val="center"/>
                </w:tcPr>
                <w:p>
                  <w:pPr>
                    <w:wordWrap w:val="0"/>
                    <w:ind w:left="-84" w:leftChars="-40" w:right="-84" w:rightChars="-40"/>
                    <w:jc w:val="center"/>
                    <w:rPr>
                      <w:color w:val="auto"/>
                    </w:rPr>
                  </w:pPr>
                  <w:r>
                    <w:rPr>
                      <w:rFonts w:hint="eastAsia"/>
                      <w:color w:val="auto"/>
                    </w:rPr>
                    <w:t>名称</w:t>
                  </w:r>
                </w:p>
              </w:tc>
              <w:tc>
                <w:tcPr>
                  <w:tcW w:w="2693" w:type="dxa"/>
                  <w:vAlign w:val="center"/>
                </w:tcPr>
                <w:p>
                  <w:pPr>
                    <w:wordWrap w:val="0"/>
                    <w:ind w:left="-84" w:leftChars="-40" w:right="-84" w:rightChars="-40"/>
                    <w:jc w:val="center"/>
                    <w:rPr>
                      <w:color w:val="auto"/>
                    </w:rPr>
                  </w:pPr>
                  <w:r>
                    <w:rPr>
                      <w:rFonts w:hint="eastAsia"/>
                      <w:color w:val="auto"/>
                    </w:rPr>
                    <w:t>文件要求</w:t>
                  </w:r>
                </w:p>
              </w:tc>
              <w:tc>
                <w:tcPr>
                  <w:tcW w:w="2044" w:type="dxa"/>
                  <w:vAlign w:val="center"/>
                </w:tcPr>
                <w:p>
                  <w:pPr>
                    <w:wordWrap w:val="0"/>
                    <w:ind w:left="-84" w:leftChars="-40" w:right="-84" w:rightChars="-40"/>
                    <w:jc w:val="center"/>
                    <w:rPr>
                      <w:color w:val="auto"/>
                    </w:rPr>
                  </w:pPr>
                  <w:r>
                    <w:rPr>
                      <w:rFonts w:hint="eastAsia"/>
                      <w:color w:val="auto"/>
                    </w:rPr>
                    <w:t>本项目情况</w:t>
                  </w:r>
                </w:p>
              </w:tc>
              <w:tc>
                <w:tcPr>
                  <w:tcW w:w="557" w:type="dxa"/>
                  <w:vAlign w:val="center"/>
                </w:tcPr>
                <w:p>
                  <w:pPr>
                    <w:ind w:left="-84" w:leftChars="-40" w:right="-84" w:rightChars="-40"/>
                    <w:jc w:val="center"/>
                    <w:rPr>
                      <w:color w:val="auto"/>
                    </w:rPr>
                  </w:pPr>
                  <w:r>
                    <w:rPr>
                      <w:rFonts w:hint="eastAsia"/>
                      <w:color w:val="auto"/>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Align w:val="center"/>
                </w:tcPr>
                <w:p>
                  <w:pPr>
                    <w:wordWrap w:val="0"/>
                    <w:ind w:left="-84" w:leftChars="-40" w:right="-84" w:rightChars="-40"/>
                    <w:rPr>
                      <w:color w:val="auto"/>
                    </w:rPr>
                  </w:pPr>
                  <w:r>
                    <w:rPr>
                      <w:rFonts w:hint="eastAsia"/>
                      <w:color w:val="auto"/>
                    </w:rPr>
                    <w:t>《“健康陕西2030”规划纲要》</w:t>
                  </w:r>
                </w:p>
              </w:tc>
              <w:tc>
                <w:tcPr>
                  <w:tcW w:w="2693" w:type="dxa"/>
                  <w:vAlign w:val="center"/>
                </w:tcPr>
                <w:p>
                  <w:pPr>
                    <w:wordWrap w:val="0"/>
                    <w:ind w:left="-84" w:leftChars="-40" w:right="-84" w:rightChars="-40"/>
                    <w:rPr>
                      <w:color w:val="auto"/>
                    </w:rPr>
                  </w:pPr>
                  <w:r>
                    <w:rPr>
                      <w:rFonts w:hint="eastAsia"/>
                      <w:color w:val="auto"/>
                    </w:rPr>
                    <w:t>健康保障完善行动：健康服务体系建设。坚持省级强龙头、市级建中心、县级提能力、基层筑网底，构建整合型卫生健康服务体系。实施“秦跃计划”，推进国家和省级区域医疗中心建设。支持社会资本举办儿童、老年康复等薄弱专科医疗机构，推动公立和民办医疗服务错位发展。</w:t>
                  </w:r>
                </w:p>
              </w:tc>
              <w:tc>
                <w:tcPr>
                  <w:tcW w:w="2044" w:type="dxa"/>
                  <w:vAlign w:val="center"/>
                </w:tcPr>
                <w:p>
                  <w:pPr>
                    <w:wordWrap w:val="0"/>
                    <w:ind w:left="-84" w:leftChars="-40" w:right="-84" w:rightChars="-40"/>
                    <w:rPr>
                      <w:color w:val="auto"/>
                    </w:rPr>
                  </w:pPr>
                  <w:r>
                    <w:rPr>
                      <w:rFonts w:hint="eastAsia"/>
                      <w:color w:val="auto"/>
                    </w:rPr>
                    <w:t>本项目属于综合性医院，建设完成后可提供高标准高质量的优质医疗服务，推动民办医疗服务机构发展。</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Align w:val="center"/>
                </w:tcPr>
                <w:p>
                  <w:pPr>
                    <w:wordWrap w:val="0"/>
                    <w:ind w:left="-84" w:leftChars="-40" w:right="-84" w:rightChars="-40"/>
                    <w:rPr>
                      <w:color w:val="auto"/>
                    </w:rPr>
                  </w:pPr>
                  <w:r>
                    <w:rPr>
                      <w:rFonts w:hint="eastAsia"/>
                      <w:color w:val="auto"/>
                    </w:rPr>
                    <w:t>《陕西省人民政府关于印发国民经济和社会发展第十四个五年规划和二〇三五年远景目标纲要的通知》（陕政发〔2021〕3 号）</w:t>
                  </w:r>
                </w:p>
              </w:tc>
              <w:tc>
                <w:tcPr>
                  <w:tcW w:w="2693" w:type="dxa"/>
                  <w:vAlign w:val="center"/>
                </w:tcPr>
                <w:p>
                  <w:pPr>
                    <w:wordWrap w:val="0"/>
                    <w:ind w:left="-84" w:leftChars="-40" w:right="-84" w:rightChars="-40"/>
                    <w:rPr>
                      <w:color w:val="auto"/>
                    </w:rPr>
                  </w:pPr>
                  <w:r>
                    <w:rPr>
                      <w:rFonts w:hint="eastAsia"/>
                      <w:color w:val="auto"/>
                    </w:rPr>
                    <w:t>把保障人民健康放在优先发展的战略位置，不断完善公共卫生服务体系，深化医药卫生体制改革，加大高质量医疗服务供给，建设高标准区域卫生健康中心。加强各级医疗卫生机构基础设施和能力建设，加快优质医疗资源扩容，完成市儿童医院经开院区等一批项目建设。加快建设分级诊疗体系，建强紧密型县域医共体和城市医疗集团，建成整合型医疗卫生服务体系。加强医、教、研协同发展和科技创新平台建设，加快建设国家区域医疗中心。加强精神卫生和心理健康工作。健全职业病防治体系。鼓励支持社会办医。发挥中医药特色优势。深入开展爱国卫生运动，推广文明健康生活方式。</w:t>
                  </w:r>
                </w:p>
              </w:tc>
              <w:tc>
                <w:tcPr>
                  <w:tcW w:w="2044" w:type="dxa"/>
                  <w:vAlign w:val="center"/>
                </w:tcPr>
                <w:p>
                  <w:pPr>
                    <w:wordWrap w:val="0"/>
                    <w:ind w:left="-84" w:leftChars="-40" w:right="-84" w:rightChars="-40"/>
                    <w:rPr>
                      <w:color w:val="auto"/>
                    </w:rPr>
                  </w:pPr>
                  <w:r>
                    <w:rPr>
                      <w:rFonts w:hint="eastAsia"/>
                      <w:color w:val="auto"/>
                    </w:rPr>
                    <w:t>本项目属于社会办医，拟建设高标准高质量高服务型医院，并涉及中医等特色医疗服务，可完善区域医疗服务体系。</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restart"/>
                  <w:vAlign w:val="center"/>
                </w:tcPr>
                <w:p>
                  <w:pPr>
                    <w:wordWrap w:val="0"/>
                    <w:ind w:left="-84" w:leftChars="-40" w:right="-84" w:rightChars="-40"/>
                    <w:rPr>
                      <w:color w:val="auto"/>
                    </w:rPr>
                  </w:pPr>
                  <w:r>
                    <w:rPr>
                      <w:rFonts w:hint="eastAsia"/>
                      <w:color w:val="auto"/>
                    </w:rPr>
                    <w:t>《陕西省“十四五”医疗废物收集处置能力建设规划》（陕环发〔2022〕34号）</w:t>
                  </w:r>
                </w:p>
              </w:tc>
              <w:tc>
                <w:tcPr>
                  <w:tcW w:w="2693" w:type="dxa"/>
                </w:tcPr>
                <w:p>
                  <w:pPr>
                    <w:wordWrap w:val="0"/>
                    <w:ind w:left="-84" w:leftChars="-40" w:right="-84" w:rightChars="-40"/>
                    <w:rPr>
                      <w:color w:val="auto"/>
                    </w:rPr>
                  </w:pPr>
                  <w:r>
                    <w:rPr>
                      <w:rFonts w:hint="eastAsia"/>
                      <w:color w:val="auto"/>
                    </w:rPr>
                    <w:t xml:space="preserve">医疗机构应加强医疗废物管理，制定完善的医疗废物分类收集贮存管理制度，落实相关职责，明确责任人，建立符合相关标准或规范的医疗废物暂存设施，实现分类收集、分类贮存、分类转移。 </w:t>
                  </w:r>
                </w:p>
                <w:p>
                  <w:pPr>
                    <w:wordWrap w:val="0"/>
                    <w:ind w:left="-84" w:leftChars="-40" w:right="-84" w:rightChars="-40"/>
                    <w:rPr>
                      <w:color w:val="auto"/>
                    </w:rPr>
                  </w:pPr>
                  <w:r>
                    <w:rPr>
                      <w:rFonts w:hint="eastAsia"/>
                      <w:color w:val="auto"/>
                    </w:rPr>
                    <w:t>2023年底前，具有住院病床的医疗卫生机构应建立专门的医疗废物暂存库房；医疗废物暂存库房和暂存柜（箱）应符合《医疗卫生机构医疗废物管理办法》《医疗废物集中处置技术规范（试行）》规定。</w:t>
                  </w:r>
                </w:p>
              </w:tc>
              <w:tc>
                <w:tcPr>
                  <w:tcW w:w="2044" w:type="dxa"/>
                  <w:vAlign w:val="center"/>
                </w:tcPr>
                <w:p>
                  <w:pPr>
                    <w:wordWrap w:val="0"/>
                    <w:ind w:left="-84" w:leftChars="-40" w:right="-84" w:rightChars="-40"/>
                    <w:rPr>
                      <w:color w:val="auto"/>
                    </w:rPr>
                  </w:pPr>
                  <w:r>
                    <w:rPr>
                      <w:rFonts w:hint="eastAsia"/>
                      <w:color w:val="auto"/>
                    </w:rPr>
                    <w:t>评价要求项目建成后制定后完善的医疗废物分类收集贮存管理制度，由专人负责管理。企业于1F设置1间的医疗废物贮存库，对医疗废物进行分类收集、分类贮存，定期交由有资质单位统一外运处置。</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tcPr>
                <w:p>
                  <w:pPr>
                    <w:wordWrap w:val="0"/>
                    <w:spacing w:line="300" w:lineRule="exact"/>
                    <w:ind w:left="-84" w:leftChars="-40" w:right="-84" w:rightChars="-40"/>
                    <w:rPr>
                      <w:color w:val="auto"/>
                    </w:rPr>
                  </w:pPr>
                  <w:r>
                    <w:rPr>
                      <w:rFonts w:hint="eastAsia"/>
                      <w:color w:val="auto"/>
                    </w:rPr>
                    <w:t>医疗废物暂存库房选址必须与生活垃圾存放地分开，必须与医疗区、食品加工区和人员活动密集区隔开，方便医疗废物的装卸、装卸人员及运送车辆的出入。医疗废物暂存库房避免阳光直射库内，应有良好的照明设备和通风条件，地面和1.0米高的墙裙需进行防渗处理。按规定设置危险废物和医疗废物警示标识，应有防鼠、防蚊蝇、防蟑螂、防盗以及预防儿童接触等安全措施。</w:t>
                  </w:r>
                </w:p>
              </w:tc>
              <w:tc>
                <w:tcPr>
                  <w:tcW w:w="2044" w:type="dxa"/>
                  <w:vAlign w:val="center"/>
                </w:tcPr>
                <w:p>
                  <w:pPr>
                    <w:wordWrap w:val="0"/>
                    <w:spacing w:line="300" w:lineRule="exact"/>
                    <w:ind w:left="-84" w:leftChars="-40" w:right="-84" w:rightChars="-40"/>
                    <w:rPr>
                      <w:color w:val="auto"/>
                    </w:rPr>
                  </w:pPr>
                  <w:r>
                    <w:rPr>
                      <w:rFonts w:hint="eastAsia"/>
                      <w:color w:val="auto"/>
                    </w:rPr>
                    <w:t>企业于1F设置1间的医疗废物贮存库。</w:t>
                  </w:r>
                  <w:r>
                    <w:rPr>
                      <w:color w:val="auto"/>
                    </w:rPr>
                    <w:t>医疗废物</w:t>
                  </w:r>
                  <w:r>
                    <w:rPr>
                      <w:rFonts w:hint="eastAsia"/>
                      <w:color w:val="auto"/>
                    </w:rPr>
                    <w:t>贮存库</w:t>
                  </w:r>
                  <w:r>
                    <w:rPr>
                      <w:color w:val="auto"/>
                    </w:rPr>
                    <w:t>与生活垃圾</w:t>
                  </w:r>
                  <w:r>
                    <w:rPr>
                      <w:rFonts w:hint="eastAsia"/>
                      <w:color w:val="auto"/>
                    </w:rPr>
                    <w:t>暂存点</w:t>
                  </w:r>
                  <w:r>
                    <w:rPr>
                      <w:color w:val="auto"/>
                    </w:rPr>
                    <w:t>、人员活动密集区严格分开。项目在运行过程中要严格落实本次评价提出的相关医疗废物暂存间临时贮存场所建设及管理要求</w:t>
                  </w:r>
                  <w:r>
                    <w:rPr>
                      <w:rFonts w:hint="eastAsia"/>
                      <w:color w:val="auto"/>
                    </w:rPr>
                    <w:t xml:space="preserve">。 </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spacing w:line="300" w:lineRule="exact"/>
                    <w:ind w:left="-84" w:leftChars="-40" w:right="-84" w:rightChars="-40"/>
                    <w:rPr>
                      <w:color w:val="auto"/>
                    </w:rPr>
                  </w:pPr>
                  <w:r>
                    <w:rPr>
                      <w:rFonts w:hint="eastAsia"/>
                      <w:color w:val="auto"/>
                    </w:rPr>
                    <w:t>做好源头分类和全过程控制。医疗卫生机构应依据《医疗废物分类目录》制定分类收集清单和流程，实行台账登记管理，明确分类收集、转运和暂存方法与过程控制要求，配置足量的医疗废物收集转运工具。</w:t>
                  </w:r>
                </w:p>
              </w:tc>
              <w:tc>
                <w:tcPr>
                  <w:tcW w:w="2044" w:type="dxa"/>
                  <w:vAlign w:val="center"/>
                </w:tcPr>
                <w:p>
                  <w:pPr>
                    <w:wordWrap w:val="0"/>
                    <w:spacing w:line="300" w:lineRule="exact"/>
                    <w:ind w:left="-84" w:leftChars="-40" w:right="-84" w:rightChars="-40"/>
                    <w:rPr>
                      <w:color w:val="auto"/>
                    </w:rPr>
                  </w:pPr>
                  <w:r>
                    <w:rPr>
                      <w:rFonts w:hint="eastAsia"/>
                      <w:color w:val="auto"/>
                    </w:rPr>
                    <w:t>评价要求企业对各类医疗废物进行分类收集、转运和暂存，暂存，并实行台账登记管理制度，配置足量的医疗废物收集转运工具。</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Align w:val="center"/>
                </w:tcPr>
                <w:p>
                  <w:pPr>
                    <w:wordWrap w:val="0"/>
                    <w:ind w:left="-84" w:leftChars="-40" w:right="-84" w:rightChars="-40"/>
                    <w:rPr>
                      <w:color w:val="auto"/>
                    </w:rPr>
                  </w:pPr>
                  <w:r>
                    <w:rPr>
                      <w:rFonts w:hint="eastAsia"/>
                      <w:color w:val="auto"/>
                    </w:rPr>
                    <w:t>《西安市国民经济和社会发展第十四个五年规划和二〇三五年远景目标纲要》</w:t>
                  </w:r>
                </w:p>
              </w:tc>
              <w:tc>
                <w:tcPr>
                  <w:tcW w:w="2693" w:type="dxa"/>
                  <w:vAlign w:val="center"/>
                </w:tcPr>
                <w:p>
                  <w:pPr>
                    <w:wordWrap w:val="0"/>
                    <w:ind w:left="-84" w:leftChars="-40" w:right="-84" w:rightChars="-40"/>
                    <w:rPr>
                      <w:color w:val="auto"/>
                    </w:rPr>
                  </w:pPr>
                  <w:r>
                    <w:rPr>
                      <w:rFonts w:hint="eastAsia"/>
                      <w:color w:val="auto"/>
                    </w:rPr>
                    <w:t>把保障人民健康放在优先发展的战略位置，不断完善公共卫生服务体系，深化医药卫生体制改革，加大高质量医疗服务供给，建设高标准区域卫生健康中心。加强各级医疗卫生机构基础施和能力建设，加快优质医疗资源扩容。</w:t>
                  </w:r>
                </w:p>
              </w:tc>
              <w:tc>
                <w:tcPr>
                  <w:tcW w:w="2044" w:type="dxa"/>
                  <w:vAlign w:val="center"/>
                </w:tcPr>
                <w:p>
                  <w:pPr>
                    <w:wordWrap w:val="0"/>
                    <w:ind w:left="-84" w:leftChars="-40" w:right="-84" w:rightChars="-40"/>
                    <w:rPr>
                      <w:color w:val="auto"/>
                    </w:rPr>
                  </w:pPr>
                  <w:r>
                    <w:rPr>
                      <w:rFonts w:hint="eastAsia"/>
                      <w:color w:val="auto"/>
                    </w:rPr>
                    <w:t>本项目建成后可为区域人群提供高标准高质量的优质医疗服务。</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Align w:val="center"/>
                </w:tcPr>
                <w:p>
                  <w:pPr>
                    <w:wordWrap w:val="0"/>
                    <w:ind w:left="-84" w:leftChars="-40" w:right="-84" w:rightChars="-40"/>
                    <w:rPr>
                      <w:color w:val="auto"/>
                    </w:rPr>
                  </w:pPr>
                  <w:r>
                    <w:rPr>
                      <w:rFonts w:hint="eastAsia"/>
                      <w:color w:val="auto"/>
                    </w:rPr>
                    <w:t>《西安市人民政府关于印发“十四五”卫生健康事业发展规划的通知》（市政发〔2022〕6 号）</w:t>
                  </w:r>
                </w:p>
              </w:tc>
              <w:tc>
                <w:tcPr>
                  <w:tcW w:w="2693" w:type="dxa"/>
                  <w:vAlign w:val="center"/>
                </w:tcPr>
                <w:p>
                  <w:pPr>
                    <w:wordWrap w:val="0"/>
                    <w:ind w:left="-84" w:leftChars="-40" w:right="-84" w:rightChars="-40"/>
                    <w:rPr>
                      <w:color w:val="auto"/>
                    </w:rPr>
                  </w:pPr>
                  <w:r>
                    <w:rPr>
                      <w:rFonts w:hint="eastAsia"/>
                      <w:color w:val="auto"/>
                    </w:rPr>
                    <w:t>加快优质医疗资源扩容和区域均衡布局。建成市儿童医院经开院区等13个医院，引导社会资本举办高层次、有特色的医疗卫生机构，更好满足城乡居民多层次、多元化医疗健康服务需求。</w:t>
                  </w:r>
                </w:p>
                <w:p>
                  <w:pPr>
                    <w:wordWrap w:val="0"/>
                    <w:ind w:left="-84" w:leftChars="-40" w:right="-84" w:rightChars="-40"/>
                    <w:rPr>
                      <w:color w:val="auto"/>
                    </w:rPr>
                  </w:pPr>
                  <w:r>
                    <w:rPr>
                      <w:rFonts w:hint="eastAsia"/>
                      <w:color w:val="auto"/>
                    </w:rPr>
                    <w:t>充分发挥西安的区位优势，抓住“一带一路”建设、新时代推进西部大开发形成新格局以及建设国家中心城市等重大战略机遇，以医学科技创新为核心竞争力，整合全市各类创新要素，全面创新改革，建设国家区域医疗中心，打造具有充足创新活力的医疗和医学科技高地，保持在西部地区的领先优势，提高西安医学科技的全国和国际影响力。</w:t>
                  </w:r>
                </w:p>
              </w:tc>
              <w:tc>
                <w:tcPr>
                  <w:tcW w:w="2044" w:type="dxa"/>
                  <w:vAlign w:val="center"/>
                </w:tcPr>
                <w:p>
                  <w:pPr>
                    <w:wordWrap w:val="0"/>
                    <w:ind w:left="-84" w:leftChars="-40" w:right="-84" w:rightChars="-40"/>
                    <w:rPr>
                      <w:color w:val="auto"/>
                    </w:rPr>
                  </w:pPr>
                  <w:r>
                    <w:rPr>
                      <w:rFonts w:hint="eastAsia"/>
                      <w:color w:val="auto"/>
                    </w:rPr>
                    <w:t>本项目属于综合性医院，建成后可以提供高标准高质量的优质医疗服务，为周围区域提供多元化的、专业化的医疗服务及护理。</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restart"/>
                  <w:vAlign w:val="center"/>
                </w:tcPr>
                <w:p>
                  <w:pPr>
                    <w:wordWrap w:val="0"/>
                    <w:ind w:left="-84" w:leftChars="-40" w:right="-84" w:rightChars="-40"/>
                    <w:rPr>
                      <w:color w:val="auto"/>
                    </w:rPr>
                  </w:pPr>
                  <w:r>
                    <w:rPr>
                      <w:color w:val="auto"/>
                    </w:rPr>
                    <w:t>关于印发“十四五”生态环境保护规划的通知陕政办发〔2021〕25号</w:t>
                  </w:r>
                </w:p>
              </w:tc>
              <w:tc>
                <w:tcPr>
                  <w:tcW w:w="2693" w:type="dxa"/>
                  <w:vAlign w:val="center"/>
                </w:tcPr>
                <w:p>
                  <w:pPr>
                    <w:wordWrap w:val="0"/>
                    <w:ind w:left="-84" w:leftChars="-40" w:right="-84" w:rightChars="-40"/>
                    <w:rPr>
                      <w:color w:val="auto"/>
                    </w:rPr>
                  </w:pPr>
                  <w:r>
                    <w:rPr>
                      <w:rFonts w:hint="eastAsia"/>
                      <w:color w:val="auto"/>
                    </w:rPr>
                    <w:t>推动大气氨排放控制，建立大气氨排放清单，摸清大气氨重点排放源。</w:t>
                  </w:r>
                </w:p>
              </w:tc>
              <w:tc>
                <w:tcPr>
                  <w:tcW w:w="2044" w:type="dxa"/>
                  <w:vAlign w:val="center"/>
                </w:tcPr>
                <w:p>
                  <w:pPr>
                    <w:wordWrap w:val="0"/>
                    <w:autoSpaceDE w:val="0"/>
                    <w:autoSpaceDN w:val="0"/>
                    <w:adjustRightInd w:val="0"/>
                    <w:ind w:left="-84" w:leftChars="-40" w:right="-84" w:rightChars="-40"/>
                    <w:rPr>
                      <w:color w:val="auto"/>
                    </w:rPr>
                  </w:pPr>
                  <w:r>
                    <w:rPr>
                      <w:rFonts w:hint="eastAsia"/>
                      <w:color w:val="auto"/>
                    </w:rPr>
                    <w:t>本项目一体化污水处理设施位于地下一层，为，各构筑物均密闭，同时日常喷洒除臭剂，可有效降低恶臭影响。</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spacing w:line="300" w:lineRule="exact"/>
                    <w:ind w:left="-84" w:leftChars="-40" w:right="-84" w:rightChars="-40"/>
                    <w:rPr>
                      <w:color w:val="auto"/>
                    </w:rPr>
                  </w:pPr>
                  <w:r>
                    <w:rPr>
                      <w:rFonts w:hint="eastAsia"/>
                      <w:color w:val="auto"/>
                    </w:rPr>
                    <w:t>持续推进工业污水治理。引导工业企业污水近零排放，降低污染负荷。</w:t>
                  </w:r>
                </w:p>
              </w:tc>
              <w:tc>
                <w:tcPr>
                  <w:tcW w:w="2044" w:type="dxa"/>
                  <w:vAlign w:val="center"/>
                </w:tcPr>
                <w:p>
                  <w:pPr>
                    <w:wordWrap w:val="0"/>
                    <w:autoSpaceDE w:val="0"/>
                    <w:autoSpaceDN w:val="0"/>
                    <w:adjustRightInd w:val="0"/>
                    <w:spacing w:line="240" w:lineRule="atLeast"/>
                    <w:ind w:left="-84" w:leftChars="-40" w:right="-84" w:rightChars="-40"/>
                    <w:rPr>
                      <w:color w:val="auto"/>
                    </w:rPr>
                  </w:pPr>
                  <w:r>
                    <w:rPr>
                      <w:rFonts w:hint="eastAsia"/>
                      <w:color w:val="auto"/>
                    </w:rPr>
                    <w:t>本项目产生的医疗废水及生活污水经一体化污水处理设施处理后进入国色天香化粪池，后经市政污水管网排入西安市第九污水处理厂。</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spacing w:line="300" w:lineRule="exact"/>
                    <w:ind w:left="-84" w:leftChars="-40" w:right="-84" w:rightChars="-40"/>
                    <w:rPr>
                      <w:color w:val="auto"/>
                    </w:rPr>
                  </w:pPr>
                  <w:r>
                    <w:rPr>
                      <w:rFonts w:hint="eastAsia"/>
                      <w:color w:val="auto"/>
                    </w:rPr>
                    <w:t>强化土壤污染源头控制。</w:t>
                  </w:r>
                </w:p>
                <w:p>
                  <w:pPr>
                    <w:wordWrap w:val="0"/>
                    <w:spacing w:line="300" w:lineRule="exact"/>
                    <w:ind w:left="-84" w:leftChars="-40" w:right="-84" w:rightChars="-40"/>
                    <w:rPr>
                      <w:color w:val="auto"/>
                    </w:rPr>
                  </w:pPr>
                  <w:r>
                    <w:rPr>
                      <w:rFonts w:hint="eastAsia"/>
                      <w:color w:val="auto"/>
                    </w:rPr>
                    <w:t>强化地下水污染源头预防。</w:t>
                  </w:r>
                </w:p>
              </w:tc>
              <w:tc>
                <w:tcPr>
                  <w:tcW w:w="2044" w:type="dxa"/>
                  <w:vAlign w:val="center"/>
                </w:tcPr>
                <w:p>
                  <w:pPr>
                    <w:wordWrap w:val="0"/>
                    <w:spacing w:line="300" w:lineRule="exact"/>
                    <w:ind w:left="-84" w:leftChars="-40" w:right="-84" w:rightChars="-40"/>
                    <w:rPr>
                      <w:color w:val="auto"/>
                    </w:rPr>
                  </w:pPr>
                  <w:r>
                    <w:rPr>
                      <w:rFonts w:hint="eastAsia"/>
                      <w:color w:val="auto"/>
                    </w:rPr>
                    <w:t>本项目医疗废物贮存库设置于1F，地面进行硬化，地面及1米高墙裙进行防渗处理；污水处理站为地下式，污水处理站为一体化箱式结构，箱体内地面进行防腐防渗处理，箱体结构下方的土壤进行混凝土硬化处理，因此项目不会对土壤及地下水环境造成污染。</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spacing w:line="300" w:lineRule="exact"/>
                    <w:ind w:left="-84" w:leftChars="-40" w:right="-84" w:rightChars="-40"/>
                    <w:rPr>
                      <w:color w:val="auto"/>
                    </w:rPr>
                  </w:pPr>
                  <w:r>
                    <w:rPr>
                      <w:rFonts w:hint="eastAsia"/>
                      <w:color w:val="auto"/>
                    </w:rPr>
                    <w:t>各县（市、区）完善医疗废物收集转运处置体系并覆盖农村地区，强化医疗废物处置全过程监管，做到源头分类、规范消毒、应收尽收，逐步实现三级以上医疗机构医疗废物管理信息化。</w:t>
                  </w:r>
                </w:p>
              </w:tc>
              <w:tc>
                <w:tcPr>
                  <w:tcW w:w="2044" w:type="dxa"/>
                  <w:vAlign w:val="center"/>
                </w:tcPr>
                <w:p>
                  <w:pPr>
                    <w:wordWrap w:val="0"/>
                    <w:spacing w:line="300" w:lineRule="exact"/>
                    <w:ind w:left="-84" w:leftChars="-40" w:right="-84" w:rightChars="-40"/>
                    <w:rPr>
                      <w:color w:val="auto"/>
                    </w:rPr>
                  </w:pPr>
                  <w:r>
                    <w:rPr>
                      <w:rFonts w:hint="eastAsia"/>
                      <w:color w:val="auto"/>
                    </w:rPr>
                    <w:t>本项目对各类医疗废物分类收集，采用专用的医疗废物包装袋进行包装后暂存于医疗废物贮存库内分类暂存，定期交由有资质单位统一外运处置，并建立转移联单制度。</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Align w:val="center"/>
                </w:tcPr>
                <w:p>
                  <w:pPr>
                    <w:wordWrap w:val="0"/>
                    <w:ind w:left="-84" w:leftChars="-40" w:right="-84" w:rightChars="-40"/>
                    <w:rPr>
                      <w:color w:val="auto"/>
                    </w:rPr>
                  </w:pPr>
                  <w:r>
                    <w:rPr>
                      <w:rFonts w:hint="eastAsia"/>
                      <w:color w:val="auto"/>
                    </w:rPr>
                    <w:t>《陕西省大气污染防治条例》（2023年修订）</w:t>
                  </w:r>
                </w:p>
              </w:tc>
              <w:tc>
                <w:tcPr>
                  <w:tcW w:w="2693" w:type="dxa"/>
                  <w:vAlign w:val="center"/>
                </w:tcPr>
                <w:p>
                  <w:pPr>
                    <w:wordWrap w:val="0"/>
                    <w:ind w:left="-84" w:leftChars="-40" w:right="-84" w:rightChars="-40"/>
                    <w:rPr>
                      <w:color w:val="auto"/>
                    </w:rPr>
                  </w:pPr>
                  <w:r>
                    <w:rPr>
                      <w:rFonts w:hint="eastAsia"/>
                      <w:color w:val="auto"/>
                    </w:rPr>
                    <w:t>向大气排放恶臭气体的单位，应当采取有效治理措施，防止周围居民受到污染。</w:t>
                  </w:r>
                </w:p>
              </w:tc>
              <w:tc>
                <w:tcPr>
                  <w:tcW w:w="2044" w:type="dxa"/>
                  <w:vAlign w:val="center"/>
                </w:tcPr>
                <w:p>
                  <w:pPr>
                    <w:wordWrap w:val="0"/>
                    <w:ind w:left="-84" w:leftChars="-40" w:right="-84" w:rightChars="-40"/>
                    <w:rPr>
                      <w:color w:val="auto"/>
                    </w:rPr>
                  </w:pPr>
                  <w:r>
                    <w:rPr>
                      <w:rFonts w:hint="eastAsia"/>
                      <w:color w:val="auto"/>
                    </w:rPr>
                    <w:t>本项目一体化污水处理设施位于地下一层，为，各构筑物均密闭，同时日常喷洒除臭剂，可有效降低恶臭影响。</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restart"/>
                  <w:vAlign w:val="center"/>
                </w:tcPr>
                <w:p>
                  <w:pPr>
                    <w:wordWrap w:val="0"/>
                    <w:ind w:left="-84" w:leftChars="-40" w:right="-84" w:rightChars="-40"/>
                    <w:rPr>
                      <w:color w:val="auto"/>
                    </w:rPr>
                  </w:pPr>
                  <w:r>
                    <w:rPr>
                      <w:rFonts w:hint="eastAsia"/>
                      <w:color w:val="auto"/>
                    </w:rPr>
                    <w:t>《陕西省固体废物污染环境防治条例》（2019年修正）</w:t>
                  </w:r>
                </w:p>
              </w:tc>
              <w:tc>
                <w:tcPr>
                  <w:tcW w:w="2693" w:type="dxa"/>
                  <w:vAlign w:val="center"/>
                </w:tcPr>
                <w:p>
                  <w:pPr>
                    <w:wordWrap w:val="0"/>
                    <w:ind w:left="-84" w:leftChars="-40" w:right="-84" w:rightChars="-40"/>
                    <w:rPr>
                      <w:color w:val="auto"/>
                    </w:rPr>
                  </w:pPr>
                  <w:r>
                    <w:rPr>
                      <w:rFonts w:hint="eastAsia"/>
                      <w:color w:val="auto"/>
                    </w:rPr>
                    <w:t>医疗废物产生单位应当按照国家和本省的规定分类收集，建立临时贮存点，其容器、包装、设施应当符合《医疗废物专用包装物、容器标准和警示标识规定》。</w:t>
                  </w:r>
                </w:p>
              </w:tc>
              <w:tc>
                <w:tcPr>
                  <w:tcW w:w="2044" w:type="dxa"/>
                  <w:vAlign w:val="center"/>
                </w:tcPr>
                <w:p>
                  <w:pPr>
                    <w:wordWrap w:val="0"/>
                    <w:ind w:left="-84" w:leftChars="-40" w:right="-84" w:rightChars="-40"/>
                    <w:rPr>
                      <w:color w:val="auto"/>
                    </w:rPr>
                  </w:pPr>
                  <w:r>
                    <w:rPr>
                      <w:rFonts w:hint="eastAsia"/>
                      <w:color w:val="auto"/>
                    </w:rPr>
                    <w:t>本项目产生的各类医疗废物分类集中收集，贮存于独立的医疗废物贮存库内，评价要求其包装容器及设施按照《医疗废物专用包装物、容器标准和警示标识规定》设置。</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spacing w:line="300" w:lineRule="exact"/>
                    <w:ind w:left="-84" w:leftChars="-40" w:right="-84" w:rightChars="-40"/>
                    <w:rPr>
                      <w:color w:val="auto"/>
                    </w:rPr>
                  </w:pPr>
                  <w:r>
                    <w:rPr>
                      <w:rFonts w:hint="eastAsia"/>
                      <w:color w:val="auto"/>
                    </w:rPr>
                    <w:t>医疗废物产生单位应当与集中处置单位签订医疗废物收运、处置协议，载明收运时间、处置费用、违约责任等内容，明确双方权利义务。</w:t>
                  </w:r>
                </w:p>
              </w:tc>
              <w:tc>
                <w:tcPr>
                  <w:tcW w:w="2044" w:type="dxa"/>
                  <w:vAlign w:val="center"/>
                </w:tcPr>
                <w:p>
                  <w:pPr>
                    <w:wordWrap w:val="0"/>
                    <w:spacing w:line="300" w:lineRule="exact"/>
                    <w:ind w:left="-84" w:leftChars="-40" w:right="-84" w:rightChars="-40"/>
                    <w:rPr>
                      <w:color w:val="auto"/>
                    </w:rPr>
                  </w:pPr>
                  <w:r>
                    <w:rPr>
                      <w:rFonts w:hint="eastAsia"/>
                      <w:color w:val="auto"/>
                    </w:rPr>
                    <w:t>本项目将与有医疗废物处置资质的单位签订收运、处置协议，对医疗废物定期外运处置</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autoSpaceDE w:val="0"/>
                    <w:autoSpaceDN w:val="0"/>
                    <w:adjustRightInd w:val="0"/>
                    <w:spacing w:line="240" w:lineRule="atLeast"/>
                    <w:ind w:left="-84" w:leftChars="-40" w:right="-84" w:rightChars="-40"/>
                    <w:rPr>
                      <w:color w:val="auto"/>
                    </w:rPr>
                  </w:pPr>
                  <w:r>
                    <w:rPr>
                      <w:color w:val="auto"/>
                    </w:rPr>
                    <w:t>危险废物的容器和包装物以及收集、贮存、运输、处置危险废物的设施、场所，应当设置危险废物识别标志。</w:t>
                  </w:r>
                </w:p>
              </w:tc>
              <w:tc>
                <w:tcPr>
                  <w:tcW w:w="2044" w:type="dxa"/>
                  <w:vAlign w:val="center"/>
                </w:tcPr>
                <w:p>
                  <w:pPr>
                    <w:wordWrap w:val="0"/>
                    <w:autoSpaceDE w:val="0"/>
                    <w:autoSpaceDN w:val="0"/>
                    <w:adjustRightInd w:val="0"/>
                    <w:spacing w:line="240" w:lineRule="atLeast"/>
                    <w:ind w:left="-84" w:leftChars="-40" w:right="-84" w:rightChars="-40"/>
                    <w:rPr>
                      <w:color w:val="auto"/>
                    </w:rPr>
                  </w:pPr>
                  <w:r>
                    <w:rPr>
                      <w:rFonts w:hint="eastAsia"/>
                      <w:color w:val="auto"/>
                    </w:rPr>
                    <w:t>评价要求企业对医疗废物贮存库以及各类危险废物包装容器均设置标志。</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autoSpaceDE w:val="0"/>
                    <w:autoSpaceDN w:val="0"/>
                    <w:adjustRightInd w:val="0"/>
                    <w:spacing w:line="300" w:lineRule="exact"/>
                    <w:ind w:left="-84" w:leftChars="-40" w:right="-84" w:rightChars="-40"/>
                    <w:rPr>
                      <w:color w:val="auto"/>
                    </w:rPr>
                  </w:pPr>
                  <w:r>
                    <w:rPr>
                      <w:rFonts w:hint="eastAsia"/>
                      <w:color w:val="auto"/>
                    </w:rPr>
                    <w:t xml:space="preserve">产生危险废物的单位应当按照危险废物产生、贮存、利用、处置管理流程建立台账，如实记载产生危险废物的种类、数量、流向、贮存、利用、处置等信息。危险废物台账应当至少保存十年，企业重组、改制的，由承继企业接管保存；企业破产、倒闭的，应当将危险废物台账移交当地生态环境行政主管部门保存。 </w:t>
                  </w:r>
                </w:p>
              </w:tc>
              <w:tc>
                <w:tcPr>
                  <w:tcW w:w="2044" w:type="dxa"/>
                  <w:vAlign w:val="center"/>
                </w:tcPr>
                <w:p>
                  <w:pPr>
                    <w:wordWrap w:val="0"/>
                    <w:autoSpaceDE w:val="0"/>
                    <w:autoSpaceDN w:val="0"/>
                    <w:adjustRightInd w:val="0"/>
                    <w:spacing w:line="300" w:lineRule="exact"/>
                    <w:ind w:left="-84" w:leftChars="-40" w:right="-84" w:rightChars="-40"/>
                    <w:rPr>
                      <w:color w:val="auto"/>
                    </w:rPr>
                  </w:pPr>
                  <w:r>
                    <w:rPr>
                      <w:rFonts w:hint="eastAsia"/>
                      <w:color w:val="auto"/>
                    </w:rPr>
                    <w:t>评价要求企业对医疗废物建有完善的台账记录制度，记载医疗废物的种类、数量、流向、贮存、利用、处置等信息。同时台账记录保存至少十年。</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restart"/>
                  <w:vAlign w:val="center"/>
                </w:tcPr>
                <w:p>
                  <w:pPr>
                    <w:wordWrap w:val="0"/>
                    <w:ind w:left="-84" w:leftChars="-40" w:right="-84" w:rightChars="-40"/>
                    <w:rPr>
                      <w:color w:val="auto"/>
                    </w:rPr>
                  </w:pPr>
                  <w:r>
                    <w:rPr>
                      <w:rFonts w:hint="eastAsia"/>
                      <w:color w:val="auto"/>
                    </w:rPr>
                    <w:t>《西安市“十四五”生态环境保护规划》（市政发[2021]21号）</w:t>
                  </w:r>
                </w:p>
              </w:tc>
              <w:tc>
                <w:tcPr>
                  <w:tcW w:w="2693" w:type="dxa"/>
                  <w:vAlign w:val="center"/>
                </w:tcPr>
                <w:p>
                  <w:pPr>
                    <w:wordWrap w:val="0"/>
                    <w:autoSpaceDE w:val="0"/>
                    <w:autoSpaceDN w:val="0"/>
                    <w:adjustRightInd w:val="0"/>
                    <w:ind w:left="-84" w:leftChars="-40" w:right="-84" w:rightChars="-40"/>
                    <w:rPr>
                      <w:color w:val="auto"/>
                    </w:rPr>
                  </w:pPr>
                  <w:r>
                    <w:rPr>
                      <w:rFonts w:hint="eastAsia"/>
                      <w:color w:val="auto"/>
                    </w:rPr>
                    <w:t>推动大气氨排放控制。</w:t>
                  </w:r>
                </w:p>
              </w:tc>
              <w:tc>
                <w:tcPr>
                  <w:tcW w:w="2044" w:type="dxa"/>
                  <w:vAlign w:val="center"/>
                </w:tcPr>
                <w:p>
                  <w:pPr>
                    <w:wordWrap w:val="0"/>
                    <w:autoSpaceDE w:val="0"/>
                    <w:autoSpaceDN w:val="0"/>
                    <w:adjustRightInd w:val="0"/>
                    <w:ind w:left="-84" w:leftChars="-40" w:right="-84" w:rightChars="-40"/>
                    <w:rPr>
                      <w:color w:val="auto"/>
                    </w:rPr>
                  </w:pPr>
                  <w:r>
                    <w:rPr>
                      <w:rFonts w:hint="eastAsia"/>
                      <w:color w:val="auto"/>
                    </w:rPr>
                    <w:t>本项目一体化污水处理设施位于地下一层，为，各构筑物均密闭，同时日常喷洒除臭剂，可有效降低恶臭影响。</w:t>
                  </w:r>
                </w:p>
              </w:tc>
              <w:tc>
                <w:tcPr>
                  <w:tcW w:w="557" w:type="dxa"/>
                  <w:vMerge w:val="restart"/>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autoSpaceDE w:val="0"/>
                    <w:autoSpaceDN w:val="0"/>
                    <w:adjustRightInd w:val="0"/>
                    <w:spacing w:line="240" w:lineRule="atLeast"/>
                    <w:ind w:left="-84" w:leftChars="-40" w:right="-84" w:rightChars="-40"/>
                    <w:rPr>
                      <w:color w:val="auto"/>
                    </w:rPr>
                  </w:pPr>
                  <w:r>
                    <w:rPr>
                      <w:rFonts w:hint="eastAsia"/>
                      <w:color w:val="auto"/>
                    </w:rPr>
                    <w:t>建筑施工噪声防治。加强施工噪声管理，实施城市建筑施工环保公告制度，推进利用噪声自动监测系统对建筑施工进行实时监督的措施。在建筑施工过程中推广使用低噪声设备和工艺，科学合理安排工期，加大对夜间施工作业的管理力度，确保施工噪声达标排放。</w:t>
                  </w:r>
                </w:p>
              </w:tc>
              <w:tc>
                <w:tcPr>
                  <w:tcW w:w="2044" w:type="dxa"/>
                  <w:vAlign w:val="center"/>
                </w:tcPr>
                <w:p>
                  <w:pPr>
                    <w:wordWrap w:val="0"/>
                    <w:autoSpaceDE w:val="0"/>
                    <w:autoSpaceDN w:val="0"/>
                    <w:adjustRightInd w:val="0"/>
                    <w:spacing w:line="240" w:lineRule="atLeast"/>
                    <w:ind w:left="-84" w:leftChars="-40" w:right="-84" w:rightChars="-40"/>
                    <w:rPr>
                      <w:color w:val="auto"/>
                    </w:rPr>
                  </w:pPr>
                  <w:r>
                    <w:rPr>
                      <w:rFonts w:hint="eastAsia"/>
                      <w:color w:val="auto"/>
                    </w:rPr>
                    <w:t>本项目施工期仅进行装修及设备安装调试，施工过程避开午休及夜间时间，并选用低噪设备设备，可确保施工噪声达标排放。</w:t>
                  </w:r>
                </w:p>
              </w:tc>
              <w:tc>
                <w:tcPr>
                  <w:tcW w:w="557" w:type="dxa"/>
                  <w:vMerge w:val="continue"/>
                  <w:vAlign w:val="center"/>
                </w:tcPr>
                <w:p>
                  <w:pPr>
                    <w:wordWrap w:val="0"/>
                    <w:ind w:left="-84" w:leftChars="-40" w:right="-84" w:rightChars="-4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autoSpaceDE w:val="0"/>
                    <w:autoSpaceDN w:val="0"/>
                    <w:adjustRightInd w:val="0"/>
                    <w:spacing w:line="240" w:lineRule="atLeast"/>
                    <w:ind w:left="-84" w:leftChars="-40" w:right="-84" w:rightChars="-40"/>
                    <w:rPr>
                      <w:color w:val="auto"/>
                    </w:rPr>
                  </w:pPr>
                  <w:r>
                    <w:rPr>
                      <w:rFonts w:hint="eastAsia"/>
                      <w:color w:val="auto"/>
                    </w:rPr>
                    <w:t>工业企业噪声防治。加强工业噪声环境监管力度，严厉查处工业企业噪声排放超标扰民行为。</w:t>
                  </w:r>
                </w:p>
              </w:tc>
              <w:tc>
                <w:tcPr>
                  <w:tcW w:w="2044" w:type="dxa"/>
                  <w:vAlign w:val="center"/>
                </w:tcPr>
                <w:p>
                  <w:pPr>
                    <w:wordWrap w:val="0"/>
                    <w:autoSpaceDE w:val="0"/>
                    <w:autoSpaceDN w:val="0"/>
                    <w:adjustRightInd w:val="0"/>
                    <w:spacing w:line="240" w:lineRule="atLeast"/>
                    <w:ind w:left="-84" w:leftChars="-40" w:right="-84" w:rightChars="-40"/>
                    <w:rPr>
                      <w:color w:val="auto"/>
                    </w:rPr>
                  </w:pPr>
                  <w:r>
                    <w:rPr>
                      <w:color w:val="auto"/>
                    </w:rPr>
                    <w:t>项目营运期噪声源主要为</w:t>
                  </w:r>
                  <w:r>
                    <w:rPr>
                      <w:rFonts w:hint="eastAsia"/>
                      <w:color w:val="auto"/>
                    </w:rPr>
                    <w:t>污水提升泵、</w:t>
                  </w:r>
                  <w:r>
                    <w:rPr>
                      <w:color w:val="auto"/>
                    </w:rPr>
                    <w:t>空调室外机组等设备在运行过程中产生的噪声，通过选用低噪设备，采取基础减振、设置隔声屏障等治理措施后能够达标排放</w:t>
                  </w:r>
                </w:p>
              </w:tc>
              <w:tc>
                <w:tcPr>
                  <w:tcW w:w="557" w:type="dxa"/>
                  <w:vMerge w:val="continue"/>
                  <w:vAlign w:val="center"/>
                </w:tcPr>
                <w:p>
                  <w:pPr>
                    <w:wordWrap w:val="0"/>
                    <w:ind w:left="-84" w:leftChars="-40" w:right="-84" w:rightChars="-4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autoSpaceDE w:val="0"/>
                    <w:autoSpaceDN w:val="0"/>
                    <w:adjustRightInd w:val="0"/>
                    <w:spacing w:line="240" w:lineRule="atLeast"/>
                    <w:ind w:left="-84" w:leftChars="-40" w:right="-84" w:rightChars="-40"/>
                    <w:rPr>
                      <w:color w:val="auto"/>
                    </w:rPr>
                  </w:pPr>
                  <w:r>
                    <w:rPr>
                      <w:rFonts w:hint="eastAsia"/>
                      <w:color w:val="auto"/>
                    </w:rPr>
                    <w:t>推进工业水污染防治。</w:t>
                  </w:r>
                </w:p>
              </w:tc>
              <w:tc>
                <w:tcPr>
                  <w:tcW w:w="2044" w:type="dxa"/>
                  <w:vAlign w:val="center"/>
                </w:tcPr>
                <w:p>
                  <w:pPr>
                    <w:wordWrap w:val="0"/>
                    <w:autoSpaceDE w:val="0"/>
                    <w:autoSpaceDN w:val="0"/>
                    <w:adjustRightInd w:val="0"/>
                    <w:spacing w:line="240" w:lineRule="atLeast"/>
                    <w:ind w:left="-84" w:leftChars="-40" w:right="-84" w:rightChars="-40"/>
                    <w:rPr>
                      <w:color w:val="auto"/>
                    </w:rPr>
                  </w:pPr>
                  <w:r>
                    <w:rPr>
                      <w:rFonts w:hint="eastAsia"/>
                      <w:color w:val="auto"/>
                    </w:rPr>
                    <w:t>本项目产生的医疗废水及生活污水经一体化污水处理设施处理后进入国色天香化粪池</w:t>
                  </w:r>
                  <w:r>
                    <w:rPr>
                      <w:color w:val="auto"/>
                    </w:rPr>
                    <w:t>，</w:t>
                  </w:r>
                  <w:r>
                    <w:rPr>
                      <w:rFonts w:hint="eastAsia"/>
                      <w:color w:val="auto"/>
                    </w:rPr>
                    <w:t>后经</w:t>
                  </w:r>
                  <w:r>
                    <w:rPr>
                      <w:color w:val="auto"/>
                    </w:rPr>
                    <w:t>市政污水管网排入西安市第九污水处理厂</w:t>
                  </w:r>
                  <w:r>
                    <w:rPr>
                      <w:rFonts w:hint="eastAsia"/>
                      <w:color w:val="auto"/>
                    </w:rPr>
                    <w:t>。</w:t>
                  </w:r>
                </w:p>
              </w:tc>
              <w:tc>
                <w:tcPr>
                  <w:tcW w:w="557" w:type="dxa"/>
                  <w:vMerge w:val="continue"/>
                  <w:vAlign w:val="center"/>
                </w:tcPr>
                <w:p>
                  <w:pPr>
                    <w:wordWrap w:val="0"/>
                    <w:ind w:left="-84" w:leftChars="-40" w:right="-84" w:rightChars="-4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1544" w:type="dxa"/>
                  <w:vAlign w:val="center"/>
                </w:tcPr>
                <w:p>
                  <w:pPr>
                    <w:wordWrap w:val="0"/>
                    <w:ind w:left="-84" w:leftChars="-40" w:right="-84" w:rightChars="-40"/>
                    <w:rPr>
                      <w:color w:val="auto"/>
                    </w:rPr>
                  </w:pPr>
                  <w:r>
                    <w:rPr>
                      <w:rFonts w:hint="eastAsia"/>
                      <w:color w:val="auto"/>
                    </w:rPr>
                    <w:t>《西安市大气污染防治专项行动方案（2023-2027）》</w:t>
                  </w:r>
                </w:p>
              </w:tc>
              <w:tc>
                <w:tcPr>
                  <w:tcW w:w="2693" w:type="dxa"/>
                  <w:vAlign w:val="center"/>
                </w:tcPr>
                <w:p>
                  <w:pPr>
                    <w:wordWrap w:val="0"/>
                    <w:autoSpaceDE w:val="0"/>
                    <w:autoSpaceDN w:val="0"/>
                    <w:adjustRightInd w:val="0"/>
                    <w:ind w:left="-84" w:leftChars="-40" w:right="-84" w:rightChars="-40"/>
                    <w:rPr>
                      <w:color w:val="auto"/>
                    </w:rPr>
                  </w:pPr>
                  <w:r>
                    <w:rPr>
                      <w:rFonts w:hint="eastAsia"/>
                      <w:color w:val="auto"/>
                    </w:rPr>
                    <w:t>严把燃煤锅炉准入关口。城市建成区禁止新建燃煤锅炉，推动燃气锅炉实施低氮燃烧深度改造，鼓励企业将氮氧化物浓度控制在30毫克/立方米以内。</w:t>
                  </w:r>
                </w:p>
              </w:tc>
              <w:tc>
                <w:tcPr>
                  <w:tcW w:w="2044" w:type="dxa"/>
                  <w:vAlign w:val="center"/>
                </w:tcPr>
                <w:p>
                  <w:pPr>
                    <w:wordWrap w:val="0"/>
                    <w:autoSpaceDE w:val="0"/>
                    <w:autoSpaceDN w:val="0"/>
                    <w:adjustRightInd w:val="0"/>
                    <w:ind w:left="-84" w:leftChars="-40" w:right="-84" w:rightChars="-40"/>
                    <w:rPr>
                      <w:color w:val="auto"/>
                    </w:rPr>
                  </w:pPr>
                  <w:r>
                    <w:rPr>
                      <w:rFonts w:hint="eastAsia"/>
                      <w:color w:val="auto"/>
                    </w:rPr>
                    <w:t>本项目不涉及锅炉，冬季供暖为市政供热。</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restart"/>
                  <w:vAlign w:val="center"/>
                </w:tcPr>
                <w:p>
                  <w:pPr>
                    <w:wordWrap w:val="0"/>
                    <w:ind w:left="-84" w:leftChars="-40" w:right="-84" w:rightChars="-40"/>
                    <w:rPr>
                      <w:color w:val="auto"/>
                    </w:rPr>
                  </w:pPr>
                  <w:r>
                    <w:rPr>
                      <w:color w:val="auto"/>
                    </w:rPr>
                    <w:t>《医疗机构废弃物综合治理工作方案》国卫医发〔2020〕3 号</w:t>
                  </w:r>
                </w:p>
              </w:tc>
              <w:tc>
                <w:tcPr>
                  <w:tcW w:w="2693" w:type="dxa"/>
                  <w:vAlign w:val="center"/>
                </w:tcPr>
                <w:p>
                  <w:pPr>
                    <w:wordWrap w:val="0"/>
                    <w:ind w:left="-84" w:leftChars="-40" w:right="-84" w:rightChars="-40"/>
                    <w:rPr>
                      <w:color w:val="auto"/>
                    </w:rPr>
                  </w:pPr>
                  <w:r>
                    <w:rPr>
                      <w:color w:val="auto"/>
                    </w:rPr>
                    <w:t>进一步明确处置要求。医疗机构按照《医疗废物分类目录》等要求制定具体的分类收集清单。严格落实危险废物申报登记和管理计划备案要求，依法向生态环境部门申报医疗废物的种类、产生量、流向、贮存和处置等情况。严禁混合医疗废物、生活垃圾和输液瓶（袋），严禁混放各类医疗废物。规范医疗废物贮存场所（设施）管理，不得露天存放。及时告知并将医疗废物交由持有危险废物经营许可证的集中处置单位，执行转移联单并做好交接登记，资料保存不少于3</w:t>
                  </w:r>
                  <w:r>
                    <w:rPr>
                      <w:rFonts w:ascii="宋体" w:hAnsi="宋体"/>
                      <w:color w:val="auto"/>
                    </w:rPr>
                    <w:t>年。医疗废物集中处置单位要配备数量充足的收集、转运周转设施和具备相关资质的车辆，至少每</w:t>
                  </w:r>
                  <w:r>
                    <w:rPr>
                      <w:color w:val="auto"/>
                    </w:rPr>
                    <w:t>2</w:t>
                  </w:r>
                  <w:r>
                    <w:rPr>
                      <w:rFonts w:ascii="宋体" w:hAnsi="宋体"/>
                      <w:color w:val="auto"/>
                    </w:rPr>
                    <w:t>天到医疗机构收集、转运一次医疗废物。要按照《医疗废物集中处置技术规范（试行）》转运处置医疗废物，防止丢失、泄漏，探索医疗废物收集、贮存、交接、运输、处置全过程智能化管理。</w:t>
                  </w:r>
                </w:p>
              </w:tc>
              <w:tc>
                <w:tcPr>
                  <w:tcW w:w="2044" w:type="dxa"/>
                  <w:vAlign w:val="center"/>
                </w:tcPr>
                <w:p>
                  <w:pPr>
                    <w:wordWrap w:val="0"/>
                    <w:ind w:left="-84" w:leftChars="-40" w:right="-84" w:rightChars="-40"/>
                    <w:rPr>
                      <w:color w:val="auto"/>
                    </w:rPr>
                  </w:pPr>
                  <w:r>
                    <w:rPr>
                      <w:color w:val="auto"/>
                    </w:rPr>
                    <w:t>要求建设单位按照《医疗废物分类目录》（2021</w:t>
                  </w:r>
                  <w:r>
                    <w:rPr>
                      <w:rFonts w:ascii="宋体" w:hAnsi="宋体"/>
                      <w:color w:val="auto"/>
                    </w:rPr>
                    <w:t>年版）等要求制定具体的分类收集清单；要求建设单位依法向生态环境部门申报医疗废物的种类、产生量、流向、贮存和处置等情况；本项目</w:t>
                  </w:r>
                  <w:r>
                    <w:rPr>
                      <w:color w:val="auto"/>
                    </w:rPr>
                    <w:t>医疗废物暂存间进行分类暂</w:t>
                  </w:r>
                  <w:r>
                    <w:rPr>
                      <w:rFonts w:hint="eastAsia"/>
                      <w:color w:val="auto"/>
                    </w:rPr>
                    <w:t>存</w:t>
                  </w:r>
                  <w:r>
                    <w:rPr>
                      <w:color w:val="auto"/>
                    </w:rPr>
                    <w:t>，</w:t>
                  </w:r>
                  <w:r>
                    <w:rPr>
                      <w:rFonts w:hint="eastAsia"/>
                      <w:color w:val="auto"/>
                    </w:rPr>
                    <w:t>与</w:t>
                  </w:r>
                  <w:r>
                    <w:rPr>
                      <w:color w:val="auto"/>
                    </w:rPr>
                    <w:t>有资质的单位签订医疗废物处置协议同时，做好交接登记，并保存</w:t>
                  </w:r>
                  <w:r>
                    <w:rPr>
                      <w:rFonts w:hint="eastAsia"/>
                      <w:color w:val="auto"/>
                    </w:rPr>
                    <w:t>至少10</w:t>
                  </w:r>
                  <w:r>
                    <w:rPr>
                      <w:color w:val="auto"/>
                    </w:rPr>
                    <w:t>年</w:t>
                  </w:r>
                  <w:r>
                    <w:rPr>
                      <w:rFonts w:hint="eastAsia"/>
                      <w:color w:val="auto"/>
                    </w:rPr>
                    <w:t>，符合《</w:t>
                  </w:r>
                  <w:r>
                    <w:rPr>
                      <w:color w:val="auto"/>
                    </w:rPr>
                    <w:t>陕西省固体废物污染环境防治条例</w:t>
                  </w:r>
                  <w:r>
                    <w:rPr>
                      <w:rFonts w:hint="eastAsia"/>
                      <w:color w:val="auto"/>
                    </w:rPr>
                    <w:t>》要求。</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ind w:left="-84" w:leftChars="-40" w:right="-84" w:rightChars="-40"/>
                    <w:rPr>
                      <w:color w:val="auto"/>
                    </w:rPr>
                  </w:pPr>
                  <w:r>
                    <w:rPr>
                      <w:color w:val="auto"/>
                    </w:rPr>
                    <w:t>加强源头管理。医疗机构废弃物分为医疗废物、生活垃圾和输液瓶（袋）。通过规范分类和清晰流程，各医疗机构内形成分类投放、分类收集、分类贮存、分类交接、分类转运的废弃物管理系统。</w:t>
                  </w:r>
                </w:p>
              </w:tc>
              <w:tc>
                <w:tcPr>
                  <w:tcW w:w="2044" w:type="dxa"/>
                  <w:vAlign w:val="center"/>
                </w:tcPr>
                <w:p>
                  <w:pPr>
                    <w:wordWrap w:val="0"/>
                    <w:ind w:left="-84" w:leftChars="-40" w:right="-84" w:rightChars="-40"/>
                    <w:rPr>
                      <w:color w:val="auto"/>
                    </w:rPr>
                  </w:pPr>
                  <w:r>
                    <w:rPr>
                      <w:rFonts w:hint="eastAsia"/>
                      <w:color w:val="auto"/>
                    </w:rPr>
                    <w:t>要求建设单位严格按照分类要求对医疗废物分类收集并暂存。</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ind w:left="-84" w:leftChars="-40" w:right="-84" w:rightChars="-40"/>
                    <w:rPr>
                      <w:color w:val="auto"/>
                    </w:rPr>
                  </w:pPr>
                  <w:r>
                    <w:rPr>
                      <w:color w:val="auto"/>
                    </w:rPr>
                    <w:t>医疗机构要严格落实生活垃圾分类管理有关政策，将非传染病患者或家属在就诊过程中产生的生活垃圾，以及医疗机构职工非医疗活动产生的生活垃圾，与医疗活动中产生的医疗废物、输液瓶（袋）等区别管理。做好医疗机构生活垃圾的接收、运输和处理工作。</w:t>
                  </w:r>
                </w:p>
              </w:tc>
              <w:tc>
                <w:tcPr>
                  <w:tcW w:w="2044" w:type="dxa"/>
                  <w:vAlign w:val="center"/>
                </w:tcPr>
                <w:p>
                  <w:pPr>
                    <w:wordWrap w:val="0"/>
                    <w:ind w:left="-84" w:leftChars="-40" w:right="-84" w:rightChars="-40"/>
                    <w:rPr>
                      <w:color w:val="auto"/>
                    </w:rPr>
                  </w:pPr>
                  <w:r>
                    <w:rPr>
                      <w:rFonts w:hint="eastAsia"/>
                      <w:color w:val="auto"/>
                    </w:rPr>
                    <w:t>建设单位严格落实生活垃圾分类管理有关政策，将生活垃圾，与医疗活动中产生的医疗废物、输液瓶（袋）等区别管理。</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restart"/>
                  <w:vAlign w:val="center"/>
                </w:tcPr>
                <w:p>
                  <w:pPr>
                    <w:wordWrap w:val="0"/>
                    <w:ind w:left="-84" w:leftChars="-40" w:right="-84" w:rightChars="-40"/>
                    <w:rPr>
                      <w:color w:val="auto"/>
                    </w:rPr>
                  </w:pPr>
                  <w:r>
                    <w:rPr>
                      <w:color w:val="auto"/>
                    </w:rPr>
                    <w:t>《医院污水处理工程技术规范》（HJ2029-2013）</w:t>
                  </w:r>
                </w:p>
              </w:tc>
              <w:tc>
                <w:tcPr>
                  <w:tcW w:w="2693" w:type="dxa"/>
                  <w:vAlign w:val="center"/>
                </w:tcPr>
                <w:p>
                  <w:pPr>
                    <w:wordWrap w:val="0"/>
                    <w:ind w:left="-84" w:leftChars="-40" w:right="-84" w:rightChars="-40"/>
                    <w:rPr>
                      <w:color w:val="auto"/>
                    </w:rPr>
                  </w:pPr>
                  <w:r>
                    <w:rPr>
                      <w:color w:val="auto"/>
                    </w:rPr>
                    <w:t>非传染性医院污水，若处理出水直接或间接排入地表水体或海域时，应采用二级处理+</w:t>
                  </w:r>
                  <w:r>
                    <w:rPr>
                      <w:rFonts w:ascii="宋体" w:hAnsi="宋体"/>
                      <w:color w:val="auto"/>
                    </w:rPr>
                    <w:t>消毒处理工艺或二级处理</w:t>
                  </w:r>
                  <w:r>
                    <w:rPr>
                      <w:color w:val="auto"/>
                    </w:rPr>
                    <w:t>+</w:t>
                  </w:r>
                  <w:r>
                    <w:rPr>
                      <w:rFonts w:ascii="宋体" w:hAnsi="宋体"/>
                      <w:color w:val="auto"/>
                    </w:rPr>
                    <w:t>深度处理</w:t>
                  </w:r>
                  <w:r>
                    <w:rPr>
                      <w:color w:val="auto"/>
                    </w:rPr>
                    <w:t>+</w:t>
                  </w:r>
                  <w:r>
                    <w:rPr>
                      <w:rFonts w:ascii="宋体" w:hAnsi="宋体"/>
                      <w:color w:val="auto"/>
                    </w:rPr>
                    <w:t>消毒工艺；若处理出水排入终端已有正常运行的二级污水处理厂的城市污水管网时，可采用</w:t>
                  </w:r>
                  <w:r>
                    <w:rPr>
                      <w:rFonts w:hint="eastAsia"/>
                      <w:color w:val="auto"/>
                    </w:rPr>
                    <w:t>一级强化处理</w:t>
                  </w:r>
                  <w:r>
                    <w:rPr>
                      <w:color w:val="auto"/>
                    </w:rPr>
                    <w:t>+</w:t>
                  </w:r>
                  <w:r>
                    <w:rPr>
                      <w:rFonts w:ascii="宋体" w:hAnsi="宋体"/>
                      <w:color w:val="auto"/>
                    </w:rPr>
                    <w:t>消毒工艺。</w:t>
                  </w:r>
                </w:p>
              </w:tc>
              <w:tc>
                <w:tcPr>
                  <w:tcW w:w="2044" w:type="dxa"/>
                  <w:vAlign w:val="center"/>
                </w:tcPr>
                <w:p>
                  <w:pPr>
                    <w:wordWrap w:val="0"/>
                    <w:ind w:left="-84" w:leftChars="-40" w:right="-84" w:rightChars="-40"/>
                    <w:rPr>
                      <w:color w:val="auto"/>
                    </w:rPr>
                  </w:pPr>
                  <w:r>
                    <w:rPr>
                      <w:color w:val="auto"/>
                    </w:rPr>
                    <w:t>本项目出水区域终端有</w:t>
                  </w:r>
                  <w:r>
                    <w:rPr>
                      <w:rFonts w:hint="eastAsia"/>
                      <w:color w:val="auto"/>
                    </w:rPr>
                    <w:t>西安市第九污水处理厂</w:t>
                  </w:r>
                  <w:r>
                    <w:rPr>
                      <w:color w:val="auto"/>
                    </w:rPr>
                    <w:t>，</w:t>
                  </w:r>
                  <w:r>
                    <w:rPr>
                      <w:rFonts w:hint="eastAsia"/>
                      <w:color w:val="auto"/>
                    </w:rPr>
                    <w:t>项目综合废水</w:t>
                  </w:r>
                  <w:r>
                    <w:rPr>
                      <w:color w:val="auto"/>
                    </w:rPr>
                    <w:t>采用</w:t>
                  </w:r>
                  <w:r>
                    <w:rPr>
                      <w:rFonts w:hint="eastAsia"/>
                      <w:color w:val="auto"/>
                    </w:rPr>
                    <w:t>调节池</w:t>
                  </w:r>
                  <w:r>
                    <w:rPr>
                      <w:color w:val="auto"/>
                    </w:rPr>
                    <w:t>+</w:t>
                  </w:r>
                  <w:r>
                    <w:rPr>
                      <w:rFonts w:hint="eastAsia"/>
                      <w:color w:val="auto"/>
                    </w:rPr>
                    <w:t>厌氧</w:t>
                  </w:r>
                  <w:r>
                    <w:rPr>
                      <w:color w:val="auto"/>
                    </w:rPr>
                    <w:t>+</w:t>
                  </w:r>
                  <w:r>
                    <w:rPr>
                      <w:rFonts w:hint="eastAsia"/>
                      <w:color w:val="auto"/>
                    </w:rPr>
                    <w:t>好氧</w:t>
                  </w:r>
                  <w:r>
                    <w:rPr>
                      <w:color w:val="auto"/>
                    </w:rPr>
                    <w:t>+MBR+</w:t>
                  </w:r>
                  <w:r>
                    <w:rPr>
                      <w:rFonts w:hint="eastAsia"/>
                      <w:color w:val="auto"/>
                    </w:rPr>
                    <w:t>消毒进行处理</w:t>
                  </w:r>
                  <w:r>
                    <w:rPr>
                      <w:color w:val="auto"/>
                    </w:rPr>
                    <w:t>。</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spacing w:line="300" w:lineRule="exact"/>
                    <w:ind w:left="-84" w:leftChars="-40" w:right="-84" w:rightChars="-40"/>
                    <w:rPr>
                      <w:color w:val="auto"/>
                    </w:rPr>
                  </w:pPr>
                  <w:r>
                    <w:rPr>
                      <w:color w:val="auto"/>
                    </w:rPr>
                    <w:t>医院污水处理工程设计水量应在实测或测算的基础上留有设计裕量，设计裕量宜取实测值或测算值的10%~20%</w:t>
                  </w:r>
                  <w:r>
                    <w:rPr>
                      <w:rFonts w:ascii="宋体" w:hAnsi="宋体"/>
                      <w:color w:val="auto"/>
                    </w:rPr>
                    <w:t>。</w:t>
                  </w:r>
                </w:p>
              </w:tc>
              <w:tc>
                <w:tcPr>
                  <w:tcW w:w="2044" w:type="dxa"/>
                  <w:vAlign w:val="center"/>
                </w:tcPr>
                <w:p>
                  <w:pPr>
                    <w:wordWrap w:val="0"/>
                    <w:spacing w:line="300" w:lineRule="exact"/>
                    <w:ind w:left="-84" w:leftChars="-40" w:right="-84" w:rightChars="-40"/>
                    <w:rPr>
                      <w:color w:val="auto"/>
                    </w:rPr>
                  </w:pPr>
                  <w:r>
                    <w:rPr>
                      <w:color w:val="auto"/>
                    </w:rPr>
                    <w:t>项目</w:t>
                  </w:r>
                  <w:r>
                    <w:rPr>
                      <w:rFonts w:hint="eastAsia"/>
                      <w:color w:val="auto"/>
                    </w:rPr>
                    <w:t>扩建一体化污水处理设施</w:t>
                  </w:r>
                  <w:r>
                    <w:rPr>
                      <w:color w:val="auto"/>
                    </w:rPr>
                    <w:t>处理</w:t>
                  </w:r>
                  <w:r>
                    <w:rPr>
                      <w:rFonts w:hint="eastAsia"/>
                      <w:color w:val="auto"/>
                    </w:rPr>
                    <w:t>医疗及生活</w:t>
                  </w:r>
                  <w:r>
                    <w:rPr>
                      <w:color w:val="auto"/>
                    </w:rPr>
                    <w:t>废水，设计处理能力为</w:t>
                  </w:r>
                  <w:r>
                    <w:rPr>
                      <w:rFonts w:hint="eastAsia"/>
                      <w:color w:val="auto"/>
                    </w:rPr>
                    <w:t>10</w:t>
                  </w:r>
                  <w:r>
                    <w:rPr>
                      <w:color w:val="auto"/>
                    </w:rPr>
                    <w:t>m</w:t>
                  </w:r>
                  <w:r>
                    <w:rPr>
                      <w:color w:val="auto"/>
                      <w:vertAlign w:val="superscript"/>
                    </w:rPr>
                    <w:t>3</w:t>
                  </w:r>
                  <w:r>
                    <w:rPr>
                      <w:color w:val="auto"/>
                    </w:rPr>
                    <w:t>/d</w:t>
                  </w:r>
                  <w:r>
                    <w:rPr>
                      <w:rFonts w:hint="eastAsia"/>
                      <w:color w:val="auto"/>
                    </w:rPr>
                    <w:t>，环评计算医疗</w:t>
                  </w:r>
                  <w:r>
                    <w:rPr>
                      <w:color w:val="auto"/>
                    </w:rPr>
                    <w:t>废水</w:t>
                  </w:r>
                  <w:r>
                    <w:rPr>
                      <w:rFonts w:hint="eastAsia"/>
                      <w:color w:val="auto"/>
                    </w:rPr>
                    <w:t>最大</w:t>
                  </w:r>
                  <w:r>
                    <w:rPr>
                      <w:color w:val="auto"/>
                    </w:rPr>
                    <w:t>量</w:t>
                  </w:r>
                  <w:r>
                    <w:rPr>
                      <w:rFonts w:hint="eastAsia"/>
                      <w:color w:val="auto"/>
                    </w:rPr>
                    <w:t>约</w:t>
                  </w:r>
                  <w:r>
                    <w:rPr>
                      <w:color w:val="auto"/>
                    </w:rPr>
                    <w:t>为</w:t>
                  </w:r>
                  <w:r>
                    <w:rPr>
                      <w:rFonts w:hint="eastAsia"/>
                      <w:color w:val="auto"/>
                    </w:rPr>
                    <w:t>9.136</w:t>
                  </w:r>
                  <w:r>
                    <w:rPr>
                      <w:color w:val="auto"/>
                    </w:rPr>
                    <w:t>m</w:t>
                  </w:r>
                  <w:r>
                    <w:rPr>
                      <w:color w:val="auto"/>
                      <w:vertAlign w:val="superscript"/>
                    </w:rPr>
                    <w:t>3</w:t>
                  </w:r>
                  <w:r>
                    <w:rPr>
                      <w:color w:val="auto"/>
                    </w:rPr>
                    <w:t>/d</w:t>
                  </w:r>
                  <w:r>
                    <w:rPr>
                      <w:rFonts w:hint="eastAsia"/>
                      <w:color w:val="auto"/>
                    </w:rPr>
                    <w:t>，裕量为10%</w:t>
                  </w:r>
                  <w:r>
                    <w:rPr>
                      <w:rFonts w:hint="eastAsia" w:ascii="宋体" w:hAnsi="宋体"/>
                      <w:color w:val="auto"/>
                    </w:rPr>
                    <w:t>。</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spacing w:line="300" w:lineRule="exact"/>
                    <w:ind w:left="-84" w:leftChars="-40" w:right="-84" w:rightChars="-40"/>
                    <w:rPr>
                      <w:color w:val="auto"/>
                    </w:rPr>
                  </w:pPr>
                  <w:r>
                    <w:rPr>
                      <w:color w:val="auto"/>
                    </w:rPr>
                    <w:t>医院污水处理工程以采用低噪声设备和采取隔音为主的控制措施，辅以消声、隔振、吸音等综合噪声治理措施。医院污水处理工程场界噪声应符合GB3096</w:t>
                  </w:r>
                  <w:r>
                    <w:rPr>
                      <w:rFonts w:ascii="宋体" w:hAnsi="宋体"/>
                      <w:color w:val="auto"/>
                    </w:rPr>
                    <w:t>和</w:t>
                  </w:r>
                  <w:r>
                    <w:rPr>
                      <w:color w:val="auto"/>
                    </w:rPr>
                    <w:t>GB12348</w:t>
                  </w:r>
                  <w:r>
                    <w:rPr>
                      <w:rFonts w:ascii="宋体" w:hAnsi="宋体"/>
                      <w:color w:val="auto"/>
                    </w:rPr>
                    <w:t>的规定，建筑物内部设施噪声源控制应符合</w:t>
                  </w:r>
                  <w:r>
                    <w:rPr>
                      <w:color w:val="auto"/>
                    </w:rPr>
                    <w:t>GBJ87</w:t>
                  </w:r>
                  <w:r>
                    <w:rPr>
                      <w:rFonts w:ascii="宋体" w:hAnsi="宋体"/>
                      <w:color w:val="auto"/>
                    </w:rPr>
                    <w:t>中的有关规定</w:t>
                  </w:r>
                </w:p>
              </w:tc>
              <w:tc>
                <w:tcPr>
                  <w:tcW w:w="2044" w:type="dxa"/>
                  <w:vAlign w:val="center"/>
                </w:tcPr>
                <w:p>
                  <w:pPr>
                    <w:wordWrap w:val="0"/>
                    <w:spacing w:line="300" w:lineRule="exact"/>
                    <w:ind w:left="-84" w:leftChars="-40" w:right="-84" w:rightChars="-40"/>
                    <w:rPr>
                      <w:color w:val="auto"/>
                    </w:rPr>
                  </w:pPr>
                  <w:r>
                    <w:rPr>
                      <w:rFonts w:hint="eastAsia"/>
                      <w:color w:val="auto"/>
                    </w:rPr>
                    <w:t>一体化污水处理设施废水提升泵</w:t>
                  </w:r>
                  <w:r>
                    <w:rPr>
                      <w:color w:val="auto"/>
                    </w:rPr>
                    <w:t>等产噪设施采用低噪声设备、同时有</w:t>
                  </w:r>
                  <w:r>
                    <w:rPr>
                      <w:rFonts w:hint="eastAsia"/>
                      <w:color w:val="auto"/>
                    </w:rPr>
                    <w:t>减</w:t>
                  </w:r>
                  <w:r>
                    <w:rPr>
                      <w:color w:val="auto"/>
                    </w:rPr>
                    <w:t>振、隔音等措施。场界噪声满足《工业企业厂界环境噪声排放标准》（GB12348-2008</w:t>
                  </w:r>
                  <w:r>
                    <w:rPr>
                      <w:rFonts w:ascii="宋体" w:hAnsi="宋体"/>
                      <w:color w:val="auto"/>
                    </w:rPr>
                    <w:t>）</w:t>
                  </w:r>
                  <w:r>
                    <w:rPr>
                      <w:rFonts w:hint="eastAsia"/>
                      <w:color w:val="auto"/>
                    </w:rPr>
                    <w:t>1</w:t>
                  </w:r>
                  <w:r>
                    <w:rPr>
                      <w:color w:val="auto"/>
                    </w:rPr>
                    <w:t>类</w:t>
                  </w:r>
                  <w:r>
                    <w:rPr>
                      <w:rFonts w:hint="eastAsia"/>
                      <w:color w:val="auto"/>
                    </w:rPr>
                    <w:t>及4</w:t>
                  </w:r>
                  <w:r>
                    <w:rPr>
                      <w:rFonts w:hint="eastAsia" w:ascii="宋体" w:hAnsi="宋体"/>
                      <w:color w:val="auto"/>
                    </w:rPr>
                    <w:t>类</w:t>
                  </w:r>
                  <w:r>
                    <w:rPr>
                      <w:color w:val="auto"/>
                    </w:rPr>
                    <w:t>标准。</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spacing w:line="300" w:lineRule="exact"/>
                    <w:ind w:left="-84" w:leftChars="-40" w:right="-84" w:rightChars="-40"/>
                    <w:rPr>
                      <w:color w:val="auto"/>
                    </w:rPr>
                  </w:pPr>
                  <w:r>
                    <w:rPr>
                      <w:rFonts w:hint="eastAsia"/>
                      <w:color w:val="auto"/>
                    </w:rPr>
                    <w:t>医院污水处理工程废气应进行适当的处理（如臭氧活性炭吸附等方法）后排放。</w:t>
                  </w:r>
                </w:p>
              </w:tc>
              <w:tc>
                <w:tcPr>
                  <w:tcW w:w="2044" w:type="dxa"/>
                  <w:vAlign w:val="center"/>
                </w:tcPr>
                <w:p>
                  <w:pPr>
                    <w:wordWrap w:val="0"/>
                    <w:spacing w:line="300" w:lineRule="exact"/>
                    <w:ind w:left="-84" w:leftChars="-40" w:right="-84" w:rightChars="-40"/>
                    <w:rPr>
                      <w:color w:val="auto"/>
                    </w:rPr>
                  </w:pPr>
                  <w:r>
                    <w:rPr>
                      <w:rFonts w:hint="eastAsia"/>
                      <w:color w:val="auto"/>
                    </w:rPr>
                    <w:t>本项目一体化污水处理设施位于地下一层，为，各构筑物均密闭，同时日常喷洒除臭剂，可有效降低恶臭影响。</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restart"/>
                  <w:vAlign w:val="center"/>
                </w:tcPr>
                <w:p>
                  <w:pPr>
                    <w:wordWrap w:val="0"/>
                    <w:ind w:left="-84" w:leftChars="-40" w:right="-84" w:rightChars="-40"/>
                    <w:rPr>
                      <w:color w:val="auto"/>
                    </w:rPr>
                  </w:pPr>
                  <w:r>
                    <w:rPr>
                      <w:rFonts w:hint="eastAsia"/>
                      <w:color w:val="auto"/>
                    </w:rPr>
                    <w:t>《医疗废物管理条例》</w:t>
                  </w:r>
                </w:p>
              </w:tc>
              <w:tc>
                <w:tcPr>
                  <w:tcW w:w="2693" w:type="dxa"/>
                  <w:vAlign w:val="center"/>
                </w:tcPr>
                <w:p>
                  <w:pPr>
                    <w:wordWrap w:val="0"/>
                    <w:ind w:left="-84" w:leftChars="-40" w:right="-84" w:rightChars="-40"/>
                    <w:rPr>
                      <w:color w:val="auto"/>
                    </w:rPr>
                  </w:pPr>
                  <w:r>
                    <w:rPr>
                      <w:rFonts w:hint="eastAsia"/>
                      <w:color w:val="auto"/>
                    </w:rPr>
                    <w:t>医疗卫生机构应当及时收集本单位产生的医疗废物，并按照类别分置于防渗漏、防锐器穿透的专用包装物或者密闭的容器内。医疗废物专用包装物、容器，应当有明显的警示标识和警示说明。</w:t>
                  </w:r>
                </w:p>
              </w:tc>
              <w:tc>
                <w:tcPr>
                  <w:tcW w:w="2044" w:type="dxa"/>
                  <w:vAlign w:val="center"/>
                </w:tcPr>
                <w:p>
                  <w:pPr>
                    <w:wordWrap w:val="0"/>
                    <w:ind w:left="-84" w:leftChars="-40" w:right="-84" w:rightChars="-40"/>
                    <w:rPr>
                      <w:color w:val="auto"/>
                    </w:rPr>
                  </w:pPr>
                  <w:r>
                    <w:rPr>
                      <w:rFonts w:hint="eastAsia"/>
                      <w:color w:val="auto"/>
                    </w:rPr>
                    <w:t>企业设置1间医疗废物贮存库，评价要求企业及时收集各类医疗废物并按照类别分置于各自的防渗漏、防锐器穿透的专用包装物或者密闭的容器内。并在包装物、容器，表面粘贴警示标识和警示说明。</w:t>
                  </w:r>
                </w:p>
              </w:tc>
              <w:tc>
                <w:tcPr>
                  <w:tcW w:w="557" w:type="dxa"/>
                  <w:vAlign w:val="center"/>
                </w:tcPr>
                <w:p>
                  <w:pPr>
                    <w:wordWrap w:val="0"/>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spacing w:line="300" w:lineRule="exact"/>
                    <w:ind w:left="-84" w:leftChars="-40" w:right="-84" w:rightChars="-40"/>
                    <w:rPr>
                      <w:color w:val="auto"/>
                    </w:rPr>
                  </w:pPr>
                  <w:r>
                    <w:rPr>
                      <w:rFonts w:hint="eastAsia"/>
                      <w:color w:val="auto"/>
                    </w:rPr>
                    <w:t>医疗卫生机构应当建立医疗废物的暂时贮存设施、设备，不得露天存放医疗废物；医疗废物暂时贮存的时间不得超过2天。</w:t>
                  </w:r>
                </w:p>
              </w:tc>
              <w:tc>
                <w:tcPr>
                  <w:tcW w:w="2044" w:type="dxa"/>
                  <w:vAlign w:val="center"/>
                </w:tcPr>
                <w:p>
                  <w:pPr>
                    <w:wordWrap w:val="0"/>
                    <w:spacing w:line="300" w:lineRule="exact"/>
                    <w:ind w:left="-84" w:leftChars="-40" w:right="-84" w:rightChars="-40"/>
                    <w:rPr>
                      <w:color w:val="auto"/>
                    </w:rPr>
                  </w:pPr>
                  <w:r>
                    <w:rPr>
                      <w:rFonts w:hint="eastAsia"/>
                      <w:color w:val="auto"/>
                    </w:rPr>
                    <w:t>企业在1F设置一间医疗废物贮存库，不露天存放各类医疗废物，并进行每日清运，暂存时间不超过2天。</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spacing w:line="300" w:lineRule="exact"/>
                    <w:ind w:left="-84" w:leftChars="-40" w:right="-84" w:rightChars="-40"/>
                    <w:rPr>
                      <w:color w:val="auto"/>
                    </w:rPr>
                  </w:pPr>
                  <w:r>
                    <w:rPr>
                      <w:rFonts w:hint="eastAsia"/>
                      <w:color w:val="auto"/>
                    </w:rPr>
                    <w:t>医疗废物的暂时贮存设施、设备，应当远离医疗区、食品加工区和人员活动区以及生活垃圾存放场所，并设置明显的警示标识和防渗漏、防鼠、防蚊蝇、防蟑螂、防盗以及预防儿童接触等安全措施。</w:t>
                  </w:r>
                </w:p>
                <w:p>
                  <w:pPr>
                    <w:wordWrap w:val="0"/>
                    <w:spacing w:line="300" w:lineRule="exact"/>
                    <w:ind w:left="-84" w:leftChars="-40" w:right="-84" w:rightChars="-40"/>
                    <w:rPr>
                      <w:color w:val="auto"/>
                    </w:rPr>
                  </w:pPr>
                  <w:r>
                    <w:rPr>
                      <w:rFonts w:hint="eastAsia"/>
                      <w:color w:val="auto"/>
                    </w:rPr>
                    <w:t>医疗废物的暂时贮存设施、设备应当定期消毒和清洁。</w:t>
                  </w:r>
                </w:p>
              </w:tc>
              <w:tc>
                <w:tcPr>
                  <w:tcW w:w="2044" w:type="dxa"/>
                  <w:vAlign w:val="center"/>
                </w:tcPr>
                <w:p>
                  <w:pPr>
                    <w:wordWrap w:val="0"/>
                    <w:spacing w:line="300" w:lineRule="exact"/>
                    <w:ind w:left="-84" w:leftChars="-40" w:right="-84" w:rightChars="-40"/>
                    <w:rPr>
                      <w:color w:val="auto"/>
                    </w:rPr>
                  </w:pPr>
                  <w:r>
                    <w:rPr>
                      <w:rFonts w:hint="eastAsia"/>
                      <w:color w:val="auto"/>
                    </w:rPr>
                    <w:t>本项目医疗废物贮存库位于1F，远离医疗区、食堂和人员活动区以及生活垃圾存放场所，并设置明显的警示标识和防渗漏、防鼠、防蚊蝇、防蟑螂、防盗以及预防儿童接触等安全措施。</w:t>
                  </w:r>
                </w:p>
                <w:p>
                  <w:pPr>
                    <w:wordWrap w:val="0"/>
                    <w:spacing w:line="300" w:lineRule="exact"/>
                    <w:ind w:left="-84" w:leftChars="-40" w:right="-84" w:rightChars="-40"/>
                    <w:rPr>
                      <w:color w:val="auto"/>
                    </w:rPr>
                  </w:pPr>
                  <w:r>
                    <w:rPr>
                      <w:rFonts w:hint="eastAsia"/>
                      <w:color w:val="auto"/>
                    </w:rPr>
                    <w:t xml:space="preserve">评价要求对医疗废物暂存设施设备定期进行消毒和清洁。 </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spacing w:line="300" w:lineRule="exact"/>
                    <w:ind w:left="-84" w:leftChars="-40" w:right="-84" w:rightChars="-40"/>
                    <w:rPr>
                      <w:color w:val="auto"/>
                    </w:rPr>
                  </w:pPr>
                  <w:r>
                    <w:rPr>
                      <w:rFonts w:hint="eastAsia"/>
                      <w:color w:val="auto"/>
                    </w:rPr>
                    <w:t>医疗卫生机构应当使用防渗漏、防遗撒的专用运送工具，按照本单位确定的内部医疗废物运送时间、路线，将医疗废物收集、运送至暂时贮存地点。</w:t>
                  </w:r>
                </w:p>
                <w:p>
                  <w:pPr>
                    <w:wordWrap w:val="0"/>
                    <w:spacing w:line="300" w:lineRule="exact"/>
                    <w:ind w:left="-84" w:leftChars="-40" w:right="-84" w:rightChars="-40"/>
                    <w:rPr>
                      <w:color w:val="auto"/>
                    </w:rPr>
                  </w:pPr>
                  <w:r>
                    <w:rPr>
                      <w:rFonts w:hint="eastAsia"/>
                      <w:color w:val="auto"/>
                    </w:rPr>
                    <w:t>运送工具使用后应当在医疗卫生机构内指定的地点及时消毒和清洁。</w:t>
                  </w:r>
                </w:p>
              </w:tc>
              <w:tc>
                <w:tcPr>
                  <w:tcW w:w="2044" w:type="dxa"/>
                  <w:vAlign w:val="center"/>
                </w:tcPr>
                <w:p>
                  <w:pPr>
                    <w:wordWrap w:val="0"/>
                    <w:spacing w:line="300" w:lineRule="exact"/>
                    <w:ind w:left="-84" w:leftChars="-40" w:right="-84" w:rightChars="-40"/>
                    <w:rPr>
                      <w:color w:val="auto"/>
                    </w:rPr>
                  </w:pPr>
                  <w:r>
                    <w:rPr>
                      <w:rFonts w:hint="eastAsia"/>
                      <w:color w:val="auto"/>
                    </w:rPr>
                    <w:t>企业内使用防渗漏、防遗撒的专用运送工具，每日按照固定时间和路线将内部医疗废物运送至1F的医疗废物贮存库内。</w:t>
                  </w:r>
                </w:p>
                <w:p>
                  <w:pPr>
                    <w:wordWrap w:val="0"/>
                    <w:spacing w:line="300" w:lineRule="exact"/>
                    <w:ind w:left="-84" w:leftChars="-40" w:right="-84" w:rightChars="-40"/>
                    <w:rPr>
                      <w:color w:val="auto"/>
                    </w:rPr>
                  </w:pPr>
                  <w:r>
                    <w:rPr>
                      <w:rFonts w:hint="eastAsia"/>
                      <w:color w:val="auto"/>
                    </w:rPr>
                    <w:t>运送工具使用后应当在医疗卫生机构内指定的地点及时消毒和清洁。</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4" w:type="dxa"/>
                  <w:vMerge w:val="continue"/>
                  <w:vAlign w:val="center"/>
                </w:tcPr>
                <w:p>
                  <w:pPr>
                    <w:wordWrap w:val="0"/>
                    <w:ind w:left="-84" w:leftChars="-40" w:right="-84" w:rightChars="-40"/>
                    <w:rPr>
                      <w:color w:val="auto"/>
                    </w:rPr>
                  </w:pPr>
                </w:p>
              </w:tc>
              <w:tc>
                <w:tcPr>
                  <w:tcW w:w="2693" w:type="dxa"/>
                  <w:vAlign w:val="center"/>
                </w:tcPr>
                <w:p>
                  <w:pPr>
                    <w:wordWrap w:val="0"/>
                    <w:spacing w:line="300" w:lineRule="exact"/>
                    <w:ind w:left="-84" w:leftChars="-40" w:right="-84" w:rightChars="-40"/>
                    <w:rPr>
                      <w:color w:val="auto"/>
                    </w:rPr>
                  </w:pPr>
                  <w:r>
                    <w:rPr>
                      <w:rFonts w:hint="eastAsia"/>
                      <w:color w:val="auto"/>
                    </w:rPr>
                    <w:t>医疗卫生机构产生的污水、传染病病人或者疑似传染病病人的排泄物，应当按照国家规定严格消毒；达到国家规定的排放标准后，方可排入污水处理系统。</w:t>
                  </w:r>
                </w:p>
              </w:tc>
              <w:tc>
                <w:tcPr>
                  <w:tcW w:w="2044" w:type="dxa"/>
                  <w:vAlign w:val="center"/>
                </w:tcPr>
                <w:p>
                  <w:pPr>
                    <w:wordWrap w:val="0"/>
                    <w:spacing w:line="300" w:lineRule="exact"/>
                    <w:ind w:left="-84" w:leftChars="-40" w:right="-84" w:rightChars="-40"/>
                    <w:rPr>
                      <w:color w:val="auto"/>
                    </w:rPr>
                  </w:pPr>
                  <w:r>
                    <w:rPr>
                      <w:rFonts w:hint="eastAsia"/>
                      <w:color w:val="auto"/>
                    </w:rPr>
                    <w:t>本项目不涉及传染病科室，产生的医疗废水及生活污水经一体化污水处理设施处理后进入国色天香化粪池，后经市政污水管网排入西安市第九污水处理厂。</w:t>
                  </w:r>
                </w:p>
              </w:tc>
              <w:tc>
                <w:tcPr>
                  <w:tcW w:w="557" w:type="dxa"/>
                  <w:vAlign w:val="center"/>
                </w:tcPr>
                <w:p>
                  <w:pPr>
                    <w:wordWrap w:val="0"/>
                    <w:spacing w:line="300" w:lineRule="exact"/>
                    <w:ind w:left="-84" w:leftChars="-40" w:right="-84" w:rightChars="-40"/>
                    <w:jc w:val="center"/>
                    <w:rPr>
                      <w:color w:val="auto"/>
                    </w:rPr>
                  </w:pPr>
                  <w:r>
                    <w:rPr>
                      <w:rFonts w:hint="eastAsia"/>
                      <w:color w:val="auto"/>
                    </w:rPr>
                    <w:t>符合</w:t>
                  </w:r>
                </w:p>
              </w:tc>
            </w:tr>
          </w:tbl>
          <w:p>
            <w:pPr>
              <w:adjustRightInd w:val="0"/>
              <w:snapToGrid w:val="0"/>
              <w:spacing w:before="120" w:beforeLines="50" w:line="360" w:lineRule="auto"/>
              <w:ind w:firstLine="480" w:firstLineChars="200"/>
              <w:rPr>
                <w:color w:val="auto"/>
                <w:kern w:val="0"/>
                <w:sz w:val="24"/>
              </w:rPr>
            </w:pPr>
            <w:r>
              <w:rPr>
                <w:color w:val="auto"/>
                <w:kern w:val="0"/>
                <w:sz w:val="24"/>
              </w:rPr>
              <w:t>四、选址可行性</w:t>
            </w:r>
          </w:p>
          <w:p>
            <w:pPr>
              <w:pStyle w:val="12"/>
              <w:rPr>
                <w:rFonts w:ascii="宋体" w:hAnsi="宋体"/>
                <w:color w:val="auto"/>
              </w:rPr>
            </w:pPr>
            <w:r>
              <w:rPr>
                <w:color w:val="auto"/>
              </w:rPr>
              <w:t>本项目位于陕西省西安市长安区西长安街989号国色天香小区22号商业楼。</w:t>
            </w:r>
            <w:r>
              <w:rPr>
                <w:rFonts w:hint="eastAsia"/>
                <w:color w:val="auto"/>
              </w:rPr>
              <w:t>项目地</w:t>
            </w:r>
            <w:r>
              <w:rPr>
                <w:color w:val="auto"/>
              </w:rPr>
              <w:t>东侧为</w:t>
            </w:r>
            <w:r>
              <w:rPr>
                <w:rFonts w:hint="eastAsia"/>
                <w:color w:val="auto"/>
              </w:rPr>
              <w:t>茅坡路</w:t>
            </w:r>
            <w:r>
              <w:rPr>
                <w:color w:val="auto"/>
              </w:rPr>
              <w:t>，</w:t>
            </w:r>
            <w:r>
              <w:rPr>
                <w:rFonts w:hint="eastAsia"/>
                <w:color w:val="auto"/>
              </w:rPr>
              <w:t>北侧及南侧均为</w:t>
            </w:r>
            <w:r>
              <w:rPr>
                <w:color w:val="auto"/>
              </w:rPr>
              <w:t>国色天香</w:t>
            </w:r>
            <w:r>
              <w:rPr>
                <w:rFonts w:hint="eastAsia"/>
                <w:color w:val="auto"/>
              </w:rPr>
              <w:t>商业楼，西侧为</w:t>
            </w:r>
            <w:r>
              <w:rPr>
                <w:color w:val="auto"/>
              </w:rPr>
              <w:t>国色天香小区</w:t>
            </w:r>
            <w:r>
              <w:rPr>
                <w:rFonts w:hint="eastAsia"/>
                <w:color w:val="auto"/>
              </w:rPr>
              <w:t>住宅楼。参考《综合医院建筑设计规范》（GB51039-2014），本项</w:t>
            </w:r>
            <w:r>
              <w:rPr>
                <w:rFonts w:hint="eastAsia" w:ascii="宋体" w:hAnsi="宋体"/>
                <w:color w:val="auto"/>
              </w:rPr>
              <w:t>目选址可行性分析见下表。</w:t>
            </w:r>
          </w:p>
          <w:p>
            <w:pPr>
              <w:pStyle w:val="15"/>
              <w:rPr>
                <w:color w:val="auto"/>
              </w:rPr>
            </w:pPr>
            <w:r>
              <w:rPr>
                <w:rFonts w:hint="eastAsia"/>
                <w:color w:val="auto"/>
              </w:rPr>
              <w:t>表1-3  项目与《综合医院建筑设计规范》中选址要求的符合性分析一览表</w:t>
            </w:r>
          </w:p>
          <w:tbl>
            <w:tblPr>
              <w:tblStyle w:val="6"/>
              <w:tblW w:w="6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879"/>
              <w:gridCol w:w="3228"/>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spacing w:line="300" w:lineRule="exact"/>
                    <w:ind w:left="-84" w:leftChars="-40" w:right="-84" w:rightChars="-40"/>
                    <w:jc w:val="center"/>
                    <w:rPr>
                      <w:color w:val="auto"/>
                    </w:rPr>
                  </w:pPr>
                  <w:r>
                    <w:rPr>
                      <w:rFonts w:hint="eastAsia"/>
                      <w:color w:val="auto"/>
                    </w:rPr>
                    <w:t>名称</w:t>
                  </w:r>
                </w:p>
              </w:tc>
              <w:tc>
                <w:tcPr>
                  <w:tcW w:w="1879" w:type="dxa"/>
                  <w:vAlign w:val="center"/>
                </w:tcPr>
                <w:p>
                  <w:pPr>
                    <w:wordWrap w:val="0"/>
                    <w:spacing w:line="300" w:lineRule="exact"/>
                    <w:ind w:left="-84" w:leftChars="-40" w:right="-84" w:rightChars="-40"/>
                    <w:jc w:val="center"/>
                    <w:rPr>
                      <w:color w:val="auto"/>
                    </w:rPr>
                  </w:pPr>
                  <w:r>
                    <w:rPr>
                      <w:rFonts w:hint="eastAsia"/>
                      <w:color w:val="auto"/>
                    </w:rPr>
                    <w:t>文件要求</w:t>
                  </w:r>
                </w:p>
              </w:tc>
              <w:tc>
                <w:tcPr>
                  <w:tcW w:w="3228" w:type="dxa"/>
                  <w:vAlign w:val="center"/>
                </w:tcPr>
                <w:p>
                  <w:pPr>
                    <w:wordWrap w:val="0"/>
                    <w:spacing w:line="300" w:lineRule="exact"/>
                    <w:ind w:left="-84" w:leftChars="-40" w:right="-84" w:rightChars="-40"/>
                    <w:jc w:val="center"/>
                    <w:rPr>
                      <w:color w:val="auto"/>
                    </w:rPr>
                  </w:pPr>
                  <w:r>
                    <w:rPr>
                      <w:rFonts w:hint="eastAsia"/>
                      <w:color w:val="auto"/>
                    </w:rPr>
                    <w:t>本项目情况</w:t>
                  </w:r>
                </w:p>
              </w:tc>
              <w:tc>
                <w:tcPr>
                  <w:tcW w:w="672" w:type="dxa"/>
                  <w:vAlign w:val="center"/>
                </w:tcPr>
                <w:p>
                  <w:pPr>
                    <w:spacing w:line="300" w:lineRule="exact"/>
                    <w:ind w:left="-84" w:leftChars="-40" w:right="-84" w:rightChars="-40"/>
                    <w:jc w:val="center"/>
                    <w:rPr>
                      <w:color w:val="auto"/>
                    </w:rPr>
                  </w:pPr>
                  <w:r>
                    <w:rPr>
                      <w:rFonts w:hint="eastAsia"/>
                      <w:color w:val="auto"/>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2" w:type="dxa"/>
                  <w:vMerge w:val="restart"/>
                  <w:vAlign w:val="center"/>
                </w:tcPr>
                <w:p>
                  <w:pPr>
                    <w:wordWrap w:val="0"/>
                    <w:spacing w:line="300" w:lineRule="exact"/>
                    <w:ind w:left="-84" w:leftChars="-40" w:right="-84" w:rightChars="-40"/>
                    <w:rPr>
                      <w:color w:val="auto"/>
                    </w:rPr>
                  </w:pPr>
                  <w:r>
                    <w:rPr>
                      <w:rFonts w:hint="eastAsia"/>
                      <w:color w:val="auto"/>
                    </w:rPr>
                    <w:t>《综合医院建筑设计规范》</w:t>
                  </w:r>
                </w:p>
              </w:tc>
              <w:tc>
                <w:tcPr>
                  <w:tcW w:w="1879" w:type="dxa"/>
                  <w:vAlign w:val="center"/>
                </w:tcPr>
                <w:p>
                  <w:pPr>
                    <w:wordWrap w:val="0"/>
                    <w:spacing w:line="300" w:lineRule="exact"/>
                    <w:ind w:left="-84" w:leftChars="-40" w:right="-84" w:rightChars="-40"/>
                    <w:rPr>
                      <w:color w:val="auto"/>
                    </w:rPr>
                  </w:pPr>
                  <w:r>
                    <w:rPr>
                      <w:rFonts w:hint="eastAsia"/>
                      <w:color w:val="auto"/>
                    </w:rPr>
                    <w:t xml:space="preserve">交通方便，宜面临2条城市道路 </w:t>
                  </w:r>
                </w:p>
              </w:tc>
              <w:tc>
                <w:tcPr>
                  <w:tcW w:w="3228" w:type="dxa"/>
                </w:tcPr>
                <w:p>
                  <w:pPr>
                    <w:wordWrap w:val="0"/>
                    <w:spacing w:line="300" w:lineRule="exact"/>
                    <w:ind w:left="-84" w:leftChars="-40" w:right="-84" w:rightChars="-40"/>
                    <w:rPr>
                      <w:color w:val="auto"/>
                    </w:rPr>
                  </w:pPr>
                  <w:r>
                    <w:rPr>
                      <w:rFonts w:hint="eastAsia"/>
                      <w:color w:val="auto"/>
                    </w:rPr>
                    <w:t>本项目东临茅坡路，为城市主干道，项目所在地交通方便。</w:t>
                  </w:r>
                </w:p>
              </w:tc>
              <w:tc>
                <w:tcPr>
                  <w:tcW w:w="672"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02" w:type="dxa"/>
                  <w:vMerge w:val="continue"/>
                  <w:vAlign w:val="center"/>
                </w:tcPr>
                <w:p>
                  <w:pPr>
                    <w:wordWrap w:val="0"/>
                    <w:spacing w:line="300" w:lineRule="exact"/>
                    <w:ind w:left="-84" w:leftChars="-40" w:right="-84" w:rightChars="-40"/>
                    <w:rPr>
                      <w:color w:val="auto"/>
                    </w:rPr>
                  </w:pPr>
                </w:p>
              </w:tc>
              <w:tc>
                <w:tcPr>
                  <w:tcW w:w="1879" w:type="dxa"/>
                  <w:vAlign w:val="center"/>
                </w:tcPr>
                <w:p>
                  <w:pPr>
                    <w:wordWrap w:val="0"/>
                    <w:spacing w:line="300" w:lineRule="exact"/>
                    <w:ind w:left="-84" w:leftChars="-40" w:right="-84" w:rightChars="-40"/>
                    <w:rPr>
                      <w:color w:val="auto"/>
                    </w:rPr>
                  </w:pPr>
                  <w:r>
                    <w:rPr>
                      <w:rFonts w:hint="eastAsia"/>
                      <w:color w:val="auto"/>
                    </w:rPr>
                    <w:t>宜便于利用城市基础设施</w:t>
                  </w:r>
                </w:p>
              </w:tc>
              <w:tc>
                <w:tcPr>
                  <w:tcW w:w="3228" w:type="dxa"/>
                </w:tcPr>
                <w:p>
                  <w:pPr>
                    <w:wordWrap w:val="0"/>
                    <w:spacing w:line="300" w:lineRule="exact"/>
                    <w:ind w:left="-84" w:leftChars="-40" w:right="-84" w:rightChars="-40"/>
                    <w:rPr>
                      <w:color w:val="auto"/>
                    </w:rPr>
                  </w:pPr>
                  <w:r>
                    <w:rPr>
                      <w:rFonts w:hint="eastAsia"/>
                      <w:color w:val="auto"/>
                    </w:rPr>
                    <w:t>项目所在地供电、供水、排水均与市政管网相连通，城市基础设施便利。</w:t>
                  </w:r>
                </w:p>
              </w:tc>
              <w:tc>
                <w:tcPr>
                  <w:tcW w:w="672"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02" w:type="dxa"/>
                  <w:vMerge w:val="continue"/>
                  <w:vAlign w:val="center"/>
                </w:tcPr>
                <w:p>
                  <w:pPr>
                    <w:wordWrap w:val="0"/>
                    <w:spacing w:line="300" w:lineRule="exact"/>
                    <w:ind w:left="-84" w:leftChars="-40" w:right="-84" w:rightChars="-40"/>
                    <w:rPr>
                      <w:color w:val="auto"/>
                    </w:rPr>
                  </w:pPr>
                </w:p>
              </w:tc>
              <w:tc>
                <w:tcPr>
                  <w:tcW w:w="1879" w:type="dxa"/>
                  <w:vAlign w:val="center"/>
                </w:tcPr>
                <w:p>
                  <w:pPr>
                    <w:wordWrap w:val="0"/>
                    <w:spacing w:line="300" w:lineRule="exact"/>
                    <w:ind w:left="-84" w:leftChars="-40" w:right="-84" w:rightChars="-40"/>
                    <w:rPr>
                      <w:color w:val="auto"/>
                    </w:rPr>
                  </w:pPr>
                  <w:r>
                    <w:rPr>
                      <w:rFonts w:hint="eastAsia"/>
                      <w:color w:val="auto"/>
                    </w:rPr>
                    <w:t>环境宜安静，应远离污染源</w:t>
                  </w:r>
                </w:p>
              </w:tc>
              <w:tc>
                <w:tcPr>
                  <w:tcW w:w="3228" w:type="dxa"/>
                </w:tcPr>
                <w:p>
                  <w:pPr>
                    <w:wordWrap w:val="0"/>
                    <w:spacing w:line="300" w:lineRule="exact"/>
                    <w:ind w:left="-84" w:leftChars="-40" w:right="-84" w:rightChars="-40"/>
                    <w:rPr>
                      <w:color w:val="auto"/>
                    </w:rPr>
                  </w:pPr>
                  <w:r>
                    <w:rPr>
                      <w:rFonts w:hint="eastAsia"/>
                      <w:color w:val="auto"/>
                    </w:rPr>
                    <w:t>项目西侧为国色天香住宅小区、南北两侧均为国色天香商业楼、所在区域环境较为安静，区域声环境质量满足声功能区要求；同时项目所在地周围无工业企业类污染源。</w:t>
                  </w:r>
                </w:p>
              </w:tc>
              <w:tc>
                <w:tcPr>
                  <w:tcW w:w="672"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02" w:type="dxa"/>
                  <w:vMerge w:val="continue"/>
                  <w:vAlign w:val="center"/>
                </w:tcPr>
                <w:p>
                  <w:pPr>
                    <w:wordWrap w:val="0"/>
                    <w:spacing w:line="300" w:lineRule="exact"/>
                    <w:ind w:left="-84" w:leftChars="-40" w:right="-84" w:rightChars="-40"/>
                    <w:rPr>
                      <w:color w:val="auto"/>
                    </w:rPr>
                  </w:pPr>
                </w:p>
              </w:tc>
              <w:tc>
                <w:tcPr>
                  <w:tcW w:w="1879" w:type="dxa"/>
                  <w:vAlign w:val="center"/>
                </w:tcPr>
                <w:p>
                  <w:pPr>
                    <w:wordWrap w:val="0"/>
                    <w:spacing w:line="300" w:lineRule="exact"/>
                    <w:ind w:left="-84" w:leftChars="-40" w:right="-84" w:rightChars="-40"/>
                    <w:rPr>
                      <w:color w:val="auto"/>
                    </w:rPr>
                  </w:pPr>
                  <w:r>
                    <w:rPr>
                      <w:rFonts w:hint="eastAsia"/>
                      <w:color w:val="auto"/>
                    </w:rPr>
                    <w:t>地形宜力求规整，适宜医院功能布局</w:t>
                  </w:r>
                </w:p>
              </w:tc>
              <w:tc>
                <w:tcPr>
                  <w:tcW w:w="3228" w:type="dxa"/>
                </w:tcPr>
                <w:p>
                  <w:pPr>
                    <w:wordWrap w:val="0"/>
                    <w:spacing w:line="300" w:lineRule="exact"/>
                    <w:ind w:left="-84" w:leftChars="-40" w:right="-84" w:rightChars="-40"/>
                    <w:rPr>
                      <w:color w:val="auto"/>
                    </w:rPr>
                  </w:pPr>
                  <w:r>
                    <w:rPr>
                      <w:rFonts w:hint="eastAsia"/>
                      <w:color w:val="auto"/>
                    </w:rPr>
                    <w:t>项目所在地地形平整，适宜功能布局。</w:t>
                  </w:r>
                </w:p>
              </w:tc>
              <w:tc>
                <w:tcPr>
                  <w:tcW w:w="672"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02" w:type="dxa"/>
                  <w:vMerge w:val="continue"/>
                  <w:vAlign w:val="center"/>
                </w:tcPr>
                <w:p>
                  <w:pPr>
                    <w:wordWrap w:val="0"/>
                    <w:spacing w:line="300" w:lineRule="exact"/>
                    <w:ind w:left="-84" w:leftChars="-40" w:right="-84" w:rightChars="-40"/>
                    <w:rPr>
                      <w:color w:val="auto"/>
                    </w:rPr>
                  </w:pPr>
                </w:p>
              </w:tc>
              <w:tc>
                <w:tcPr>
                  <w:tcW w:w="1879" w:type="dxa"/>
                  <w:vAlign w:val="center"/>
                </w:tcPr>
                <w:p>
                  <w:pPr>
                    <w:wordWrap w:val="0"/>
                    <w:spacing w:line="300" w:lineRule="exact"/>
                    <w:ind w:left="-84" w:leftChars="-40" w:right="-84" w:rightChars="-40"/>
                    <w:rPr>
                      <w:color w:val="auto"/>
                    </w:rPr>
                  </w:pPr>
                  <w:r>
                    <w:rPr>
                      <w:rFonts w:hint="eastAsia"/>
                      <w:color w:val="auto"/>
                    </w:rPr>
                    <w:t>远离易燃、易爆物品的生产和储存区，并应远离高压线路及其设施</w:t>
                  </w:r>
                </w:p>
              </w:tc>
              <w:tc>
                <w:tcPr>
                  <w:tcW w:w="3228" w:type="dxa"/>
                </w:tcPr>
                <w:p>
                  <w:pPr>
                    <w:wordWrap w:val="0"/>
                    <w:spacing w:line="300" w:lineRule="exact"/>
                    <w:ind w:left="-84" w:leftChars="-40" w:right="-84" w:rightChars="-40"/>
                    <w:rPr>
                      <w:color w:val="auto"/>
                    </w:rPr>
                  </w:pPr>
                  <w:r>
                    <w:rPr>
                      <w:rFonts w:hint="eastAsia"/>
                      <w:color w:val="auto"/>
                    </w:rPr>
                    <w:t>项目周围无易燃易爆物品的生产和储存区，项目所在地无高压线路及其设施。</w:t>
                  </w:r>
                </w:p>
              </w:tc>
              <w:tc>
                <w:tcPr>
                  <w:tcW w:w="672" w:type="dxa"/>
                  <w:vAlign w:val="center"/>
                </w:tcPr>
                <w:p>
                  <w:pPr>
                    <w:wordWrap w:val="0"/>
                    <w:spacing w:line="300" w:lineRule="exact"/>
                    <w:ind w:left="-84" w:leftChars="-40" w:right="-84" w:rightChars="-40"/>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02" w:type="dxa"/>
                  <w:vMerge w:val="continue"/>
                  <w:vAlign w:val="center"/>
                </w:tcPr>
                <w:p>
                  <w:pPr>
                    <w:wordWrap w:val="0"/>
                    <w:spacing w:line="300" w:lineRule="exact"/>
                    <w:ind w:left="-84" w:leftChars="-40" w:right="-84" w:rightChars="-40"/>
                    <w:rPr>
                      <w:color w:val="auto"/>
                    </w:rPr>
                  </w:pPr>
                </w:p>
              </w:tc>
              <w:tc>
                <w:tcPr>
                  <w:tcW w:w="1879" w:type="dxa"/>
                  <w:vAlign w:val="center"/>
                </w:tcPr>
                <w:p>
                  <w:pPr>
                    <w:wordWrap w:val="0"/>
                    <w:spacing w:line="300" w:lineRule="exact"/>
                    <w:ind w:left="-84" w:leftChars="-40" w:right="-84" w:rightChars="-40"/>
                    <w:rPr>
                      <w:color w:val="auto"/>
                    </w:rPr>
                  </w:pPr>
                  <w:r>
                    <w:rPr>
                      <w:rFonts w:hint="eastAsia"/>
                      <w:color w:val="auto"/>
                    </w:rPr>
                    <w:t>不应污染、影响城市的其他区域</w:t>
                  </w:r>
                </w:p>
              </w:tc>
              <w:tc>
                <w:tcPr>
                  <w:tcW w:w="3228" w:type="dxa"/>
                </w:tcPr>
                <w:p>
                  <w:pPr>
                    <w:wordWrap w:val="0"/>
                    <w:spacing w:line="300" w:lineRule="exact"/>
                    <w:ind w:left="-84" w:leftChars="-40" w:right="-84" w:rightChars="-40"/>
                    <w:rPr>
                      <w:color w:val="auto"/>
                    </w:rPr>
                  </w:pPr>
                  <w:r>
                    <w:rPr>
                      <w:rFonts w:hint="eastAsia"/>
                      <w:color w:val="auto"/>
                    </w:rPr>
                    <w:t>本项目选址于商业楼内，设置独立出入口，运行过程中不会与周边居民商业活动产生交叉。项目运行后，对各类污染物采取各自相应的污染防治措施，污染物均达标排放，对环境影响可接受。</w:t>
                  </w:r>
                </w:p>
              </w:tc>
              <w:tc>
                <w:tcPr>
                  <w:tcW w:w="672" w:type="dxa"/>
                  <w:vAlign w:val="center"/>
                </w:tcPr>
                <w:p>
                  <w:pPr>
                    <w:wordWrap w:val="0"/>
                    <w:spacing w:line="300" w:lineRule="exact"/>
                    <w:ind w:left="-84" w:leftChars="-40" w:right="-84" w:rightChars="-40"/>
                    <w:jc w:val="center"/>
                    <w:rPr>
                      <w:color w:val="auto"/>
                    </w:rPr>
                  </w:pPr>
                  <w:r>
                    <w:rPr>
                      <w:rFonts w:hint="eastAsia"/>
                      <w:color w:val="auto"/>
                    </w:rPr>
                    <w:t>符合</w:t>
                  </w:r>
                </w:p>
              </w:tc>
            </w:tr>
          </w:tbl>
          <w:p>
            <w:pPr>
              <w:spacing w:before="120" w:beforeLines="50" w:line="360" w:lineRule="auto"/>
              <w:ind w:firstLine="480" w:firstLineChars="200"/>
              <w:rPr>
                <w:color w:val="auto"/>
                <w:sz w:val="24"/>
              </w:rPr>
            </w:pPr>
            <w:r>
              <w:rPr>
                <w:color w:val="auto"/>
                <w:sz w:val="24"/>
              </w:rPr>
              <w:t>项目</w:t>
            </w:r>
            <w:r>
              <w:rPr>
                <w:rFonts w:hint="eastAsia"/>
                <w:color w:val="auto"/>
                <w:sz w:val="24"/>
              </w:rPr>
              <w:t>属于综合医院项目，</w:t>
            </w:r>
            <w:r>
              <w:rPr>
                <w:color w:val="auto"/>
                <w:sz w:val="24"/>
              </w:rPr>
              <w:t>用地性质属于</w:t>
            </w:r>
            <w:r>
              <w:rPr>
                <w:rFonts w:hint="eastAsia"/>
                <w:color w:val="auto"/>
                <w:sz w:val="24"/>
              </w:rPr>
              <w:t>商服用地</w:t>
            </w:r>
            <w:r>
              <w:rPr>
                <w:color w:val="auto"/>
                <w:kern w:val="0"/>
                <w:sz w:val="24"/>
              </w:rPr>
              <w:t>，</w:t>
            </w:r>
            <w:r>
              <w:rPr>
                <w:color w:val="auto"/>
                <w:sz w:val="24"/>
              </w:rPr>
              <w:t>项目周边不涉及基本农田保护区、自然保护区、风景名胜区、饮用水水源保护区，不在国家、地方规划的重点生态功能区的敏感区内。项目不属于高能耗企业，不触及资源利用上线。在采取相应的污染物防治措施后，项目运行期间各类污染物均能达标排放，对环境的影响可以接受。因此，在严格落实本报告提出的环保措施前提下，项目的建设和运行不会对外环境产生较大影响，从环境保护角度分析，本项目选址可行。</w:t>
            </w: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tc>
      </w:tr>
    </w:tbl>
    <w:p>
      <w:pPr>
        <w:spacing w:line="360" w:lineRule="auto"/>
        <w:outlineLvl w:val="0"/>
        <w:rPr>
          <w:rFonts w:eastAsia="黑体"/>
          <w:color w:val="auto"/>
          <w:sz w:val="30"/>
        </w:rPr>
        <w:sectPr>
          <w:footerReference r:id="rId6" w:type="default"/>
          <w:pgSz w:w="11906" w:h="16838"/>
          <w:pgMar w:top="1701" w:right="1531" w:bottom="1701" w:left="1531" w:header="851" w:footer="1077" w:gutter="0"/>
          <w:pgNumType w:start="1"/>
          <w:cols w:space="720" w:num="1"/>
          <w:docGrid w:linePitch="312" w:charSpace="0"/>
        </w:sectPr>
      </w:pPr>
    </w:p>
    <w:p>
      <w:pPr>
        <w:jc w:val="center"/>
        <w:outlineLvl w:val="0"/>
        <w:rPr>
          <w:rFonts w:eastAsia="黑体"/>
          <w:snapToGrid w:val="0"/>
          <w:color w:val="auto"/>
          <w:sz w:val="30"/>
          <w:szCs w:val="30"/>
        </w:rPr>
      </w:pPr>
      <w:bookmarkStart w:id="3" w:name="_Toc117495859"/>
      <w:r>
        <w:rPr>
          <w:rFonts w:eastAsia="黑体"/>
          <w:snapToGrid w:val="0"/>
          <w:color w:val="auto"/>
          <w:sz w:val="30"/>
          <w:szCs w:val="30"/>
        </w:rPr>
        <w:t>二、建设项目工程分析</w:t>
      </w:r>
      <w:bookmarkEnd w:id="3"/>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3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75" w:type="dxa"/>
            <w:vAlign w:val="center"/>
          </w:tcPr>
          <w:p>
            <w:pPr>
              <w:adjustRightInd w:val="0"/>
              <w:snapToGrid w:val="0"/>
              <w:jc w:val="center"/>
              <w:rPr>
                <w:color w:val="auto"/>
                <w:szCs w:val="21"/>
              </w:rPr>
            </w:pPr>
            <w:r>
              <w:rPr>
                <w:color w:val="auto"/>
                <w:szCs w:val="21"/>
              </w:rPr>
              <w:t>建设内容</w:t>
            </w:r>
          </w:p>
        </w:tc>
        <w:tc>
          <w:tcPr>
            <w:tcW w:w="8385" w:type="dxa"/>
          </w:tcPr>
          <w:p>
            <w:pPr>
              <w:adjustRightInd w:val="0"/>
              <w:snapToGrid w:val="0"/>
              <w:spacing w:line="360" w:lineRule="auto"/>
              <w:rPr>
                <w:b/>
                <w:color w:val="auto"/>
                <w:sz w:val="24"/>
              </w:rPr>
            </w:pPr>
            <w:r>
              <w:rPr>
                <w:b/>
                <w:bCs/>
                <w:color w:val="auto"/>
                <w:sz w:val="24"/>
              </w:rPr>
              <w:t>一、</w:t>
            </w:r>
            <w:r>
              <w:rPr>
                <w:b/>
                <w:color w:val="auto"/>
                <w:sz w:val="24"/>
              </w:rPr>
              <w:t>项目</w:t>
            </w:r>
            <w:r>
              <w:rPr>
                <w:rFonts w:hint="eastAsia"/>
                <w:b/>
                <w:color w:val="auto"/>
                <w:sz w:val="24"/>
              </w:rPr>
              <w:t>介绍</w:t>
            </w:r>
          </w:p>
          <w:p>
            <w:pPr>
              <w:pStyle w:val="12"/>
              <w:rPr>
                <w:color w:val="auto"/>
              </w:rPr>
            </w:pPr>
            <w:r>
              <w:rPr>
                <w:rFonts w:hint="eastAsia"/>
                <w:color w:val="auto"/>
              </w:rPr>
              <w:t>（1）项目名称：西安长安强森医院有限公司建设项目</w:t>
            </w:r>
          </w:p>
          <w:p>
            <w:pPr>
              <w:pStyle w:val="12"/>
              <w:rPr>
                <w:color w:val="auto"/>
              </w:rPr>
            </w:pPr>
            <w:r>
              <w:rPr>
                <w:rFonts w:hint="eastAsia"/>
                <w:color w:val="auto"/>
              </w:rPr>
              <w:t>（2）建设性质：改扩建</w:t>
            </w:r>
          </w:p>
          <w:p>
            <w:pPr>
              <w:pStyle w:val="12"/>
              <w:rPr>
                <w:color w:val="auto"/>
              </w:rPr>
            </w:pPr>
            <w:r>
              <w:rPr>
                <w:rFonts w:hint="eastAsia"/>
                <w:color w:val="auto"/>
              </w:rPr>
              <w:t>（3）建设单位：西安长安强森医院有限公司</w:t>
            </w:r>
          </w:p>
          <w:p>
            <w:pPr>
              <w:pStyle w:val="12"/>
              <w:rPr>
                <w:color w:val="auto"/>
              </w:rPr>
            </w:pPr>
            <w:r>
              <w:rPr>
                <w:rFonts w:hint="eastAsia"/>
                <w:color w:val="auto"/>
              </w:rPr>
              <w:t>（4）建设地点：</w:t>
            </w:r>
            <w:r>
              <w:rPr>
                <w:color w:val="auto"/>
              </w:rPr>
              <w:t>陕西省西安市长安区西长安街989号国色天香小区22号商业楼</w:t>
            </w:r>
            <w:r>
              <w:rPr>
                <w:rFonts w:hint="eastAsia"/>
                <w:color w:val="auto"/>
              </w:rPr>
              <w:t>。项目地</w:t>
            </w:r>
            <w:r>
              <w:rPr>
                <w:color w:val="auto"/>
              </w:rPr>
              <w:t>东侧为</w:t>
            </w:r>
            <w:r>
              <w:rPr>
                <w:rFonts w:hint="eastAsia"/>
                <w:color w:val="auto"/>
              </w:rPr>
              <w:t>茅坡路</w:t>
            </w:r>
            <w:r>
              <w:rPr>
                <w:color w:val="auto"/>
              </w:rPr>
              <w:t>，</w:t>
            </w:r>
            <w:r>
              <w:rPr>
                <w:rFonts w:hint="eastAsia"/>
                <w:color w:val="auto"/>
              </w:rPr>
              <w:t>北侧及南侧均为</w:t>
            </w:r>
            <w:r>
              <w:rPr>
                <w:color w:val="auto"/>
              </w:rPr>
              <w:t>国色天香</w:t>
            </w:r>
            <w:r>
              <w:rPr>
                <w:rFonts w:hint="eastAsia"/>
                <w:color w:val="auto"/>
              </w:rPr>
              <w:t>商业楼，西侧为</w:t>
            </w:r>
            <w:r>
              <w:rPr>
                <w:color w:val="auto"/>
              </w:rPr>
              <w:t>国色天香小区</w:t>
            </w:r>
            <w:r>
              <w:rPr>
                <w:rFonts w:hint="eastAsia"/>
                <w:color w:val="auto"/>
              </w:rPr>
              <w:t>住宅楼。本项目地理位置</w:t>
            </w:r>
            <w:r>
              <w:rPr>
                <w:color w:val="auto"/>
              </w:rPr>
              <w:t>E108°</w:t>
            </w:r>
            <w:r>
              <w:rPr>
                <w:rFonts w:hint="eastAsia"/>
                <w:color w:val="auto"/>
              </w:rPr>
              <w:t>53</w:t>
            </w:r>
            <w:r>
              <w:rPr>
                <w:color w:val="auto"/>
              </w:rPr>
              <w:t>′</w:t>
            </w:r>
            <w:r>
              <w:rPr>
                <w:rFonts w:hint="eastAsia"/>
                <w:color w:val="auto"/>
              </w:rPr>
              <w:t>16.887</w:t>
            </w:r>
            <w:r>
              <w:rPr>
                <w:color w:val="auto"/>
              </w:rPr>
              <w:t>″，N34°</w:t>
            </w:r>
            <w:r>
              <w:rPr>
                <w:rFonts w:hint="eastAsia"/>
                <w:color w:val="auto"/>
              </w:rPr>
              <w:t>9</w:t>
            </w:r>
            <w:r>
              <w:rPr>
                <w:color w:val="auto"/>
              </w:rPr>
              <w:t>′</w:t>
            </w:r>
            <w:r>
              <w:rPr>
                <w:rFonts w:hint="eastAsia"/>
                <w:color w:val="auto"/>
              </w:rPr>
              <w:t>38.959</w:t>
            </w:r>
            <w:r>
              <w:rPr>
                <w:color w:val="auto"/>
              </w:rPr>
              <w:t>″</w:t>
            </w:r>
            <w:r>
              <w:rPr>
                <w:rFonts w:hint="eastAsia"/>
                <w:color w:val="auto"/>
              </w:rPr>
              <w:t>，总投资100万元，其中环保投资8万元，占总投资的8</w:t>
            </w:r>
            <w:r>
              <w:rPr>
                <w:color w:val="auto"/>
              </w:rPr>
              <w:t>%</w:t>
            </w:r>
            <w:r>
              <w:rPr>
                <w:rFonts w:hint="eastAsia"/>
                <w:color w:val="auto"/>
              </w:rPr>
              <w:t>。</w:t>
            </w:r>
          </w:p>
          <w:p>
            <w:pPr>
              <w:spacing w:line="360" w:lineRule="auto"/>
              <w:ind w:right="-105"/>
              <w:rPr>
                <w:b/>
                <w:bCs/>
                <w:color w:val="auto"/>
                <w:sz w:val="24"/>
              </w:rPr>
            </w:pPr>
            <w:r>
              <w:rPr>
                <w:b/>
                <w:bCs/>
                <w:color w:val="auto"/>
                <w:sz w:val="24"/>
              </w:rPr>
              <w:t>二、项目组成及建设内容</w:t>
            </w:r>
          </w:p>
          <w:p>
            <w:pPr>
              <w:spacing w:line="360" w:lineRule="auto"/>
              <w:ind w:firstLine="480" w:firstLineChars="200"/>
              <w:rPr>
                <w:color w:val="auto"/>
                <w:sz w:val="24"/>
              </w:rPr>
            </w:pPr>
            <w:r>
              <w:rPr>
                <w:rFonts w:hint="eastAsia"/>
                <w:color w:val="auto"/>
                <w:sz w:val="24"/>
              </w:rPr>
              <w:t>本项目</w:t>
            </w:r>
            <w:r>
              <w:rPr>
                <w:color w:val="auto"/>
                <w:sz w:val="24"/>
              </w:rPr>
              <w:t>租赁西安</w:t>
            </w:r>
            <w:r>
              <w:rPr>
                <w:rFonts w:hint="default" w:ascii="Times New Roman" w:hAnsi="Times New Roman" w:cs="Times New Roman"/>
                <w:color w:val="auto"/>
                <w:sz w:val="24"/>
              </w:rPr>
              <w:t>市长安区西长安街989号国色天香小区22号商业楼，建筑面积为1237m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，建设综合医院项目，本项目新增床位31张，项目由原来的住院床位19张变成住院床位50张。主要设置有内科、外科、儿科、妇科、口腔科、疼痛理疗、药房、医学检验、</w:t>
            </w:r>
            <w:r>
              <w:rPr>
                <w:rFonts w:hint="eastAsia"/>
                <w:color w:val="auto"/>
                <w:sz w:val="24"/>
              </w:rPr>
              <w:t>住院康养、产后康复等</w:t>
            </w:r>
            <w:r>
              <w:rPr>
                <w:color w:val="auto"/>
                <w:sz w:val="24"/>
              </w:rPr>
              <w:t>科室。主要建设内容见表2-1。</w:t>
            </w:r>
          </w:p>
          <w:p>
            <w:pPr>
              <w:pStyle w:val="15"/>
              <w:rPr>
                <w:color w:val="auto"/>
              </w:rPr>
            </w:pPr>
            <w:r>
              <w:rPr>
                <w:color w:val="auto"/>
              </w:rPr>
              <w:t>表2-1  本项目主要建设内容</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12"/>
              <w:gridCol w:w="444"/>
              <w:gridCol w:w="410"/>
              <w:gridCol w:w="5777"/>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Align w:val="center"/>
                </w:tcPr>
                <w:p>
                  <w:pPr>
                    <w:adjustRightInd w:val="0"/>
                    <w:snapToGrid w:val="0"/>
                    <w:jc w:val="center"/>
                    <w:rPr>
                      <w:bCs/>
                      <w:color w:val="auto"/>
                      <w:szCs w:val="21"/>
                    </w:rPr>
                  </w:pPr>
                  <w:r>
                    <w:rPr>
                      <w:bCs/>
                      <w:color w:val="auto"/>
                      <w:szCs w:val="21"/>
                    </w:rPr>
                    <w:t>类别</w:t>
                  </w:r>
                </w:p>
              </w:tc>
              <w:tc>
                <w:tcPr>
                  <w:tcW w:w="523" w:type="pct"/>
                  <w:gridSpan w:val="2"/>
                  <w:vAlign w:val="center"/>
                </w:tcPr>
                <w:p>
                  <w:pPr>
                    <w:adjustRightInd w:val="0"/>
                    <w:snapToGrid w:val="0"/>
                    <w:jc w:val="center"/>
                    <w:rPr>
                      <w:bCs/>
                      <w:color w:val="auto"/>
                      <w:szCs w:val="21"/>
                    </w:rPr>
                  </w:pPr>
                  <w:r>
                    <w:rPr>
                      <w:bCs/>
                      <w:color w:val="auto"/>
                      <w:szCs w:val="21"/>
                    </w:rPr>
                    <w:t>工程名称</w:t>
                  </w:r>
                </w:p>
              </w:tc>
              <w:tc>
                <w:tcPr>
                  <w:tcW w:w="3539" w:type="pct"/>
                  <w:vAlign w:val="center"/>
                </w:tcPr>
                <w:p>
                  <w:pPr>
                    <w:adjustRightInd w:val="0"/>
                    <w:snapToGrid w:val="0"/>
                    <w:jc w:val="center"/>
                    <w:rPr>
                      <w:bCs/>
                      <w:color w:val="auto"/>
                      <w:szCs w:val="21"/>
                    </w:rPr>
                  </w:pPr>
                  <w:r>
                    <w:rPr>
                      <w:bCs/>
                      <w:color w:val="auto"/>
                      <w:szCs w:val="21"/>
                    </w:rPr>
                    <w:t>建设内容</w:t>
                  </w:r>
                </w:p>
              </w:tc>
              <w:tc>
                <w:tcPr>
                  <w:tcW w:w="561" w:type="pct"/>
                  <w:vAlign w:val="center"/>
                </w:tcPr>
                <w:p>
                  <w:pPr>
                    <w:adjustRightInd w:val="0"/>
                    <w:snapToGrid w:val="0"/>
                    <w:jc w:val="center"/>
                    <w:rPr>
                      <w:bCs/>
                      <w:color w:val="auto"/>
                      <w:szCs w:val="21"/>
                    </w:rPr>
                  </w:pPr>
                  <w:r>
                    <w:rPr>
                      <w:rFonts w:hint="eastAsia"/>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restart"/>
                  <w:vAlign w:val="center"/>
                </w:tcPr>
                <w:p>
                  <w:pPr>
                    <w:adjustRightInd w:val="0"/>
                    <w:snapToGrid w:val="0"/>
                    <w:jc w:val="center"/>
                    <w:rPr>
                      <w:bCs/>
                      <w:color w:val="auto"/>
                      <w:szCs w:val="21"/>
                    </w:rPr>
                  </w:pPr>
                  <w:r>
                    <w:rPr>
                      <w:bCs/>
                      <w:color w:val="auto"/>
                      <w:szCs w:val="21"/>
                    </w:rPr>
                    <w:t>主体</w:t>
                  </w:r>
                </w:p>
                <w:p>
                  <w:pPr>
                    <w:adjustRightInd w:val="0"/>
                    <w:snapToGrid w:val="0"/>
                    <w:jc w:val="center"/>
                    <w:rPr>
                      <w:bCs/>
                      <w:color w:val="auto"/>
                      <w:szCs w:val="21"/>
                    </w:rPr>
                  </w:pPr>
                  <w:r>
                    <w:rPr>
                      <w:bCs/>
                      <w:color w:val="auto"/>
                      <w:szCs w:val="21"/>
                    </w:rPr>
                    <w:t>工程</w:t>
                  </w:r>
                </w:p>
              </w:tc>
              <w:tc>
                <w:tcPr>
                  <w:tcW w:w="272" w:type="pct"/>
                  <w:vMerge w:val="restart"/>
                  <w:vAlign w:val="center"/>
                </w:tcPr>
                <w:p>
                  <w:pPr>
                    <w:ind w:right="-105"/>
                    <w:jc w:val="center"/>
                    <w:rPr>
                      <w:bCs/>
                      <w:color w:val="auto"/>
                      <w:szCs w:val="21"/>
                    </w:rPr>
                  </w:pPr>
                  <w:r>
                    <w:rPr>
                      <w:rFonts w:hint="eastAsia"/>
                      <w:bCs/>
                      <w:color w:val="auto"/>
                      <w:szCs w:val="21"/>
                    </w:rPr>
                    <w:t>综合楼</w:t>
                  </w:r>
                </w:p>
              </w:tc>
              <w:tc>
                <w:tcPr>
                  <w:tcW w:w="251" w:type="pct"/>
                  <w:vAlign w:val="center"/>
                </w:tcPr>
                <w:p>
                  <w:pPr>
                    <w:ind w:right="-105"/>
                    <w:jc w:val="center"/>
                    <w:rPr>
                      <w:bCs/>
                      <w:color w:val="auto"/>
                      <w:szCs w:val="21"/>
                    </w:rPr>
                  </w:pPr>
                  <w:r>
                    <w:rPr>
                      <w:rFonts w:hint="eastAsia"/>
                      <w:bCs/>
                      <w:color w:val="auto"/>
                      <w:szCs w:val="21"/>
                    </w:rPr>
                    <w:t>-1F</w:t>
                  </w:r>
                </w:p>
              </w:tc>
              <w:tc>
                <w:tcPr>
                  <w:tcW w:w="3539" w:type="pct"/>
                  <w:tcMar>
                    <w:top w:w="0" w:type="dxa"/>
                    <w:left w:w="57" w:type="dxa"/>
                    <w:bottom w:w="0" w:type="dxa"/>
                    <w:right w:w="57" w:type="dxa"/>
                  </w:tcMar>
                </w:tcPr>
                <w:p>
                  <w:pPr>
                    <w:adjustRightInd w:val="0"/>
                    <w:snapToGrid w:val="0"/>
                    <w:spacing w:line="280" w:lineRule="exact"/>
                    <w:rPr>
                      <w:color w:val="auto"/>
                    </w:rPr>
                  </w:pPr>
                  <w:r>
                    <w:rPr>
                      <w:rFonts w:hint="eastAsia"/>
                      <w:color w:val="auto"/>
                    </w:rPr>
                    <w:t>设置健康体检、彩超心电、眼科门诊、DR检查、经颅多普勒超声、功能检查等。</w:t>
                  </w:r>
                </w:p>
              </w:tc>
              <w:tc>
                <w:tcPr>
                  <w:tcW w:w="561" w:type="pct"/>
                  <w:vMerge w:val="restart"/>
                  <w:vAlign w:val="center"/>
                </w:tcPr>
                <w:p>
                  <w:pPr>
                    <w:adjustRightInd w:val="0"/>
                    <w:snapToGrid w:val="0"/>
                    <w:jc w:val="center"/>
                    <w:rPr>
                      <w:bCs/>
                      <w:color w:val="auto"/>
                      <w:szCs w:val="21"/>
                    </w:rPr>
                  </w:pPr>
                  <w:r>
                    <w:rPr>
                      <w:rFonts w:hint="eastAsia"/>
                      <w:color w:val="auto"/>
                    </w:rPr>
                    <w:t>原项目科室、功能设置等均未发生变化，仅增加31张住院床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continue"/>
                  <w:vAlign w:val="center"/>
                </w:tcPr>
                <w:p>
                  <w:pPr>
                    <w:adjustRightInd w:val="0"/>
                    <w:snapToGrid w:val="0"/>
                    <w:jc w:val="center"/>
                    <w:rPr>
                      <w:bCs/>
                      <w:color w:val="auto"/>
                      <w:szCs w:val="21"/>
                    </w:rPr>
                  </w:pPr>
                </w:p>
              </w:tc>
              <w:tc>
                <w:tcPr>
                  <w:tcW w:w="272" w:type="pct"/>
                  <w:vMerge w:val="continue"/>
                  <w:vAlign w:val="center"/>
                </w:tcPr>
                <w:p>
                  <w:pPr>
                    <w:ind w:right="-105"/>
                    <w:jc w:val="center"/>
                    <w:rPr>
                      <w:bCs/>
                      <w:color w:val="auto"/>
                      <w:szCs w:val="21"/>
                    </w:rPr>
                  </w:pPr>
                </w:p>
              </w:tc>
              <w:tc>
                <w:tcPr>
                  <w:tcW w:w="251" w:type="pct"/>
                  <w:vAlign w:val="center"/>
                </w:tcPr>
                <w:p>
                  <w:pPr>
                    <w:ind w:right="-105"/>
                    <w:jc w:val="center"/>
                    <w:rPr>
                      <w:bCs/>
                      <w:color w:val="auto"/>
                      <w:szCs w:val="21"/>
                    </w:rPr>
                  </w:pPr>
                  <w:r>
                    <w:rPr>
                      <w:rFonts w:hint="eastAsia"/>
                      <w:bCs/>
                      <w:color w:val="auto"/>
                      <w:szCs w:val="21"/>
                    </w:rPr>
                    <w:t>1F</w:t>
                  </w:r>
                </w:p>
              </w:tc>
              <w:tc>
                <w:tcPr>
                  <w:tcW w:w="3539" w:type="pct"/>
                  <w:tcMar>
                    <w:top w:w="0" w:type="dxa"/>
                    <w:left w:w="57" w:type="dxa"/>
                    <w:bottom w:w="0" w:type="dxa"/>
                    <w:right w:w="57" w:type="dxa"/>
                  </w:tcMar>
                </w:tcPr>
                <w:p>
                  <w:pPr>
                    <w:adjustRightInd w:val="0"/>
                    <w:snapToGrid w:val="0"/>
                    <w:spacing w:line="280" w:lineRule="exact"/>
                    <w:rPr>
                      <w:color w:val="auto"/>
                    </w:rPr>
                  </w:pPr>
                  <w:r>
                    <w:rPr>
                      <w:rFonts w:hint="eastAsia"/>
                      <w:color w:val="auto"/>
                    </w:rPr>
                    <w:t>设置中医门诊、内科门诊、外科门诊、儿科门诊、疼痛理疗、药房以及前台服务等。</w:t>
                  </w:r>
                </w:p>
              </w:tc>
              <w:tc>
                <w:tcPr>
                  <w:tcW w:w="561" w:type="pct"/>
                  <w:vMerge w:val="continue"/>
                  <w:vAlign w:val="center"/>
                </w:tcPr>
                <w:p>
                  <w:pPr>
                    <w:adjustRightInd w:val="0"/>
                    <w:snapToGrid w:val="0"/>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continue"/>
                  <w:vAlign w:val="center"/>
                </w:tcPr>
                <w:p>
                  <w:pPr>
                    <w:adjustRightInd w:val="0"/>
                    <w:snapToGrid w:val="0"/>
                    <w:jc w:val="center"/>
                    <w:rPr>
                      <w:bCs/>
                      <w:color w:val="auto"/>
                      <w:szCs w:val="21"/>
                    </w:rPr>
                  </w:pPr>
                </w:p>
              </w:tc>
              <w:tc>
                <w:tcPr>
                  <w:tcW w:w="272" w:type="pct"/>
                  <w:vMerge w:val="continue"/>
                  <w:vAlign w:val="center"/>
                </w:tcPr>
                <w:p>
                  <w:pPr>
                    <w:ind w:right="-105"/>
                    <w:jc w:val="center"/>
                    <w:rPr>
                      <w:bCs/>
                      <w:color w:val="auto"/>
                      <w:szCs w:val="21"/>
                    </w:rPr>
                  </w:pPr>
                </w:p>
              </w:tc>
              <w:tc>
                <w:tcPr>
                  <w:tcW w:w="251" w:type="pct"/>
                  <w:vAlign w:val="center"/>
                </w:tcPr>
                <w:p>
                  <w:pPr>
                    <w:ind w:right="-105"/>
                    <w:jc w:val="center"/>
                    <w:rPr>
                      <w:bCs/>
                      <w:color w:val="auto"/>
                      <w:szCs w:val="21"/>
                    </w:rPr>
                  </w:pPr>
                  <w:r>
                    <w:rPr>
                      <w:rFonts w:hint="eastAsia"/>
                      <w:bCs/>
                      <w:color w:val="auto"/>
                      <w:szCs w:val="21"/>
                    </w:rPr>
                    <w:t>2F</w:t>
                  </w:r>
                </w:p>
              </w:tc>
              <w:tc>
                <w:tcPr>
                  <w:tcW w:w="3539" w:type="pct"/>
                  <w:tcMar>
                    <w:top w:w="0" w:type="dxa"/>
                    <w:left w:w="57" w:type="dxa"/>
                    <w:bottom w:w="0" w:type="dxa"/>
                    <w:right w:w="57" w:type="dxa"/>
                  </w:tcMar>
                </w:tcPr>
                <w:p>
                  <w:pPr>
                    <w:adjustRightInd w:val="0"/>
                    <w:snapToGrid w:val="0"/>
                    <w:spacing w:line="280" w:lineRule="exact"/>
                    <w:rPr>
                      <w:bCs/>
                      <w:color w:val="auto"/>
                      <w:szCs w:val="21"/>
                    </w:rPr>
                  </w:pPr>
                  <w:r>
                    <w:rPr>
                      <w:rFonts w:hint="eastAsia"/>
                      <w:color w:val="auto"/>
                    </w:rPr>
                    <w:t>设置妇科门诊、医学检验、诊疗及输液室。</w:t>
                  </w:r>
                </w:p>
              </w:tc>
              <w:tc>
                <w:tcPr>
                  <w:tcW w:w="561" w:type="pct"/>
                  <w:vMerge w:val="continue"/>
                  <w:vAlign w:val="center"/>
                </w:tcPr>
                <w:p>
                  <w:pPr>
                    <w:adjustRightInd w:val="0"/>
                    <w:snapToGrid w:val="0"/>
                    <w:jc w:val="center"/>
                    <w:rPr>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continue"/>
                  <w:vAlign w:val="center"/>
                </w:tcPr>
                <w:p>
                  <w:pPr>
                    <w:adjustRightInd w:val="0"/>
                    <w:snapToGrid w:val="0"/>
                    <w:jc w:val="center"/>
                    <w:rPr>
                      <w:bCs/>
                      <w:color w:val="auto"/>
                      <w:szCs w:val="21"/>
                    </w:rPr>
                  </w:pPr>
                </w:p>
              </w:tc>
              <w:tc>
                <w:tcPr>
                  <w:tcW w:w="272" w:type="pct"/>
                  <w:vMerge w:val="continue"/>
                  <w:vAlign w:val="center"/>
                </w:tcPr>
                <w:p>
                  <w:pPr>
                    <w:ind w:right="-105"/>
                    <w:jc w:val="center"/>
                    <w:rPr>
                      <w:bCs/>
                      <w:color w:val="auto"/>
                      <w:szCs w:val="21"/>
                    </w:rPr>
                  </w:pPr>
                </w:p>
              </w:tc>
              <w:tc>
                <w:tcPr>
                  <w:tcW w:w="251" w:type="pct"/>
                  <w:vAlign w:val="center"/>
                </w:tcPr>
                <w:p>
                  <w:pPr>
                    <w:ind w:right="-105"/>
                    <w:jc w:val="center"/>
                    <w:rPr>
                      <w:bCs/>
                      <w:color w:val="auto"/>
                      <w:szCs w:val="21"/>
                    </w:rPr>
                  </w:pPr>
                  <w:r>
                    <w:rPr>
                      <w:rFonts w:hint="eastAsia"/>
                      <w:bCs/>
                      <w:color w:val="auto"/>
                      <w:szCs w:val="21"/>
                    </w:rPr>
                    <w:t>3F</w:t>
                  </w:r>
                </w:p>
              </w:tc>
              <w:tc>
                <w:tcPr>
                  <w:tcW w:w="3539" w:type="pct"/>
                  <w:tcMar>
                    <w:top w:w="0" w:type="dxa"/>
                    <w:left w:w="57" w:type="dxa"/>
                    <w:bottom w:w="0" w:type="dxa"/>
                    <w:right w:w="57" w:type="dxa"/>
                  </w:tcMar>
                </w:tcPr>
                <w:p>
                  <w:pPr>
                    <w:adjustRightInd w:val="0"/>
                    <w:snapToGrid w:val="0"/>
                    <w:spacing w:line="280" w:lineRule="exact"/>
                    <w:rPr>
                      <w:bCs/>
                      <w:color w:val="auto"/>
                      <w:szCs w:val="21"/>
                    </w:rPr>
                  </w:pPr>
                  <w:r>
                    <w:rPr>
                      <w:rFonts w:hint="eastAsia"/>
                      <w:color w:val="auto"/>
                    </w:rPr>
                    <w:t>设置住院康养、产后康复、口腔门诊。其中本项目口腔科内部不制作假牙，仅在此进行咬合专用模具后委外定制假牙。</w:t>
                  </w:r>
                </w:p>
              </w:tc>
              <w:tc>
                <w:tcPr>
                  <w:tcW w:w="561" w:type="pct"/>
                  <w:vMerge w:val="continue"/>
                  <w:vAlign w:val="center"/>
                </w:tcPr>
                <w:p>
                  <w:pPr>
                    <w:adjustRightInd w:val="0"/>
                    <w:snapToGrid w:val="0"/>
                    <w:jc w:val="center"/>
                    <w:rPr>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continue"/>
                  <w:vAlign w:val="center"/>
                </w:tcPr>
                <w:p>
                  <w:pPr>
                    <w:adjustRightInd w:val="0"/>
                    <w:snapToGrid w:val="0"/>
                    <w:jc w:val="center"/>
                    <w:rPr>
                      <w:bCs/>
                      <w:color w:val="auto"/>
                      <w:szCs w:val="21"/>
                    </w:rPr>
                  </w:pPr>
                </w:p>
              </w:tc>
              <w:tc>
                <w:tcPr>
                  <w:tcW w:w="272" w:type="pct"/>
                  <w:vMerge w:val="continue"/>
                  <w:vAlign w:val="center"/>
                </w:tcPr>
                <w:p>
                  <w:pPr>
                    <w:ind w:right="-105"/>
                    <w:jc w:val="center"/>
                    <w:rPr>
                      <w:bCs/>
                      <w:color w:val="auto"/>
                      <w:szCs w:val="21"/>
                    </w:rPr>
                  </w:pPr>
                </w:p>
              </w:tc>
              <w:tc>
                <w:tcPr>
                  <w:tcW w:w="251" w:type="pct"/>
                  <w:vAlign w:val="center"/>
                </w:tcPr>
                <w:p>
                  <w:pPr>
                    <w:ind w:right="-105"/>
                    <w:jc w:val="center"/>
                    <w:rPr>
                      <w:bCs/>
                      <w:color w:val="auto"/>
                      <w:szCs w:val="21"/>
                    </w:rPr>
                  </w:pPr>
                  <w:r>
                    <w:rPr>
                      <w:rFonts w:hint="eastAsia"/>
                      <w:bCs/>
                      <w:color w:val="auto"/>
                      <w:szCs w:val="21"/>
                    </w:rPr>
                    <w:t>4F</w:t>
                  </w:r>
                </w:p>
              </w:tc>
              <w:tc>
                <w:tcPr>
                  <w:tcW w:w="3539" w:type="pct"/>
                  <w:tcMar>
                    <w:top w:w="0" w:type="dxa"/>
                    <w:left w:w="57" w:type="dxa"/>
                    <w:bottom w:w="0" w:type="dxa"/>
                    <w:right w:w="57" w:type="dxa"/>
                  </w:tcMar>
                </w:tcPr>
                <w:p>
                  <w:pPr>
                    <w:adjustRightInd w:val="0"/>
                    <w:snapToGrid w:val="0"/>
                    <w:spacing w:line="280" w:lineRule="exact"/>
                    <w:rPr>
                      <w:bCs/>
                      <w:color w:val="auto"/>
                      <w:szCs w:val="21"/>
                    </w:rPr>
                  </w:pPr>
                  <w:r>
                    <w:rPr>
                      <w:rFonts w:hint="eastAsia"/>
                      <w:color w:val="auto"/>
                    </w:rPr>
                    <w:t>设置住院康养、输液室、治疗室。</w:t>
                  </w:r>
                </w:p>
              </w:tc>
              <w:tc>
                <w:tcPr>
                  <w:tcW w:w="561" w:type="pct"/>
                  <w:vMerge w:val="continue"/>
                  <w:vAlign w:val="center"/>
                </w:tcPr>
                <w:p>
                  <w:pPr>
                    <w:adjustRightInd w:val="0"/>
                    <w:snapToGrid w:val="0"/>
                    <w:jc w:val="center"/>
                    <w:rPr>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restart"/>
                  <w:vAlign w:val="center"/>
                </w:tcPr>
                <w:p>
                  <w:pPr>
                    <w:adjustRightInd w:val="0"/>
                    <w:snapToGrid w:val="0"/>
                    <w:jc w:val="center"/>
                    <w:rPr>
                      <w:bCs/>
                      <w:color w:val="auto"/>
                      <w:szCs w:val="21"/>
                    </w:rPr>
                  </w:pPr>
                  <w:r>
                    <w:rPr>
                      <w:bCs/>
                      <w:color w:val="auto"/>
                      <w:szCs w:val="21"/>
                    </w:rPr>
                    <w:t>辅助</w:t>
                  </w:r>
                </w:p>
                <w:p>
                  <w:pPr>
                    <w:adjustRightInd w:val="0"/>
                    <w:snapToGrid w:val="0"/>
                    <w:jc w:val="center"/>
                    <w:rPr>
                      <w:bCs/>
                      <w:color w:val="auto"/>
                      <w:szCs w:val="21"/>
                    </w:rPr>
                  </w:pPr>
                  <w:r>
                    <w:rPr>
                      <w:bCs/>
                      <w:color w:val="auto"/>
                      <w:szCs w:val="21"/>
                    </w:rPr>
                    <w:t>工程</w:t>
                  </w:r>
                </w:p>
              </w:tc>
              <w:tc>
                <w:tcPr>
                  <w:tcW w:w="523" w:type="pct"/>
                  <w:gridSpan w:val="2"/>
                  <w:vAlign w:val="center"/>
                </w:tcPr>
                <w:p>
                  <w:pPr>
                    <w:jc w:val="center"/>
                    <w:rPr>
                      <w:color w:val="auto"/>
                      <w:szCs w:val="21"/>
                    </w:rPr>
                  </w:pPr>
                  <w:r>
                    <w:rPr>
                      <w:rFonts w:hint="eastAsia"/>
                      <w:color w:val="auto"/>
                      <w:szCs w:val="21"/>
                    </w:rPr>
                    <w:t>污水处理间</w:t>
                  </w:r>
                </w:p>
              </w:tc>
              <w:tc>
                <w:tcPr>
                  <w:tcW w:w="3539" w:type="pct"/>
                  <w:tcMar>
                    <w:top w:w="0" w:type="dxa"/>
                    <w:left w:w="57" w:type="dxa"/>
                    <w:bottom w:w="0" w:type="dxa"/>
                    <w:right w:w="57" w:type="dxa"/>
                  </w:tcMar>
                  <w:vAlign w:val="center"/>
                </w:tcPr>
                <w:p>
                  <w:pPr>
                    <w:adjustRightInd w:val="0"/>
                    <w:snapToGrid w:val="0"/>
                    <w:spacing w:line="280" w:lineRule="exact"/>
                    <w:rPr>
                      <w:bCs/>
                      <w:color w:val="auto"/>
                      <w:szCs w:val="21"/>
                    </w:rPr>
                  </w:pPr>
                  <w:r>
                    <w:rPr>
                      <w:rFonts w:hint="eastAsia"/>
                      <w:color w:val="auto"/>
                      <w:szCs w:val="21"/>
                    </w:rPr>
                    <w:t>污水处理设施为一套封闭式一体化箱式结构，位于地下一层的设备间内，并在1F配置一间设备间，主要放置消毒系统以及控制系统。</w:t>
                  </w:r>
                </w:p>
              </w:tc>
              <w:tc>
                <w:tcPr>
                  <w:tcW w:w="561" w:type="pct"/>
                  <w:vAlign w:val="center"/>
                </w:tcPr>
                <w:p>
                  <w:pPr>
                    <w:ind w:left="42" w:leftChars="20" w:right="42" w:rightChars="20"/>
                    <w:jc w:val="center"/>
                    <w:rPr>
                      <w:bCs/>
                      <w:color w:val="auto"/>
                      <w:szCs w:val="21"/>
                    </w:rPr>
                  </w:pPr>
                  <w:r>
                    <w:rPr>
                      <w:rFonts w:hint="eastAsia"/>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continue"/>
                  <w:vAlign w:val="center"/>
                </w:tcPr>
                <w:p>
                  <w:pPr>
                    <w:adjustRightInd w:val="0"/>
                    <w:snapToGrid w:val="0"/>
                    <w:jc w:val="center"/>
                    <w:rPr>
                      <w:bCs/>
                      <w:color w:val="auto"/>
                      <w:szCs w:val="21"/>
                    </w:rPr>
                  </w:pPr>
                </w:p>
              </w:tc>
              <w:tc>
                <w:tcPr>
                  <w:tcW w:w="523" w:type="pct"/>
                  <w:gridSpan w:val="2"/>
                  <w:vAlign w:val="center"/>
                </w:tcPr>
                <w:p>
                  <w:pPr>
                    <w:adjustRightInd w:val="0"/>
                    <w:snapToGrid w:val="0"/>
                    <w:spacing w:line="280" w:lineRule="exact"/>
                    <w:jc w:val="center"/>
                    <w:rPr>
                      <w:bCs/>
                      <w:color w:val="auto"/>
                      <w:szCs w:val="21"/>
                    </w:rPr>
                  </w:pPr>
                  <w:r>
                    <w:rPr>
                      <w:rFonts w:hint="eastAsia"/>
                      <w:color w:val="auto"/>
                      <w:szCs w:val="21"/>
                    </w:rPr>
                    <w:t>医疗废物贮存库</w:t>
                  </w:r>
                </w:p>
              </w:tc>
              <w:tc>
                <w:tcPr>
                  <w:tcW w:w="3539" w:type="pct"/>
                  <w:tcMar>
                    <w:top w:w="0" w:type="dxa"/>
                    <w:left w:w="57" w:type="dxa"/>
                    <w:bottom w:w="0" w:type="dxa"/>
                    <w:right w:w="57" w:type="dxa"/>
                  </w:tcMar>
                  <w:vAlign w:val="center"/>
                </w:tcPr>
                <w:p>
                  <w:pPr>
                    <w:adjustRightInd w:val="0"/>
                    <w:snapToGrid w:val="0"/>
                    <w:spacing w:line="280" w:lineRule="exact"/>
                    <w:rPr>
                      <w:bCs/>
                      <w:color w:val="auto"/>
                      <w:szCs w:val="21"/>
                    </w:rPr>
                  </w:pPr>
                  <w:r>
                    <w:rPr>
                      <w:rFonts w:hint="eastAsia"/>
                      <w:color w:val="auto"/>
                      <w:szCs w:val="21"/>
                    </w:rPr>
                    <w:t>位于1F层西侧，主要贮存各类医疗废物。</w:t>
                  </w:r>
                </w:p>
              </w:tc>
              <w:tc>
                <w:tcPr>
                  <w:tcW w:w="561" w:type="pct"/>
                  <w:vAlign w:val="center"/>
                </w:tcPr>
                <w:p>
                  <w:pPr>
                    <w:ind w:left="42" w:leftChars="20" w:right="42" w:rightChars="20"/>
                    <w:jc w:val="center"/>
                    <w:rPr>
                      <w:bCs/>
                      <w:color w:val="auto"/>
                      <w:szCs w:val="21"/>
                    </w:rPr>
                  </w:pPr>
                  <w:r>
                    <w:rPr>
                      <w:rFonts w:hint="eastAsia"/>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restart"/>
                  <w:vAlign w:val="center"/>
                </w:tcPr>
                <w:p>
                  <w:pPr>
                    <w:adjustRightInd w:val="0"/>
                    <w:snapToGrid w:val="0"/>
                    <w:jc w:val="center"/>
                    <w:rPr>
                      <w:bCs/>
                      <w:color w:val="auto"/>
                      <w:szCs w:val="21"/>
                    </w:rPr>
                  </w:pPr>
                  <w:r>
                    <w:rPr>
                      <w:bCs/>
                      <w:color w:val="auto"/>
                      <w:szCs w:val="21"/>
                    </w:rPr>
                    <w:t>公用</w:t>
                  </w:r>
                </w:p>
                <w:p>
                  <w:pPr>
                    <w:adjustRightInd w:val="0"/>
                    <w:snapToGrid w:val="0"/>
                    <w:jc w:val="center"/>
                    <w:rPr>
                      <w:bCs/>
                      <w:color w:val="auto"/>
                      <w:szCs w:val="21"/>
                    </w:rPr>
                  </w:pPr>
                  <w:r>
                    <w:rPr>
                      <w:bCs/>
                      <w:color w:val="auto"/>
                      <w:szCs w:val="21"/>
                    </w:rPr>
                    <w:t>工程</w:t>
                  </w:r>
                </w:p>
              </w:tc>
              <w:tc>
                <w:tcPr>
                  <w:tcW w:w="523" w:type="pct"/>
                  <w:gridSpan w:val="2"/>
                  <w:vAlign w:val="center"/>
                </w:tcPr>
                <w:p>
                  <w:pPr>
                    <w:adjustRightInd w:val="0"/>
                    <w:snapToGrid w:val="0"/>
                    <w:jc w:val="center"/>
                    <w:rPr>
                      <w:bCs/>
                      <w:color w:val="auto"/>
                      <w:szCs w:val="21"/>
                    </w:rPr>
                  </w:pPr>
                  <w:r>
                    <w:rPr>
                      <w:bCs/>
                      <w:color w:val="auto"/>
                      <w:kern w:val="0"/>
                      <w:szCs w:val="21"/>
                    </w:rPr>
                    <w:t>供电</w:t>
                  </w:r>
                </w:p>
              </w:tc>
              <w:tc>
                <w:tcPr>
                  <w:tcW w:w="3539" w:type="pct"/>
                  <w:tcMar>
                    <w:top w:w="0" w:type="dxa"/>
                    <w:left w:w="57" w:type="dxa"/>
                    <w:bottom w:w="0" w:type="dxa"/>
                    <w:right w:w="57" w:type="dxa"/>
                  </w:tcMar>
                  <w:vAlign w:val="center"/>
                </w:tcPr>
                <w:p>
                  <w:pPr>
                    <w:adjustRightInd w:val="0"/>
                    <w:snapToGrid w:val="0"/>
                    <w:rPr>
                      <w:bCs/>
                      <w:color w:val="auto"/>
                      <w:szCs w:val="21"/>
                    </w:rPr>
                  </w:pPr>
                  <w:r>
                    <w:rPr>
                      <w:bCs/>
                      <w:color w:val="auto"/>
                    </w:rPr>
                    <w:t>本项目采用市政供电。</w:t>
                  </w:r>
                </w:p>
              </w:tc>
              <w:tc>
                <w:tcPr>
                  <w:tcW w:w="561" w:type="pct"/>
                  <w:vAlign w:val="center"/>
                </w:tcPr>
                <w:p>
                  <w:pPr>
                    <w:adjustRightInd w:val="0"/>
                    <w:snapToGrid w:val="0"/>
                    <w:jc w:val="center"/>
                    <w:rPr>
                      <w:bCs/>
                      <w:color w:val="auto"/>
                    </w:rPr>
                  </w:pPr>
                  <w:r>
                    <w:rPr>
                      <w:rFonts w:hint="eastAsia"/>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continue"/>
                  <w:vAlign w:val="center"/>
                </w:tcPr>
                <w:p>
                  <w:pPr>
                    <w:adjustRightInd w:val="0"/>
                    <w:snapToGrid w:val="0"/>
                    <w:jc w:val="center"/>
                    <w:rPr>
                      <w:bCs/>
                      <w:color w:val="auto"/>
                      <w:szCs w:val="21"/>
                    </w:rPr>
                  </w:pPr>
                </w:p>
              </w:tc>
              <w:tc>
                <w:tcPr>
                  <w:tcW w:w="523" w:type="pct"/>
                  <w:gridSpan w:val="2"/>
                  <w:vAlign w:val="center"/>
                </w:tcPr>
                <w:p>
                  <w:pPr>
                    <w:adjustRightInd w:val="0"/>
                    <w:snapToGrid w:val="0"/>
                    <w:jc w:val="center"/>
                    <w:rPr>
                      <w:bCs/>
                      <w:color w:val="auto"/>
                      <w:szCs w:val="21"/>
                    </w:rPr>
                  </w:pPr>
                  <w:r>
                    <w:rPr>
                      <w:bCs/>
                      <w:color w:val="auto"/>
                      <w:kern w:val="0"/>
                      <w:szCs w:val="21"/>
                    </w:rPr>
                    <w:t>供水</w:t>
                  </w:r>
                </w:p>
              </w:tc>
              <w:tc>
                <w:tcPr>
                  <w:tcW w:w="3539" w:type="pct"/>
                  <w:tcMar>
                    <w:top w:w="0" w:type="dxa"/>
                    <w:left w:w="57" w:type="dxa"/>
                    <w:bottom w:w="0" w:type="dxa"/>
                    <w:right w:w="57" w:type="dxa"/>
                  </w:tcMar>
                  <w:vAlign w:val="center"/>
                </w:tcPr>
                <w:p>
                  <w:pPr>
                    <w:adjustRightInd w:val="0"/>
                    <w:snapToGrid w:val="0"/>
                    <w:rPr>
                      <w:bCs/>
                      <w:color w:val="auto"/>
                      <w:szCs w:val="21"/>
                    </w:rPr>
                  </w:pPr>
                  <w:r>
                    <w:rPr>
                      <w:bCs/>
                      <w:color w:val="auto"/>
                    </w:rPr>
                    <w:t>本项目供水水源为市政管网</w:t>
                  </w:r>
                  <w:r>
                    <w:rPr>
                      <w:rFonts w:hint="eastAsia"/>
                      <w:bCs/>
                      <w:color w:val="auto"/>
                    </w:rPr>
                    <w:t>。</w:t>
                  </w:r>
                </w:p>
              </w:tc>
              <w:tc>
                <w:tcPr>
                  <w:tcW w:w="561" w:type="pct"/>
                  <w:vAlign w:val="center"/>
                </w:tcPr>
                <w:p>
                  <w:pPr>
                    <w:adjustRightInd w:val="0"/>
                    <w:snapToGrid w:val="0"/>
                    <w:jc w:val="center"/>
                    <w:rPr>
                      <w:bCs/>
                      <w:color w:val="auto"/>
                    </w:rPr>
                  </w:pPr>
                  <w:r>
                    <w:rPr>
                      <w:rFonts w:hint="eastAsia"/>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continue"/>
                  <w:vAlign w:val="center"/>
                </w:tcPr>
                <w:p>
                  <w:pPr>
                    <w:adjustRightInd w:val="0"/>
                    <w:snapToGrid w:val="0"/>
                    <w:jc w:val="center"/>
                    <w:rPr>
                      <w:bCs/>
                      <w:color w:val="auto"/>
                      <w:szCs w:val="21"/>
                    </w:rPr>
                  </w:pPr>
                </w:p>
              </w:tc>
              <w:tc>
                <w:tcPr>
                  <w:tcW w:w="523" w:type="pct"/>
                  <w:gridSpan w:val="2"/>
                  <w:vAlign w:val="center"/>
                </w:tcPr>
                <w:p>
                  <w:pPr>
                    <w:adjustRightInd w:val="0"/>
                    <w:snapToGrid w:val="0"/>
                    <w:jc w:val="center"/>
                    <w:rPr>
                      <w:bCs/>
                      <w:color w:val="auto"/>
                      <w:kern w:val="0"/>
                      <w:szCs w:val="21"/>
                    </w:rPr>
                  </w:pPr>
                  <w:r>
                    <w:rPr>
                      <w:bCs/>
                      <w:color w:val="auto"/>
                      <w:kern w:val="0"/>
                      <w:szCs w:val="21"/>
                    </w:rPr>
                    <w:t>采暖制冷</w:t>
                  </w:r>
                </w:p>
              </w:tc>
              <w:tc>
                <w:tcPr>
                  <w:tcW w:w="3539" w:type="pct"/>
                  <w:tcMar>
                    <w:top w:w="0" w:type="dxa"/>
                    <w:left w:w="57" w:type="dxa"/>
                    <w:bottom w:w="0" w:type="dxa"/>
                    <w:right w:w="57" w:type="dxa"/>
                  </w:tcMar>
                  <w:vAlign w:val="center"/>
                </w:tcPr>
                <w:p>
                  <w:pPr>
                    <w:adjustRightInd w:val="0"/>
                    <w:snapToGrid w:val="0"/>
                    <w:rPr>
                      <w:bCs/>
                      <w:color w:val="auto"/>
                    </w:rPr>
                  </w:pPr>
                  <w:r>
                    <w:rPr>
                      <w:rFonts w:hint="eastAsia"/>
                      <w:bCs/>
                      <w:color w:val="auto"/>
                    </w:rPr>
                    <w:t>项目区制冷均采用空调，采暖为市政供热。</w:t>
                  </w:r>
                </w:p>
              </w:tc>
              <w:tc>
                <w:tcPr>
                  <w:tcW w:w="561" w:type="pct"/>
                  <w:vAlign w:val="center"/>
                </w:tcPr>
                <w:p>
                  <w:pPr>
                    <w:adjustRightInd w:val="0"/>
                    <w:snapToGrid w:val="0"/>
                    <w:jc w:val="center"/>
                    <w:rPr>
                      <w:bCs/>
                      <w:color w:val="auto"/>
                    </w:rPr>
                  </w:pPr>
                  <w:r>
                    <w:rPr>
                      <w:rFonts w:hint="eastAsia"/>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continue"/>
                  <w:vAlign w:val="center"/>
                </w:tcPr>
                <w:p>
                  <w:pPr>
                    <w:adjustRightInd w:val="0"/>
                    <w:snapToGrid w:val="0"/>
                    <w:jc w:val="center"/>
                    <w:rPr>
                      <w:bCs/>
                      <w:color w:val="auto"/>
                      <w:szCs w:val="21"/>
                    </w:rPr>
                  </w:pPr>
                </w:p>
              </w:tc>
              <w:tc>
                <w:tcPr>
                  <w:tcW w:w="523" w:type="pct"/>
                  <w:gridSpan w:val="2"/>
                  <w:vAlign w:val="center"/>
                </w:tcPr>
                <w:p>
                  <w:pPr>
                    <w:adjustRightInd w:val="0"/>
                    <w:snapToGrid w:val="0"/>
                    <w:jc w:val="center"/>
                    <w:rPr>
                      <w:bCs/>
                      <w:color w:val="auto"/>
                      <w:szCs w:val="21"/>
                    </w:rPr>
                  </w:pPr>
                  <w:r>
                    <w:rPr>
                      <w:bCs/>
                      <w:color w:val="auto"/>
                      <w:szCs w:val="21"/>
                    </w:rPr>
                    <w:t>排水</w:t>
                  </w:r>
                </w:p>
              </w:tc>
              <w:tc>
                <w:tcPr>
                  <w:tcW w:w="3539" w:type="pct"/>
                  <w:tcMar>
                    <w:top w:w="0" w:type="dxa"/>
                    <w:left w:w="57" w:type="dxa"/>
                    <w:bottom w:w="0" w:type="dxa"/>
                    <w:right w:w="57" w:type="dxa"/>
                  </w:tcMar>
                  <w:vAlign w:val="center"/>
                </w:tcPr>
                <w:p>
                  <w:pPr>
                    <w:adjustRightInd w:val="0"/>
                    <w:snapToGrid w:val="0"/>
                    <w:rPr>
                      <w:bCs/>
                      <w:color w:val="auto"/>
                    </w:rPr>
                  </w:pPr>
                  <w:r>
                    <w:rPr>
                      <w:rFonts w:hint="eastAsia"/>
                      <w:bCs/>
                      <w:color w:val="auto"/>
                    </w:rPr>
                    <w:t>项目产生的医疗废水</w:t>
                  </w:r>
                  <w:r>
                    <w:rPr>
                      <w:rFonts w:hint="eastAsia"/>
                      <w:bCs/>
                      <w:color w:val="auto"/>
                      <w:lang w:val="en-US" w:eastAsia="zh-CN"/>
                    </w:rPr>
                    <w:t>依托企业现有</w:t>
                  </w:r>
                  <w:r>
                    <w:rPr>
                      <w:rFonts w:hint="eastAsia"/>
                      <w:bCs/>
                      <w:color w:val="auto"/>
                    </w:rPr>
                    <w:t>一体化污水处理设施处理后与生活污水依托国色天香化粪池处理后，经市政污水管网排入西安市第九污水处理厂。</w:t>
                  </w:r>
                </w:p>
              </w:tc>
              <w:tc>
                <w:tcPr>
                  <w:tcW w:w="561" w:type="pct"/>
                  <w:vAlign w:val="center"/>
                </w:tcPr>
                <w:p>
                  <w:pPr>
                    <w:adjustRightInd w:val="0"/>
                    <w:snapToGrid w:val="0"/>
                    <w:jc w:val="center"/>
                    <w:rPr>
                      <w:rFonts w:hint="default" w:eastAsia="宋体"/>
                      <w:bCs/>
                      <w:color w:val="auto"/>
                      <w:lang w:val="en-US" w:eastAsia="zh-CN"/>
                    </w:rPr>
                  </w:pPr>
                  <w:r>
                    <w:rPr>
                      <w:rFonts w:hint="eastAsia"/>
                      <w:bCs/>
                      <w:color w:val="auto"/>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restart"/>
                  <w:vAlign w:val="center"/>
                </w:tcPr>
                <w:p>
                  <w:pPr>
                    <w:adjustRightInd w:val="0"/>
                    <w:snapToGrid w:val="0"/>
                    <w:jc w:val="center"/>
                    <w:rPr>
                      <w:bCs/>
                      <w:color w:val="auto"/>
                      <w:szCs w:val="21"/>
                    </w:rPr>
                  </w:pPr>
                  <w:r>
                    <w:rPr>
                      <w:bCs/>
                      <w:color w:val="auto"/>
                      <w:szCs w:val="21"/>
                    </w:rPr>
                    <w:t>环保</w:t>
                  </w:r>
                </w:p>
                <w:p>
                  <w:pPr>
                    <w:adjustRightInd w:val="0"/>
                    <w:snapToGrid w:val="0"/>
                    <w:jc w:val="center"/>
                    <w:rPr>
                      <w:bCs/>
                      <w:color w:val="auto"/>
                      <w:szCs w:val="21"/>
                    </w:rPr>
                  </w:pPr>
                  <w:r>
                    <w:rPr>
                      <w:bCs/>
                      <w:color w:val="auto"/>
                      <w:szCs w:val="21"/>
                    </w:rPr>
                    <w:t>工程</w:t>
                  </w:r>
                </w:p>
              </w:tc>
              <w:tc>
                <w:tcPr>
                  <w:tcW w:w="523" w:type="pct"/>
                  <w:gridSpan w:val="2"/>
                  <w:vAlign w:val="center"/>
                </w:tcPr>
                <w:p>
                  <w:pPr>
                    <w:adjustRightInd w:val="0"/>
                    <w:snapToGrid w:val="0"/>
                    <w:jc w:val="center"/>
                    <w:rPr>
                      <w:bCs/>
                      <w:color w:val="auto"/>
                      <w:szCs w:val="21"/>
                    </w:rPr>
                  </w:pPr>
                  <w:r>
                    <w:rPr>
                      <w:bCs/>
                      <w:color w:val="auto"/>
                      <w:szCs w:val="21"/>
                    </w:rPr>
                    <w:t>废气</w:t>
                  </w:r>
                </w:p>
              </w:tc>
              <w:tc>
                <w:tcPr>
                  <w:tcW w:w="3539" w:type="pct"/>
                  <w:tcMar>
                    <w:top w:w="0" w:type="dxa"/>
                    <w:left w:w="57" w:type="dxa"/>
                    <w:bottom w:w="0" w:type="dxa"/>
                    <w:right w:w="57" w:type="dxa"/>
                  </w:tcMar>
                  <w:vAlign w:val="center"/>
                </w:tcPr>
                <w:p>
                  <w:pPr>
                    <w:adjustRightInd w:val="0"/>
                    <w:snapToGrid w:val="0"/>
                    <w:rPr>
                      <w:bCs/>
                      <w:color w:val="auto"/>
                    </w:rPr>
                  </w:pPr>
                  <w:r>
                    <w:rPr>
                      <w:rFonts w:hint="eastAsia"/>
                      <w:bCs/>
                      <w:color w:val="auto"/>
                    </w:rPr>
                    <w:t>污水处理站处理设施为地下封闭式一体化处理设施，臭气量极小，日常喷洒除臭剂降低恶臭对周围环境的影响。</w:t>
                  </w:r>
                </w:p>
              </w:tc>
              <w:tc>
                <w:tcPr>
                  <w:tcW w:w="561" w:type="pct"/>
                  <w:vAlign w:val="center"/>
                </w:tcPr>
                <w:p>
                  <w:pPr>
                    <w:adjustRightInd w:val="0"/>
                    <w:snapToGrid w:val="0"/>
                    <w:jc w:val="center"/>
                    <w:rPr>
                      <w:bCs/>
                      <w:color w:val="auto"/>
                      <w:lang w:bidi="ar"/>
                    </w:rPr>
                  </w:pPr>
                  <w:r>
                    <w:rPr>
                      <w:rFonts w:hint="eastAsia"/>
                      <w:bCs/>
                      <w:color w:val="auto"/>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continue"/>
                  <w:vAlign w:val="center"/>
                </w:tcPr>
                <w:p>
                  <w:pPr>
                    <w:adjustRightInd w:val="0"/>
                    <w:snapToGrid w:val="0"/>
                    <w:jc w:val="center"/>
                    <w:rPr>
                      <w:bCs/>
                      <w:color w:val="auto"/>
                      <w:szCs w:val="21"/>
                    </w:rPr>
                  </w:pPr>
                </w:p>
              </w:tc>
              <w:tc>
                <w:tcPr>
                  <w:tcW w:w="523" w:type="pct"/>
                  <w:gridSpan w:val="2"/>
                  <w:vAlign w:val="center"/>
                </w:tcPr>
                <w:p>
                  <w:pPr>
                    <w:adjustRightInd w:val="0"/>
                    <w:snapToGrid w:val="0"/>
                    <w:jc w:val="center"/>
                    <w:rPr>
                      <w:bCs/>
                      <w:color w:val="auto"/>
                      <w:szCs w:val="21"/>
                    </w:rPr>
                  </w:pPr>
                  <w:r>
                    <w:rPr>
                      <w:bCs/>
                      <w:color w:val="auto"/>
                      <w:szCs w:val="21"/>
                    </w:rPr>
                    <w:t>废水</w:t>
                  </w:r>
                </w:p>
              </w:tc>
              <w:tc>
                <w:tcPr>
                  <w:tcW w:w="3539" w:type="pct"/>
                  <w:tcMar>
                    <w:top w:w="0" w:type="dxa"/>
                    <w:left w:w="57" w:type="dxa"/>
                    <w:bottom w:w="0" w:type="dxa"/>
                    <w:right w:w="57" w:type="dxa"/>
                  </w:tcMar>
                  <w:vAlign w:val="center"/>
                </w:tcPr>
                <w:p>
                  <w:pPr>
                    <w:adjustRightInd w:val="0"/>
                    <w:snapToGrid w:val="0"/>
                    <w:rPr>
                      <w:bCs/>
                      <w:color w:val="auto"/>
                    </w:rPr>
                  </w:pPr>
                  <w:r>
                    <w:rPr>
                      <w:rFonts w:hint="eastAsia"/>
                      <w:bCs/>
                      <w:color w:val="auto"/>
                    </w:rPr>
                    <w:t>项目产生的医疗废水经一体化污水处理设施处理后与生活污水依托国色天香化粪池处理后，经市政污水管网排入西安市第九污水处理厂。</w:t>
                  </w:r>
                </w:p>
              </w:tc>
              <w:tc>
                <w:tcPr>
                  <w:tcW w:w="561" w:type="pct"/>
                  <w:vAlign w:val="center"/>
                </w:tcPr>
                <w:p>
                  <w:pPr>
                    <w:adjustRightInd w:val="0"/>
                    <w:snapToGrid w:val="0"/>
                    <w:jc w:val="center"/>
                    <w:rPr>
                      <w:bCs/>
                      <w:color w:val="auto"/>
                      <w:szCs w:val="21"/>
                    </w:rPr>
                  </w:pPr>
                  <w:r>
                    <w:rPr>
                      <w:rFonts w:hint="eastAsia"/>
                      <w:bCs/>
                      <w:color w:val="auto"/>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continue"/>
                  <w:vAlign w:val="center"/>
                </w:tcPr>
                <w:p>
                  <w:pPr>
                    <w:adjustRightInd w:val="0"/>
                    <w:snapToGrid w:val="0"/>
                    <w:jc w:val="center"/>
                    <w:rPr>
                      <w:bCs/>
                      <w:color w:val="auto"/>
                      <w:szCs w:val="21"/>
                    </w:rPr>
                  </w:pPr>
                </w:p>
              </w:tc>
              <w:tc>
                <w:tcPr>
                  <w:tcW w:w="523" w:type="pct"/>
                  <w:gridSpan w:val="2"/>
                  <w:vAlign w:val="center"/>
                </w:tcPr>
                <w:p>
                  <w:pPr>
                    <w:adjustRightInd w:val="0"/>
                    <w:snapToGrid w:val="0"/>
                    <w:jc w:val="center"/>
                    <w:rPr>
                      <w:bCs/>
                      <w:color w:val="auto"/>
                      <w:szCs w:val="21"/>
                    </w:rPr>
                  </w:pPr>
                  <w:r>
                    <w:rPr>
                      <w:bCs/>
                      <w:color w:val="auto"/>
                      <w:szCs w:val="21"/>
                    </w:rPr>
                    <w:t>噪声</w:t>
                  </w:r>
                </w:p>
              </w:tc>
              <w:tc>
                <w:tcPr>
                  <w:tcW w:w="3539" w:type="pct"/>
                  <w:tcMar>
                    <w:top w:w="0" w:type="dxa"/>
                    <w:left w:w="57" w:type="dxa"/>
                    <w:bottom w:w="0" w:type="dxa"/>
                    <w:right w:w="57" w:type="dxa"/>
                  </w:tcMar>
                  <w:vAlign w:val="center"/>
                </w:tcPr>
                <w:p>
                  <w:pPr>
                    <w:adjustRightInd w:val="0"/>
                    <w:snapToGrid w:val="0"/>
                    <w:rPr>
                      <w:bCs/>
                      <w:color w:val="auto"/>
                    </w:rPr>
                  </w:pPr>
                  <w:r>
                    <w:rPr>
                      <w:rFonts w:hint="eastAsia"/>
                      <w:bCs/>
                      <w:color w:val="auto"/>
                    </w:rPr>
                    <w:t>设备噪声经隔声、减振、距离衰减后达标排放。</w:t>
                  </w:r>
                </w:p>
              </w:tc>
              <w:tc>
                <w:tcPr>
                  <w:tcW w:w="561" w:type="pct"/>
                  <w:vAlign w:val="center"/>
                </w:tcPr>
                <w:p>
                  <w:pPr>
                    <w:adjustRightInd w:val="0"/>
                    <w:snapToGrid w:val="0"/>
                    <w:jc w:val="center"/>
                    <w:rPr>
                      <w:bCs/>
                      <w:color w:val="auto"/>
                      <w:szCs w:val="21"/>
                    </w:rPr>
                  </w:pPr>
                  <w:r>
                    <w:rPr>
                      <w:rFonts w:hint="eastAsia"/>
                      <w:bCs/>
                      <w:color w:val="auto"/>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continue"/>
                  <w:vAlign w:val="center"/>
                </w:tcPr>
                <w:p>
                  <w:pPr>
                    <w:adjustRightInd w:val="0"/>
                    <w:snapToGrid w:val="0"/>
                    <w:jc w:val="center"/>
                    <w:rPr>
                      <w:bCs/>
                      <w:color w:val="auto"/>
                      <w:szCs w:val="21"/>
                    </w:rPr>
                  </w:pPr>
                </w:p>
              </w:tc>
              <w:tc>
                <w:tcPr>
                  <w:tcW w:w="523" w:type="pct"/>
                  <w:gridSpan w:val="2"/>
                  <w:vMerge w:val="restart"/>
                  <w:vAlign w:val="center"/>
                </w:tcPr>
                <w:p>
                  <w:pPr>
                    <w:adjustRightInd w:val="0"/>
                    <w:snapToGrid w:val="0"/>
                    <w:jc w:val="center"/>
                    <w:rPr>
                      <w:bCs/>
                      <w:color w:val="auto"/>
                      <w:szCs w:val="21"/>
                    </w:rPr>
                  </w:pPr>
                  <w:r>
                    <w:rPr>
                      <w:bCs/>
                      <w:color w:val="auto"/>
                      <w:szCs w:val="21"/>
                    </w:rPr>
                    <w:t>固废</w:t>
                  </w:r>
                </w:p>
              </w:tc>
              <w:tc>
                <w:tcPr>
                  <w:tcW w:w="3539" w:type="pct"/>
                  <w:tcMar>
                    <w:top w:w="0" w:type="dxa"/>
                    <w:left w:w="57" w:type="dxa"/>
                    <w:bottom w:w="0" w:type="dxa"/>
                    <w:right w:w="57" w:type="dxa"/>
                  </w:tcMar>
                  <w:vAlign w:val="center"/>
                </w:tcPr>
                <w:p>
                  <w:pPr>
                    <w:widowControl/>
                    <w:jc w:val="left"/>
                    <w:rPr>
                      <w:bCs/>
                      <w:color w:val="auto"/>
                    </w:rPr>
                  </w:pPr>
                  <w:r>
                    <w:rPr>
                      <w:bCs/>
                      <w:color w:val="auto"/>
                    </w:rPr>
                    <w:t>一般固废：分类收集暂存于一般固废暂存点外售</w:t>
                  </w:r>
                  <w:r>
                    <w:rPr>
                      <w:rFonts w:hint="eastAsia"/>
                      <w:bCs/>
                      <w:color w:val="auto"/>
                    </w:rPr>
                    <w:t>、交由有资质单位处理</w:t>
                  </w:r>
                  <w:r>
                    <w:rPr>
                      <w:bCs/>
                      <w:color w:val="auto"/>
                    </w:rPr>
                    <w:t>。</w:t>
                  </w:r>
                </w:p>
              </w:tc>
              <w:tc>
                <w:tcPr>
                  <w:tcW w:w="561" w:type="pct"/>
                  <w:vAlign w:val="center"/>
                </w:tcPr>
                <w:p>
                  <w:pPr>
                    <w:widowControl/>
                    <w:jc w:val="center"/>
                    <w:rPr>
                      <w:bCs/>
                      <w:color w:val="auto"/>
                    </w:rPr>
                  </w:pPr>
                  <w:r>
                    <w:rPr>
                      <w:rFonts w:hint="eastAsia"/>
                      <w:bCs/>
                      <w:color w:val="auto"/>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continue"/>
                  <w:vAlign w:val="center"/>
                </w:tcPr>
                <w:p>
                  <w:pPr>
                    <w:adjustRightInd w:val="0"/>
                    <w:snapToGrid w:val="0"/>
                    <w:jc w:val="center"/>
                    <w:rPr>
                      <w:bCs/>
                      <w:color w:val="auto"/>
                      <w:szCs w:val="21"/>
                    </w:rPr>
                  </w:pPr>
                </w:p>
              </w:tc>
              <w:tc>
                <w:tcPr>
                  <w:tcW w:w="523" w:type="pct"/>
                  <w:gridSpan w:val="2"/>
                  <w:vMerge w:val="continue"/>
                  <w:vAlign w:val="center"/>
                </w:tcPr>
                <w:p>
                  <w:pPr>
                    <w:adjustRightInd w:val="0"/>
                    <w:snapToGrid w:val="0"/>
                    <w:jc w:val="center"/>
                    <w:rPr>
                      <w:bCs/>
                      <w:color w:val="auto"/>
                      <w:szCs w:val="21"/>
                    </w:rPr>
                  </w:pPr>
                </w:p>
              </w:tc>
              <w:tc>
                <w:tcPr>
                  <w:tcW w:w="3539" w:type="pct"/>
                  <w:tcMar>
                    <w:top w:w="0" w:type="dxa"/>
                    <w:left w:w="57" w:type="dxa"/>
                    <w:bottom w:w="0" w:type="dxa"/>
                    <w:right w:w="57" w:type="dxa"/>
                  </w:tcMar>
                  <w:vAlign w:val="center"/>
                </w:tcPr>
                <w:p>
                  <w:pPr>
                    <w:adjustRightInd w:val="0"/>
                    <w:snapToGrid w:val="0"/>
                    <w:rPr>
                      <w:bCs/>
                      <w:color w:val="auto"/>
                    </w:rPr>
                  </w:pPr>
                  <w:r>
                    <w:rPr>
                      <w:bCs/>
                      <w:color w:val="auto"/>
                    </w:rPr>
                    <w:t>危险废物：</w:t>
                  </w:r>
                  <w:r>
                    <w:rPr>
                      <w:rFonts w:hint="eastAsia"/>
                      <w:bCs/>
                      <w:color w:val="auto"/>
                    </w:rPr>
                    <w:t>危险废物分类收集后暂存于危险废物贮存库，交由有危险废物处置资质的单位处置。</w:t>
                  </w:r>
                </w:p>
              </w:tc>
              <w:tc>
                <w:tcPr>
                  <w:tcW w:w="561" w:type="pct"/>
                  <w:vAlign w:val="center"/>
                </w:tcPr>
                <w:p>
                  <w:pPr>
                    <w:adjustRightInd w:val="0"/>
                    <w:snapToGrid w:val="0"/>
                    <w:jc w:val="center"/>
                    <w:rPr>
                      <w:bCs/>
                      <w:color w:val="auto"/>
                    </w:rPr>
                  </w:pPr>
                  <w:r>
                    <w:rPr>
                      <w:rFonts w:hint="eastAsia"/>
                      <w:bCs/>
                      <w:color w:val="auto"/>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5" w:type="pct"/>
                  <w:vMerge w:val="continue"/>
                  <w:vAlign w:val="center"/>
                </w:tcPr>
                <w:p>
                  <w:pPr>
                    <w:adjustRightInd w:val="0"/>
                    <w:snapToGrid w:val="0"/>
                    <w:jc w:val="center"/>
                    <w:rPr>
                      <w:bCs/>
                      <w:color w:val="auto"/>
                      <w:szCs w:val="21"/>
                    </w:rPr>
                  </w:pPr>
                </w:p>
              </w:tc>
              <w:tc>
                <w:tcPr>
                  <w:tcW w:w="523" w:type="pct"/>
                  <w:gridSpan w:val="2"/>
                  <w:vMerge w:val="continue"/>
                  <w:vAlign w:val="center"/>
                </w:tcPr>
                <w:p>
                  <w:pPr>
                    <w:adjustRightInd w:val="0"/>
                    <w:snapToGrid w:val="0"/>
                    <w:jc w:val="center"/>
                    <w:rPr>
                      <w:bCs/>
                      <w:color w:val="auto"/>
                      <w:szCs w:val="21"/>
                    </w:rPr>
                  </w:pPr>
                </w:p>
              </w:tc>
              <w:tc>
                <w:tcPr>
                  <w:tcW w:w="3539" w:type="pct"/>
                  <w:tcMar>
                    <w:top w:w="0" w:type="dxa"/>
                    <w:left w:w="57" w:type="dxa"/>
                    <w:bottom w:w="0" w:type="dxa"/>
                    <w:right w:w="57" w:type="dxa"/>
                  </w:tcMar>
                  <w:vAlign w:val="center"/>
                </w:tcPr>
                <w:p>
                  <w:pPr>
                    <w:adjustRightInd w:val="0"/>
                    <w:snapToGrid w:val="0"/>
                    <w:rPr>
                      <w:bCs/>
                      <w:color w:val="auto"/>
                    </w:rPr>
                  </w:pPr>
                  <w:r>
                    <w:rPr>
                      <w:bCs/>
                      <w:color w:val="auto"/>
                    </w:rPr>
                    <w:t>生活垃圾：由带盖垃圾桶分类收集后，定期委托环卫部门清运。</w:t>
                  </w:r>
                </w:p>
              </w:tc>
              <w:tc>
                <w:tcPr>
                  <w:tcW w:w="561" w:type="pct"/>
                  <w:vAlign w:val="center"/>
                </w:tcPr>
                <w:p>
                  <w:pPr>
                    <w:adjustRightInd w:val="0"/>
                    <w:snapToGrid w:val="0"/>
                    <w:jc w:val="center"/>
                    <w:rPr>
                      <w:bCs/>
                      <w:color w:val="auto"/>
                    </w:rPr>
                  </w:pPr>
                  <w:r>
                    <w:rPr>
                      <w:rFonts w:hint="eastAsia"/>
                      <w:bCs/>
                      <w:color w:val="auto"/>
                    </w:rPr>
                    <w:t>依托</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color w:val="auto"/>
                <w:kern w:val="0"/>
                <w:sz w:val="24"/>
              </w:rPr>
            </w:pPr>
            <w:r>
              <w:rPr>
                <w:b/>
                <w:bCs/>
                <w:color w:val="auto"/>
                <w:sz w:val="24"/>
              </w:rPr>
              <w:t>三、</w:t>
            </w:r>
            <w:r>
              <w:rPr>
                <w:rFonts w:hint="eastAsia"/>
                <w:b/>
                <w:bCs/>
                <w:color w:val="auto"/>
                <w:sz w:val="24"/>
              </w:rPr>
              <w:t>项目</w:t>
            </w:r>
            <w:r>
              <w:rPr>
                <w:rFonts w:hint="eastAsia"/>
                <w:b/>
                <w:bCs/>
                <w:snapToGrid w:val="0"/>
                <w:color w:val="auto"/>
                <w:kern w:val="0"/>
                <w:sz w:val="24"/>
              </w:rPr>
              <w:t>主要医疗设备</w:t>
            </w:r>
          </w:p>
          <w:p>
            <w:pPr>
              <w:spacing w:line="360" w:lineRule="auto"/>
              <w:ind w:firstLine="480" w:firstLineChars="200"/>
              <w:rPr>
                <w:color w:val="auto"/>
              </w:rPr>
            </w:pPr>
            <w:r>
              <w:rPr>
                <w:rFonts w:hint="eastAsia"/>
                <w:bCs/>
                <w:color w:val="auto"/>
                <w:sz w:val="24"/>
                <w:lang w:val="en-US" w:eastAsia="zh-CN"/>
              </w:rPr>
              <w:t>本次扩建不新增设备，均依托现有项目。</w:t>
            </w:r>
          </w:p>
          <w:p>
            <w:pPr>
              <w:adjustRightInd w:val="0"/>
              <w:snapToGrid w:val="0"/>
              <w:spacing w:line="360" w:lineRule="auto"/>
              <w:ind w:firstLine="482" w:firstLineChars="200"/>
              <w:rPr>
                <w:b/>
                <w:bCs/>
                <w:color w:val="auto"/>
                <w:sz w:val="24"/>
              </w:rPr>
            </w:pPr>
            <w:r>
              <w:rPr>
                <w:b/>
                <w:bCs/>
                <w:color w:val="auto"/>
                <w:sz w:val="24"/>
              </w:rPr>
              <w:t>四、主要原辅料</w:t>
            </w:r>
          </w:p>
          <w:p>
            <w:pPr>
              <w:widowControl/>
              <w:spacing w:line="360" w:lineRule="auto"/>
              <w:ind w:firstLine="480" w:firstLineChars="200"/>
              <w:jc w:val="left"/>
              <w:rPr>
                <w:color w:val="auto"/>
                <w:sz w:val="24"/>
              </w:rPr>
            </w:pPr>
            <w:r>
              <w:rPr>
                <w:color w:val="auto"/>
                <w:kern w:val="0"/>
                <w:sz w:val="24"/>
                <w:lang w:bidi="ar"/>
              </w:rPr>
              <w:t>本项目</w:t>
            </w:r>
            <w:r>
              <w:rPr>
                <w:rFonts w:hint="eastAsia"/>
                <w:color w:val="auto"/>
                <w:kern w:val="0"/>
                <w:sz w:val="24"/>
                <w:lang w:bidi="ar"/>
              </w:rPr>
              <w:t>扩建完成后</w:t>
            </w:r>
            <w:r>
              <w:rPr>
                <w:color w:val="auto"/>
                <w:kern w:val="0"/>
                <w:sz w:val="24"/>
                <w:lang w:bidi="ar"/>
              </w:rPr>
              <w:t>主要原辅材料</w:t>
            </w:r>
            <w:r>
              <w:rPr>
                <w:rFonts w:hint="eastAsia"/>
                <w:color w:val="auto"/>
                <w:kern w:val="0"/>
                <w:sz w:val="24"/>
                <w:lang w:bidi="ar"/>
              </w:rPr>
              <w:t>用量</w:t>
            </w:r>
            <w:r>
              <w:rPr>
                <w:color w:val="auto"/>
                <w:kern w:val="0"/>
                <w:sz w:val="24"/>
                <w:lang w:bidi="ar"/>
              </w:rPr>
              <w:t>情况见表2-</w:t>
            </w:r>
            <w:r>
              <w:rPr>
                <w:rFonts w:hint="eastAsia"/>
                <w:color w:val="auto"/>
                <w:kern w:val="0"/>
                <w:sz w:val="24"/>
                <w:lang w:val="en-US" w:eastAsia="zh-CN" w:bidi="ar"/>
              </w:rPr>
              <w:t>2</w:t>
            </w:r>
            <w:r>
              <w:rPr>
                <w:color w:val="auto"/>
                <w:sz w:val="24"/>
              </w:rPr>
              <w:t>。</w:t>
            </w:r>
          </w:p>
          <w:p>
            <w:pPr>
              <w:pStyle w:val="15"/>
              <w:rPr>
                <w:color w:val="auto"/>
              </w:rPr>
            </w:pPr>
            <w:r>
              <w:rPr>
                <w:color w:val="auto"/>
              </w:rPr>
              <w:t>表2-</w:t>
            </w:r>
            <w:r>
              <w:rPr>
                <w:rFonts w:hint="eastAsia"/>
                <w:color w:val="auto"/>
                <w:lang w:val="en-US" w:eastAsia="zh-CN"/>
              </w:rPr>
              <w:t>2</w:t>
            </w:r>
            <w:r>
              <w:rPr>
                <w:color w:val="auto"/>
              </w:rPr>
              <w:t xml:space="preserve">  项目主要原辅材料</w:t>
            </w:r>
            <w:r>
              <w:rPr>
                <w:rFonts w:hint="eastAsia"/>
                <w:color w:val="auto"/>
              </w:rPr>
              <w:t>用量</w:t>
            </w:r>
            <w:r>
              <w:rPr>
                <w:color w:val="auto"/>
              </w:rPr>
              <w:t>情况一览表</w:t>
            </w:r>
          </w:p>
          <w:tbl>
            <w:tblPr>
              <w:tblStyle w:val="6"/>
              <w:tblW w:w="59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1628"/>
              <w:gridCol w:w="828"/>
              <w:gridCol w:w="955"/>
              <w:gridCol w:w="1427"/>
              <w:gridCol w:w="1027"/>
              <w:gridCol w:w="1090"/>
              <w:gridCol w:w="714"/>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Ansi="宋体"/>
                      <w:color w:val="auto"/>
                      <w:szCs w:val="21"/>
                    </w:rPr>
                  </w:pPr>
                  <w:r>
                    <w:rPr>
                      <w:rFonts w:hint="eastAsia" w:hAnsi="宋体"/>
                      <w:color w:val="auto"/>
                      <w:szCs w:val="21"/>
                    </w:rPr>
                    <w:t>序号</w:t>
                  </w:r>
                </w:p>
              </w:tc>
              <w:tc>
                <w:tcPr>
                  <w:tcW w:w="832"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Ansi="宋体"/>
                      <w:color w:val="auto"/>
                      <w:szCs w:val="21"/>
                    </w:rPr>
                  </w:pPr>
                  <w:r>
                    <w:rPr>
                      <w:rFonts w:hint="eastAsia" w:hAnsi="宋体"/>
                      <w:color w:val="auto"/>
                      <w:szCs w:val="21"/>
                    </w:rPr>
                    <w:t>名称</w:t>
                  </w:r>
                </w:p>
              </w:tc>
              <w:tc>
                <w:tcPr>
                  <w:tcW w:w="423"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Ansi="宋体"/>
                      <w:color w:val="auto"/>
                      <w:szCs w:val="21"/>
                    </w:rPr>
                  </w:pPr>
                  <w:r>
                    <w:rPr>
                      <w:rFonts w:hint="eastAsia" w:hAnsi="宋体"/>
                      <w:color w:val="auto"/>
                      <w:szCs w:val="21"/>
                    </w:rPr>
                    <w:t>单位</w:t>
                  </w:r>
                </w:p>
              </w:tc>
              <w:tc>
                <w:tcPr>
                  <w:tcW w:w="488"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int="eastAsia" w:hAnsi="宋体"/>
                      <w:color w:val="auto"/>
                      <w:szCs w:val="21"/>
                      <w:lang w:val="en-US" w:eastAsia="zh-CN"/>
                    </w:rPr>
                  </w:pPr>
                  <w:r>
                    <w:rPr>
                      <w:rFonts w:hint="eastAsia" w:hAnsi="宋体"/>
                      <w:color w:val="auto"/>
                      <w:szCs w:val="21"/>
                      <w:lang w:val="en-US" w:eastAsia="zh-CN"/>
                    </w:rPr>
                    <w:t>扩建前</w:t>
                  </w:r>
                </w:p>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Ansi="宋体"/>
                      <w:color w:val="auto"/>
                      <w:szCs w:val="21"/>
                    </w:rPr>
                  </w:pPr>
                  <w:r>
                    <w:rPr>
                      <w:rFonts w:hint="eastAsia" w:hAnsi="宋体"/>
                      <w:color w:val="auto"/>
                      <w:szCs w:val="21"/>
                    </w:rPr>
                    <w:t>用量</w:t>
                  </w:r>
                </w:p>
              </w:tc>
              <w:tc>
                <w:tcPr>
                  <w:tcW w:w="729"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int="eastAsia" w:hAnsi="宋体"/>
                      <w:color w:val="auto"/>
                      <w:szCs w:val="21"/>
                      <w:lang w:val="en-US" w:eastAsia="zh-CN"/>
                    </w:rPr>
                  </w:pPr>
                  <w:r>
                    <w:rPr>
                      <w:rFonts w:hint="eastAsia" w:hAnsi="宋体"/>
                      <w:color w:val="auto"/>
                      <w:szCs w:val="21"/>
                      <w:lang w:val="en-US" w:eastAsia="zh-CN"/>
                    </w:rPr>
                    <w:t>变化量</w:t>
                  </w:r>
                </w:p>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int="default" w:hAnsi="宋体"/>
                      <w:color w:val="auto"/>
                      <w:szCs w:val="21"/>
                      <w:lang w:val="en-US" w:eastAsia="zh-CN"/>
                    </w:rPr>
                  </w:pPr>
                  <w:r>
                    <w:rPr>
                      <w:rFonts w:hint="eastAsia" w:hAnsi="宋体"/>
                      <w:color w:val="auto"/>
                      <w:szCs w:val="21"/>
                      <w:lang w:val="en-US" w:eastAsia="zh-CN"/>
                    </w:rPr>
                    <w:t>（本次新增））</w:t>
                  </w:r>
                </w:p>
              </w:tc>
              <w:tc>
                <w:tcPr>
                  <w:tcW w:w="525"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int="eastAsia" w:hAnsi="宋体"/>
                      <w:color w:val="auto"/>
                      <w:szCs w:val="21"/>
                      <w:lang w:val="en-US" w:eastAsia="zh-CN"/>
                    </w:rPr>
                  </w:pPr>
                  <w:r>
                    <w:rPr>
                      <w:rFonts w:hint="eastAsia" w:hAnsi="宋体"/>
                      <w:color w:val="auto"/>
                      <w:szCs w:val="21"/>
                      <w:lang w:val="en-US" w:eastAsia="zh-CN"/>
                    </w:rPr>
                    <w:t>扩建后</w:t>
                  </w:r>
                </w:p>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int="eastAsia" w:hAnsi="宋体"/>
                      <w:color w:val="auto"/>
                      <w:szCs w:val="21"/>
                      <w:lang w:val="en-US" w:eastAsia="zh-CN"/>
                    </w:rPr>
                  </w:pPr>
                  <w:r>
                    <w:rPr>
                      <w:rFonts w:hint="eastAsia" w:hAnsi="宋体"/>
                      <w:color w:val="auto"/>
                      <w:szCs w:val="21"/>
                    </w:rPr>
                    <w:t>用量</w:t>
                  </w:r>
                </w:p>
              </w:tc>
              <w:tc>
                <w:tcPr>
                  <w:tcW w:w="557"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Ansi="宋体"/>
                      <w:color w:val="auto"/>
                      <w:szCs w:val="21"/>
                    </w:rPr>
                  </w:pPr>
                  <w:r>
                    <w:rPr>
                      <w:rFonts w:hint="eastAsia" w:hAnsi="宋体"/>
                      <w:color w:val="auto"/>
                      <w:szCs w:val="21"/>
                    </w:rPr>
                    <w:t>包装方式</w:t>
                  </w:r>
                </w:p>
              </w:tc>
              <w:tc>
                <w:tcPr>
                  <w:tcW w:w="365"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Ansi="宋体"/>
                      <w:color w:val="auto"/>
                      <w:szCs w:val="21"/>
                    </w:rPr>
                  </w:pPr>
                  <w:r>
                    <w:rPr>
                      <w:rFonts w:hint="eastAsia" w:hAnsi="宋体"/>
                      <w:color w:val="auto"/>
                      <w:szCs w:val="21"/>
                    </w:rPr>
                    <w:t>来源</w:t>
                  </w:r>
                </w:p>
              </w:tc>
              <w:tc>
                <w:tcPr>
                  <w:tcW w:w="813"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int="eastAsia"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rPr>
                  </w:pPr>
                  <w:r>
                    <w:rPr>
                      <w:rFonts w:hint="eastAsia"/>
                      <w:color w:val="auto"/>
                      <w:szCs w:val="21"/>
                    </w:rPr>
                    <w:t>1</w:t>
                  </w:r>
                </w:p>
              </w:tc>
              <w:tc>
                <w:tcPr>
                  <w:tcW w:w="83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rPr>
                  </w:pPr>
                  <w:r>
                    <w:rPr>
                      <w:rFonts w:hint="eastAsia"/>
                      <w:color w:val="auto"/>
                      <w:szCs w:val="21"/>
                    </w:rPr>
                    <w:t>各类药物（包括内服药）</w:t>
                  </w:r>
                </w:p>
              </w:tc>
              <w:tc>
                <w:tcPr>
                  <w:tcW w:w="423"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rPr>
                  </w:pPr>
                  <w:r>
                    <w:rPr>
                      <w:rFonts w:hint="eastAsia" w:hAnsi="宋体"/>
                      <w:color w:val="auto"/>
                      <w:szCs w:val="21"/>
                    </w:rPr>
                    <w:t>盒</w:t>
                  </w:r>
                  <w:r>
                    <w:rPr>
                      <w:rFonts w:hint="eastAsia" w:cs="宋体"/>
                      <w:color w:val="auto"/>
                    </w:rPr>
                    <w:t>/a</w:t>
                  </w:r>
                </w:p>
              </w:tc>
              <w:tc>
                <w:tcPr>
                  <w:tcW w:w="488"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hAnsi="宋体" w:eastAsia="宋体"/>
                      <w:color w:val="auto"/>
                      <w:szCs w:val="21"/>
                      <w:lang w:val="en-US" w:eastAsia="zh-CN"/>
                    </w:rPr>
                  </w:pPr>
                  <w:r>
                    <w:rPr>
                      <w:rFonts w:hint="eastAsia" w:hAnsi="宋体"/>
                      <w:color w:val="auto"/>
                      <w:szCs w:val="21"/>
                      <w:lang w:val="en-US" w:eastAsia="zh-CN"/>
                    </w:rPr>
                    <w:t>15000</w:t>
                  </w:r>
                </w:p>
              </w:tc>
              <w:tc>
                <w:tcPr>
                  <w:tcW w:w="729"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hAnsi="宋体" w:eastAsia="宋体"/>
                      <w:color w:val="auto"/>
                      <w:szCs w:val="21"/>
                      <w:lang w:val="en-US" w:eastAsia="zh-CN"/>
                    </w:rPr>
                  </w:pPr>
                  <w:r>
                    <w:rPr>
                      <w:rFonts w:hint="eastAsia" w:hAnsi="宋体"/>
                      <w:color w:val="auto"/>
                      <w:szCs w:val="21"/>
                      <w:lang w:val="en-US" w:eastAsia="zh-CN"/>
                    </w:rPr>
                    <w:t>16700</w:t>
                  </w:r>
                </w:p>
              </w:tc>
              <w:tc>
                <w:tcPr>
                  <w:tcW w:w="525"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eastAsia" w:ascii="Times New Roman" w:hAnsi="宋体" w:eastAsia="宋体" w:cs="Times New Roman"/>
                      <w:color w:val="auto"/>
                      <w:kern w:val="2"/>
                      <w:sz w:val="21"/>
                      <w:szCs w:val="21"/>
                      <w:lang w:val="en-US" w:eastAsia="zh-CN" w:bidi="ar-SA"/>
                    </w:rPr>
                  </w:pPr>
                  <w:r>
                    <w:rPr>
                      <w:rFonts w:hint="eastAsia" w:hAnsi="宋体"/>
                      <w:color w:val="auto"/>
                      <w:szCs w:val="21"/>
                    </w:rPr>
                    <w:t>31700</w:t>
                  </w:r>
                </w:p>
              </w:tc>
              <w:tc>
                <w:tcPr>
                  <w:tcW w:w="557"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rPr>
                  </w:pPr>
                  <w:r>
                    <w:rPr>
                      <w:rFonts w:hint="eastAsia" w:hAnsi="宋体"/>
                      <w:color w:val="auto"/>
                      <w:szCs w:val="21"/>
                    </w:rPr>
                    <w:t>/</w:t>
                  </w:r>
                </w:p>
              </w:tc>
              <w:tc>
                <w:tcPr>
                  <w:tcW w:w="365"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Ansi="宋体"/>
                      <w:color w:val="auto"/>
                      <w:szCs w:val="21"/>
                    </w:rPr>
                  </w:pPr>
                  <w:r>
                    <w:rPr>
                      <w:rFonts w:hint="eastAsia" w:hAnsi="宋体"/>
                      <w:color w:val="auto"/>
                      <w:szCs w:val="21"/>
                    </w:rPr>
                    <w:t>外购</w:t>
                  </w:r>
                </w:p>
              </w:tc>
              <w:tc>
                <w:tcPr>
                  <w:tcW w:w="813"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int="eastAsia"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highlight w:val="yellow"/>
                    </w:rPr>
                  </w:pPr>
                  <w:r>
                    <w:rPr>
                      <w:rFonts w:hint="eastAsia"/>
                      <w:color w:val="auto"/>
                      <w:szCs w:val="21"/>
                    </w:rPr>
                    <w:t>2</w:t>
                  </w:r>
                </w:p>
              </w:tc>
              <w:tc>
                <w:tcPr>
                  <w:tcW w:w="83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highlight w:val="yellow"/>
                    </w:rPr>
                  </w:pPr>
                  <w:r>
                    <w:rPr>
                      <w:rFonts w:hint="eastAsia"/>
                      <w:color w:val="auto"/>
                      <w:szCs w:val="21"/>
                    </w:rPr>
                    <w:t>棉纱等医用敷料</w:t>
                  </w:r>
                </w:p>
              </w:tc>
              <w:tc>
                <w:tcPr>
                  <w:tcW w:w="423"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rPr>
                  </w:pPr>
                  <w:r>
                    <w:rPr>
                      <w:rFonts w:hint="eastAsia" w:cs="宋体"/>
                      <w:color w:val="auto"/>
                    </w:rPr>
                    <w:t>卷/a</w:t>
                  </w:r>
                </w:p>
              </w:tc>
              <w:tc>
                <w:tcPr>
                  <w:tcW w:w="488"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hAnsi="宋体" w:eastAsia="宋体"/>
                      <w:color w:val="auto"/>
                      <w:szCs w:val="21"/>
                      <w:lang w:val="en-US" w:eastAsia="zh-CN"/>
                    </w:rPr>
                  </w:pPr>
                  <w:r>
                    <w:rPr>
                      <w:rFonts w:hint="eastAsia" w:hAnsi="宋体"/>
                      <w:color w:val="auto"/>
                      <w:szCs w:val="21"/>
                      <w:lang w:val="en-US" w:eastAsia="zh-CN"/>
                    </w:rPr>
                    <w:t>16500</w:t>
                  </w:r>
                </w:p>
              </w:tc>
              <w:tc>
                <w:tcPr>
                  <w:tcW w:w="729"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hAnsi="宋体" w:eastAsia="宋体"/>
                      <w:color w:val="auto"/>
                      <w:szCs w:val="21"/>
                      <w:lang w:val="en-US" w:eastAsia="zh-CN"/>
                    </w:rPr>
                  </w:pPr>
                  <w:r>
                    <w:rPr>
                      <w:rFonts w:hint="eastAsia" w:hAnsi="宋体"/>
                      <w:color w:val="auto"/>
                      <w:szCs w:val="21"/>
                      <w:lang w:val="en-US" w:eastAsia="zh-CN"/>
                    </w:rPr>
                    <w:t>18740</w:t>
                  </w:r>
                </w:p>
              </w:tc>
              <w:tc>
                <w:tcPr>
                  <w:tcW w:w="525"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eastAsia" w:ascii="Times New Roman" w:hAnsi="宋体" w:eastAsia="宋体" w:cs="Times New Roman"/>
                      <w:color w:val="auto"/>
                      <w:kern w:val="2"/>
                      <w:sz w:val="21"/>
                      <w:szCs w:val="21"/>
                      <w:lang w:val="en-US" w:eastAsia="zh-CN" w:bidi="ar-SA"/>
                    </w:rPr>
                  </w:pPr>
                  <w:r>
                    <w:rPr>
                      <w:rFonts w:hint="eastAsia" w:hAnsi="宋体"/>
                      <w:color w:val="auto"/>
                      <w:szCs w:val="21"/>
                    </w:rPr>
                    <w:t>35240</w:t>
                  </w:r>
                </w:p>
              </w:tc>
              <w:tc>
                <w:tcPr>
                  <w:tcW w:w="557"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rPr>
                  </w:pPr>
                  <w:r>
                    <w:rPr>
                      <w:rFonts w:hint="eastAsia" w:hAnsi="宋体"/>
                      <w:color w:val="auto"/>
                      <w:szCs w:val="21"/>
                    </w:rPr>
                    <w:t>/</w:t>
                  </w:r>
                </w:p>
              </w:tc>
              <w:tc>
                <w:tcPr>
                  <w:tcW w:w="365"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Ansi="宋体"/>
                      <w:color w:val="auto"/>
                      <w:szCs w:val="21"/>
                    </w:rPr>
                  </w:pPr>
                  <w:r>
                    <w:rPr>
                      <w:rFonts w:hint="eastAsia" w:hAnsi="宋体"/>
                      <w:color w:val="auto"/>
                      <w:szCs w:val="21"/>
                    </w:rPr>
                    <w:t>外购</w:t>
                  </w:r>
                </w:p>
              </w:tc>
              <w:tc>
                <w:tcPr>
                  <w:tcW w:w="813"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int="eastAsia"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highlight w:val="yellow"/>
                    </w:rPr>
                  </w:pPr>
                  <w:r>
                    <w:rPr>
                      <w:rFonts w:hint="eastAsia"/>
                      <w:color w:val="auto"/>
                      <w:szCs w:val="21"/>
                    </w:rPr>
                    <w:t>3</w:t>
                  </w:r>
                </w:p>
              </w:tc>
              <w:tc>
                <w:tcPr>
                  <w:tcW w:w="83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highlight w:val="yellow"/>
                    </w:rPr>
                  </w:pPr>
                  <w:r>
                    <w:rPr>
                      <w:rFonts w:hint="eastAsia"/>
                      <w:color w:val="auto"/>
                      <w:szCs w:val="21"/>
                    </w:rPr>
                    <w:t>一次性医疗器械</w:t>
                  </w:r>
                </w:p>
              </w:tc>
              <w:tc>
                <w:tcPr>
                  <w:tcW w:w="423"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rPr>
                  </w:pPr>
                  <w:r>
                    <w:rPr>
                      <w:rFonts w:hint="eastAsia" w:cs="宋体"/>
                      <w:color w:val="auto"/>
                    </w:rPr>
                    <w:t>套/a</w:t>
                  </w:r>
                </w:p>
              </w:tc>
              <w:tc>
                <w:tcPr>
                  <w:tcW w:w="488"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hAnsi="宋体" w:eastAsia="宋体"/>
                      <w:color w:val="auto"/>
                      <w:szCs w:val="21"/>
                      <w:lang w:val="en-US" w:eastAsia="zh-CN"/>
                    </w:rPr>
                  </w:pPr>
                  <w:r>
                    <w:rPr>
                      <w:rFonts w:hint="eastAsia" w:hAnsi="宋体"/>
                      <w:color w:val="auto"/>
                      <w:szCs w:val="21"/>
                      <w:lang w:val="en-US" w:eastAsia="zh-CN"/>
                    </w:rPr>
                    <w:t>18307</w:t>
                  </w:r>
                </w:p>
              </w:tc>
              <w:tc>
                <w:tcPr>
                  <w:tcW w:w="729"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hAnsi="宋体" w:eastAsia="宋体"/>
                      <w:color w:val="auto"/>
                      <w:szCs w:val="21"/>
                      <w:lang w:val="en-US" w:eastAsia="zh-CN"/>
                    </w:rPr>
                  </w:pPr>
                  <w:r>
                    <w:rPr>
                      <w:rFonts w:hint="eastAsia" w:hAnsi="宋体"/>
                      <w:color w:val="auto"/>
                      <w:szCs w:val="21"/>
                      <w:lang w:val="en-US" w:eastAsia="zh-CN"/>
                    </w:rPr>
                    <w:t>23000</w:t>
                  </w:r>
                </w:p>
              </w:tc>
              <w:tc>
                <w:tcPr>
                  <w:tcW w:w="525"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eastAsia" w:ascii="Times New Roman" w:hAnsi="宋体" w:eastAsia="宋体" w:cs="Times New Roman"/>
                      <w:color w:val="auto"/>
                      <w:kern w:val="2"/>
                      <w:sz w:val="21"/>
                      <w:szCs w:val="21"/>
                      <w:lang w:val="en-US" w:eastAsia="zh-CN" w:bidi="ar-SA"/>
                    </w:rPr>
                  </w:pPr>
                  <w:r>
                    <w:rPr>
                      <w:rFonts w:hint="eastAsia" w:hAnsi="宋体"/>
                      <w:color w:val="auto"/>
                      <w:szCs w:val="21"/>
                    </w:rPr>
                    <w:t>41307</w:t>
                  </w:r>
                </w:p>
              </w:tc>
              <w:tc>
                <w:tcPr>
                  <w:tcW w:w="557"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rPr>
                  </w:pPr>
                  <w:r>
                    <w:rPr>
                      <w:rFonts w:hint="eastAsia" w:hAnsi="宋体"/>
                      <w:color w:val="auto"/>
                      <w:szCs w:val="21"/>
                    </w:rPr>
                    <w:t>/</w:t>
                  </w:r>
                </w:p>
              </w:tc>
              <w:tc>
                <w:tcPr>
                  <w:tcW w:w="365"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Ansi="宋体"/>
                      <w:color w:val="auto"/>
                      <w:szCs w:val="21"/>
                    </w:rPr>
                  </w:pPr>
                  <w:r>
                    <w:rPr>
                      <w:rFonts w:hint="eastAsia" w:hAnsi="宋体"/>
                      <w:color w:val="auto"/>
                      <w:szCs w:val="21"/>
                    </w:rPr>
                    <w:t>外购</w:t>
                  </w:r>
                </w:p>
              </w:tc>
              <w:tc>
                <w:tcPr>
                  <w:tcW w:w="813"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int="eastAsia"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highlight w:val="yellow"/>
                    </w:rPr>
                  </w:pPr>
                  <w:r>
                    <w:rPr>
                      <w:rFonts w:hint="eastAsia"/>
                      <w:color w:val="auto"/>
                      <w:szCs w:val="21"/>
                    </w:rPr>
                    <w:t>4</w:t>
                  </w:r>
                </w:p>
              </w:tc>
              <w:tc>
                <w:tcPr>
                  <w:tcW w:w="83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highlight w:val="yellow"/>
                    </w:rPr>
                  </w:pPr>
                  <w:r>
                    <w:rPr>
                      <w:rFonts w:hint="eastAsia"/>
                      <w:color w:val="auto"/>
                      <w:szCs w:val="21"/>
                    </w:rPr>
                    <w:t>医用碘酒</w:t>
                  </w:r>
                </w:p>
              </w:tc>
              <w:tc>
                <w:tcPr>
                  <w:tcW w:w="423"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rPr>
                  </w:pPr>
                  <w:r>
                    <w:rPr>
                      <w:rFonts w:hint="eastAsia" w:cs="宋体"/>
                      <w:color w:val="auto"/>
                      <w:szCs w:val="21"/>
                    </w:rPr>
                    <w:t>瓶</w:t>
                  </w:r>
                  <w:r>
                    <w:rPr>
                      <w:rFonts w:hint="eastAsia" w:cs="宋体"/>
                      <w:color w:val="auto"/>
                    </w:rPr>
                    <w:t>/a</w:t>
                  </w:r>
                </w:p>
              </w:tc>
              <w:tc>
                <w:tcPr>
                  <w:tcW w:w="488"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hAnsi="宋体" w:eastAsia="宋体"/>
                      <w:color w:val="auto"/>
                      <w:szCs w:val="21"/>
                      <w:lang w:val="en-US" w:eastAsia="zh-CN"/>
                    </w:rPr>
                  </w:pPr>
                  <w:r>
                    <w:rPr>
                      <w:rFonts w:hint="eastAsia" w:hAnsi="宋体"/>
                      <w:color w:val="auto"/>
                      <w:szCs w:val="21"/>
                      <w:lang w:val="en-US" w:eastAsia="zh-CN"/>
                    </w:rPr>
                    <w:t>30</w:t>
                  </w:r>
                </w:p>
              </w:tc>
              <w:tc>
                <w:tcPr>
                  <w:tcW w:w="729"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hAnsi="宋体" w:eastAsia="宋体"/>
                      <w:color w:val="auto"/>
                      <w:szCs w:val="21"/>
                      <w:lang w:val="en-US" w:eastAsia="zh-CN"/>
                    </w:rPr>
                  </w:pPr>
                  <w:r>
                    <w:rPr>
                      <w:rFonts w:hint="eastAsia" w:hAnsi="宋体"/>
                      <w:color w:val="auto"/>
                      <w:szCs w:val="21"/>
                      <w:lang w:val="en-US" w:eastAsia="zh-CN"/>
                    </w:rPr>
                    <w:t>20</w:t>
                  </w:r>
                </w:p>
              </w:tc>
              <w:tc>
                <w:tcPr>
                  <w:tcW w:w="525"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eastAsia" w:ascii="Times New Roman" w:hAnsi="宋体" w:eastAsia="宋体" w:cs="Times New Roman"/>
                      <w:color w:val="auto"/>
                      <w:kern w:val="2"/>
                      <w:sz w:val="21"/>
                      <w:szCs w:val="21"/>
                      <w:lang w:val="en-US" w:eastAsia="zh-CN" w:bidi="ar-SA"/>
                    </w:rPr>
                  </w:pPr>
                  <w:r>
                    <w:rPr>
                      <w:rFonts w:hint="eastAsia" w:hAnsi="宋体"/>
                      <w:color w:val="auto"/>
                      <w:szCs w:val="21"/>
                    </w:rPr>
                    <w:t>50</w:t>
                  </w:r>
                </w:p>
              </w:tc>
              <w:tc>
                <w:tcPr>
                  <w:tcW w:w="557"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rPr>
                  </w:pPr>
                  <w:r>
                    <w:rPr>
                      <w:rFonts w:hint="eastAsia" w:cs="宋体"/>
                      <w:color w:val="auto"/>
                    </w:rPr>
                    <w:t>500ml/瓶</w:t>
                  </w:r>
                </w:p>
              </w:tc>
              <w:tc>
                <w:tcPr>
                  <w:tcW w:w="365"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Ansi="宋体"/>
                      <w:color w:val="auto"/>
                      <w:szCs w:val="21"/>
                    </w:rPr>
                  </w:pPr>
                  <w:r>
                    <w:rPr>
                      <w:rFonts w:hint="eastAsia" w:hAnsi="宋体"/>
                      <w:color w:val="auto"/>
                      <w:szCs w:val="21"/>
                    </w:rPr>
                    <w:t>外购</w:t>
                  </w:r>
                </w:p>
              </w:tc>
              <w:tc>
                <w:tcPr>
                  <w:tcW w:w="813"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int="eastAsia"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highlight w:val="yellow"/>
                    </w:rPr>
                  </w:pPr>
                  <w:r>
                    <w:rPr>
                      <w:rFonts w:hint="eastAsia"/>
                      <w:color w:val="auto"/>
                      <w:szCs w:val="21"/>
                    </w:rPr>
                    <w:t>5</w:t>
                  </w:r>
                </w:p>
              </w:tc>
              <w:tc>
                <w:tcPr>
                  <w:tcW w:w="83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highlight w:val="yellow"/>
                    </w:rPr>
                  </w:pPr>
                  <w:r>
                    <w:rPr>
                      <w:rFonts w:hint="eastAsia"/>
                      <w:color w:val="auto"/>
                      <w:szCs w:val="21"/>
                    </w:rPr>
                    <w:t>生理盐水</w:t>
                  </w:r>
                </w:p>
              </w:tc>
              <w:tc>
                <w:tcPr>
                  <w:tcW w:w="423"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rPr>
                  </w:pPr>
                  <w:r>
                    <w:rPr>
                      <w:rFonts w:hint="eastAsia" w:cs="宋体"/>
                      <w:color w:val="auto"/>
                      <w:szCs w:val="21"/>
                    </w:rPr>
                    <w:t>瓶</w:t>
                  </w:r>
                  <w:r>
                    <w:rPr>
                      <w:rFonts w:hint="eastAsia" w:cs="宋体"/>
                      <w:color w:val="auto"/>
                    </w:rPr>
                    <w:t>/a</w:t>
                  </w:r>
                </w:p>
              </w:tc>
              <w:tc>
                <w:tcPr>
                  <w:tcW w:w="488"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hAnsi="宋体" w:eastAsia="宋体"/>
                      <w:color w:val="auto"/>
                      <w:szCs w:val="21"/>
                      <w:lang w:val="en-US" w:eastAsia="zh-CN"/>
                    </w:rPr>
                  </w:pPr>
                  <w:r>
                    <w:rPr>
                      <w:rFonts w:hint="eastAsia" w:hAnsi="宋体"/>
                      <w:color w:val="auto"/>
                      <w:szCs w:val="21"/>
                      <w:lang w:val="en-US" w:eastAsia="zh-CN"/>
                    </w:rPr>
                    <w:t>11000</w:t>
                  </w:r>
                </w:p>
              </w:tc>
              <w:tc>
                <w:tcPr>
                  <w:tcW w:w="729"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hAnsi="宋体" w:eastAsia="宋体"/>
                      <w:color w:val="auto"/>
                      <w:szCs w:val="21"/>
                      <w:lang w:val="en-US" w:eastAsia="zh-CN"/>
                    </w:rPr>
                  </w:pPr>
                  <w:r>
                    <w:rPr>
                      <w:rFonts w:hint="eastAsia" w:hAnsi="宋体"/>
                      <w:color w:val="auto"/>
                      <w:szCs w:val="21"/>
                      <w:lang w:val="en-US" w:eastAsia="zh-CN"/>
                    </w:rPr>
                    <w:t>13600</w:t>
                  </w:r>
                </w:p>
              </w:tc>
              <w:tc>
                <w:tcPr>
                  <w:tcW w:w="525"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eastAsia" w:ascii="Times New Roman" w:hAnsi="宋体" w:eastAsia="宋体" w:cs="Times New Roman"/>
                      <w:color w:val="auto"/>
                      <w:kern w:val="2"/>
                      <w:sz w:val="21"/>
                      <w:szCs w:val="21"/>
                      <w:lang w:val="en-US" w:eastAsia="zh-CN" w:bidi="ar-SA"/>
                    </w:rPr>
                  </w:pPr>
                  <w:r>
                    <w:rPr>
                      <w:rFonts w:hint="eastAsia" w:hAnsi="宋体"/>
                      <w:color w:val="auto"/>
                      <w:szCs w:val="21"/>
                    </w:rPr>
                    <w:t>24600</w:t>
                  </w:r>
                </w:p>
              </w:tc>
              <w:tc>
                <w:tcPr>
                  <w:tcW w:w="557"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Ansi="宋体"/>
                      <w:color w:val="auto"/>
                      <w:szCs w:val="21"/>
                    </w:rPr>
                  </w:pPr>
                  <w:r>
                    <w:rPr>
                      <w:rFonts w:hint="eastAsia" w:cs="宋体"/>
                      <w:color w:val="auto"/>
                    </w:rPr>
                    <w:t>500ml/瓶</w:t>
                  </w:r>
                </w:p>
              </w:tc>
              <w:tc>
                <w:tcPr>
                  <w:tcW w:w="365"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Ansi="宋体"/>
                      <w:color w:val="auto"/>
                      <w:szCs w:val="21"/>
                    </w:rPr>
                  </w:pPr>
                  <w:r>
                    <w:rPr>
                      <w:rFonts w:hint="eastAsia" w:hAnsi="宋体"/>
                      <w:color w:val="auto"/>
                      <w:szCs w:val="21"/>
                    </w:rPr>
                    <w:t>外购</w:t>
                  </w:r>
                </w:p>
              </w:tc>
              <w:tc>
                <w:tcPr>
                  <w:tcW w:w="813"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3" w:leftChars="-30" w:right="-63" w:rightChars="-30"/>
                    <w:jc w:val="center"/>
                    <w:textAlignment w:val="auto"/>
                    <w:rPr>
                      <w:rFonts w:hint="eastAsia"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olor w:val="auto"/>
                      <w:szCs w:val="21"/>
                    </w:rPr>
                    <w:t>6</w:t>
                  </w:r>
                </w:p>
              </w:tc>
              <w:tc>
                <w:tcPr>
                  <w:tcW w:w="83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olor w:val="auto"/>
                      <w:szCs w:val="21"/>
                    </w:rPr>
                    <w:t>葡萄糖注射液（塑瓶）</w:t>
                  </w:r>
                </w:p>
              </w:tc>
              <w:tc>
                <w:tcPr>
                  <w:tcW w:w="423"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olor w:val="auto"/>
                      <w:szCs w:val="21"/>
                    </w:rPr>
                    <w:t>瓶/a</w:t>
                  </w:r>
                </w:p>
              </w:tc>
              <w:tc>
                <w:tcPr>
                  <w:tcW w:w="488"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eastAsia="宋体"/>
                      <w:color w:val="auto"/>
                      <w:szCs w:val="21"/>
                      <w:lang w:val="en-US" w:eastAsia="zh-CN"/>
                    </w:rPr>
                  </w:pPr>
                  <w:r>
                    <w:rPr>
                      <w:rFonts w:hint="eastAsia"/>
                      <w:color w:val="auto"/>
                      <w:szCs w:val="21"/>
                      <w:lang w:val="en-US" w:eastAsia="zh-CN"/>
                    </w:rPr>
                    <w:t>7000</w:t>
                  </w:r>
                </w:p>
              </w:tc>
              <w:tc>
                <w:tcPr>
                  <w:tcW w:w="729"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eastAsia="宋体"/>
                      <w:color w:val="auto"/>
                      <w:szCs w:val="21"/>
                      <w:lang w:val="en-US" w:eastAsia="zh-CN"/>
                    </w:rPr>
                  </w:pPr>
                  <w:r>
                    <w:rPr>
                      <w:rFonts w:hint="eastAsia"/>
                      <w:color w:val="auto"/>
                      <w:szCs w:val="21"/>
                      <w:lang w:val="en-US" w:eastAsia="zh-CN"/>
                    </w:rPr>
                    <w:t>7700</w:t>
                  </w:r>
                </w:p>
              </w:tc>
              <w:tc>
                <w:tcPr>
                  <w:tcW w:w="525"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szCs w:val="21"/>
                    </w:rPr>
                    <w:t>15700</w:t>
                  </w:r>
                </w:p>
              </w:tc>
              <w:tc>
                <w:tcPr>
                  <w:tcW w:w="557"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s="宋体"/>
                      <w:color w:val="auto"/>
                    </w:rPr>
                    <w:t>500ml/瓶</w:t>
                  </w:r>
                </w:p>
              </w:tc>
              <w:tc>
                <w:tcPr>
                  <w:tcW w:w="365"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hAnsi="宋体"/>
                      <w:color w:val="auto"/>
                      <w:szCs w:val="21"/>
                    </w:rPr>
                    <w:t>外购</w:t>
                  </w:r>
                </w:p>
              </w:tc>
              <w:tc>
                <w:tcPr>
                  <w:tcW w:w="813"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eastAsia"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olor w:val="auto"/>
                      <w:szCs w:val="21"/>
                    </w:rPr>
                    <w:t>7</w:t>
                  </w:r>
                </w:p>
              </w:tc>
              <w:tc>
                <w:tcPr>
                  <w:tcW w:w="83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olor w:val="auto"/>
                      <w:szCs w:val="21"/>
                    </w:rPr>
                    <w:t>75%医用酒精</w:t>
                  </w:r>
                </w:p>
              </w:tc>
              <w:tc>
                <w:tcPr>
                  <w:tcW w:w="423"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olor w:val="auto"/>
                      <w:szCs w:val="21"/>
                    </w:rPr>
                    <w:t>瓶/a</w:t>
                  </w:r>
                </w:p>
              </w:tc>
              <w:tc>
                <w:tcPr>
                  <w:tcW w:w="488"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eastAsia="宋体"/>
                      <w:color w:val="auto"/>
                      <w:szCs w:val="21"/>
                      <w:lang w:val="en-US" w:eastAsia="zh-CN"/>
                    </w:rPr>
                  </w:pPr>
                  <w:r>
                    <w:rPr>
                      <w:rFonts w:hint="eastAsia"/>
                      <w:color w:val="auto"/>
                      <w:szCs w:val="21"/>
                      <w:lang w:val="en-US" w:eastAsia="zh-CN"/>
                    </w:rPr>
                    <w:t>300</w:t>
                  </w:r>
                </w:p>
              </w:tc>
              <w:tc>
                <w:tcPr>
                  <w:tcW w:w="729"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eastAsia="宋体"/>
                      <w:color w:val="auto"/>
                      <w:szCs w:val="21"/>
                      <w:lang w:val="en-US" w:eastAsia="zh-CN"/>
                    </w:rPr>
                  </w:pPr>
                  <w:r>
                    <w:rPr>
                      <w:rFonts w:hint="eastAsia"/>
                      <w:color w:val="auto"/>
                      <w:szCs w:val="21"/>
                      <w:lang w:val="en-US" w:eastAsia="zh-CN"/>
                    </w:rPr>
                    <w:t>200</w:t>
                  </w:r>
                </w:p>
              </w:tc>
              <w:tc>
                <w:tcPr>
                  <w:tcW w:w="525"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szCs w:val="21"/>
                    </w:rPr>
                    <w:t>500</w:t>
                  </w:r>
                </w:p>
              </w:tc>
              <w:tc>
                <w:tcPr>
                  <w:tcW w:w="557"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s="宋体"/>
                      <w:color w:val="auto"/>
                    </w:rPr>
                    <w:t>500ml/瓶</w:t>
                  </w:r>
                </w:p>
              </w:tc>
              <w:tc>
                <w:tcPr>
                  <w:tcW w:w="365"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olor w:val="auto"/>
                      <w:szCs w:val="21"/>
                    </w:rPr>
                    <w:t>外购</w:t>
                  </w:r>
                </w:p>
              </w:tc>
              <w:tc>
                <w:tcPr>
                  <w:tcW w:w="813"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olor w:val="auto"/>
                      <w:szCs w:val="21"/>
                    </w:rPr>
                    <w:t>8</w:t>
                  </w:r>
                </w:p>
              </w:tc>
              <w:tc>
                <w:tcPr>
                  <w:tcW w:w="832"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olor w:val="auto"/>
                      <w:szCs w:val="21"/>
                    </w:rPr>
                    <w:t>84消毒泡腾片</w:t>
                  </w:r>
                </w:p>
              </w:tc>
              <w:tc>
                <w:tcPr>
                  <w:tcW w:w="423"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olor w:val="auto"/>
                      <w:szCs w:val="21"/>
                    </w:rPr>
                    <w:t>瓶/a</w:t>
                  </w:r>
                </w:p>
              </w:tc>
              <w:tc>
                <w:tcPr>
                  <w:tcW w:w="488"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eastAsia="宋体"/>
                      <w:color w:val="auto"/>
                      <w:szCs w:val="21"/>
                      <w:lang w:val="en-US" w:eastAsia="zh-CN"/>
                    </w:rPr>
                  </w:pPr>
                  <w:r>
                    <w:rPr>
                      <w:rFonts w:hint="eastAsia"/>
                      <w:color w:val="auto"/>
                      <w:szCs w:val="21"/>
                      <w:lang w:val="en-US" w:eastAsia="zh-CN"/>
                    </w:rPr>
                    <w:t>240</w:t>
                  </w:r>
                </w:p>
              </w:tc>
              <w:tc>
                <w:tcPr>
                  <w:tcW w:w="729"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default" w:eastAsia="宋体"/>
                      <w:color w:val="auto"/>
                      <w:szCs w:val="21"/>
                      <w:lang w:val="en-US" w:eastAsia="zh-CN"/>
                    </w:rPr>
                  </w:pPr>
                  <w:r>
                    <w:rPr>
                      <w:rFonts w:hint="eastAsia"/>
                      <w:color w:val="auto"/>
                      <w:szCs w:val="21"/>
                      <w:lang w:val="en-US" w:eastAsia="zh-CN"/>
                    </w:rPr>
                    <w:t>160</w:t>
                  </w:r>
                </w:p>
              </w:tc>
              <w:tc>
                <w:tcPr>
                  <w:tcW w:w="525"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szCs w:val="21"/>
                    </w:rPr>
                    <w:t>400</w:t>
                  </w:r>
                </w:p>
              </w:tc>
              <w:tc>
                <w:tcPr>
                  <w:tcW w:w="557"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s="宋体"/>
                      <w:color w:val="auto"/>
                      <w:lang w:val="en-US" w:eastAsia="zh-CN"/>
                    </w:rPr>
                    <w:t>20</w:t>
                  </w:r>
                  <w:r>
                    <w:rPr>
                      <w:rFonts w:hint="eastAsia" w:cs="宋体"/>
                      <w:color w:val="auto"/>
                    </w:rPr>
                    <w:t>00</w:t>
                  </w:r>
                  <w:r>
                    <w:rPr>
                      <w:rFonts w:hint="eastAsia" w:cs="宋体"/>
                      <w:color w:val="auto"/>
                      <w:lang w:val="en-US" w:eastAsia="zh-CN"/>
                    </w:rPr>
                    <w:t>片</w:t>
                  </w:r>
                  <w:r>
                    <w:rPr>
                      <w:rFonts w:hint="eastAsia" w:cs="宋体"/>
                      <w:color w:val="auto"/>
                    </w:rPr>
                    <w:t>/瓶</w:t>
                  </w:r>
                </w:p>
              </w:tc>
              <w:tc>
                <w:tcPr>
                  <w:tcW w:w="365"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color w:val="auto"/>
                      <w:szCs w:val="21"/>
                    </w:rPr>
                  </w:pPr>
                  <w:r>
                    <w:rPr>
                      <w:rFonts w:hint="eastAsia"/>
                      <w:color w:val="auto"/>
                      <w:szCs w:val="21"/>
                    </w:rPr>
                    <w:t>外购</w:t>
                  </w:r>
                </w:p>
              </w:tc>
              <w:tc>
                <w:tcPr>
                  <w:tcW w:w="813" w:type="pct"/>
                  <w:vAlign w:val="center"/>
                </w:tcPr>
                <w:p>
                  <w:pPr>
                    <w:keepNext w:val="0"/>
                    <w:keepLines w:val="0"/>
                    <w:pageBreakBefore w:val="0"/>
                    <w:widowControl w:val="0"/>
                    <w:kinsoku/>
                    <w:wordWrap/>
                    <w:overflowPunct/>
                    <w:topLinePunct w:val="0"/>
                    <w:autoSpaceDE/>
                    <w:autoSpaceDN/>
                    <w:bidi w:val="0"/>
                    <w:adjustRightInd/>
                    <w:spacing w:line="240" w:lineRule="auto"/>
                    <w:ind w:left="-63" w:leftChars="-30" w:right="-63" w:rightChars="-30"/>
                    <w:jc w:val="center"/>
                    <w:textAlignment w:val="auto"/>
                    <w:rPr>
                      <w:rFonts w:hint="eastAsia"/>
                      <w:color w:val="auto"/>
                      <w:szCs w:val="21"/>
                    </w:rPr>
                  </w:pPr>
                </w:p>
              </w:tc>
            </w:tr>
          </w:tbl>
          <w:p>
            <w:pPr>
              <w:adjustRightInd w:val="0"/>
              <w:snapToGrid w:val="0"/>
              <w:spacing w:before="120" w:beforeLines="50" w:line="360" w:lineRule="auto"/>
              <w:ind w:firstLine="482" w:firstLineChars="200"/>
              <w:rPr>
                <w:b/>
                <w:color w:val="auto"/>
                <w:sz w:val="24"/>
              </w:rPr>
            </w:pPr>
            <w:r>
              <w:rPr>
                <w:rFonts w:hint="eastAsia"/>
                <w:b/>
                <w:color w:val="auto"/>
                <w:sz w:val="24"/>
              </w:rPr>
              <w:t>五</w:t>
            </w:r>
            <w:r>
              <w:rPr>
                <w:b/>
                <w:color w:val="auto"/>
                <w:sz w:val="24"/>
              </w:rPr>
              <w:t>、劳动定员及工作制度</w:t>
            </w:r>
          </w:p>
          <w:p>
            <w:pPr>
              <w:spacing w:line="360" w:lineRule="auto"/>
              <w:ind w:firstLine="480" w:firstLineChars="200"/>
              <w:rPr>
                <w:color w:val="auto"/>
                <w:kern w:val="0"/>
                <w:sz w:val="24"/>
              </w:rPr>
            </w:pPr>
            <w:r>
              <w:rPr>
                <w:bCs/>
                <w:color w:val="auto"/>
                <w:sz w:val="24"/>
              </w:rPr>
              <w:t>项目现有医护人员</w:t>
            </w:r>
            <w:r>
              <w:rPr>
                <w:rFonts w:hint="eastAsia"/>
                <w:bCs/>
                <w:color w:val="auto"/>
                <w:sz w:val="24"/>
                <w:lang w:val="en-US" w:eastAsia="zh-CN"/>
              </w:rPr>
              <w:t>35</w:t>
            </w:r>
            <w:r>
              <w:rPr>
                <w:bCs/>
                <w:color w:val="auto"/>
                <w:sz w:val="24"/>
              </w:rPr>
              <w:t>人，门诊部每天工作</w:t>
            </w:r>
            <w:r>
              <w:rPr>
                <w:rFonts w:hint="eastAsia"/>
                <w:bCs/>
                <w:color w:val="auto"/>
                <w:sz w:val="24"/>
              </w:rPr>
              <w:t>8</w:t>
            </w:r>
            <w:r>
              <w:rPr>
                <w:bCs/>
                <w:color w:val="auto"/>
                <w:sz w:val="24"/>
              </w:rPr>
              <w:t>小时，急诊</w:t>
            </w:r>
            <w:r>
              <w:rPr>
                <w:rFonts w:hint="eastAsia"/>
                <w:bCs/>
                <w:color w:val="auto"/>
                <w:sz w:val="24"/>
              </w:rPr>
              <w:t>及住院部</w:t>
            </w:r>
            <w:r>
              <w:rPr>
                <w:bCs/>
                <w:color w:val="auto"/>
                <w:sz w:val="24"/>
              </w:rPr>
              <w:t>全天</w:t>
            </w:r>
            <w:r>
              <w:rPr>
                <w:rFonts w:hint="eastAsia"/>
                <w:bCs/>
                <w:color w:val="auto"/>
                <w:sz w:val="24"/>
              </w:rPr>
              <w:t>24</w:t>
            </w:r>
            <w:r>
              <w:rPr>
                <w:bCs/>
                <w:color w:val="auto"/>
                <w:sz w:val="24"/>
              </w:rPr>
              <w:t>小时工作，年工作时间为365天，本项目新增劳动定员</w:t>
            </w:r>
            <w:r>
              <w:rPr>
                <w:rFonts w:hint="eastAsia"/>
                <w:bCs/>
                <w:color w:val="auto"/>
                <w:sz w:val="24"/>
              </w:rPr>
              <w:t>10人。医院</w:t>
            </w:r>
            <w:r>
              <w:rPr>
                <w:bCs/>
                <w:color w:val="auto"/>
                <w:sz w:val="24"/>
              </w:rPr>
              <w:t>不提供食宿。</w:t>
            </w:r>
          </w:p>
          <w:p>
            <w:pPr>
              <w:adjustRightInd w:val="0"/>
              <w:snapToGrid w:val="0"/>
              <w:spacing w:line="360" w:lineRule="auto"/>
              <w:ind w:firstLine="482" w:firstLineChars="200"/>
              <w:rPr>
                <w:b/>
                <w:color w:val="auto"/>
                <w:sz w:val="24"/>
              </w:rPr>
            </w:pPr>
            <w:r>
              <w:rPr>
                <w:rFonts w:hint="eastAsia"/>
                <w:b/>
                <w:color w:val="auto"/>
                <w:sz w:val="24"/>
              </w:rPr>
              <w:t>六</w:t>
            </w:r>
            <w:r>
              <w:rPr>
                <w:b/>
                <w:color w:val="auto"/>
                <w:sz w:val="24"/>
              </w:rPr>
              <w:t>、公用工程</w:t>
            </w:r>
          </w:p>
          <w:p>
            <w:pPr>
              <w:adjustRightInd w:val="0"/>
              <w:snapToGrid w:val="0"/>
              <w:spacing w:line="360" w:lineRule="auto"/>
              <w:ind w:firstLine="480" w:firstLineChars="200"/>
              <w:rPr>
                <w:bCs/>
                <w:color w:val="auto"/>
                <w:sz w:val="24"/>
              </w:rPr>
            </w:pPr>
            <w:r>
              <w:rPr>
                <w:bCs/>
                <w:color w:val="auto"/>
                <w:sz w:val="24"/>
              </w:rPr>
              <w:t>1、给水工程</w:t>
            </w:r>
          </w:p>
          <w:p>
            <w:pPr>
              <w:adjustRightInd w:val="0"/>
              <w:snapToGrid w:val="0"/>
              <w:spacing w:line="360" w:lineRule="auto"/>
              <w:ind w:firstLine="480" w:firstLineChars="200"/>
              <w:rPr>
                <w:color w:val="auto"/>
                <w:sz w:val="24"/>
              </w:rPr>
            </w:pPr>
            <w:r>
              <w:rPr>
                <w:bCs/>
                <w:color w:val="auto"/>
                <w:sz w:val="24"/>
              </w:rPr>
              <w:t>项目供水直接自市政供水管网引入，项目用水主要为</w:t>
            </w:r>
            <w:r>
              <w:rPr>
                <w:color w:val="auto"/>
                <w:sz w:val="24"/>
              </w:rPr>
              <w:t>门诊部用水、住院病人用水、医务人员用水。</w:t>
            </w:r>
          </w:p>
          <w:p>
            <w:pPr>
              <w:spacing w:line="360" w:lineRule="auto"/>
              <w:ind w:firstLine="480" w:firstLineChars="200"/>
              <w:rPr>
                <w:color w:val="auto"/>
                <w:sz w:val="24"/>
              </w:rPr>
            </w:pPr>
            <w:r>
              <w:rPr>
                <w:rFonts w:hint="eastAsia"/>
                <w:color w:val="auto"/>
                <w:sz w:val="24"/>
              </w:rPr>
              <w:t>（1）</w:t>
            </w:r>
            <w:r>
              <w:rPr>
                <w:color w:val="auto"/>
                <w:sz w:val="24"/>
              </w:rPr>
              <w:t>门诊部用水</w:t>
            </w:r>
          </w:p>
          <w:p>
            <w:pPr>
              <w:spacing w:line="360" w:lineRule="auto"/>
              <w:ind w:firstLine="480" w:firstLineChars="200"/>
              <w:rPr>
                <w:color w:val="auto"/>
                <w:sz w:val="24"/>
              </w:rPr>
            </w:pPr>
            <w:r>
              <w:rPr>
                <w:rFonts w:hint="eastAsia"/>
                <w:color w:val="auto"/>
                <w:sz w:val="24"/>
                <w:lang w:val="en-US" w:eastAsia="zh-CN"/>
              </w:rPr>
              <w:t>本</w:t>
            </w:r>
            <w:r>
              <w:rPr>
                <w:color w:val="auto"/>
                <w:sz w:val="24"/>
              </w:rPr>
              <w:t>项目门诊日接待病人</w:t>
            </w:r>
            <w:r>
              <w:rPr>
                <w:rFonts w:hint="eastAsia"/>
                <w:color w:val="auto"/>
                <w:sz w:val="24"/>
                <w:lang w:val="en-US" w:eastAsia="zh-CN"/>
              </w:rPr>
              <w:t>新增约</w:t>
            </w:r>
            <w:r>
              <w:rPr>
                <w:rFonts w:hint="eastAsia"/>
                <w:color w:val="auto"/>
                <w:sz w:val="24"/>
              </w:rPr>
              <w:t>120</w:t>
            </w:r>
            <w:r>
              <w:rPr>
                <w:color w:val="auto"/>
                <w:sz w:val="24"/>
              </w:rPr>
              <w:t>人</w:t>
            </w:r>
            <w:r>
              <w:rPr>
                <w:rFonts w:hint="eastAsia"/>
                <w:color w:val="auto"/>
                <w:sz w:val="24"/>
              </w:rPr>
              <w:t>次</w:t>
            </w:r>
            <w:r>
              <w:rPr>
                <w:color w:val="auto"/>
                <w:sz w:val="24"/>
              </w:rPr>
              <w:t>，根据陕西省地方标准《行业用水定额》（DB61/T 943-2020）卫生（Q84）中“26 门诊部（所）（Q842）”，用水定额为1</w:t>
            </w:r>
            <w:r>
              <w:rPr>
                <w:rFonts w:hint="eastAsia"/>
                <w:color w:val="auto"/>
                <w:sz w:val="24"/>
              </w:rPr>
              <w:t xml:space="preserve">1 </w:t>
            </w:r>
            <w:r>
              <w:rPr>
                <w:color w:val="auto"/>
                <w:sz w:val="24"/>
              </w:rPr>
              <w:t>L/病人·次，医院工作时间 365d，则门诊病人用水量为</w:t>
            </w:r>
            <w:r>
              <w:rPr>
                <w:rFonts w:hint="eastAsia"/>
                <w:color w:val="auto"/>
                <w:sz w:val="24"/>
              </w:rPr>
              <w:t>1.32</w:t>
            </w:r>
            <w:r>
              <w:rPr>
                <w:color w:val="auto"/>
                <w:sz w:val="24"/>
              </w:rPr>
              <w:t>m</w:t>
            </w:r>
            <w:r>
              <w:rPr>
                <w:color w:val="auto"/>
                <w:sz w:val="24"/>
                <w:vertAlign w:val="superscript"/>
              </w:rPr>
              <w:t>3</w:t>
            </w:r>
            <w:r>
              <w:rPr>
                <w:color w:val="auto"/>
                <w:sz w:val="24"/>
              </w:rPr>
              <w:t>/d（</w:t>
            </w:r>
            <w:r>
              <w:rPr>
                <w:rFonts w:hint="eastAsia"/>
                <w:color w:val="auto"/>
                <w:sz w:val="24"/>
              </w:rPr>
              <w:t>481.8</w:t>
            </w:r>
            <w:r>
              <w:rPr>
                <w:color w:val="auto"/>
                <w:sz w:val="24"/>
              </w:rPr>
              <w:t>m</w:t>
            </w:r>
            <w:r>
              <w:rPr>
                <w:color w:val="auto"/>
                <w:sz w:val="24"/>
                <w:vertAlign w:val="superscript"/>
              </w:rPr>
              <w:t>3</w:t>
            </w:r>
            <w:r>
              <w:rPr>
                <w:color w:val="auto"/>
                <w:sz w:val="24"/>
              </w:rPr>
              <w:t>/a）</w:t>
            </w:r>
          </w:p>
          <w:p>
            <w:pPr>
              <w:spacing w:line="360" w:lineRule="auto"/>
              <w:ind w:firstLine="480" w:firstLineChars="200"/>
              <w:rPr>
                <w:color w:val="auto"/>
                <w:sz w:val="24"/>
              </w:rPr>
            </w:pPr>
            <w:r>
              <w:rPr>
                <w:rFonts w:hint="eastAsia"/>
                <w:color w:val="auto"/>
                <w:sz w:val="24"/>
              </w:rPr>
              <w:t>（2）</w:t>
            </w:r>
            <w:r>
              <w:rPr>
                <w:color w:val="auto"/>
                <w:sz w:val="24"/>
              </w:rPr>
              <w:t>住院病人用水</w:t>
            </w:r>
          </w:p>
          <w:p>
            <w:pPr>
              <w:spacing w:line="360" w:lineRule="auto"/>
              <w:ind w:firstLine="480" w:firstLineChars="200"/>
              <w:rPr>
                <w:color w:val="auto"/>
                <w:sz w:val="24"/>
              </w:rPr>
            </w:pPr>
            <w:r>
              <w:rPr>
                <w:rFonts w:hint="eastAsia"/>
                <w:color w:val="auto"/>
                <w:sz w:val="24"/>
                <w:lang w:val="en-US" w:eastAsia="zh-CN"/>
              </w:rPr>
              <w:t>本</w:t>
            </w:r>
            <w:r>
              <w:rPr>
                <w:color w:val="auto"/>
                <w:sz w:val="24"/>
              </w:rPr>
              <w:t>项目</w:t>
            </w:r>
            <w:r>
              <w:rPr>
                <w:rFonts w:hint="eastAsia"/>
                <w:color w:val="auto"/>
                <w:sz w:val="24"/>
                <w:lang w:val="en-US" w:eastAsia="zh-CN"/>
              </w:rPr>
              <w:t>新增</w:t>
            </w:r>
            <w:r>
              <w:rPr>
                <w:color w:val="auto"/>
                <w:sz w:val="24"/>
              </w:rPr>
              <w:t>床位</w:t>
            </w:r>
            <w:r>
              <w:rPr>
                <w:rFonts w:hint="eastAsia"/>
                <w:color w:val="auto"/>
                <w:sz w:val="24"/>
              </w:rPr>
              <w:t>数为</w:t>
            </w:r>
            <w:r>
              <w:rPr>
                <w:rFonts w:hint="eastAsia"/>
                <w:color w:val="auto"/>
                <w:sz w:val="24"/>
                <w:lang w:val="en-US" w:eastAsia="zh-CN"/>
              </w:rPr>
              <w:t>31</w:t>
            </w:r>
            <w:r>
              <w:rPr>
                <w:color w:val="auto"/>
                <w:sz w:val="24"/>
              </w:rPr>
              <w:t>张，根据陕西省地方标准《行业用水定额》（DB61/T 943-2020）卫生（Q84）中“设公用盥洗室（Q841）”，用水定额为1</w:t>
            </w:r>
            <w:r>
              <w:rPr>
                <w:rFonts w:hint="eastAsia"/>
                <w:color w:val="auto"/>
                <w:sz w:val="24"/>
              </w:rPr>
              <w:t>3</w:t>
            </w:r>
            <w:r>
              <w:rPr>
                <w:color w:val="auto"/>
                <w:sz w:val="24"/>
              </w:rPr>
              <w:t>0L/床·d，医院工作时间365d，则病床用水量为</w:t>
            </w:r>
            <w:r>
              <w:rPr>
                <w:rFonts w:hint="eastAsia"/>
                <w:color w:val="auto"/>
                <w:sz w:val="24"/>
                <w:lang w:val="en-US" w:eastAsia="zh-CN"/>
              </w:rPr>
              <w:t>4.03</w:t>
            </w:r>
            <w:r>
              <w:rPr>
                <w:color w:val="auto"/>
                <w:sz w:val="24"/>
              </w:rPr>
              <w:t>m</w:t>
            </w:r>
            <w:r>
              <w:rPr>
                <w:color w:val="auto"/>
                <w:sz w:val="24"/>
                <w:vertAlign w:val="superscript"/>
              </w:rPr>
              <w:t>3</w:t>
            </w:r>
            <w:r>
              <w:rPr>
                <w:color w:val="auto"/>
                <w:sz w:val="24"/>
              </w:rPr>
              <w:t>/d（</w:t>
            </w:r>
            <w:r>
              <w:rPr>
                <w:rFonts w:hint="eastAsia"/>
                <w:color w:val="auto"/>
                <w:sz w:val="24"/>
                <w:lang w:val="en-US" w:eastAsia="zh-CN"/>
              </w:rPr>
              <w:t>1471</w:t>
            </w:r>
            <w:r>
              <w:rPr>
                <w:color w:val="auto"/>
                <w:sz w:val="24"/>
              </w:rPr>
              <w:t>m</w:t>
            </w:r>
            <w:r>
              <w:rPr>
                <w:color w:val="auto"/>
                <w:sz w:val="24"/>
                <w:vertAlign w:val="superscript"/>
              </w:rPr>
              <w:t>3</w:t>
            </w:r>
            <w:r>
              <w:rPr>
                <w:color w:val="auto"/>
                <w:sz w:val="24"/>
              </w:rPr>
              <w:t xml:space="preserve">/a）。 </w:t>
            </w:r>
          </w:p>
          <w:p>
            <w:pPr>
              <w:spacing w:line="360" w:lineRule="auto"/>
              <w:ind w:firstLine="480" w:firstLineChars="200"/>
              <w:rPr>
                <w:color w:val="auto"/>
                <w:sz w:val="24"/>
              </w:rPr>
            </w:pPr>
            <w:r>
              <w:rPr>
                <w:rFonts w:hint="eastAsia"/>
                <w:color w:val="auto"/>
                <w:sz w:val="24"/>
              </w:rPr>
              <w:t>（3）</w:t>
            </w:r>
            <w:r>
              <w:rPr>
                <w:color w:val="auto"/>
                <w:sz w:val="24"/>
              </w:rPr>
              <w:t>医务人员用水</w:t>
            </w:r>
            <w:r>
              <w:rPr>
                <w:rFonts w:hint="eastAsia"/>
                <w:color w:val="auto"/>
                <w:sz w:val="24"/>
              </w:rPr>
              <w:t>（生活用水）</w:t>
            </w:r>
          </w:p>
          <w:p>
            <w:pPr>
              <w:spacing w:line="360" w:lineRule="auto"/>
              <w:ind w:firstLine="480" w:firstLineChars="200"/>
              <w:rPr>
                <w:color w:val="auto"/>
                <w:sz w:val="24"/>
              </w:rPr>
            </w:pPr>
            <w:r>
              <w:rPr>
                <w:rFonts w:hint="eastAsia"/>
                <w:color w:val="auto"/>
                <w:sz w:val="24"/>
                <w:lang w:val="en-US" w:eastAsia="zh-CN"/>
              </w:rPr>
              <w:t>本项目新增</w:t>
            </w:r>
            <w:r>
              <w:rPr>
                <w:color w:val="auto"/>
                <w:sz w:val="24"/>
              </w:rPr>
              <w:t>医务人员</w:t>
            </w:r>
            <w:r>
              <w:rPr>
                <w:rFonts w:hint="eastAsia"/>
                <w:color w:val="auto"/>
                <w:sz w:val="24"/>
                <w:lang w:val="en-US" w:eastAsia="zh-CN"/>
              </w:rPr>
              <w:t>1</w:t>
            </w:r>
            <w:r>
              <w:rPr>
                <w:rFonts w:hint="eastAsia"/>
                <w:color w:val="auto"/>
                <w:sz w:val="24"/>
              </w:rPr>
              <w:t>0</w:t>
            </w:r>
            <w:r>
              <w:rPr>
                <w:color w:val="auto"/>
                <w:sz w:val="24"/>
              </w:rPr>
              <w:t>人，根据陕西省地方标准《行业用水定额》（DB61/T 943-2020）卫生（Q84）中“医务人员（Q841）”，用水定额为1</w:t>
            </w:r>
            <w:r>
              <w:rPr>
                <w:rFonts w:hint="eastAsia"/>
                <w:color w:val="auto"/>
                <w:sz w:val="24"/>
              </w:rPr>
              <w:t>2</w:t>
            </w:r>
            <w:r>
              <w:rPr>
                <w:color w:val="auto"/>
                <w:sz w:val="24"/>
              </w:rPr>
              <w:t>0L/人·班，医院</w:t>
            </w:r>
            <w:r>
              <w:rPr>
                <w:rFonts w:hint="eastAsia"/>
                <w:color w:val="auto"/>
                <w:sz w:val="24"/>
              </w:rPr>
              <w:t>为两班工作制</w:t>
            </w:r>
            <w:r>
              <w:rPr>
                <w:color w:val="auto"/>
                <w:sz w:val="24"/>
              </w:rPr>
              <w:t>，</w:t>
            </w:r>
            <w:r>
              <w:rPr>
                <w:rFonts w:hint="eastAsia"/>
                <w:color w:val="auto"/>
                <w:sz w:val="24"/>
              </w:rPr>
              <w:t>年</w:t>
            </w:r>
            <w:r>
              <w:rPr>
                <w:color w:val="auto"/>
                <w:sz w:val="24"/>
              </w:rPr>
              <w:t>工作时间 365d，则</w:t>
            </w:r>
            <w:r>
              <w:rPr>
                <w:rFonts w:hint="eastAsia"/>
                <w:color w:val="auto"/>
                <w:sz w:val="24"/>
              </w:rPr>
              <w:t>医护人员</w:t>
            </w:r>
            <w:r>
              <w:rPr>
                <w:color w:val="auto"/>
                <w:sz w:val="24"/>
              </w:rPr>
              <w:t>用水量为</w:t>
            </w:r>
            <w:r>
              <w:rPr>
                <w:rFonts w:hint="eastAsia"/>
                <w:color w:val="auto"/>
                <w:sz w:val="24"/>
                <w:lang w:val="en-US" w:eastAsia="zh-CN"/>
              </w:rPr>
              <w:t>1.2</w:t>
            </w:r>
            <w:r>
              <w:rPr>
                <w:color w:val="auto"/>
                <w:sz w:val="24"/>
              </w:rPr>
              <w:t>m</w:t>
            </w:r>
            <w:r>
              <w:rPr>
                <w:color w:val="auto"/>
                <w:sz w:val="24"/>
                <w:vertAlign w:val="superscript"/>
              </w:rPr>
              <w:t>3</w:t>
            </w:r>
            <w:r>
              <w:rPr>
                <w:color w:val="auto"/>
                <w:sz w:val="24"/>
              </w:rPr>
              <w:t>/d（</w:t>
            </w:r>
            <w:r>
              <w:rPr>
                <w:rFonts w:hint="eastAsia"/>
                <w:color w:val="auto"/>
                <w:sz w:val="24"/>
                <w:lang w:val="en-US" w:eastAsia="zh-CN"/>
              </w:rPr>
              <w:t>438</w:t>
            </w:r>
            <w:r>
              <w:rPr>
                <w:color w:val="auto"/>
                <w:sz w:val="24"/>
              </w:rPr>
              <w:t>m</w:t>
            </w:r>
            <w:r>
              <w:rPr>
                <w:color w:val="auto"/>
                <w:sz w:val="24"/>
                <w:vertAlign w:val="superscript"/>
              </w:rPr>
              <w:t>3</w:t>
            </w:r>
            <w:r>
              <w:rPr>
                <w:color w:val="auto"/>
                <w:sz w:val="24"/>
              </w:rPr>
              <w:t>/a）。</w:t>
            </w:r>
          </w:p>
          <w:p>
            <w:pPr>
              <w:adjustRightInd w:val="0"/>
              <w:snapToGrid w:val="0"/>
              <w:spacing w:line="360" w:lineRule="auto"/>
              <w:ind w:firstLine="480" w:firstLineChars="200"/>
              <w:rPr>
                <w:bCs/>
                <w:color w:val="auto"/>
                <w:sz w:val="24"/>
              </w:rPr>
            </w:pPr>
            <w:r>
              <w:rPr>
                <w:bCs/>
                <w:color w:val="auto"/>
                <w:sz w:val="24"/>
              </w:rPr>
              <w:t>2、排水工程</w:t>
            </w:r>
          </w:p>
          <w:p>
            <w:pPr>
              <w:adjustRightInd w:val="0"/>
              <w:snapToGrid w:val="0"/>
              <w:spacing w:line="360" w:lineRule="auto"/>
              <w:ind w:firstLine="480" w:firstLineChars="200"/>
              <w:rPr>
                <w:color w:val="auto"/>
                <w:sz w:val="24"/>
              </w:rPr>
            </w:pPr>
            <w:r>
              <w:rPr>
                <w:color w:val="auto"/>
                <w:sz w:val="24"/>
              </w:rPr>
              <w:t>项目产生的废水主要为医院门诊部、</w:t>
            </w:r>
            <w:r>
              <w:rPr>
                <w:rFonts w:hint="eastAsia"/>
                <w:color w:val="auto"/>
                <w:sz w:val="24"/>
              </w:rPr>
              <w:t>住院部</w:t>
            </w:r>
            <w:r>
              <w:rPr>
                <w:color w:val="auto"/>
                <w:sz w:val="24"/>
              </w:rPr>
              <w:t>、医务人员</w:t>
            </w:r>
            <w:r>
              <w:rPr>
                <w:rFonts w:hint="eastAsia"/>
                <w:color w:val="auto"/>
                <w:sz w:val="24"/>
              </w:rPr>
              <w:t>（生活污水）</w:t>
            </w:r>
            <w:r>
              <w:rPr>
                <w:color w:val="auto"/>
                <w:sz w:val="24"/>
              </w:rPr>
              <w:t>产生的废水</w:t>
            </w:r>
            <w:r>
              <w:rPr>
                <w:rFonts w:hint="eastAsia"/>
                <w:color w:val="auto"/>
                <w:sz w:val="24"/>
              </w:rPr>
              <w:t>。</w:t>
            </w:r>
            <w:r>
              <w:rPr>
                <w:color w:val="auto"/>
                <w:sz w:val="24"/>
              </w:rPr>
              <w:t>废水排放量按用水量的80%计，则医院门诊部、</w:t>
            </w:r>
            <w:r>
              <w:rPr>
                <w:rFonts w:hint="eastAsia"/>
                <w:color w:val="auto"/>
                <w:sz w:val="24"/>
              </w:rPr>
              <w:t>住院部</w:t>
            </w:r>
            <w:r>
              <w:rPr>
                <w:color w:val="auto"/>
                <w:sz w:val="24"/>
              </w:rPr>
              <w:t>、医务人员排水量</w:t>
            </w:r>
            <w:r>
              <w:rPr>
                <w:rFonts w:hint="eastAsia"/>
                <w:color w:val="auto"/>
                <w:sz w:val="24"/>
              </w:rPr>
              <w:t>分别</w:t>
            </w:r>
            <w:r>
              <w:rPr>
                <w:color w:val="auto"/>
                <w:sz w:val="24"/>
              </w:rPr>
              <w:t>为</w:t>
            </w:r>
            <w:r>
              <w:rPr>
                <w:rFonts w:hint="eastAsia"/>
                <w:color w:val="auto"/>
                <w:sz w:val="24"/>
              </w:rPr>
              <w:t>1.056</w:t>
            </w:r>
            <w:r>
              <w:rPr>
                <w:color w:val="auto"/>
                <w:sz w:val="24"/>
              </w:rPr>
              <w:t>m</w:t>
            </w:r>
            <w:r>
              <w:rPr>
                <w:color w:val="auto"/>
                <w:sz w:val="24"/>
                <w:vertAlign w:val="superscript"/>
              </w:rPr>
              <w:t>3</w:t>
            </w:r>
            <w:r>
              <w:rPr>
                <w:color w:val="auto"/>
                <w:sz w:val="24"/>
              </w:rPr>
              <w:t>/d（</w:t>
            </w:r>
            <w:r>
              <w:rPr>
                <w:rFonts w:hint="eastAsia"/>
                <w:color w:val="auto"/>
                <w:sz w:val="24"/>
              </w:rPr>
              <w:t>385.4</w:t>
            </w:r>
            <w:r>
              <w:rPr>
                <w:color w:val="auto"/>
                <w:sz w:val="24"/>
              </w:rPr>
              <w:t>m</w:t>
            </w:r>
            <w:r>
              <w:rPr>
                <w:color w:val="auto"/>
                <w:sz w:val="24"/>
                <w:vertAlign w:val="superscript"/>
              </w:rPr>
              <w:t>3</w:t>
            </w:r>
            <w:r>
              <w:rPr>
                <w:color w:val="auto"/>
                <w:sz w:val="24"/>
              </w:rPr>
              <w:t>/a）</w:t>
            </w:r>
            <w:r>
              <w:rPr>
                <w:rFonts w:hint="eastAsia"/>
                <w:color w:val="auto"/>
                <w:sz w:val="24"/>
              </w:rPr>
              <w:t>、</w:t>
            </w:r>
            <w:r>
              <w:rPr>
                <w:rFonts w:hint="eastAsia"/>
                <w:color w:val="auto"/>
                <w:sz w:val="24"/>
                <w:lang w:val="en-US" w:eastAsia="zh-CN"/>
              </w:rPr>
              <w:t>3.224</w:t>
            </w:r>
            <w:r>
              <w:rPr>
                <w:color w:val="auto"/>
                <w:sz w:val="24"/>
              </w:rPr>
              <w:t>m</w:t>
            </w:r>
            <w:r>
              <w:rPr>
                <w:color w:val="auto"/>
                <w:sz w:val="24"/>
                <w:vertAlign w:val="superscript"/>
              </w:rPr>
              <w:t>3</w:t>
            </w:r>
            <w:r>
              <w:rPr>
                <w:color w:val="auto"/>
                <w:sz w:val="24"/>
              </w:rPr>
              <w:t>/d（</w:t>
            </w:r>
            <w:r>
              <w:rPr>
                <w:rFonts w:hint="eastAsia"/>
                <w:color w:val="auto"/>
                <w:sz w:val="24"/>
                <w:lang w:val="en-US" w:eastAsia="zh-CN"/>
              </w:rPr>
              <w:t>1176.8</w:t>
            </w:r>
            <w:r>
              <w:rPr>
                <w:color w:val="auto"/>
                <w:sz w:val="24"/>
              </w:rPr>
              <w:t>m</w:t>
            </w:r>
            <w:r>
              <w:rPr>
                <w:color w:val="auto"/>
                <w:sz w:val="24"/>
                <w:vertAlign w:val="superscript"/>
              </w:rPr>
              <w:t>3</w:t>
            </w:r>
            <w:r>
              <w:rPr>
                <w:color w:val="auto"/>
                <w:sz w:val="24"/>
              </w:rPr>
              <w:t>/a）</w:t>
            </w:r>
            <w:r>
              <w:rPr>
                <w:rFonts w:hint="eastAsia"/>
                <w:color w:val="auto"/>
                <w:sz w:val="24"/>
              </w:rPr>
              <w:t>、</w:t>
            </w:r>
            <w:r>
              <w:rPr>
                <w:rFonts w:hint="eastAsia"/>
                <w:color w:val="auto"/>
                <w:sz w:val="24"/>
                <w:lang w:val="en-US" w:eastAsia="zh-CN"/>
              </w:rPr>
              <w:t>0.96</w:t>
            </w:r>
            <w:r>
              <w:rPr>
                <w:color w:val="auto"/>
                <w:sz w:val="24"/>
              </w:rPr>
              <w:t>m</w:t>
            </w:r>
            <w:r>
              <w:rPr>
                <w:color w:val="auto"/>
                <w:sz w:val="24"/>
                <w:vertAlign w:val="superscript"/>
              </w:rPr>
              <w:t>3</w:t>
            </w:r>
            <w:r>
              <w:rPr>
                <w:color w:val="auto"/>
                <w:sz w:val="24"/>
              </w:rPr>
              <w:t>/d（</w:t>
            </w:r>
            <w:r>
              <w:rPr>
                <w:rFonts w:hint="eastAsia"/>
                <w:color w:val="auto"/>
                <w:sz w:val="24"/>
                <w:lang w:val="en-US" w:eastAsia="zh-CN"/>
              </w:rPr>
              <w:t>350.4</w:t>
            </w:r>
            <w:r>
              <w:rPr>
                <w:color w:val="auto"/>
                <w:sz w:val="24"/>
              </w:rPr>
              <w:t>m</w:t>
            </w:r>
            <w:r>
              <w:rPr>
                <w:color w:val="auto"/>
                <w:sz w:val="24"/>
                <w:vertAlign w:val="superscript"/>
              </w:rPr>
              <w:t>3</w:t>
            </w:r>
            <w:r>
              <w:rPr>
                <w:color w:val="auto"/>
                <w:sz w:val="24"/>
              </w:rPr>
              <w:t>/a），</w:t>
            </w:r>
            <w:r>
              <w:rPr>
                <w:rFonts w:hint="eastAsia"/>
                <w:bCs/>
                <w:color w:val="auto"/>
                <w:sz w:val="24"/>
              </w:rPr>
              <w:t>医疗废水（门诊部、住院部废水）与医务人员（生活污水）经一体化污水处理设施处理后进入国色天香化粪池，后市政污水管网最终进入西安市第九污水处理厂。</w:t>
            </w:r>
            <w:r>
              <w:rPr>
                <w:color w:val="auto"/>
                <w:sz w:val="24"/>
              </w:rPr>
              <w:t>项目用水及排水详情如下表</w:t>
            </w:r>
            <w:r>
              <w:rPr>
                <w:rFonts w:hint="eastAsia"/>
                <w:color w:val="auto"/>
                <w:sz w:val="24"/>
              </w:rPr>
              <w:t>，水平衡图详见图2-1。</w:t>
            </w:r>
          </w:p>
          <w:p>
            <w:pPr>
              <w:adjustRightInd w:val="0"/>
              <w:snapToGrid w:val="0"/>
              <w:spacing w:line="360" w:lineRule="auto"/>
              <w:ind w:firstLine="480" w:firstLineChars="200"/>
              <w:rPr>
                <w:bCs/>
                <w:color w:val="auto"/>
                <w:sz w:val="24"/>
              </w:rPr>
            </w:pPr>
            <w:r>
              <w:rPr>
                <w:bCs/>
                <w:color w:val="auto"/>
                <w:sz w:val="24"/>
              </w:rPr>
              <w:t>3、水平衡</w:t>
            </w:r>
          </w:p>
          <w:p>
            <w:pPr>
              <w:adjustRightInd w:val="0"/>
              <w:snapToGrid w:val="0"/>
              <w:spacing w:line="360" w:lineRule="auto"/>
              <w:ind w:firstLine="480" w:firstLineChars="200"/>
              <w:rPr>
                <w:color w:val="auto"/>
                <w:kern w:val="0"/>
                <w:sz w:val="24"/>
              </w:rPr>
            </w:pPr>
            <w:r>
              <w:rPr>
                <w:color w:val="auto"/>
                <w:kern w:val="0"/>
                <w:sz w:val="24"/>
              </w:rPr>
              <w:t>本项目</w:t>
            </w:r>
            <w:r>
              <w:rPr>
                <w:color w:val="auto"/>
                <w:sz w:val="24"/>
              </w:rPr>
              <w:t>用水、排水情况见表2-</w:t>
            </w:r>
            <w:r>
              <w:rPr>
                <w:rFonts w:hint="eastAsia"/>
                <w:color w:val="auto"/>
                <w:sz w:val="24"/>
                <w:lang w:val="en-US" w:eastAsia="zh-CN"/>
              </w:rPr>
              <w:t>3</w:t>
            </w:r>
            <w:r>
              <w:rPr>
                <w:color w:val="auto"/>
                <w:kern w:val="0"/>
                <w:sz w:val="24"/>
              </w:rPr>
              <w:t>，水平衡图见图2-1。</w:t>
            </w:r>
          </w:p>
          <w:p>
            <w:pPr>
              <w:pStyle w:val="15"/>
              <w:jc w:val="right"/>
              <w:rPr>
                <w:color w:val="auto"/>
              </w:rPr>
            </w:pPr>
            <w:r>
              <w:rPr>
                <w:color w:val="auto"/>
              </w:rPr>
              <w:t>表2-</w:t>
            </w:r>
            <w:r>
              <w:rPr>
                <w:rFonts w:hint="eastAsia"/>
                <w:color w:val="auto"/>
                <w:lang w:val="en-US" w:eastAsia="zh-CN"/>
              </w:rPr>
              <w:t>3</w:t>
            </w:r>
            <w:r>
              <w:rPr>
                <w:color w:val="auto"/>
              </w:rPr>
              <w:t xml:space="preserve">  </w:t>
            </w:r>
            <w:r>
              <w:rPr>
                <w:rFonts w:hint="eastAsia"/>
                <w:color w:val="auto"/>
                <w:lang w:val="en-US" w:eastAsia="zh-CN"/>
              </w:rPr>
              <w:t>本</w:t>
            </w:r>
            <w:r>
              <w:rPr>
                <w:color w:val="auto"/>
              </w:rPr>
              <w:t xml:space="preserve">项目用水、排水情况表           </w:t>
            </w:r>
            <w:r>
              <w:rPr>
                <w:rFonts w:hint="eastAsia"/>
                <w:color w:val="auto"/>
              </w:rPr>
              <w:t xml:space="preserve">  </w:t>
            </w:r>
            <w:r>
              <w:rPr>
                <w:color w:val="auto"/>
              </w:rPr>
              <w:t xml:space="preserve"> 单位：m</w:t>
            </w:r>
            <w:r>
              <w:rPr>
                <w:color w:val="auto"/>
                <w:vertAlign w:val="superscript"/>
              </w:rPr>
              <w:t>3</w:t>
            </w:r>
            <w:r>
              <w:rPr>
                <w:color w:val="auto"/>
              </w:rPr>
              <w:t>/</w:t>
            </w:r>
            <w:r>
              <w:rPr>
                <w:rFonts w:hint="eastAsia"/>
                <w:color w:val="auto"/>
              </w:rPr>
              <w:t>d</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300"/>
              <w:gridCol w:w="1134"/>
              <w:gridCol w:w="851"/>
              <w:gridCol w:w="992"/>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noWrap/>
                  <w:vAlign w:val="center"/>
                </w:tcPr>
                <w:p>
                  <w:pPr>
                    <w:widowControl/>
                    <w:adjustRightInd w:val="0"/>
                    <w:snapToGrid w:val="0"/>
                    <w:ind w:left="-105" w:leftChars="-50" w:right="-105" w:rightChars="-50"/>
                    <w:jc w:val="center"/>
                    <w:textAlignment w:val="center"/>
                    <w:rPr>
                      <w:color w:val="auto"/>
                      <w:szCs w:val="21"/>
                    </w:rPr>
                  </w:pPr>
                  <w:r>
                    <w:rPr>
                      <w:color w:val="auto"/>
                    </w:rPr>
                    <w:t>序号</w:t>
                  </w:r>
                </w:p>
              </w:tc>
              <w:tc>
                <w:tcPr>
                  <w:tcW w:w="2300" w:type="dxa"/>
                  <w:vAlign w:val="center"/>
                </w:tcPr>
                <w:p>
                  <w:pPr>
                    <w:widowControl/>
                    <w:adjustRightInd w:val="0"/>
                    <w:snapToGrid w:val="0"/>
                    <w:ind w:left="-105" w:leftChars="-50" w:right="-105" w:rightChars="-50"/>
                    <w:jc w:val="center"/>
                    <w:textAlignment w:val="center"/>
                    <w:rPr>
                      <w:color w:val="auto"/>
                    </w:rPr>
                  </w:pPr>
                  <w:r>
                    <w:rPr>
                      <w:color w:val="auto"/>
                    </w:rPr>
                    <w:t>用水名称</w:t>
                  </w:r>
                </w:p>
              </w:tc>
              <w:tc>
                <w:tcPr>
                  <w:tcW w:w="1134" w:type="dxa"/>
                  <w:vAlign w:val="center"/>
                </w:tcPr>
                <w:p>
                  <w:pPr>
                    <w:widowControl/>
                    <w:adjustRightInd w:val="0"/>
                    <w:snapToGrid w:val="0"/>
                    <w:ind w:left="-105" w:leftChars="-50" w:right="-105" w:rightChars="-50"/>
                    <w:jc w:val="center"/>
                    <w:textAlignment w:val="center"/>
                    <w:rPr>
                      <w:color w:val="auto"/>
                    </w:rPr>
                  </w:pPr>
                  <w:r>
                    <w:rPr>
                      <w:color w:val="auto"/>
                    </w:rPr>
                    <w:t>新鲜用水量</w:t>
                  </w:r>
                </w:p>
              </w:tc>
              <w:tc>
                <w:tcPr>
                  <w:tcW w:w="851" w:type="dxa"/>
                  <w:vAlign w:val="center"/>
                </w:tcPr>
                <w:p>
                  <w:pPr>
                    <w:widowControl/>
                    <w:adjustRightInd w:val="0"/>
                    <w:snapToGrid w:val="0"/>
                    <w:ind w:left="-105" w:leftChars="-50" w:right="-105" w:rightChars="-50"/>
                    <w:jc w:val="center"/>
                    <w:textAlignment w:val="center"/>
                    <w:rPr>
                      <w:color w:val="auto"/>
                    </w:rPr>
                  </w:pPr>
                  <w:r>
                    <w:rPr>
                      <w:color w:val="auto"/>
                    </w:rPr>
                    <w:t>损耗量</w:t>
                  </w:r>
                </w:p>
              </w:tc>
              <w:tc>
                <w:tcPr>
                  <w:tcW w:w="992" w:type="dxa"/>
                  <w:vAlign w:val="center"/>
                </w:tcPr>
                <w:p>
                  <w:pPr>
                    <w:widowControl/>
                    <w:adjustRightInd w:val="0"/>
                    <w:snapToGrid w:val="0"/>
                    <w:ind w:left="-105" w:leftChars="-50" w:right="-105" w:rightChars="-50"/>
                    <w:jc w:val="center"/>
                    <w:textAlignment w:val="center"/>
                    <w:rPr>
                      <w:color w:val="auto"/>
                    </w:rPr>
                  </w:pPr>
                  <w:r>
                    <w:rPr>
                      <w:color w:val="auto"/>
                    </w:rPr>
                    <w:t>排放量</w:t>
                  </w:r>
                </w:p>
              </w:tc>
              <w:tc>
                <w:tcPr>
                  <w:tcW w:w="2453" w:type="dxa"/>
                  <w:vAlign w:val="center"/>
                </w:tcPr>
                <w:p>
                  <w:pPr>
                    <w:widowControl/>
                    <w:adjustRightInd w:val="0"/>
                    <w:snapToGrid w:val="0"/>
                    <w:ind w:left="-105" w:leftChars="-50" w:right="-105" w:rightChars="-50"/>
                    <w:jc w:val="center"/>
                    <w:textAlignment w:val="center"/>
                    <w:rPr>
                      <w:color w:val="auto"/>
                    </w:rPr>
                  </w:pPr>
                  <w:r>
                    <w:rPr>
                      <w:color w:val="auto"/>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noWrap/>
                  <w:vAlign w:val="center"/>
                </w:tcPr>
                <w:p>
                  <w:pPr>
                    <w:widowControl/>
                    <w:adjustRightInd w:val="0"/>
                    <w:snapToGrid w:val="0"/>
                    <w:ind w:left="-105" w:leftChars="-50" w:right="-105" w:rightChars="-50"/>
                    <w:jc w:val="center"/>
                    <w:textAlignment w:val="center"/>
                    <w:rPr>
                      <w:color w:val="auto"/>
                    </w:rPr>
                  </w:pPr>
                  <w:r>
                    <w:rPr>
                      <w:color w:val="auto"/>
                    </w:rPr>
                    <w:t>1</w:t>
                  </w:r>
                </w:p>
              </w:tc>
              <w:tc>
                <w:tcPr>
                  <w:tcW w:w="2300" w:type="dxa"/>
                  <w:noWrap/>
                  <w:vAlign w:val="center"/>
                </w:tcPr>
                <w:p>
                  <w:pPr>
                    <w:widowControl/>
                    <w:adjustRightInd w:val="0"/>
                    <w:snapToGrid w:val="0"/>
                    <w:ind w:left="-105" w:leftChars="-50" w:right="-105" w:rightChars="-50"/>
                    <w:jc w:val="center"/>
                    <w:textAlignment w:val="center"/>
                    <w:rPr>
                      <w:color w:val="auto"/>
                    </w:rPr>
                  </w:pPr>
                  <w:r>
                    <w:rPr>
                      <w:color w:val="auto"/>
                    </w:rPr>
                    <w:t>门诊部用水</w:t>
                  </w:r>
                </w:p>
              </w:tc>
              <w:tc>
                <w:tcPr>
                  <w:tcW w:w="1134" w:type="dxa"/>
                  <w:noWrap/>
                  <w:vAlign w:val="center"/>
                </w:tcPr>
                <w:p>
                  <w:pPr>
                    <w:widowControl/>
                    <w:adjustRightInd w:val="0"/>
                    <w:snapToGrid w:val="0"/>
                    <w:ind w:left="-105" w:leftChars="-50" w:right="-105" w:rightChars="-50"/>
                    <w:jc w:val="center"/>
                    <w:textAlignment w:val="center"/>
                    <w:rPr>
                      <w:color w:val="auto"/>
                    </w:rPr>
                  </w:pPr>
                  <w:r>
                    <w:rPr>
                      <w:color w:val="auto"/>
                    </w:rPr>
                    <w:t>1.32</w:t>
                  </w:r>
                </w:p>
              </w:tc>
              <w:tc>
                <w:tcPr>
                  <w:tcW w:w="851" w:type="dxa"/>
                  <w:noWrap/>
                  <w:vAlign w:val="center"/>
                </w:tcPr>
                <w:p>
                  <w:pPr>
                    <w:widowControl/>
                    <w:adjustRightInd w:val="0"/>
                    <w:snapToGrid w:val="0"/>
                    <w:ind w:left="-105" w:leftChars="-50" w:right="-105" w:rightChars="-50"/>
                    <w:jc w:val="center"/>
                    <w:textAlignment w:val="center"/>
                    <w:rPr>
                      <w:color w:val="auto"/>
                    </w:rPr>
                  </w:pPr>
                  <w:r>
                    <w:rPr>
                      <w:color w:val="auto"/>
                    </w:rPr>
                    <w:t>0.264</w:t>
                  </w:r>
                </w:p>
              </w:tc>
              <w:tc>
                <w:tcPr>
                  <w:tcW w:w="992" w:type="dxa"/>
                  <w:noWrap/>
                  <w:vAlign w:val="center"/>
                </w:tcPr>
                <w:p>
                  <w:pPr>
                    <w:widowControl/>
                    <w:adjustRightInd w:val="0"/>
                    <w:snapToGrid w:val="0"/>
                    <w:ind w:left="-105" w:leftChars="-50" w:right="-105" w:rightChars="-50"/>
                    <w:jc w:val="center"/>
                    <w:textAlignment w:val="center"/>
                    <w:rPr>
                      <w:color w:val="auto"/>
                    </w:rPr>
                  </w:pPr>
                  <w:r>
                    <w:rPr>
                      <w:color w:val="auto"/>
                    </w:rPr>
                    <w:t>1.056</w:t>
                  </w:r>
                </w:p>
              </w:tc>
              <w:tc>
                <w:tcPr>
                  <w:tcW w:w="2453" w:type="dxa"/>
                  <w:vMerge w:val="restart"/>
                  <w:noWrap/>
                  <w:vAlign w:val="center"/>
                </w:tcPr>
                <w:p>
                  <w:pPr>
                    <w:widowControl/>
                    <w:adjustRightInd w:val="0"/>
                    <w:snapToGrid w:val="0"/>
                    <w:ind w:left="-105" w:leftChars="-50" w:right="-105" w:rightChars="-50"/>
                    <w:jc w:val="center"/>
                    <w:textAlignment w:val="center"/>
                    <w:rPr>
                      <w:color w:val="auto"/>
                    </w:rPr>
                  </w:pPr>
                  <w:r>
                    <w:rPr>
                      <w:rFonts w:hint="eastAsia"/>
                      <w:color w:val="auto"/>
                      <w:sz w:val="24"/>
                    </w:rPr>
                    <w:t>一体化污水处理设施+化粪池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noWrap/>
                  <w:vAlign w:val="center"/>
                </w:tcPr>
                <w:p>
                  <w:pPr>
                    <w:widowControl/>
                    <w:adjustRightInd w:val="0"/>
                    <w:snapToGrid w:val="0"/>
                    <w:ind w:left="-105" w:leftChars="-50" w:right="-105" w:rightChars="-50"/>
                    <w:jc w:val="center"/>
                    <w:textAlignment w:val="center"/>
                    <w:rPr>
                      <w:color w:val="auto"/>
                    </w:rPr>
                  </w:pPr>
                  <w:r>
                    <w:rPr>
                      <w:color w:val="auto"/>
                    </w:rPr>
                    <w:t>2</w:t>
                  </w:r>
                </w:p>
              </w:tc>
              <w:tc>
                <w:tcPr>
                  <w:tcW w:w="2300" w:type="dxa"/>
                  <w:noWrap/>
                  <w:vAlign w:val="center"/>
                </w:tcPr>
                <w:p>
                  <w:pPr>
                    <w:widowControl/>
                    <w:adjustRightInd w:val="0"/>
                    <w:snapToGrid w:val="0"/>
                    <w:ind w:left="-105" w:leftChars="-50" w:right="-105" w:rightChars="-50"/>
                    <w:jc w:val="center"/>
                    <w:textAlignment w:val="center"/>
                    <w:rPr>
                      <w:color w:val="auto"/>
                    </w:rPr>
                  </w:pPr>
                  <w:r>
                    <w:rPr>
                      <w:rFonts w:hint="eastAsia"/>
                      <w:color w:val="auto"/>
                    </w:rPr>
                    <w:t>住院病人用水</w:t>
                  </w:r>
                </w:p>
              </w:tc>
              <w:tc>
                <w:tcPr>
                  <w:tcW w:w="1134" w:type="dxa"/>
                  <w:noWrap/>
                  <w:vAlign w:val="center"/>
                </w:tcPr>
                <w:p>
                  <w:pPr>
                    <w:widowControl/>
                    <w:adjustRightInd w:val="0"/>
                    <w:snapToGrid w:val="0"/>
                    <w:ind w:left="-105" w:leftChars="-50" w:right="-105" w:rightChars="-50"/>
                    <w:jc w:val="center"/>
                    <w:textAlignment w:val="center"/>
                    <w:rPr>
                      <w:rFonts w:hint="default" w:eastAsia="宋体"/>
                      <w:color w:val="auto"/>
                      <w:lang w:val="en-US" w:eastAsia="zh-CN"/>
                    </w:rPr>
                  </w:pPr>
                  <w:r>
                    <w:rPr>
                      <w:rFonts w:hint="eastAsia"/>
                      <w:color w:val="auto"/>
                      <w:lang w:val="en-US" w:eastAsia="zh-CN"/>
                    </w:rPr>
                    <w:t>4.03</w:t>
                  </w:r>
                </w:p>
              </w:tc>
              <w:tc>
                <w:tcPr>
                  <w:tcW w:w="851" w:type="dxa"/>
                  <w:noWrap/>
                  <w:vAlign w:val="center"/>
                </w:tcPr>
                <w:p>
                  <w:pPr>
                    <w:widowControl/>
                    <w:adjustRightInd w:val="0"/>
                    <w:snapToGrid w:val="0"/>
                    <w:ind w:left="-105" w:leftChars="-50" w:right="-105" w:rightChars="-50"/>
                    <w:jc w:val="center"/>
                    <w:textAlignment w:val="center"/>
                    <w:rPr>
                      <w:rFonts w:hint="default" w:eastAsia="宋体"/>
                      <w:color w:val="auto"/>
                      <w:lang w:val="en-US" w:eastAsia="zh-CN"/>
                    </w:rPr>
                  </w:pPr>
                  <w:r>
                    <w:rPr>
                      <w:rFonts w:hint="eastAsia"/>
                      <w:color w:val="auto"/>
                      <w:lang w:val="en-US" w:eastAsia="zh-CN"/>
                    </w:rPr>
                    <w:t>0.806</w:t>
                  </w:r>
                </w:p>
              </w:tc>
              <w:tc>
                <w:tcPr>
                  <w:tcW w:w="992" w:type="dxa"/>
                  <w:noWrap/>
                  <w:vAlign w:val="center"/>
                </w:tcPr>
                <w:p>
                  <w:pPr>
                    <w:widowControl/>
                    <w:adjustRightInd w:val="0"/>
                    <w:snapToGrid w:val="0"/>
                    <w:ind w:left="-105" w:leftChars="-50" w:right="-105" w:rightChars="-50"/>
                    <w:jc w:val="center"/>
                    <w:textAlignment w:val="center"/>
                    <w:rPr>
                      <w:rFonts w:hint="default" w:eastAsia="宋体"/>
                      <w:color w:val="auto"/>
                      <w:lang w:val="en-US" w:eastAsia="zh-CN"/>
                    </w:rPr>
                  </w:pPr>
                  <w:r>
                    <w:rPr>
                      <w:rFonts w:hint="eastAsia"/>
                      <w:color w:val="auto"/>
                      <w:lang w:val="en-US" w:eastAsia="zh-CN"/>
                    </w:rPr>
                    <w:t>3.224</w:t>
                  </w:r>
                </w:p>
              </w:tc>
              <w:tc>
                <w:tcPr>
                  <w:tcW w:w="2453" w:type="dxa"/>
                  <w:vMerge w:val="continue"/>
                  <w:vAlign w:val="center"/>
                </w:tcPr>
                <w:p>
                  <w:pPr>
                    <w:widowControl/>
                    <w:ind w:left="-105" w:leftChars="-50" w:right="-105" w:rightChars="-5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noWrap/>
                  <w:vAlign w:val="center"/>
                </w:tcPr>
                <w:p>
                  <w:pPr>
                    <w:widowControl/>
                    <w:adjustRightInd w:val="0"/>
                    <w:snapToGrid w:val="0"/>
                    <w:ind w:left="-105" w:leftChars="-50" w:right="-105" w:rightChars="-50"/>
                    <w:jc w:val="center"/>
                    <w:textAlignment w:val="center"/>
                    <w:rPr>
                      <w:color w:val="auto"/>
                    </w:rPr>
                  </w:pPr>
                  <w:r>
                    <w:rPr>
                      <w:rFonts w:hint="eastAsia"/>
                      <w:color w:val="auto"/>
                    </w:rPr>
                    <w:t>3</w:t>
                  </w:r>
                </w:p>
              </w:tc>
              <w:tc>
                <w:tcPr>
                  <w:tcW w:w="2300" w:type="dxa"/>
                  <w:noWrap/>
                  <w:vAlign w:val="center"/>
                </w:tcPr>
                <w:p>
                  <w:pPr>
                    <w:widowControl/>
                    <w:adjustRightInd w:val="0"/>
                    <w:snapToGrid w:val="0"/>
                    <w:ind w:left="-105" w:leftChars="-50" w:right="-105" w:rightChars="-50"/>
                    <w:jc w:val="center"/>
                    <w:textAlignment w:val="center"/>
                    <w:rPr>
                      <w:color w:val="auto"/>
                    </w:rPr>
                  </w:pPr>
                  <w:r>
                    <w:rPr>
                      <w:color w:val="auto"/>
                    </w:rPr>
                    <w:t>医务人员</w:t>
                  </w:r>
                  <w:r>
                    <w:rPr>
                      <w:rFonts w:hint="eastAsia"/>
                      <w:color w:val="auto"/>
                    </w:rPr>
                    <w:t>（</w:t>
                  </w:r>
                  <w:r>
                    <w:rPr>
                      <w:color w:val="auto"/>
                    </w:rPr>
                    <w:t>生活用水</w:t>
                  </w:r>
                  <w:r>
                    <w:rPr>
                      <w:rFonts w:hint="eastAsia"/>
                      <w:color w:val="auto"/>
                      <w:sz w:val="24"/>
                    </w:rPr>
                    <w:t>）</w:t>
                  </w:r>
                </w:p>
              </w:tc>
              <w:tc>
                <w:tcPr>
                  <w:tcW w:w="1134" w:type="dxa"/>
                  <w:noWrap/>
                  <w:vAlign w:val="center"/>
                </w:tcPr>
                <w:p>
                  <w:pPr>
                    <w:widowControl/>
                    <w:adjustRightInd w:val="0"/>
                    <w:snapToGrid w:val="0"/>
                    <w:ind w:left="-105" w:leftChars="-50" w:right="-105" w:rightChars="-50"/>
                    <w:jc w:val="center"/>
                    <w:textAlignment w:val="center"/>
                    <w:rPr>
                      <w:rFonts w:hint="default" w:eastAsia="宋体"/>
                      <w:color w:val="auto"/>
                      <w:lang w:val="en-US" w:eastAsia="zh-CN"/>
                    </w:rPr>
                  </w:pPr>
                  <w:r>
                    <w:rPr>
                      <w:rFonts w:hint="eastAsia"/>
                      <w:color w:val="auto"/>
                      <w:lang w:val="en-US" w:eastAsia="zh-CN"/>
                    </w:rPr>
                    <w:t>1.2</w:t>
                  </w:r>
                </w:p>
              </w:tc>
              <w:tc>
                <w:tcPr>
                  <w:tcW w:w="851" w:type="dxa"/>
                  <w:noWrap/>
                  <w:vAlign w:val="center"/>
                </w:tcPr>
                <w:p>
                  <w:pPr>
                    <w:widowControl/>
                    <w:adjustRightInd w:val="0"/>
                    <w:snapToGrid w:val="0"/>
                    <w:ind w:left="-105" w:leftChars="-50" w:right="-105" w:rightChars="-50"/>
                    <w:jc w:val="center"/>
                    <w:textAlignment w:val="center"/>
                    <w:rPr>
                      <w:rFonts w:hint="default" w:eastAsia="宋体"/>
                      <w:color w:val="auto"/>
                      <w:lang w:val="en-US" w:eastAsia="zh-CN"/>
                    </w:rPr>
                  </w:pPr>
                  <w:r>
                    <w:rPr>
                      <w:color w:val="auto"/>
                    </w:rPr>
                    <w:t>0.</w:t>
                  </w:r>
                  <w:r>
                    <w:rPr>
                      <w:rFonts w:hint="eastAsia"/>
                      <w:color w:val="auto"/>
                      <w:lang w:val="en-US" w:eastAsia="zh-CN"/>
                    </w:rPr>
                    <w:t>24</w:t>
                  </w:r>
                </w:p>
              </w:tc>
              <w:tc>
                <w:tcPr>
                  <w:tcW w:w="992" w:type="dxa"/>
                  <w:noWrap/>
                  <w:vAlign w:val="center"/>
                </w:tcPr>
                <w:p>
                  <w:pPr>
                    <w:widowControl/>
                    <w:adjustRightInd w:val="0"/>
                    <w:snapToGrid w:val="0"/>
                    <w:ind w:left="-105" w:leftChars="-50" w:right="-105" w:rightChars="-50"/>
                    <w:jc w:val="center"/>
                    <w:textAlignment w:val="center"/>
                    <w:rPr>
                      <w:color w:val="auto"/>
                    </w:rPr>
                  </w:pPr>
                  <w:r>
                    <w:rPr>
                      <w:rFonts w:hint="eastAsia"/>
                      <w:color w:val="auto"/>
                      <w:lang w:val="en-US" w:eastAsia="zh-CN"/>
                    </w:rPr>
                    <w:t>0.96</w:t>
                  </w:r>
                </w:p>
              </w:tc>
              <w:tc>
                <w:tcPr>
                  <w:tcW w:w="2453" w:type="dxa"/>
                  <w:vMerge w:val="continue"/>
                  <w:vAlign w:val="center"/>
                </w:tcPr>
                <w:p>
                  <w:pPr>
                    <w:widowControl/>
                    <w:ind w:left="-105" w:leftChars="-50" w:right="-105" w:rightChars="-5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6" w:type="dxa"/>
                  <w:gridSpan w:val="2"/>
                  <w:vAlign w:val="center"/>
                </w:tcPr>
                <w:p>
                  <w:pPr>
                    <w:widowControl/>
                    <w:adjustRightInd w:val="0"/>
                    <w:snapToGrid w:val="0"/>
                    <w:ind w:left="-105" w:leftChars="-50" w:right="-105" w:rightChars="-50"/>
                    <w:jc w:val="center"/>
                    <w:textAlignment w:val="bottom"/>
                    <w:rPr>
                      <w:color w:val="auto"/>
                    </w:rPr>
                  </w:pPr>
                  <w:r>
                    <w:rPr>
                      <w:color w:val="auto"/>
                    </w:rPr>
                    <w:t>合计</w:t>
                  </w:r>
                </w:p>
              </w:tc>
              <w:tc>
                <w:tcPr>
                  <w:tcW w:w="1134" w:type="dxa"/>
                  <w:noWrap/>
                  <w:vAlign w:val="center"/>
                </w:tcPr>
                <w:p>
                  <w:pPr>
                    <w:widowControl/>
                    <w:adjustRightInd w:val="0"/>
                    <w:snapToGrid w:val="0"/>
                    <w:ind w:left="-105" w:leftChars="-50" w:right="-105" w:rightChars="-50"/>
                    <w:jc w:val="center"/>
                    <w:textAlignment w:val="center"/>
                    <w:rPr>
                      <w:rFonts w:hint="default" w:eastAsia="宋体"/>
                      <w:color w:val="auto"/>
                      <w:lang w:val="en-US" w:eastAsia="zh-CN"/>
                    </w:rPr>
                  </w:pPr>
                  <w:r>
                    <w:rPr>
                      <w:rFonts w:hint="eastAsia"/>
                      <w:color w:val="auto"/>
                      <w:lang w:val="en-US" w:eastAsia="zh-CN"/>
                    </w:rPr>
                    <w:t>6.55</w:t>
                  </w:r>
                </w:p>
              </w:tc>
              <w:tc>
                <w:tcPr>
                  <w:tcW w:w="851" w:type="dxa"/>
                  <w:noWrap/>
                  <w:vAlign w:val="center"/>
                </w:tcPr>
                <w:p>
                  <w:pPr>
                    <w:widowControl/>
                    <w:adjustRightInd w:val="0"/>
                    <w:snapToGrid w:val="0"/>
                    <w:ind w:left="-105" w:leftChars="-50" w:right="-105" w:rightChars="-50"/>
                    <w:jc w:val="center"/>
                    <w:textAlignment w:val="center"/>
                    <w:rPr>
                      <w:rFonts w:hint="default" w:eastAsia="宋体"/>
                      <w:color w:val="auto"/>
                      <w:lang w:val="en-US" w:eastAsia="zh-CN"/>
                    </w:rPr>
                  </w:pPr>
                  <w:r>
                    <w:rPr>
                      <w:rFonts w:hint="eastAsia"/>
                      <w:color w:val="auto"/>
                      <w:lang w:val="en-US" w:eastAsia="zh-CN"/>
                    </w:rPr>
                    <w:t>1.31</w:t>
                  </w:r>
                </w:p>
              </w:tc>
              <w:tc>
                <w:tcPr>
                  <w:tcW w:w="992" w:type="dxa"/>
                  <w:noWrap/>
                  <w:vAlign w:val="center"/>
                </w:tcPr>
                <w:p>
                  <w:pPr>
                    <w:widowControl/>
                    <w:adjustRightInd w:val="0"/>
                    <w:snapToGrid w:val="0"/>
                    <w:ind w:left="-105" w:leftChars="-50" w:right="-105" w:rightChars="-50"/>
                    <w:jc w:val="center"/>
                    <w:textAlignment w:val="center"/>
                    <w:rPr>
                      <w:rFonts w:hint="default" w:eastAsia="宋体"/>
                      <w:color w:val="auto"/>
                      <w:lang w:val="en-US" w:eastAsia="zh-CN"/>
                    </w:rPr>
                  </w:pPr>
                  <w:r>
                    <w:rPr>
                      <w:rFonts w:hint="eastAsia"/>
                      <w:color w:val="auto"/>
                      <w:lang w:val="en-US" w:eastAsia="zh-CN"/>
                    </w:rPr>
                    <w:t>5.24</w:t>
                  </w:r>
                </w:p>
              </w:tc>
              <w:tc>
                <w:tcPr>
                  <w:tcW w:w="2453" w:type="dxa"/>
                  <w:noWrap/>
                  <w:vAlign w:val="center"/>
                </w:tcPr>
                <w:p>
                  <w:pPr>
                    <w:widowControl/>
                    <w:adjustRightInd w:val="0"/>
                    <w:snapToGrid w:val="0"/>
                    <w:ind w:left="-105" w:leftChars="-50" w:right="-105" w:rightChars="-50"/>
                    <w:jc w:val="center"/>
                    <w:rPr>
                      <w:color w:val="auto"/>
                    </w:rPr>
                  </w:pPr>
                  <w:r>
                    <w:rPr>
                      <w:rFonts w:hint="eastAsia"/>
                      <w:color w:val="auto"/>
                    </w:rPr>
                    <w:t>/</w:t>
                  </w:r>
                </w:p>
              </w:tc>
            </w:tr>
          </w:tbl>
          <w:p>
            <w:pPr>
              <w:adjustRightInd w:val="0"/>
              <w:snapToGrid w:val="0"/>
              <w:spacing w:line="360" w:lineRule="auto"/>
              <w:jc w:val="center"/>
              <w:rPr>
                <w:color w:val="auto"/>
              </w:rPr>
            </w:pPr>
            <w:r>
              <w:rPr>
                <w:color w:val="auto"/>
              </w:rPr>
              <w:object>
                <v:shape id="_x0000_i1025" o:spt="75" type="#_x0000_t75" style="height:132.75pt;width:394.5pt;" o:ole="t" filled="f" o:preferrelative="t" stroked="f" coordsize="21600,21600">
                  <v:path/>
                  <v:fill on="f" focussize="0,0"/>
                  <v:stroke on="f"/>
                  <v:imagedata r:id="rId10" o:title=""/>
                  <o:lock v:ext="edit" aspectratio="t"/>
                  <w10:wrap type="none"/>
                  <w10:anchorlock/>
                </v:shape>
                <o:OLEObject Type="Embed" ProgID="Visio.Drawing.15" ShapeID="_x0000_i1025" DrawAspect="Content" ObjectID="_1468075725" r:id="rId9">
                  <o:LockedField>false</o:LockedField>
                </o:OLEObject>
              </w:object>
            </w:r>
          </w:p>
          <w:p>
            <w:pPr>
              <w:adjustRightInd w:val="0"/>
              <w:snapToGrid w:val="0"/>
              <w:spacing w:line="360" w:lineRule="auto"/>
              <w:jc w:val="right"/>
              <w:rPr>
                <w:rFonts w:eastAsia="黑体"/>
                <w:b/>
                <w:color w:val="auto"/>
                <w:kern w:val="24"/>
                <w:szCs w:val="21"/>
              </w:rPr>
            </w:pPr>
            <w:r>
              <w:rPr>
                <w:rFonts w:eastAsia="黑体"/>
                <w:color w:val="auto"/>
                <w:kern w:val="24"/>
                <w:szCs w:val="21"/>
              </w:rPr>
              <w:t xml:space="preserve">图2-1  </w:t>
            </w:r>
            <w:r>
              <w:rPr>
                <w:rFonts w:hint="eastAsia" w:eastAsia="黑体"/>
                <w:color w:val="auto"/>
                <w:kern w:val="24"/>
                <w:szCs w:val="21"/>
                <w:lang w:val="en-US" w:eastAsia="zh-CN"/>
              </w:rPr>
              <w:t>本</w:t>
            </w:r>
            <w:r>
              <w:rPr>
                <w:rFonts w:eastAsia="黑体"/>
                <w:color w:val="auto"/>
                <w:kern w:val="24"/>
                <w:szCs w:val="21"/>
              </w:rPr>
              <w:t xml:space="preserve">项目水平衡图  </w:t>
            </w:r>
            <w:r>
              <w:rPr>
                <w:rFonts w:eastAsia="黑体"/>
                <w:b/>
                <w:color w:val="auto"/>
                <w:kern w:val="24"/>
                <w:szCs w:val="21"/>
              </w:rPr>
              <w:t xml:space="preserve">      </w:t>
            </w:r>
            <w:r>
              <w:rPr>
                <w:rFonts w:hint="eastAsia" w:eastAsia="黑体"/>
                <w:b/>
                <w:color w:val="auto"/>
                <w:kern w:val="24"/>
                <w:szCs w:val="21"/>
              </w:rPr>
              <w:t xml:space="preserve"> </w:t>
            </w:r>
            <w:r>
              <w:rPr>
                <w:rFonts w:eastAsia="黑体"/>
                <w:b/>
                <w:color w:val="auto"/>
                <w:kern w:val="24"/>
                <w:szCs w:val="21"/>
              </w:rPr>
              <w:t xml:space="preserve">          </w:t>
            </w:r>
            <w:r>
              <w:rPr>
                <w:rFonts w:eastAsia="黑体"/>
                <w:color w:val="auto"/>
                <w:kern w:val="24"/>
                <w:szCs w:val="21"/>
              </w:rPr>
              <w:t>单位：m</w:t>
            </w:r>
            <w:r>
              <w:rPr>
                <w:rFonts w:eastAsia="黑体"/>
                <w:color w:val="auto"/>
                <w:kern w:val="24"/>
                <w:szCs w:val="21"/>
                <w:vertAlign w:val="superscript"/>
              </w:rPr>
              <w:t>3</w:t>
            </w:r>
            <w:r>
              <w:rPr>
                <w:rFonts w:eastAsia="黑体"/>
                <w:color w:val="auto"/>
                <w:kern w:val="24"/>
                <w:szCs w:val="21"/>
              </w:rPr>
              <w:t>/</w:t>
            </w:r>
            <w:r>
              <w:rPr>
                <w:rFonts w:hint="eastAsia" w:eastAsia="黑体"/>
                <w:color w:val="auto"/>
                <w:kern w:val="24"/>
                <w:szCs w:val="21"/>
              </w:rPr>
              <w:t>d</w:t>
            </w:r>
          </w:p>
          <w:p>
            <w:pPr>
              <w:adjustRightInd w:val="0"/>
              <w:snapToGrid w:val="0"/>
              <w:spacing w:line="360" w:lineRule="auto"/>
              <w:ind w:firstLine="482" w:firstLineChars="200"/>
              <w:rPr>
                <w:b/>
                <w:color w:val="auto"/>
                <w:sz w:val="24"/>
              </w:rPr>
            </w:pPr>
            <w:r>
              <w:rPr>
                <w:b/>
                <w:color w:val="auto"/>
                <w:sz w:val="24"/>
              </w:rPr>
              <w:t>八、项目总平面布置</w:t>
            </w:r>
          </w:p>
          <w:p>
            <w:pPr>
              <w:adjustRightInd w:val="0"/>
              <w:snapToGrid w:val="0"/>
              <w:spacing w:line="360" w:lineRule="auto"/>
              <w:ind w:firstLine="480" w:firstLineChars="200"/>
              <w:rPr>
                <w:bCs/>
                <w:color w:val="auto"/>
                <w:sz w:val="24"/>
              </w:rPr>
            </w:pPr>
            <w:r>
              <w:rPr>
                <w:bCs/>
                <w:color w:val="auto"/>
                <w:sz w:val="24"/>
              </w:rPr>
              <w:t>本项目</w:t>
            </w:r>
            <w:r>
              <w:rPr>
                <w:rFonts w:hint="eastAsia"/>
                <w:bCs/>
                <w:color w:val="auto"/>
                <w:sz w:val="24"/>
              </w:rPr>
              <w:t>租赁</w:t>
            </w:r>
            <w:r>
              <w:rPr>
                <w:color w:val="auto"/>
                <w:sz w:val="24"/>
              </w:rPr>
              <w:t>西安市长安区西长安街989号国色天香小区22号商业楼</w:t>
            </w:r>
            <w:r>
              <w:rPr>
                <w:bCs/>
                <w:color w:val="auto"/>
                <w:sz w:val="24"/>
              </w:rPr>
              <w:t>，</w:t>
            </w:r>
            <w:r>
              <w:rPr>
                <w:rFonts w:hint="eastAsia"/>
                <w:bCs/>
                <w:color w:val="auto"/>
                <w:sz w:val="24"/>
              </w:rPr>
              <w:t>项目共5层，</w:t>
            </w:r>
            <w:r>
              <w:rPr>
                <w:bCs/>
                <w:color w:val="auto"/>
                <w:sz w:val="24"/>
              </w:rPr>
              <w:t>分区合理，布置科学、功能齐全。项目平面布置情况见附图</w:t>
            </w:r>
            <w:r>
              <w:rPr>
                <w:rFonts w:hint="eastAsia"/>
                <w:bCs/>
                <w:color w:val="auto"/>
                <w:sz w:val="24"/>
              </w:rPr>
              <w:t>3</w:t>
            </w:r>
            <w:r>
              <w:rPr>
                <w:bCs/>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5" w:type="dxa"/>
            <w:vAlign w:val="center"/>
          </w:tcPr>
          <w:p>
            <w:pPr>
              <w:adjustRightInd w:val="0"/>
              <w:snapToGrid w:val="0"/>
              <w:jc w:val="center"/>
              <w:rPr>
                <w:color w:val="auto"/>
                <w:szCs w:val="21"/>
              </w:rPr>
            </w:pPr>
            <w:r>
              <w:rPr>
                <w:color w:val="auto"/>
                <w:szCs w:val="21"/>
              </w:rPr>
              <w:t>工艺流程和产排污环节</w:t>
            </w:r>
          </w:p>
        </w:tc>
        <w:tc>
          <w:tcPr>
            <w:tcW w:w="8385" w:type="dxa"/>
          </w:tcPr>
          <w:p>
            <w:pPr>
              <w:pStyle w:val="12"/>
              <w:spacing w:before="120" w:beforeLines="50"/>
              <w:ind w:firstLine="482"/>
              <w:rPr>
                <w:b/>
                <w:bCs w:val="0"/>
                <w:color w:val="auto"/>
              </w:rPr>
            </w:pPr>
            <w:r>
              <w:rPr>
                <w:b/>
                <w:bCs w:val="0"/>
                <w:color w:val="auto"/>
              </w:rPr>
              <w:t>一、施工期</w:t>
            </w:r>
          </w:p>
          <w:p>
            <w:pPr>
              <w:pStyle w:val="12"/>
              <w:rPr>
                <w:color w:val="auto"/>
              </w:rPr>
            </w:pPr>
            <w:r>
              <w:rPr>
                <w:color w:val="auto"/>
              </w:rPr>
              <w:t>本项目施工期只进行室内装修、</w:t>
            </w:r>
            <w:r>
              <w:rPr>
                <w:rFonts w:hint="eastAsia"/>
                <w:color w:val="auto"/>
              </w:rPr>
              <w:t>病床布置及</w:t>
            </w:r>
            <w:r>
              <w:rPr>
                <w:color w:val="auto"/>
              </w:rPr>
              <w:t>环保设施的安装调试。产生的污染物主要为少量固废、废气和工人产生的生活废水以及施工设备产生的噪声。</w:t>
            </w:r>
          </w:p>
          <w:p>
            <w:pPr>
              <w:pStyle w:val="12"/>
              <w:ind w:firstLine="482"/>
              <w:rPr>
                <w:b/>
                <w:bCs w:val="0"/>
                <w:color w:val="auto"/>
              </w:rPr>
            </w:pPr>
            <w:r>
              <w:rPr>
                <w:rFonts w:hint="eastAsia"/>
                <w:b/>
                <w:bCs w:val="0"/>
                <w:color w:val="auto"/>
              </w:rPr>
              <w:t>二、</w:t>
            </w:r>
            <w:r>
              <w:rPr>
                <w:b/>
                <w:bCs w:val="0"/>
                <w:color w:val="auto"/>
              </w:rPr>
              <w:t>运营期</w:t>
            </w:r>
          </w:p>
          <w:p>
            <w:pPr>
              <w:pStyle w:val="12"/>
              <w:rPr>
                <w:color w:val="auto"/>
              </w:rPr>
            </w:pPr>
            <w:r>
              <w:rPr>
                <w:color w:val="auto"/>
              </w:rPr>
              <w:t>1、运营期企业运转流程简述</w:t>
            </w:r>
          </w:p>
          <w:p>
            <w:pPr>
              <w:adjustRightInd w:val="0"/>
              <w:snapToGrid w:val="0"/>
              <w:spacing w:line="360" w:lineRule="auto"/>
              <w:jc w:val="center"/>
              <w:rPr>
                <w:b/>
                <w:bCs/>
                <w:color w:val="auto"/>
                <w:sz w:val="24"/>
              </w:rPr>
            </w:pPr>
            <w:r>
              <w:rPr>
                <w:color w:val="auto"/>
              </w:rPr>
              <w:object>
                <v:shape id="_x0000_i1026" o:spt="75" type="#_x0000_t75" style="height:183.75pt;width:339.75pt;" o:ole="t" filled="f" o:preferrelative="t" stroked="f" coordsize="21600,21600">
                  <v:path/>
                  <v:fill on="f" focussize="0,0"/>
                  <v:stroke on="f" joinstyle="miter"/>
                  <v:imagedata r:id="rId12" o:title=""/>
                  <o:lock v:ext="edit" aspectratio="t"/>
                  <w10:wrap type="none"/>
                  <w10:anchorlock/>
                </v:shape>
                <o:OLEObject Type="Embed" ProgID="Visio.Drawing.15" ShapeID="_x0000_i1026" DrawAspect="Content" ObjectID="_1468075726" r:id="rId11">
                  <o:LockedField>false</o:LockedField>
                </o:OLEObject>
              </w:object>
            </w:r>
          </w:p>
          <w:p>
            <w:pPr>
              <w:pStyle w:val="15"/>
              <w:rPr>
                <w:color w:val="auto"/>
              </w:rPr>
            </w:pPr>
            <w:r>
              <w:rPr>
                <w:color w:val="auto"/>
              </w:rPr>
              <w:t>图</w:t>
            </w:r>
            <w:r>
              <w:rPr>
                <w:rFonts w:hint="eastAsia"/>
                <w:color w:val="auto"/>
              </w:rPr>
              <w:t xml:space="preserve">2-2 </w:t>
            </w:r>
            <w:r>
              <w:rPr>
                <w:color w:val="auto"/>
              </w:rPr>
              <w:t xml:space="preserve"> 运营期检测流程及产污环节图</w:t>
            </w:r>
          </w:p>
          <w:p>
            <w:pPr>
              <w:spacing w:line="500" w:lineRule="exact"/>
              <w:ind w:firstLine="493"/>
              <w:rPr>
                <w:color w:val="auto"/>
                <w:sz w:val="24"/>
              </w:rPr>
            </w:pPr>
            <w:r>
              <w:rPr>
                <w:rFonts w:hint="eastAsia"/>
                <w:color w:val="auto"/>
                <w:sz w:val="24"/>
              </w:rPr>
              <w:t>医院医生、护士在日常办公生活中会产生医护废水（生活污水）以及生活垃圾，患者在治疗/护理过程中会产生医疗废水、医疗垃圾以及废输液瓶/袋等。</w:t>
            </w:r>
          </w:p>
          <w:p>
            <w:pPr>
              <w:spacing w:line="360" w:lineRule="auto"/>
              <w:ind w:firstLine="480" w:firstLineChars="200"/>
              <w:jc w:val="left"/>
              <w:rPr>
                <w:color w:val="auto"/>
                <w:sz w:val="24"/>
              </w:rPr>
            </w:pPr>
            <w:r>
              <w:rPr>
                <w:rFonts w:hint="eastAsia"/>
                <w:color w:val="auto"/>
                <w:sz w:val="24"/>
              </w:rPr>
              <w:t>2</w:t>
            </w:r>
            <w:r>
              <w:rPr>
                <w:rFonts w:hint="eastAsia" w:ascii="宋体" w:hAnsi="宋体"/>
                <w:color w:val="auto"/>
                <w:sz w:val="24"/>
              </w:rPr>
              <w:t>、产排污情况</w:t>
            </w:r>
          </w:p>
          <w:p>
            <w:pPr>
              <w:pStyle w:val="15"/>
              <w:rPr>
                <w:color w:val="auto"/>
              </w:rPr>
            </w:pPr>
            <w:r>
              <w:rPr>
                <w:rFonts w:hint="eastAsia"/>
                <w:color w:val="auto"/>
              </w:rPr>
              <w:t>表2-</w:t>
            </w:r>
            <w:r>
              <w:rPr>
                <w:rFonts w:hint="eastAsia"/>
                <w:color w:val="auto"/>
                <w:lang w:val="en-US" w:eastAsia="zh-CN"/>
              </w:rPr>
              <w:t xml:space="preserve">4 </w:t>
            </w:r>
            <w:r>
              <w:rPr>
                <w:rFonts w:hint="eastAsia"/>
                <w:color w:val="auto"/>
              </w:rPr>
              <w:t xml:space="preserve"> 项目产排污环节一览表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640"/>
              <w:gridCol w:w="1274"/>
              <w:gridCol w:w="1418"/>
              <w:gridCol w:w="3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 w:type="pct"/>
                  <w:vAlign w:val="center"/>
                </w:tcPr>
                <w:p>
                  <w:pPr>
                    <w:spacing w:line="320" w:lineRule="exact"/>
                    <w:ind w:left="-63" w:leftChars="-30" w:right="-63" w:rightChars="-30"/>
                    <w:jc w:val="center"/>
                    <w:rPr>
                      <w:color w:val="auto"/>
                      <w:szCs w:val="21"/>
                    </w:rPr>
                  </w:pPr>
                  <w:r>
                    <w:rPr>
                      <w:color w:val="auto"/>
                      <w:szCs w:val="21"/>
                    </w:rPr>
                    <w:t>类型</w:t>
                  </w:r>
                </w:p>
              </w:tc>
              <w:tc>
                <w:tcPr>
                  <w:tcW w:w="1005" w:type="pct"/>
                  <w:vAlign w:val="center"/>
                </w:tcPr>
                <w:p>
                  <w:pPr>
                    <w:spacing w:line="320" w:lineRule="exact"/>
                    <w:ind w:left="-63" w:leftChars="-30" w:right="-63" w:rightChars="-30"/>
                    <w:jc w:val="center"/>
                    <w:rPr>
                      <w:color w:val="auto"/>
                      <w:szCs w:val="21"/>
                    </w:rPr>
                  </w:pPr>
                  <w:r>
                    <w:rPr>
                      <w:color w:val="auto"/>
                      <w:szCs w:val="21"/>
                    </w:rPr>
                    <w:t>产污环节</w:t>
                  </w:r>
                </w:p>
              </w:tc>
              <w:tc>
                <w:tcPr>
                  <w:tcW w:w="781" w:type="pct"/>
                  <w:vAlign w:val="center"/>
                </w:tcPr>
                <w:p>
                  <w:pPr>
                    <w:spacing w:line="320" w:lineRule="exact"/>
                    <w:ind w:left="-63" w:leftChars="-30" w:right="-63" w:rightChars="-30"/>
                    <w:jc w:val="center"/>
                    <w:rPr>
                      <w:color w:val="auto"/>
                      <w:szCs w:val="21"/>
                    </w:rPr>
                  </w:pPr>
                  <w:r>
                    <w:rPr>
                      <w:color w:val="auto"/>
                      <w:szCs w:val="21"/>
                    </w:rPr>
                    <w:t>污染物名称</w:t>
                  </w:r>
                </w:p>
              </w:tc>
              <w:tc>
                <w:tcPr>
                  <w:tcW w:w="868" w:type="pct"/>
                  <w:vAlign w:val="center"/>
                </w:tcPr>
                <w:p>
                  <w:pPr>
                    <w:spacing w:line="320" w:lineRule="exact"/>
                    <w:ind w:left="-63" w:leftChars="-30" w:right="-63" w:rightChars="-30"/>
                    <w:jc w:val="center"/>
                    <w:rPr>
                      <w:color w:val="auto"/>
                      <w:szCs w:val="21"/>
                    </w:rPr>
                  </w:pPr>
                  <w:r>
                    <w:rPr>
                      <w:color w:val="auto"/>
                      <w:szCs w:val="21"/>
                    </w:rPr>
                    <w:t>主要污染物</w:t>
                  </w:r>
                </w:p>
              </w:tc>
              <w:tc>
                <w:tcPr>
                  <w:tcW w:w="1939" w:type="pct"/>
                  <w:vAlign w:val="center"/>
                </w:tcPr>
                <w:p>
                  <w:pPr>
                    <w:ind w:left="-63" w:leftChars="-30" w:right="-63" w:rightChars="-30"/>
                    <w:jc w:val="center"/>
                    <w:rPr>
                      <w:color w:val="auto"/>
                      <w:szCs w:val="21"/>
                    </w:rPr>
                  </w:pPr>
                  <w:r>
                    <w:rPr>
                      <w:color w:val="auto"/>
                      <w:szCs w:val="21"/>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 w:type="pct"/>
                  <w:vMerge w:val="restart"/>
                  <w:vAlign w:val="center"/>
                </w:tcPr>
                <w:p>
                  <w:pPr>
                    <w:spacing w:line="320" w:lineRule="exact"/>
                    <w:ind w:left="-63" w:leftChars="-30" w:right="-63" w:rightChars="-30"/>
                    <w:jc w:val="center"/>
                    <w:rPr>
                      <w:color w:val="auto"/>
                      <w:szCs w:val="21"/>
                    </w:rPr>
                  </w:pPr>
                  <w:r>
                    <w:rPr>
                      <w:color w:val="auto"/>
                      <w:szCs w:val="21"/>
                    </w:rPr>
                    <w:t>废水</w:t>
                  </w:r>
                </w:p>
              </w:tc>
              <w:tc>
                <w:tcPr>
                  <w:tcW w:w="1005" w:type="pct"/>
                  <w:vAlign w:val="center"/>
                </w:tcPr>
                <w:p>
                  <w:pPr>
                    <w:spacing w:line="320" w:lineRule="exact"/>
                    <w:ind w:left="-63" w:leftChars="-30" w:right="-63" w:rightChars="-30"/>
                    <w:jc w:val="center"/>
                    <w:rPr>
                      <w:color w:val="auto"/>
                      <w:szCs w:val="21"/>
                    </w:rPr>
                  </w:pPr>
                  <w:r>
                    <w:rPr>
                      <w:color w:val="auto"/>
                      <w:szCs w:val="21"/>
                    </w:rPr>
                    <w:t>医护人员日常办公生活</w:t>
                  </w:r>
                </w:p>
              </w:tc>
              <w:tc>
                <w:tcPr>
                  <w:tcW w:w="781" w:type="pct"/>
                  <w:vAlign w:val="center"/>
                </w:tcPr>
                <w:p>
                  <w:pPr>
                    <w:spacing w:line="320" w:lineRule="exact"/>
                    <w:ind w:left="-63" w:leftChars="-30" w:right="-63" w:rightChars="-30"/>
                    <w:jc w:val="center"/>
                    <w:rPr>
                      <w:color w:val="auto"/>
                      <w:szCs w:val="21"/>
                    </w:rPr>
                  </w:pPr>
                  <w:r>
                    <w:rPr>
                      <w:color w:val="auto"/>
                      <w:szCs w:val="21"/>
                    </w:rPr>
                    <w:t>医护废水（生活污水）</w:t>
                  </w:r>
                </w:p>
              </w:tc>
              <w:tc>
                <w:tcPr>
                  <w:tcW w:w="868" w:type="pct"/>
                  <w:vMerge w:val="restart"/>
                  <w:vAlign w:val="center"/>
                </w:tcPr>
                <w:p>
                  <w:pPr>
                    <w:spacing w:line="320" w:lineRule="exact"/>
                    <w:ind w:left="-63" w:leftChars="-30" w:right="-63" w:rightChars="-30"/>
                    <w:rPr>
                      <w:color w:val="auto"/>
                      <w:szCs w:val="21"/>
                    </w:rPr>
                  </w:pPr>
                  <w:r>
                    <w:rPr>
                      <w:color w:val="auto"/>
                      <w:szCs w:val="21"/>
                    </w:rPr>
                    <w:t>COD、BOD、SS、NH</w:t>
                  </w:r>
                  <w:r>
                    <w:rPr>
                      <w:color w:val="auto"/>
                      <w:szCs w:val="21"/>
                      <w:vertAlign w:val="subscript"/>
                    </w:rPr>
                    <w:t>3</w:t>
                  </w:r>
                  <w:r>
                    <w:rPr>
                      <w:color w:val="auto"/>
                      <w:szCs w:val="21"/>
                    </w:rPr>
                    <w:t>-N、类大肠菌群等</w:t>
                  </w:r>
                </w:p>
              </w:tc>
              <w:tc>
                <w:tcPr>
                  <w:tcW w:w="1939" w:type="pct"/>
                  <w:vMerge w:val="restart"/>
                  <w:vAlign w:val="center"/>
                </w:tcPr>
                <w:p>
                  <w:pPr>
                    <w:wordWrap w:val="0"/>
                    <w:autoSpaceDE w:val="0"/>
                    <w:autoSpaceDN w:val="0"/>
                    <w:adjustRightInd w:val="0"/>
                    <w:spacing w:line="240" w:lineRule="atLeast"/>
                    <w:ind w:left="-84" w:leftChars="-40" w:right="-84" w:rightChars="-40"/>
                    <w:rPr>
                      <w:color w:val="auto"/>
                      <w:szCs w:val="21"/>
                    </w:rPr>
                  </w:pPr>
                  <w:r>
                    <w:rPr>
                      <w:rFonts w:hint="eastAsia"/>
                      <w:color w:val="auto"/>
                      <w:szCs w:val="21"/>
                    </w:rPr>
                    <w:t>医疗废水及</w:t>
                  </w:r>
                  <w:r>
                    <w:rPr>
                      <w:color w:val="auto"/>
                      <w:szCs w:val="21"/>
                    </w:rPr>
                    <w:t>医务人员（生活污水）</w:t>
                  </w:r>
                  <w:r>
                    <w:rPr>
                      <w:rFonts w:hint="eastAsia"/>
                      <w:color w:val="auto"/>
                      <w:szCs w:val="21"/>
                    </w:rPr>
                    <w:t>经一体化污水处理设施处理后进入国色天香化粪池，后经市政污水管网排入西安市第九污水处理厂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 w:type="pct"/>
                  <w:vMerge w:val="continue"/>
                  <w:vAlign w:val="center"/>
                </w:tcPr>
                <w:p>
                  <w:pPr>
                    <w:widowControl/>
                    <w:ind w:left="-63" w:leftChars="-30" w:right="-63" w:rightChars="-30"/>
                    <w:jc w:val="left"/>
                    <w:rPr>
                      <w:color w:val="auto"/>
                      <w:szCs w:val="21"/>
                    </w:rPr>
                  </w:pPr>
                </w:p>
              </w:tc>
              <w:tc>
                <w:tcPr>
                  <w:tcW w:w="1005" w:type="pct"/>
                  <w:vAlign w:val="center"/>
                </w:tcPr>
                <w:p>
                  <w:pPr>
                    <w:spacing w:line="320" w:lineRule="exact"/>
                    <w:ind w:left="-63" w:leftChars="-30" w:right="-63" w:rightChars="-30"/>
                    <w:jc w:val="center"/>
                    <w:rPr>
                      <w:color w:val="auto"/>
                      <w:szCs w:val="21"/>
                    </w:rPr>
                  </w:pPr>
                  <w:r>
                    <w:rPr>
                      <w:color w:val="auto"/>
                      <w:szCs w:val="21"/>
                    </w:rPr>
                    <w:t>门诊急诊患者、病床患者等</w:t>
                  </w:r>
                </w:p>
              </w:tc>
              <w:tc>
                <w:tcPr>
                  <w:tcW w:w="781" w:type="pct"/>
                  <w:vAlign w:val="center"/>
                </w:tcPr>
                <w:p>
                  <w:pPr>
                    <w:spacing w:line="320" w:lineRule="exact"/>
                    <w:ind w:left="-63" w:leftChars="-30" w:right="-63" w:rightChars="-30"/>
                    <w:jc w:val="center"/>
                    <w:rPr>
                      <w:color w:val="auto"/>
                      <w:szCs w:val="21"/>
                    </w:rPr>
                  </w:pPr>
                  <w:r>
                    <w:rPr>
                      <w:color w:val="auto"/>
                      <w:szCs w:val="21"/>
                    </w:rPr>
                    <w:t>医疗废水</w:t>
                  </w:r>
                </w:p>
              </w:tc>
              <w:tc>
                <w:tcPr>
                  <w:tcW w:w="868" w:type="pct"/>
                  <w:vMerge w:val="continue"/>
                  <w:vAlign w:val="center"/>
                </w:tcPr>
                <w:p>
                  <w:pPr>
                    <w:widowControl/>
                    <w:ind w:left="-63" w:leftChars="-30" w:right="-63" w:rightChars="-30"/>
                    <w:jc w:val="left"/>
                    <w:rPr>
                      <w:color w:val="auto"/>
                      <w:szCs w:val="21"/>
                    </w:rPr>
                  </w:pPr>
                </w:p>
              </w:tc>
              <w:tc>
                <w:tcPr>
                  <w:tcW w:w="1939" w:type="pct"/>
                  <w:vMerge w:val="continue"/>
                  <w:vAlign w:val="center"/>
                </w:tcPr>
                <w:p>
                  <w:pPr>
                    <w:widowControl/>
                    <w:ind w:left="-63" w:leftChars="-30" w:right="-63" w:rightChars="-3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 w:type="pct"/>
                  <w:vAlign w:val="center"/>
                </w:tcPr>
                <w:p>
                  <w:pPr>
                    <w:spacing w:line="320" w:lineRule="exact"/>
                    <w:ind w:left="-63" w:leftChars="-30" w:right="-63" w:rightChars="-30"/>
                    <w:jc w:val="center"/>
                    <w:rPr>
                      <w:color w:val="auto"/>
                      <w:szCs w:val="21"/>
                    </w:rPr>
                  </w:pPr>
                  <w:r>
                    <w:rPr>
                      <w:color w:val="auto"/>
                      <w:szCs w:val="21"/>
                    </w:rPr>
                    <w:t>废气</w:t>
                  </w:r>
                </w:p>
              </w:tc>
              <w:tc>
                <w:tcPr>
                  <w:tcW w:w="1005" w:type="pct"/>
                  <w:vAlign w:val="center"/>
                </w:tcPr>
                <w:p>
                  <w:pPr>
                    <w:spacing w:line="320" w:lineRule="exact"/>
                    <w:ind w:left="-63" w:leftChars="-30" w:right="-63" w:rightChars="-30"/>
                    <w:jc w:val="center"/>
                    <w:rPr>
                      <w:color w:val="auto"/>
                      <w:szCs w:val="21"/>
                    </w:rPr>
                  </w:pPr>
                  <w:r>
                    <w:rPr>
                      <w:color w:val="auto"/>
                      <w:szCs w:val="21"/>
                    </w:rPr>
                    <w:t>污水处理站运行过程</w:t>
                  </w:r>
                </w:p>
              </w:tc>
              <w:tc>
                <w:tcPr>
                  <w:tcW w:w="781" w:type="pct"/>
                  <w:vAlign w:val="center"/>
                </w:tcPr>
                <w:p>
                  <w:pPr>
                    <w:spacing w:line="320" w:lineRule="exact"/>
                    <w:ind w:left="-63" w:leftChars="-30" w:right="-63" w:rightChars="-30"/>
                    <w:jc w:val="center"/>
                    <w:rPr>
                      <w:color w:val="auto"/>
                      <w:szCs w:val="21"/>
                    </w:rPr>
                  </w:pPr>
                  <w:r>
                    <w:rPr>
                      <w:color w:val="auto"/>
                      <w:szCs w:val="21"/>
                    </w:rPr>
                    <w:t>污水处理站臭气</w:t>
                  </w:r>
                </w:p>
              </w:tc>
              <w:tc>
                <w:tcPr>
                  <w:tcW w:w="868" w:type="pct"/>
                  <w:vAlign w:val="center"/>
                </w:tcPr>
                <w:p>
                  <w:pPr>
                    <w:spacing w:line="320" w:lineRule="exact"/>
                    <w:ind w:left="-63" w:leftChars="-30" w:right="-63" w:rightChars="-30"/>
                    <w:jc w:val="center"/>
                    <w:rPr>
                      <w:color w:val="auto"/>
                      <w:szCs w:val="21"/>
                    </w:rPr>
                  </w:pPr>
                  <w:r>
                    <w:rPr>
                      <w:color w:val="auto"/>
                      <w:szCs w:val="21"/>
                    </w:rPr>
                    <w:t>硫化氢、氨气、臭气浓度</w:t>
                  </w:r>
                </w:p>
              </w:tc>
              <w:tc>
                <w:tcPr>
                  <w:tcW w:w="1939" w:type="pct"/>
                  <w:vAlign w:val="center"/>
                </w:tcPr>
                <w:p>
                  <w:pPr>
                    <w:wordWrap w:val="0"/>
                    <w:autoSpaceDE w:val="0"/>
                    <w:autoSpaceDN w:val="0"/>
                    <w:adjustRightInd w:val="0"/>
                    <w:spacing w:line="240" w:lineRule="atLeast"/>
                    <w:ind w:left="-84" w:leftChars="-40" w:right="-84" w:rightChars="-40"/>
                    <w:jc w:val="center"/>
                    <w:rPr>
                      <w:color w:val="auto"/>
                      <w:szCs w:val="21"/>
                    </w:rPr>
                  </w:pPr>
                  <w:r>
                    <w:rPr>
                      <w:color w:val="auto"/>
                      <w:szCs w:val="21"/>
                    </w:rPr>
                    <w:t>污水处理站处理设施为地下封闭式一体化处理设施，日常喷洒除臭剂降低恶臭对周围环境的影响。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 w:type="pct"/>
                  <w:vMerge w:val="restart"/>
                  <w:vAlign w:val="center"/>
                </w:tcPr>
                <w:p>
                  <w:pPr>
                    <w:spacing w:line="320" w:lineRule="exact"/>
                    <w:ind w:left="-63" w:leftChars="-30" w:right="-63" w:rightChars="-30"/>
                    <w:jc w:val="center"/>
                    <w:rPr>
                      <w:color w:val="auto"/>
                      <w:szCs w:val="21"/>
                    </w:rPr>
                  </w:pPr>
                  <w:r>
                    <w:rPr>
                      <w:color w:val="auto"/>
                      <w:szCs w:val="21"/>
                    </w:rPr>
                    <w:t>固废</w:t>
                  </w:r>
                </w:p>
              </w:tc>
              <w:tc>
                <w:tcPr>
                  <w:tcW w:w="1005" w:type="pct"/>
                  <w:vAlign w:val="center"/>
                </w:tcPr>
                <w:p>
                  <w:pPr>
                    <w:spacing w:line="320" w:lineRule="exact"/>
                    <w:ind w:left="-63" w:leftChars="-30" w:right="-63" w:rightChars="-30"/>
                    <w:jc w:val="center"/>
                    <w:rPr>
                      <w:color w:val="auto"/>
                      <w:szCs w:val="21"/>
                    </w:rPr>
                  </w:pPr>
                  <w:r>
                    <w:rPr>
                      <w:color w:val="auto"/>
                      <w:szCs w:val="21"/>
                    </w:rPr>
                    <w:t>医护人员生活</w:t>
                  </w:r>
                </w:p>
              </w:tc>
              <w:tc>
                <w:tcPr>
                  <w:tcW w:w="1650" w:type="pct"/>
                  <w:gridSpan w:val="2"/>
                  <w:vAlign w:val="center"/>
                </w:tcPr>
                <w:p>
                  <w:pPr>
                    <w:spacing w:line="320" w:lineRule="exact"/>
                    <w:ind w:left="-63" w:leftChars="-30" w:right="-63" w:rightChars="-30"/>
                    <w:jc w:val="center"/>
                    <w:rPr>
                      <w:color w:val="auto"/>
                      <w:szCs w:val="21"/>
                    </w:rPr>
                  </w:pPr>
                  <w:r>
                    <w:rPr>
                      <w:color w:val="auto"/>
                      <w:szCs w:val="21"/>
                    </w:rPr>
                    <w:t>生活垃圾</w:t>
                  </w:r>
                </w:p>
              </w:tc>
              <w:tc>
                <w:tcPr>
                  <w:tcW w:w="1939" w:type="pct"/>
                  <w:vAlign w:val="center"/>
                </w:tcPr>
                <w:p>
                  <w:pPr>
                    <w:wordWrap w:val="0"/>
                    <w:autoSpaceDE w:val="0"/>
                    <w:autoSpaceDN w:val="0"/>
                    <w:adjustRightInd w:val="0"/>
                    <w:spacing w:line="240" w:lineRule="atLeast"/>
                    <w:ind w:left="-84" w:leftChars="-40" w:right="-84" w:rightChars="-40"/>
                    <w:jc w:val="center"/>
                    <w:rPr>
                      <w:color w:val="auto"/>
                      <w:szCs w:val="21"/>
                    </w:rPr>
                  </w:pPr>
                  <w:r>
                    <w:rPr>
                      <w:color w:val="auto"/>
                      <w:szCs w:val="21"/>
                    </w:rPr>
                    <w:t>交由环卫部门外运处置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 w:type="pct"/>
                  <w:vMerge w:val="continue"/>
                  <w:vAlign w:val="center"/>
                </w:tcPr>
                <w:p>
                  <w:pPr>
                    <w:spacing w:line="320" w:lineRule="exact"/>
                    <w:ind w:left="-63" w:leftChars="-30" w:right="-63" w:rightChars="-30"/>
                    <w:jc w:val="center"/>
                    <w:rPr>
                      <w:color w:val="auto"/>
                      <w:szCs w:val="21"/>
                    </w:rPr>
                  </w:pPr>
                </w:p>
              </w:tc>
              <w:tc>
                <w:tcPr>
                  <w:tcW w:w="1005" w:type="pct"/>
                  <w:vMerge w:val="restart"/>
                  <w:vAlign w:val="center"/>
                </w:tcPr>
                <w:p>
                  <w:pPr>
                    <w:spacing w:line="320" w:lineRule="exact"/>
                    <w:ind w:left="-63" w:leftChars="-30" w:right="-63" w:rightChars="-30"/>
                    <w:jc w:val="center"/>
                    <w:rPr>
                      <w:color w:val="auto"/>
                      <w:szCs w:val="21"/>
                    </w:rPr>
                  </w:pPr>
                  <w:r>
                    <w:rPr>
                      <w:color w:val="auto"/>
                      <w:szCs w:val="21"/>
                    </w:rPr>
                    <w:t>治疗、护理、</w:t>
                  </w:r>
                  <w:r>
                    <w:rPr>
                      <w:rFonts w:hint="eastAsia"/>
                      <w:color w:val="auto"/>
                      <w:szCs w:val="21"/>
                    </w:rPr>
                    <w:t>化验、</w:t>
                  </w:r>
                  <w:r>
                    <w:rPr>
                      <w:color w:val="auto"/>
                      <w:szCs w:val="21"/>
                    </w:rPr>
                    <w:t>住院</w:t>
                  </w:r>
                </w:p>
              </w:tc>
              <w:tc>
                <w:tcPr>
                  <w:tcW w:w="1650" w:type="pct"/>
                  <w:gridSpan w:val="2"/>
                  <w:vAlign w:val="center"/>
                </w:tcPr>
                <w:p>
                  <w:pPr>
                    <w:spacing w:line="320" w:lineRule="exact"/>
                    <w:ind w:left="-63" w:leftChars="-30" w:right="-63" w:rightChars="-30"/>
                    <w:jc w:val="center"/>
                    <w:rPr>
                      <w:color w:val="auto"/>
                      <w:szCs w:val="21"/>
                    </w:rPr>
                  </w:pPr>
                  <w:r>
                    <w:rPr>
                      <w:rFonts w:hint="eastAsia"/>
                      <w:color w:val="auto"/>
                      <w:szCs w:val="21"/>
                    </w:rPr>
                    <w:t>废输液瓶（袋）</w:t>
                  </w:r>
                </w:p>
              </w:tc>
              <w:tc>
                <w:tcPr>
                  <w:tcW w:w="1939" w:type="pct"/>
                  <w:vAlign w:val="center"/>
                </w:tcPr>
                <w:p>
                  <w:pPr>
                    <w:wordWrap w:val="0"/>
                    <w:autoSpaceDE w:val="0"/>
                    <w:autoSpaceDN w:val="0"/>
                    <w:adjustRightInd w:val="0"/>
                    <w:spacing w:line="240" w:lineRule="atLeast"/>
                    <w:ind w:left="-84" w:leftChars="-40" w:right="-84" w:rightChars="-40"/>
                    <w:jc w:val="center"/>
                    <w:rPr>
                      <w:color w:val="auto"/>
                      <w:szCs w:val="21"/>
                    </w:rPr>
                  </w:pPr>
                  <w:r>
                    <w:rPr>
                      <w:rFonts w:hint="eastAsia"/>
                      <w:color w:val="auto"/>
                      <w:szCs w:val="21"/>
                    </w:rPr>
                    <w:t>暂存于专用收集容器后，交由西安泰达环保科技有限公司</w:t>
                  </w:r>
                  <w:r>
                    <w:rPr>
                      <w:color w:val="auto"/>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 w:type="pct"/>
                  <w:vMerge w:val="continue"/>
                  <w:vAlign w:val="center"/>
                </w:tcPr>
                <w:p>
                  <w:pPr>
                    <w:spacing w:line="320" w:lineRule="exact"/>
                    <w:ind w:left="-63" w:leftChars="-30" w:right="-63" w:rightChars="-30"/>
                    <w:jc w:val="center"/>
                    <w:rPr>
                      <w:color w:val="auto"/>
                      <w:szCs w:val="21"/>
                    </w:rPr>
                  </w:pPr>
                </w:p>
              </w:tc>
              <w:tc>
                <w:tcPr>
                  <w:tcW w:w="1005" w:type="pct"/>
                  <w:vMerge w:val="continue"/>
                  <w:vAlign w:val="center"/>
                </w:tcPr>
                <w:p>
                  <w:pPr>
                    <w:spacing w:line="320" w:lineRule="exact"/>
                    <w:ind w:left="-63" w:leftChars="-30" w:right="-63" w:rightChars="-30"/>
                    <w:jc w:val="center"/>
                    <w:rPr>
                      <w:color w:val="auto"/>
                      <w:szCs w:val="21"/>
                    </w:rPr>
                  </w:pPr>
                </w:p>
              </w:tc>
              <w:tc>
                <w:tcPr>
                  <w:tcW w:w="1650" w:type="pct"/>
                  <w:gridSpan w:val="2"/>
                  <w:vAlign w:val="center"/>
                </w:tcPr>
                <w:p>
                  <w:pPr>
                    <w:spacing w:line="320" w:lineRule="exact"/>
                    <w:ind w:left="-63" w:leftChars="-30" w:right="-63" w:rightChars="-30"/>
                    <w:jc w:val="center"/>
                    <w:rPr>
                      <w:color w:val="auto"/>
                      <w:szCs w:val="21"/>
                    </w:rPr>
                  </w:pPr>
                  <w:r>
                    <w:rPr>
                      <w:rFonts w:hint="eastAsia"/>
                      <w:color w:val="auto"/>
                      <w:szCs w:val="21"/>
                    </w:rPr>
                    <w:t>废包装材料</w:t>
                  </w:r>
                </w:p>
              </w:tc>
              <w:tc>
                <w:tcPr>
                  <w:tcW w:w="1939" w:type="pct"/>
                  <w:vAlign w:val="center"/>
                </w:tcPr>
                <w:p>
                  <w:pPr>
                    <w:wordWrap w:val="0"/>
                    <w:autoSpaceDE w:val="0"/>
                    <w:autoSpaceDN w:val="0"/>
                    <w:adjustRightInd w:val="0"/>
                    <w:spacing w:line="240" w:lineRule="atLeast"/>
                    <w:ind w:left="-84" w:leftChars="-40" w:right="-84" w:rightChars="-40"/>
                    <w:jc w:val="center"/>
                    <w:rPr>
                      <w:color w:val="auto"/>
                      <w:szCs w:val="21"/>
                    </w:rPr>
                  </w:pPr>
                  <w:r>
                    <w:rPr>
                      <w:rFonts w:hint="eastAsia"/>
                      <w:color w:val="auto"/>
                      <w:szCs w:val="21"/>
                    </w:rPr>
                    <w:t>收集后外售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 w:type="pct"/>
                  <w:vMerge w:val="continue"/>
                  <w:vAlign w:val="center"/>
                </w:tcPr>
                <w:p>
                  <w:pPr>
                    <w:spacing w:line="320" w:lineRule="exact"/>
                    <w:ind w:left="-63" w:leftChars="-30" w:right="-63" w:rightChars="-30"/>
                    <w:jc w:val="center"/>
                    <w:rPr>
                      <w:color w:val="auto"/>
                      <w:szCs w:val="21"/>
                    </w:rPr>
                  </w:pPr>
                </w:p>
              </w:tc>
              <w:tc>
                <w:tcPr>
                  <w:tcW w:w="1005" w:type="pct"/>
                  <w:vMerge w:val="continue"/>
                  <w:vAlign w:val="center"/>
                </w:tcPr>
                <w:p>
                  <w:pPr>
                    <w:spacing w:line="320" w:lineRule="exact"/>
                    <w:ind w:left="-63" w:leftChars="-30" w:right="-63" w:rightChars="-30"/>
                    <w:jc w:val="center"/>
                    <w:rPr>
                      <w:color w:val="auto"/>
                      <w:szCs w:val="21"/>
                    </w:rPr>
                  </w:pPr>
                </w:p>
              </w:tc>
              <w:tc>
                <w:tcPr>
                  <w:tcW w:w="1650" w:type="pct"/>
                  <w:gridSpan w:val="2"/>
                  <w:vAlign w:val="center"/>
                </w:tcPr>
                <w:p>
                  <w:pPr>
                    <w:spacing w:line="320" w:lineRule="exact"/>
                    <w:ind w:left="-63" w:leftChars="-30" w:right="-63" w:rightChars="-30"/>
                    <w:jc w:val="center"/>
                    <w:rPr>
                      <w:color w:val="auto"/>
                      <w:szCs w:val="21"/>
                    </w:rPr>
                  </w:pPr>
                  <w:r>
                    <w:rPr>
                      <w:rFonts w:hint="eastAsia"/>
                      <w:color w:val="auto"/>
                      <w:szCs w:val="21"/>
                    </w:rPr>
                    <w:t>中药残渣</w:t>
                  </w:r>
                </w:p>
              </w:tc>
              <w:tc>
                <w:tcPr>
                  <w:tcW w:w="1939" w:type="pct"/>
                  <w:vAlign w:val="center"/>
                </w:tcPr>
                <w:p>
                  <w:pPr>
                    <w:wordWrap w:val="0"/>
                    <w:autoSpaceDE w:val="0"/>
                    <w:autoSpaceDN w:val="0"/>
                    <w:adjustRightInd w:val="0"/>
                    <w:spacing w:line="240" w:lineRule="atLeast"/>
                    <w:ind w:left="-84" w:leftChars="-40" w:right="-84" w:rightChars="-40"/>
                    <w:jc w:val="center"/>
                    <w:rPr>
                      <w:color w:val="auto"/>
                      <w:szCs w:val="21"/>
                    </w:rPr>
                  </w:pPr>
                  <w:r>
                    <w:rPr>
                      <w:color w:val="auto"/>
                      <w:szCs w:val="21"/>
                    </w:rPr>
                    <w:t>分类收集后交由环卫部门外运处置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 w:type="pct"/>
                  <w:vMerge w:val="continue"/>
                  <w:vAlign w:val="center"/>
                </w:tcPr>
                <w:p>
                  <w:pPr>
                    <w:spacing w:line="320" w:lineRule="exact"/>
                    <w:ind w:left="-63" w:leftChars="-30" w:right="-63" w:rightChars="-30"/>
                    <w:jc w:val="center"/>
                    <w:rPr>
                      <w:color w:val="auto"/>
                      <w:szCs w:val="21"/>
                    </w:rPr>
                  </w:pPr>
                </w:p>
              </w:tc>
              <w:tc>
                <w:tcPr>
                  <w:tcW w:w="1005" w:type="pct"/>
                  <w:vMerge w:val="continue"/>
                  <w:vAlign w:val="center"/>
                </w:tcPr>
                <w:p>
                  <w:pPr>
                    <w:spacing w:line="320" w:lineRule="exact"/>
                    <w:ind w:left="-63" w:leftChars="-30" w:right="-63" w:rightChars="-30"/>
                    <w:jc w:val="center"/>
                    <w:rPr>
                      <w:color w:val="auto"/>
                      <w:szCs w:val="21"/>
                    </w:rPr>
                  </w:pPr>
                </w:p>
              </w:tc>
              <w:tc>
                <w:tcPr>
                  <w:tcW w:w="1650" w:type="pct"/>
                  <w:gridSpan w:val="2"/>
                  <w:vAlign w:val="center"/>
                </w:tcPr>
                <w:p>
                  <w:pPr>
                    <w:spacing w:line="320" w:lineRule="exact"/>
                    <w:ind w:left="-63" w:leftChars="-30" w:right="-63" w:rightChars="-30"/>
                    <w:jc w:val="center"/>
                    <w:rPr>
                      <w:color w:val="auto"/>
                      <w:szCs w:val="21"/>
                    </w:rPr>
                  </w:pPr>
                  <w:r>
                    <w:rPr>
                      <w:rFonts w:hint="eastAsia"/>
                      <w:color w:val="auto"/>
                      <w:szCs w:val="21"/>
                    </w:rPr>
                    <w:t>医疗废物</w:t>
                  </w:r>
                </w:p>
              </w:tc>
              <w:tc>
                <w:tcPr>
                  <w:tcW w:w="1939" w:type="pct"/>
                  <w:vAlign w:val="center"/>
                </w:tcPr>
                <w:p>
                  <w:pPr>
                    <w:wordWrap w:val="0"/>
                    <w:autoSpaceDE w:val="0"/>
                    <w:autoSpaceDN w:val="0"/>
                    <w:adjustRightInd w:val="0"/>
                    <w:spacing w:line="240" w:lineRule="atLeast"/>
                    <w:ind w:left="-84" w:leftChars="-40" w:right="-84" w:rightChars="-40"/>
                    <w:jc w:val="center"/>
                    <w:rPr>
                      <w:color w:val="auto"/>
                      <w:szCs w:val="21"/>
                    </w:rPr>
                  </w:pPr>
                  <w:r>
                    <w:rPr>
                      <w:rFonts w:hint="eastAsia"/>
                      <w:color w:val="auto"/>
                      <w:szCs w:val="21"/>
                    </w:rPr>
                    <w:t>分类收集后，分别暂存于危险废物贮存设施，定期交由西安卫达实业发展有限公司处置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 w:type="pct"/>
                  <w:vMerge w:val="continue"/>
                  <w:vAlign w:val="center"/>
                </w:tcPr>
                <w:p>
                  <w:pPr>
                    <w:widowControl/>
                    <w:ind w:left="-63" w:leftChars="-30" w:right="-63" w:rightChars="-30"/>
                    <w:jc w:val="left"/>
                    <w:rPr>
                      <w:color w:val="auto"/>
                      <w:szCs w:val="21"/>
                    </w:rPr>
                  </w:pPr>
                </w:p>
              </w:tc>
              <w:tc>
                <w:tcPr>
                  <w:tcW w:w="1005" w:type="pct"/>
                  <w:vMerge w:val="restart"/>
                  <w:vAlign w:val="center"/>
                </w:tcPr>
                <w:p>
                  <w:pPr>
                    <w:spacing w:line="320" w:lineRule="exact"/>
                    <w:ind w:left="-63" w:leftChars="-30" w:right="-63" w:rightChars="-30"/>
                    <w:jc w:val="center"/>
                    <w:rPr>
                      <w:color w:val="auto"/>
                      <w:szCs w:val="21"/>
                    </w:rPr>
                  </w:pPr>
                  <w:r>
                    <w:rPr>
                      <w:color w:val="auto"/>
                      <w:szCs w:val="21"/>
                    </w:rPr>
                    <w:t>一体化污水处理设备</w:t>
                  </w:r>
                </w:p>
              </w:tc>
              <w:tc>
                <w:tcPr>
                  <w:tcW w:w="1650" w:type="pct"/>
                  <w:gridSpan w:val="2"/>
                  <w:vAlign w:val="center"/>
                </w:tcPr>
                <w:p>
                  <w:pPr>
                    <w:spacing w:line="320" w:lineRule="exact"/>
                    <w:ind w:left="-63" w:leftChars="-30" w:right="-63" w:rightChars="-30"/>
                    <w:jc w:val="center"/>
                    <w:rPr>
                      <w:color w:val="auto"/>
                      <w:szCs w:val="21"/>
                    </w:rPr>
                  </w:pPr>
                  <w:r>
                    <w:rPr>
                      <w:rFonts w:hint="eastAsia"/>
                      <w:color w:val="auto"/>
                      <w:szCs w:val="21"/>
                    </w:rPr>
                    <w:t>污泥</w:t>
                  </w:r>
                </w:p>
              </w:tc>
              <w:tc>
                <w:tcPr>
                  <w:tcW w:w="1939" w:type="pct"/>
                  <w:vMerge w:val="restart"/>
                  <w:vAlign w:val="center"/>
                </w:tcPr>
                <w:p>
                  <w:pPr>
                    <w:wordWrap w:val="0"/>
                    <w:autoSpaceDE w:val="0"/>
                    <w:autoSpaceDN w:val="0"/>
                    <w:adjustRightInd w:val="0"/>
                    <w:spacing w:line="240" w:lineRule="atLeast"/>
                    <w:ind w:left="-84" w:leftChars="-40" w:right="-84" w:rightChars="-40"/>
                    <w:jc w:val="center"/>
                    <w:rPr>
                      <w:color w:val="auto"/>
                      <w:szCs w:val="21"/>
                    </w:rPr>
                  </w:pPr>
                  <w:r>
                    <w:rPr>
                      <w:color w:val="auto"/>
                      <w:szCs w:val="21"/>
                    </w:rPr>
                    <w:t>定期委托有资质单位处置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 w:type="pct"/>
                  <w:vMerge w:val="continue"/>
                  <w:vAlign w:val="center"/>
                </w:tcPr>
                <w:p>
                  <w:pPr>
                    <w:widowControl/>
                    <w:ind w:left="-63" w:leftChars="-30" w:right="-63" w:rightChars="-30"/>
                    <w:jc w:val="left"/>
                    <w:rPr>
                      <w:color w:val="auto"/>
                      <w:szCs w:val="21"/>
                    </w:rPr>
                  </w:pPr>
                </w:p>
              </w:tc>
              <w:tc>
                <w:tcPr>
                  <w:tcW w:w="1005" w:type="pct"/>
                  <w:vMerge w:val="continue"/>
                  <w:vAlign w:val="center"/>
                </w:tcPr>
                <w:p>
                  <w:pPr>
                    <w:spacing w:line="320" w:lineRule="exact"/>
                    <w:ind w:left="-63" w:leftChars="-30" w:right="-63" w:rightChars="-30"/>
                    <w:jc w:val="center"/>
                    <w:rPr>
                      <w:color w:val="auto"/>
                      <w:szCs w:val="21"/>
                    </w:rPr>
                  </w:pPr>
                </w:p>
              </w:tc>
              <w:tc>
                <w:tcPr>
                  <w:tcW w:w="1650" w:type="pct"/>
                  <w:gridSpan w:val="2"/>
                  <w:vAlign w:val="center"/>
                </w:tcPr>
                <w:p>
                  <w:pPr>
                    <w:spacing w:line="320" w:lineRule="exact"/>
                    <w:ind w:left="-63" w:leftChars="-30" w:right="-63" w:rightChars="-30"/>
                    <w:jc w:val="center"/>
                    <w:rPr>
                      <w:color w:val="auto"/>
                      <w:szCs w:val="21"/>
                    </w:rPr>
                  </w:pPr>
                  <w:r>
                    <w:rPr>
                      <w:rFonts w:hint="eastAsia"/>
                      <w:color w:val="auto"/>
                      <w:spacing w:val="-1"/>
                      <w:szCs w:val="21"/>
                    </w:rPr>
                    <w:t>废UV</w:t>
                  </w:r>
                  <w:r>
                    <w:rPr>
                      <w:rFonts w:hint="eastAsia" w:ascii="宋体" w:hAnsi="宋体"/>
                      <w:color w:val="auto"/>
                      <w:spacing w:val="-1"/>
                      <w:szCs w:val="21"/>
                    </w:rPr>
                    <w:t>灯管</w:t>
                  </w:r>
                </w:p>
              </w:tc>
              <w:tc>
                <w:tcPr>
                  <w:tcW w:w="1939" w:type="pct"/>
                  <w:vMerge w:val="continue"/>
                </w:tcPr>
                <w:p>
                  <w:pPr>
                    <w:ind w:left="-63" w:leftChars="-30" w:right="-63" w:rightChars="-30"/>
                    <w:jc w:val="center"/>
                    <w:rPr>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 w:type="pct"/>
                  <w:vAlign w:val="center"/>
                </w:tcPr>
                <w:p>
                  <w:pPr>
                    <w:spacing w:line="320" w:lineRule="exact"/>
                    <w:ind w:left="-63" w:leftChars="-30" w:right="-63" w:rightChars="-30"/>
                    <w:jc w:val="center"/>
                    <w:rPr>
                      <w:color w:val="auto"/>
                      <w:szCs w:val="21"/>
                    </w:rPr>
                  </w:pPr>
                  <w:r>
                    <w:rPr>
                      <w:color w:val="auto"/>
                      <w:szCs w:val="21"/>
                    </w:rPr>
                    <w:t>噪声</w:t>
                  </w:r>
                </w:p>
              </w:tc>
              <w:tc>
                <w:tcPr>
                  <w:tcW w:w="1005" w:type="pct"/>
                  <w:vAlign w:val="center"/>
                </w:tcPr>
                <w:p>
                  <w:pPr>
                    <w:spacing w:line="320" w:lineRule="exact"/>
                    <w:ind w:left="-63" w:leftChars="-30" w:right="-63" w:rightChars="-30"/>
                    <w:jc w:val="center"/>
                    <w:rPr>
                      <w:color w:val="auto"/>
                      <w:szCs w:val="21"/>
                    </w:rPr>
                  </w:pPr>
                  <w:r>
                    <w:rPr>
                      <w:color w:val="auto"/>
                      <w:szCs w:val="21"/>
                    </w:rPr>
                    <w:t>多联机组、泵类、风机等运行过程</w:t>
                  </w:r>
                </w:p>
              </w:tc>
              <w:tc>
                <w:tcPr>
                  <w:tcW w:w="1650" w:type="pct"/>
                  <w:gridSpan w:val="2"/>
                  <w:vAlign w:val="center"/>
                </w:tcPr>
                <w:p>
                  <w:pPr>
                    <w:spacing w:line="320" w:lineRule="exact"/>
                    <w:ind w:left="-63" w:leftChars="-30" w:right="-63" w:rightChars="-30"/>
                    <w:jc w:val="center"/>
                    <w:rPr>
                      <w:color w:val="auto"/>
                      <w:szCs w:val="21"/>
                    </w:rPr>
                  </w:pPr>
                  <w:r>
                    <w:rPr>
                      <w:color w:val="auto"/>
                      <w:szCs w:val="21"/>
                    </w:rPr>
                    <w:t>设备噪声</w:t>
                  </w:r>
                </w:p>
              </w:tc>
              <w:tc>
                <w:tcPr>
                  <w:tcW w:w="1939" w:type="pct"/>
                  <w:vAlign w:val="center"/>
                </w:tcPr>
                <w:p>
                  <w:pPr>
                    <w:ind w:left="-63" w:leftChars="-30" w:right="-63" w:rightChars="-30"/>
                    <w:jc w:val="center"/>
                    <w:rPr>
                      <w:color w:val="auto"/>
                      <w:szCs w:val="21"/>
                    </w:rPr>
                  </w:pPr>
                  <w:r>
                    <w:rPr>
                      <w:rFonts w:hint="eastAsia"/>
                      <w:color w:val="auto"/>
                      <w:szCs w:val="21"/>
                    </w:rPr>
                    <w:t>低噪声设备、</w:t>
                  </w:r>
                  <w:r>
                    <w:rPr>
                      <w:color w:val="auto"/>
                      <w:szCs w:val="21"/>
                    </w:rPr>
                    <w:t>墙体隔声、设备减振、距离衰减</w:t>
                  </w:r>
                </w:p>
              </w:tc>
            </w:tr>
          </w:tbl>
          <w:p>
            <w:pPr>
              <w:spacing w:line="240" w:lineRule="exact"/>
              <w:ind w:firstLine="493"/>
              <w:rPr>
                <w:color w:val="auto"/>
                <w:sz w:val="24"/>
              </w:rPr>
            </w:pPr>
            <w:r>
              <w:rPr>
                <w:rFonts w:hint="eastAsia"/>
                <w:color w:val="auto"/>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675" w:type="dxa"/>
            <w:vAlign w:val="center"/>
          </w:tcPr>
          <w:p>
            <w:pPr>
              <w:adjustRightInd w:val="0"/>
              <w:snapToGrid w:val="0"/>
              <w:jc w:val="center"/>
              <w:rPr>
                <w:color w:val="auto"/>
                <w:szCs w:val="21"/>
              </w:rPr>
            </w:pPr>
            <w:r>
              <w:rPr>
                <w:bCs/>
                <w:color w:val="auto"/>
                <w:szCs w:val="21"/>
              </w:rPr>
              <w:t>与项目有关的原有环境污染问题</w:t>
            </w:r>
          </w:p>
        </w:tc>
        <w:tc>
          <w:tcPr>
            <w:tcW w:w="8385" w:type="dxa"/>
            <w:vAlign w:val="center"/>
          </w:tcPr>
          <w:p>
            <w:pPr>
              <w:pStyle w:val="12"/>
              <w:spacing w:before="120" w:beforeLines="50"/>
              <w:ind w:firstLine="482"/>
              <w:rPr>
                <w:b/>
                <w:bCs w:val="0"/>
                <w:color w:val="auto"/>
              </w:rPr>
            </w:pPr>
            <w:r>
              <w:rPr>
                <w:rFonts w:hint="eastAsia"/>
                <w:b/>
                <w:bCs w:val="0"/>
                <w:color w:val="auto"/>
              </w:rPr>
              <w:t>一、现有项目概况</w:t>
            </w:r>
          </w:p>
          <w:p>
            <w:pPr>
              <w:pStyle w:val="12"/>
              <w:rPr>
                <w:color w:val="auto"/>
              </w:rPr>
            </w:pPr>
            <w:r>
              <w:rPr>
                <w:color w:val="auto"/>
              </w:rPr>
              <w:t>国色天香小区（原名康桥小镇）已于2007年4月取得西安市环境保护局环评批复（市环发［2007］89号</w:t>
            </w:r>
            <w:r>
              <w:rPr>
                <w:rFonts w:hint="eastAsia"/>
                <w:color w:val="auto"/>
              </w:rPr>
              <w:t>）</w:t>
            </w:r>
            <w:r>
              <w:rPr>
                <w:color w:val="auto"/>
              </w:rPr>
              <w:t>，见附件</w:t>
            </w:r>
            <w:r>
              <w:rPr>
                <w:rFonts w:hint="eastAsia"/>
                <w:color w:val="auto"/>
              </w:rPr>
              <w:t>7</w:t>
            </w:r>
            <w:r>
              <w:rPr>
                <w:color w:val="auto"/>
              </w:rPr>
              <w:t>。于2010年12月31号通过环保验收（市环长验[2010]24号），见附件</w:t>
            </w:r>
            <w:r>
              <w:rPr>
                <w:rFonts w:hint="eastAsia"/>
                <w:color w:val="auto"/>
              </w:rPr>
              <w:t>8，</w:t>
            </w:r>
            <w:r>
              <w:rPr>
                <w:color w:val="auto"/>
              </w:rPr>
              <w:t>本项目为扩建项目，本项目租赁西安市长安区西长安街989号国色天香小区22号商业楼进行建设（租赁合同详见附件</w:t>
            </w:r>
            <w:r>
              <w:rPr>
                <w:rFonts w:hint="eastAsia"/>
                <w:color w:val="auto"/>
              </w:rPr>
              <w:t>3</w:t>
            </w:r>
            <w:r>
              <w:rPr>
                <w:color w:val="auto"/>
              </w:rPr>
              <w:t>），22号楼为独立的商业用房。西安长安强森医院有限公司于2017年9月7日申报了《长安强森建设项目建设项目环境影响登记表》，备案号为：201761011600001034，见附件</w:t>
            </w:r>
            <w:r>
              <w:rPr>
                <w:rFonts w:hint="eastAsia"/>
                <w:color w:val="auto"/>
              </w:rPr>
              <w:t>9</w:t>
            </w:r>
            <w:r>
              <w:rPr>
                <w:color w:val="auto"/>
              </w:rPr>
              <w:t>。</w:t>
            </w:r>
            <w:r>
              <w:rPr>
                <w:rFonts w:hint="eastAsia"/>
                <w:color w:val="auto"/>
              </w:rPr>
              <w:t>于2020年05月18日取得《固定污染源排污登记回执》，登记编号：916101163336285172001Z，于2020年10月30日进行了变更并取得回执，详见附件10。</w:t>
            </w:r>
          </w:p>
          <w:p>
            <w:pPr>
              <w:pStyle w:val="12"/>
              <w:rPr>
                <w:rFonts w:hint="eastAsia"/>
                <w:color w:val="auto"/>
                <w:kern w:val="0"/>
                <w:sz w:val="24"/>
              </w:rPr>
            </w:pPr>
            <w:r>
              <w:rPr>
                <w:rFonts w:hint="eastAsia"/>
                <w:color w:val="auto"/>
              </w:rPr>
              <w:t>现有项目（</w:t>
            </w:r>
            <w:r>
              <w:rPr>
                <w:color w:val="auto"/>
              </w:rPr>
              <w:t>长安强森建设项目</w:t>
            </w:r>
            <w:r>
              <w:rPr>
                <w:rFonts w:hint="eastAsia"/>
                <w:color w:val="auto"/>
              </w:rPr>
              <w:t>）建筑面积1237m</w:t>
            </w:r>
            <w:r>
              <w:rPr>
                <w:rFonts w:hint="eastAsia"/>
                <w:color w:val="auto"/>
                <w:vertAlign w:val="superscript"/>
              </w:rPr>
              <w:t>2</w:t>
            </w:r>
            <w:r>
              <w:rPr>
                <w:rFonts w:hint="eastAsia"/>
                <w:color w:val="auto"/>
              </w:rPr>
              <w:t>，项目投资350万，环保投资12万，设置住院床位</w:t>
            </w:r>
            <w:r>
              <w:rPr>
                <w:color w:val="auto"/>
              </w:rPr>
              <w:t>19</w:t>
            </w:r>
            <w:r>
              <w:rPr>
                <w:rFonts w:hint="eastAsia"/>
                <w:color w:val="auto"/>
              </w:rPr>
              <w:t>张，设置有医院设备、口腔科设备、放射科设备、妇科设备、医疗机械等。</w:t>
            </w:r>
            <w:r>
              <w:rPr>
                <w:rFonts w:hint="eastAsia"/>
                <w:color w:val="auto"/>
                <w:lang w:val="en-US" w:eastAsia="zh-CN"/>
              </w:rPr>
              <w:t>现有项目主要设备</w:t>
            </w:r>
            <w:r>
              <w:rPr>
                <w:rFonts w:hint="eastAsia"/>
                <w:color w:val="auto"/>
                <w:kern w:val="0"/>
                <w:sz w:val="24"/>
              </w:rPr>
              <w:t>具体见表2</w:t>
            </w:r>
            <w:r>
              <w:rPr>
                <w:rFonts w:hint="default"/>
                <w:color w:val="auto"/>
                <w:kern w:val="0"/>
                <w:sz w:val="24"/>
              </w:rPr>
              <w:t>-</w:t>
            </w:r>
            <w:r>
              <w:rPr>
                <w:rFonts w:hint="eastAsia"/>
                <w:color w:val="auto"/>
                <w:kern w:val="0"/>
                <w:sz w:val="24"/>
                <w:lang w:val="en-US" w:eastAsia="zh-CN"/>
              </w:rPr>
              <w:t>5</w:t>
            </w:r>
            <w:r>
              <w:rPr>
                <w:rFonts w:hint="eastAsia"/>
                <w:color w:val="auto"/>
                <w:kern w:val="0"/>
                <w:sz w:val="24"/>
              </w:rPr>
              <w:t>。</w:t>
            </w:r>
          </w:p>
          <w:p>
            <w:pPr>
              <w:pStyle w:val="15"/>
              <w:spacing w:beforeLines="0" w:afterLines="0"/>
              <w:rPr>
                <w:rFonts w:hint="default"/>
                <w:color w:val="auto"/>
                <w:sz w:val="21"/>
              </w:rPr>
            </w:pPr>
            <w:r>
              <w:rPr>
                <w:rFonts w:hint="eastAsia"/>
                <w:color w:val="auto"/>
                <w:sz w:val="21"/>
              </w:rPr>
              <w:t>表2</w:t>
            </w:r>
            <w:r>
              <w:rPr>
                <w:rFonts w:hint="default"/>
                <w:color w:val="auto"/>
                <w:sz w:val="21"/>
              </w:rPr>
              <w:t>-</w:t>
            </w:r>
            <w:r>
              <w:rPr>
                <w:rFonts w:hint="eastAsia"/>
                <w:color w:val="auto"/>
                <w:sz w:val="21"/>
                <w:lang w:val="en-US" w:eastAsia="zh-CN"/>
              </w:rPr>
              <w:t>5</w:t>
            </w:r>
            <w:r>
              <w:rPr>
                <w:rFonts w:hint="eastAsia"/>
                <w:color w:val="auto"/>
                <w:sz w:val="21"/>
              </w:rPr>
              <w:t xml:space="preserve">  </w:t>
            </w:r>
            <w:r>
              <w:rPr>
                <w:rFonts w:hint="eastAsia"/>
                <w:color w:val="auto"/>
                <w:sz w:val="21"/>
                <w:lang w:val="en-US" w:eastAsia="zh-CN"/>
              </w:rPr>
              <w:t>现有</w:t>
            </w:r>
            <w:r>
              <w:rPr>
                <w:rFonts w:hint="eastAsia"/>
                <w:color w:val="auto"/>
                <w:sz w:val="21"/>
              </w:rPr>
              <w:t>项目主要设备一览表</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5"/>
              <w:gridCol w:w="3254"/>
              <w:gridCol w:w="2293"/>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序号</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设备名称</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型号</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eastAsia"/>
                      <w:color w:val="auto"/>
                      <w:sz w:val="21"/>
                    </w:rPr>
                  </w:pPr>
                  <w:r>
                    <w:rPr>
                      <w:rFonts w:hint="eastAsia"/>
                      <w:color w:val="auto"/>
                      <w:sz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便携式多参数监护仪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MEC-1000</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2</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电动吸引器</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YB-DX23D</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3</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电动洗胃机</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DXW-A</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4</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除颤仪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D3</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5</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空气净化器</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BH</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6</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空气压力波治疗仪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HB-AIR901DVT</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7</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牙科综合治疗机</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S2305</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8</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牙科综合治疗机</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S2316</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9</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牙科综合治疗机</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S2318</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10</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全自动生化分析仪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CS-680</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11</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呼气分析仪(C14)</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FR-9102</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12</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呼气分析仪(C13)</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HY-50</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13</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免疫定量分析仪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QMT8000</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14</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电解质分析仪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AC9801</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15</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恒温水浴箱</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SXMTD-204</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16</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超纯水机系统</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SSY-L型</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17</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动态心电记录仪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CB-1306-C</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18</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动态血压测量仪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CB-1805-B</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19</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尿液快速分析仪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URIT-500B</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20</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全自动血液分析仪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HEMARAY86</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21</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医用离心机</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TD5-2型</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22</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电子阴道镜数字成像系统</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SLC-2000B</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23</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BES压力蒸汽灭菌器</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16L</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24</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超声波清洗机</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YC-01</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25</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生物显微镜</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CX23</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26</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半自动凝血分析仪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RT-2204C</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27</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X</w:t>
                  </w:r>
                  <w:r>
                    <w:rPr>
                      <w:rFonts w:hint="eastAsia"/>
                      <w:color w:val="auto"/>
                      <w:sz w:val="21"/>
                    </w:rPr>
                    <w:t>线摄影系统（DR）</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KD-550U</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28</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超声波洁牙机</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UDS-K型LED</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29</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心电图机</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R12A</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30</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多功能高频电刀</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UMD300</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3</w:t>
                  </w:r>
                  <w:r>
                    <w:rPr>
                      <w:rFonts w:hint="eastAsia"/>
                      <w:color w:val="auto"/>
                      <w:sz w:val="21"/>
                    </w:rPr>
                    <w:t>1</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彩色多普勒超声诊断仪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P4-1</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32</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超声骨密度仪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BMD-9M1</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33</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超声脉冲电导治疗仪</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GBR-CS-1</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34</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非接触式眼压计</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SW-5000</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35</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眼底照相机</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SW-8800</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26"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36</w:t>
                  </w:r>
                </w:p>
              </w:tc>
              <w:tc>
                <w:tcPr>
                  <w:tcW w:w="1994"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裂隙灯显微镜</w:t>
                  </w:r>
                </w:p>
              </w:tc>
              <w:tc>
                <w:tcPr>
                  <w:tcW w:w="1405"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eastAsia"/>
                      <w:color w:val="auto"/>
                      <w:sz w:val="21"/>
                    </w:rPr>
                    <w:t>YZ5G</w:t>
                  </w:r>
                </w:p>
              </w:tc>
              <w:tc>
                <w:tcPr>
                  <w:tcW w:w="1173" w:type="pct"/>
                  <w:tcBorders>
                    <w:top w:val="single" w:color="auto" w:sz="4" w:space="0"/>
                    <w:left w:val="single" w:color="auto" w:sz="4" w:space="0"/>
                    <w:bottom w:val="single" w:color="auto" w:sz="4" w:space="0"/>
                    <w:right w:val="single" w:color="auto" w:sz="4" w:space="0"/>
                    <w:tl2br w:val="nil"/>
                    <w:tr2bl w:val="nil"/>
                  </w:tcBorders>
                  <w:noWrap/>
                  <w:tcMar>
                    <w:top w:w="10" w:type="dxa"/>
                    <w:left w:w="10" w:type="dxa"/>
                    <w:right w:w="10" w:type="dxa"/>
                  </w:tcMar>
                  <w:vAlign w:val="center"/>
                </w:tcPr>
                <w:p>
                  <w:pPr>
                    <w:spacing w:beforeLines="0" w:afterLines="0"/>
                    <w:ind w:right="63" w:rightChars="30"/>
                    <w:jc w:val="center"/>
                    <w:rPr>
                      <w:rFonts w:hint="default"/>
                      <w:color w:val="auto"/>
                      <w:sz w:val="21"/>
                    </w:rPr>
                  </w:pPr>
                  <w:r>
                    <w:rPr>
                      <w:rFonts w:hint="default"/>
                      <w:color w:val="auto"/>
                      <w:sz w:val="21"/>
                    </w:rPr>
                    <w:t>1</w:t>
                  </w:r>
                </w:p>
              </w:tc>
            </w:tr>
          </w:tbl>
          <w:p>
            <w:pPr>
              <w:pStyle w:val="12"/>
              <w:ind w:firstLine="482"/>
              <w:rPr>
                <w:b/>
                <w:bCs w:val="0"/>
                <w:color w:val="auto"/>
              </w:rPr>
            </w:pPr>
            <w:r>
              <w:rPr>
                <w:rFonts w:hint="eastAsia"/>
                <w:b/>
                <w:bCs w:val="0"/>
                <w:color w:val="auto"/>
              </w:rPr>
              <w:t>二、与本项目有关的现有项目污染情况</w:t>
            </w:r>
          </w:p>
          <w:p>
            <w:pPr>
              <w:pStyle w:val="12"/>
              <w:rPr>
                <w:color w:val="auto"/>
              </w:rPr>
            </w:pPr>
            <w:r>
              <w:rPr>
                <w:rFonts w:hint="eastAsia"/>
                <w:color w:val="auto"/>
              </w:rPr>
              <w:t>1、废气</w:t>
            </w:r>
          </w:p>
          <w:p>
            <w:pPr>
              <w:pStyle w:val="23"/>
              <w:ind w:firstLine="480"/>
              <w:rPr>
                <w:rFonts w:ascii="宋体" w:hAnsi="宋体"/>
                <w:color w:val="auto"/>
                <w:kern w:val="0"/>
              </w:rPr>
            </w:pPr>
            <w:r>
              <w:rPr>
                <w:color w:val="auto"/>
              </w:rPr>
              <w:t>现有项目运营期废气主要为一体化污水处理设备产生的恶臭</w:t>
            </w:r>
            <w:r>
              <w:rPr>
                <w:rFonts w:hint="eastAsia"/>
                <w:color w:val="auto"/>
                <w:lang w:eastAsia="zh-CN"/>
              </w:rPr>
              <w:t>，</w:t>
            </w:r>
            <w:r>
              <w:rPr>
                <w:rFonts w:hint="eastAsia" w:ascii="宋体" w:hAnsi="宋体"/>
                <w:color w:val="auto"/>
                <w:kern w:val="0"/>
              </w:rPr>
              <w:t>、中药房的煎药异味。</w:t>
            </w:r>
          </w:p>
          <w:p>
            <w:pPr>
              <w:pStyle w:val="23"/>
              <w:ind w:firstLine="480"/>
              <w:rPr>
                <w:rFonts w:ascii="宋体" w:hAnsi="宋体"/>
                <w:color w:val="auto"/>
                <w:kern w:val="0"/>
              </w:rPr>
            </w:pPr>
            <w:r>
              <w:rPr>
                <w:rFonts w:ascii="宋体" w:hAnsi="宋体"/>
                <w:color w:val="auto"/>
                <w:kern w:val="0"/>
              </w:rPr>
              <w:t>（</w:t>
            </w:r>
            <w:r>
              <w:rPr>
                <w:color w:val="auto"/>
                <w:kern w:val="0"/>
              </w:rPr>
              <w:t>1</w:t>
            </w:r>
            <w:r>
              <w:rPr>
                <w:rFonts w:ascii="宋体" w:hAnsi="宋体"/>
                <w:color w:val="auto"/>
                <w:kern w:val="0"/>
              </w:rPr>
              <w:t>）</w:t>
            </w:r>
            <w:r>
              <w:rPr>
                <w:rFonts w:hint="eastAsia" w:ascii="宋体" w:hAnsi="宋体"/>
                <w:color w:val="auto"/>
                <w:kern w:val="0"/>
              </w:rPr>
              <w:t>煎药异味</w:t>
            </w:r>
          </w:p>
          <w:p>
            <w:pPr>
              <w:widowControl/>
              <w:spacing w:line="360" w:lineRule="auto"/>
              <w:ind w:firstLine="480" w:firstLineChars="200"/>
              <w:jc w:val="left"/>
              <w:rPr>
                <w:color w:val="auto"/>
                <w:sz w:val="24"/>
              </w:rPr>
            </w:pPr>
            <w:r>
              <w:rPr>
                <w:rFonts w:hint="eastAsia" w:ascii="宋体" w:hAnsi="宋体"/>
                <w:color w:val="auto"/>
                <w:sz w:val="24"/>
              </w:rPr>
              <w:t>煎药机在密闭状态下运行，中药熬制完成后待其冷却后打开煎药机，进行袋装，装袋过程中仅有少量带有中药异味逸散至煎药房内。煎药房加强通风，煎药废气对周边环境影响较小。</w:t>
            </w:r>
          </w:p>
          <w:p>
            <w:pPr>
              <w:pStyle w:val="23"/>
              <w:ind w:firstLine="480"/>
              <w:rPr>
                <w:rFonts w:ascii="宋体" w:hAnsi="宋体"/>
                <w:color w:val="auto"/>
                <w:kern w:val="0"/>
              </w:rPr>
            </w:pPr>
            <w:r>
              <w:rPr>
                <w:rFonts w:ascii="宋体" w:hAnsi="宋体"/>
                <w:color w:val="auto"/>
                <w:kern w:val="0"/>
              </w:rPr>
              <w:t>（</w:t>
            </w:r>
            <w:r>
              <w:rPr>
                <w:color w:val="auto"/>
                <w:kern w:val="0"/>
              </w:rPr>
              <w:t>2</w:t>
            </w:r>
            <w:r>
              <w:rPr>
                <w:rFonts w:ascii="宋体" w:hAnsi="宋体"/>
                <w:color w:val="auto"/>
                <w:kern w:val="0"/>
              </w:rPr>
              <w:t>）</w:t>
            </w:r>
            <w:r>
              <w:rPr>
                <w:rFonts w:hint="eastAsia" w:ascii="宋体" w:hAnsi="宋体"/>
                <w:color w:val="auto"/>
                <w:kern w:val="0"/>
              </w:rPr>
              <w:t>污水处理设备恶臭</w:t>
            </w:r>
          </w:p>
          <w:p>
            <w:pPr>
              <w:pStyle w:val="12"/>
              <w:rPr>
                <w:color w:val="auto"/>
              </w:rPr>
            </w:pPr>
            <w:r>
              <w:rPr>
                <w:color w:val="auto"/>
              </w:rPr>
              <w:t>现有项目在厂区西南侧设置一套地埋式一体化污水处理设备，集中处理现有项目产生的废水。污水处理站在运营期间可能存在少量臭气。一体化污水处理设备处理能力为10m</w:t>
            </w:r>
            <w:r>
              <w:rPr>
                <w:color w:val="auto"/>
                <w:vertAlign w:val="superscript"/>
              </w:rPr>
              <w:t>3</w:t>
            </w:r>
            <w:r>
              <w:rPr>
                <w:color w:val="auto"/>
              </w:rPr>
              <w:t>/d，采用“调节池+厌氧+好氧+MBR+消毒”工艺，废水量</w:t>
            </w:r>
            <w:r>
              <w:rPr>
                <w:rFonts w:hint="eastAsia"/>
                <w:color w:val="auto"/>
                <w:lang w:val="en-US" w:eastAsia="zh-CN"/>
              </w:rPr>
              <w:t>约为2.6m</w:t>
            </w:r>
            <w:r>
              <w:rPr>
                <w:rFonts w:hint="eastAsia"/>
                <w:color w:val="auto"/>
                <w:vertAlign w:val="superscript"/>
                <w:lang w:val="en-US" w:eastAsia="zh-CN"/>
              </w:rPr>
              <w:t>3</w:t>
            </w:r>
            <w:r>
              <w:rPr>
                <w:rFonts w:hint="eastAsia"/>
                <w:color w:val="auto"/>
                <w:vertAlign w:val="baseline"/>
                <w:lang w:val="en-US" w:eastAsia="zh-CN"/>
              </w:rPr>
              <w:t>/d</w:t>
            </w:r>
            <w:r>
              <w:rPr>
                <w:color w:val="auto"/>
              </w:rPr>
              <w:t>，设施密闭，臭气产生量较少，无组织排放。</w:t>
            </w:r>
          </w:p>
          <w:p>
            <w:pPr>
              <w:pStyle w:val="12"/>
              <w:rPr>
                <w:color w:val="auto"/>
              </w:rPr>
            </w:pPr>
            <w:r>
              <w:rPr>
                <w:color w:val="auto"/>
              </w:rPr>
              <w:t>2、废水</w:t>
            </w:r>
          </w:p>
          <w:p>
            <w:pPr>
              <w:pStyle w:val="12"/>
              <w:rPr>
                <w:color w:val="auto"/>
              </w:rPr>
            </w:pPr>
            <w:r>
              <w:rPr>
                <w:rFonts w:hint="eastAsia"/>
                <w:color w:val="auto"/>
              </w:rPr>
              <w:t>现有</w:t>
            </w:r>
            <w:r>
              <w:rPr>
                <w:color w:val="auto"/>
              </w:rPr>
              <w:t>项目运营期废水主要</w:t>
            </w:r>
            <w:r>
              <w:rPr>
                <w:rFonts w:hint="eastAsia"/>
                <w:color w:val="auto"/>
              </w:rPr>
              <w:t>有</w:t>
            </w:r>
            <w:r>
              <w:rPr>
                <w:color w:val="auto"/>
              </w:rPr>
              <w:t>医疗废水和生活污水。</w:t>
            </w:r>
          </w:p>
          <w:p>
            <w:pPr>
              <w:pStyle w:val="12"/>
              <w:rPr>
                <w:color w:val="auto"/>
              </w:rPr>
            </w:pPr>
            <w:r>
              <w:rPr>
                <w:rFonts w:hint="eastAsia"/>
                <w:color w:val="auto"/>
              </w:rPr>
              <w:t>现有项目</w:t>
            </w:r>
            <w:r>
              <w:rPr>
                <w:color w:val="auto"/>
              </w:rPr>
              <w:t>影像采用计算机成像打印照片，不产生洗印废水；未开展同位素治疗，不产生放射性废水；口腔科主要使用化学试剂为双氧水及氯化钠等，不使用含汞的任何试剂；无传染病房，仅设有</w:t>
            </w:r>
            <w:r>
              <w:rPr>
                <w:rFonts w:hint="eastAsia"/>
                <w:color w:val="auto"/>
              </w:rPr>
              <w:t>发热</w:t>
            </w:r>
            <w:r>
              <w:rPr>
                <w:color w:val="auto"/>
              </w:rPr>
              <w:t>门诊，以公共卫生预防为主，无传染废水；医院检验室检验科成品直接外购（不</w:t>
            </w:r>
            <w:r>
              <w:rPr>
                <w:rFonts w:hint="eastAsia"/>
                <w:color w:val="auto"/>
              </w:rPr>
              <w:t>进行</w:t>
            </w:r>
            <w:r>
              <w:rPr>
                <w:color w:val="auto"/>
              </w:rPr>
              <w:t>手工配置氰、铬、酸试剂的化验方法），检查过程中不使用含氰、含铬、含酸的试剂，使用后的检验样品、酶试剂及试剂盒等作为医疗废物处置。</w:t>
            </w:r>
            <w:r>
              <w:rPr>
                <w:rFonts w:hint="eastAsia"/>
                <w:color w:val="auto"/>
              </w:rPr>
              <w:t>项目</w:t>
            </w:r>
            <w:r>
              <w:rPr>
                <w:color w:val="auto"/>
              </w:rPr>
              <w:t>治疗、护理、住院</w:t>
            </w:r>
            <w:r>
              <w:rPr>
                <w:rFonts w:hint="eastAsia"/>
                <w:color w:val="auto"/>
              </w:rPr>
              <w:t>等过程中产生的医疗废水（门诊部、住院部废水）与医务人员（生活污水）经一体化污水处理设施处理后进入国色天香化粪池，后市政污水管网最终进入西安市第九污水处理厂。</w:t>
            </w:r>
          </w:p>
          <w:p>
            <w:pPr>
              <w:pStyle w:val="12"/>
              <w:rPr>
                <w:color w:val="auto"/>
              </w:rPr>
            </w:pPr>
            <w:r>
              <w:rPr>
                <w:color w:val="auto"/>
              </w:rPr>
              <w:t>根据202</w:t>
            </w:r>
            <w:r>
              <w:rPr>
                <w:rFonts w:hint="eastAsia"/>
                <w:color w:val="auto"/>
              </w:rPr>
              <w:t>4</w:t>
            </w:r>
            <w:r>
              <w:rPr>
                <w:color w:val="auto"/>
              </w:rPr>
              <w:t>年</w:t>
            </w:r>
            <w:r>
              <w:rPr>
                <w:rFonts w:hint="eastAsia"/>
                <w:color w:val="auto"/>
              </w:rPr>
              <w:t>1</w:t>
            </w:r>
            <w:r>
              <w:rPr>
                <w:color w:val="auto"/>
              </w:rPr>
              <w:t>月</w:t>
            </w:r>
            <w:r>
              <w:rPr>
                <w:rFonts w:hint="eastAsia"/>
                <w:color w:val="auto"/>
              </w:rPr>
              <w:t>15</w:t>
            </w:r>
            <w:r>
              <w:rPr>
                <w:color w:val="auto"/>
              </w:rPr>
              <w:t>日</w:t>
            </w:r>
            <w:r>
              <w:rPr>
                <w:rFonts w:hint="eastAsia"/>
                <w:color w:val="auto"/>
              </w:rPr>
              <w:t>陕西科仪阳光检测技术服务有限公司</w:t>
            </w:r>
            <w:r>
              <w:rPr>
                <w:color w:val="auto"/>
              </w:rPr>
              <w:t>出具的例行监测报告</w:t>
            </w:r>
            <w:r>
              <w:rPr>
                <w:rFonts w:hint="eastAsia"/>
                <w:color w:val="auto"/>
              </w:rPr>
              <w:t>（见附件11）</w:t>
            </w:r>
            <w:r>
              <w:rPr>
                <w:color w:val="auto"/>
              </w:rPr>
              <w:t>可知，</w:t>
            </w:r>
            <w:r>
              <w:rPr>
                <w:rFonts w:hint="eastAsia"/>
                <w:color w:val="auto"/>
              </w:rPr>
              <w:t>污水处理设备出口</w:t>
            </w:r>
            <w:r>
              <w:rPr>
                <w:color w:val="auto"/>
              </w:rPr>
              <w:t>废水</w:t>
            </w:r>
            <w:r>
              <w:rPr>
                <w:rFonts w:hint="eastAsia"/>
                <w:color w:val="auto"/>
              </w:rPr>
              <w:t>pH值、悬浮物、化学需氧量、五日生化需氧量、氨氮、阴离子表面活性剂、石油类、粪大肠菌群</w:t>
            </w:r>
            <w:r>
              <w:rPr>
                <w:color w:val="auto"/>
              </w:rPr>
              <w:t>各项监测指标</w:t>
            </w:r>
            <w:r>
              <w:rPr>
                <w:rFonts w:hint="eastAsia"/>
                <w:color w:val="auto"/>
              </w:rPr>
              <w:t>除</w:t>
            </w:r>
            <w:r>
              <w:rPr>
                <w:color w:val="auto"/>
              </w:rPr>
              <w:t>氨氮无标准外，均符合《医疗机构水污染物排放标准》（GB18466-2005）表2预处理标准。</w:t>
            </w:r>
          </w:p>
          <w:p>
            <w:pPr>
              <w:pStyle w:val="12"/>
              <w:rPr>
                <w:color w:val="auto"/>
              </w:rPr>
            </w:pPr>
            <w:r>
              <w:rPr>
                <w:color w:val="auto"/>
              </w:rPr>
              <w:t>3、噪声</w:t>
            </w:r>
          </w:p>
          <w:p>
            <w:pPr>
              <w:pStyle w:val="12"/>
              <w:rPr>
                <w:color w:val="auto"/>
              </w:rPr>
            </w:pPr>
            <w:r>
              <w:rPr>
                <w:color w:val="auto"/>
              </w:rPr>
              <w:t>现有项目运营期噪声主要为</w:t>
            </w:r>
            <w:r>
              <w:rPr>
                <w:rFonts w:hint="eastAsia"/>
                <w:color w:val="auto"/>
              </w:rPr>
              <w:t>一体化污水处理设备</w:t>
            </w:r>
            <w:r>
              <w:rPr>
                <w:color w:val="auto"/>
              </w:rPr>
              <w:t>水泵噪声以及风机噪声</w:t>
            </w:r>
            <w:r>
              <w:rPr>
                <w:rFonts w:hint="eastAsia"/>
                <w:color w:val="auto"/>
              </w:rPr>
              <w:t>，噪声源强</w:t>
            </w:r>
            <w:r>
              <w:rPr>
                <w:color w:val="auto"/>
              </w:rPr>
              <w:t>为70-80dB(A)之间。</w:t>
            </w:r>
            <w:r>
              <w:rPr>
                <w:rFonts w:hint="eastAsia"/>
                <w:color w:val="auto"/>
              </w:rPr>
              <w:t>现有项目运营期噪声选用</w:t>
            </w:r>
            <w:r>
              <w:rPr>
                <w:color w:val="auto"/>
              </w:rPr>
              <w:t>低噪声设备，采取基础减振、设备间隔声等措施。</w:t>
            </w:r>
          </w:p>
          <w:p>
            <w:pPr>
              <w:pStyle w:val="12"/>
              <w:rPr>
                <w:color w:val="auto"/>
              </w:rPr>
            </w:pPr>
            <w:r>
              <w:rPr>
                <w:rFonts w:hint="eastAsia"/>
                <w:color w:val="auto"/>
              </w:rPr>
              <w:t>根据</w:t>
            </w:r>
            <w:r>
              <w:rPr>
                <w:color w:val="auto"/>
              </w:rPr>
              <w:t>2024年</w:t>
            </w:r>
            <w:r>
              <w:rPr>
                <w:rFonts w:hint="eastAsia"/>
                <w:color w:val="auto"/>
              </w:rPr>
              <w:t>4</w:t>
            </w:r>
            <w:r>
              <w:rPr>
                <w:color w:val="auto"/>
              </w:rPr>
              <w:t>月</w:t>
            </w:r>
            <w:r>
              <w:rPr>
                <w:rFonts w:hint="eastAsia"/>
                <w:color w:val="auto"/>
              </w:rPr>
              <w:t>30</w:t>
            </w:r>
            <w:r>
              <w:rPr>
                <w:color w:val="auto"/>
              </w:rPr>
              <w:t>日</w:t>
            </w:r>
            <w:r>
              <w:rPr>
                <w:rFonts w:hint="eastAsia"/>
                <w:color w:val="auto"/>
              </w:rPr>
              <w:t>西安重光明宸检测技术有限公司</w:t>
            </w:r>
            <w:r>
              <w:rPr>
                <w:color w:val="auto"/>
              </w:rPr>
              <w:t>出具的例行监测报告（见附件</w:t>
            </w:r>
            <w:r>
              <w:rPr>
                <w:rFonts w:hint="eastAsia"/>
                <w:color w:val="auto"/>
              </w:rPr>
              <w:t>5</w:t>
            </w:r>
            <w:r>
              <w:rPr>
                <w:color w:val="auto"/>
              </w:rPr>
              <w:t>）可知，现有项目北、西、南厂界噪声满足《工业企业厂界环境噪声排放标准》（GB12348-2008）1类标准，东厂界噪声满足《工业企业厂界环境噪声排放标准》（GB12348-2008）4类标准。</w:t>
            </w:r>
          </w:p>
          <w:p>
            <w:pPr>
              <w:pStyle w:val="12"/>
              <w:rPr>
                <w:color w:val="auto"/>
              </w:rPr>
            </w:pPr>
            <w:r>
              <w:rPr>
                <w:color w:val="auto"/>
              </w:rPr>
              <w:t>4、固废</w:t>
            </w:r>
          </w:p>
          <w:p>
            <w:pPr>
              <w:pStyle w:val="12"/>
              <w:rPr>
                <w:color w:val="auto"/>
              </w:rPr>
            </w:pPr>
            <w:r>
              <w:rPr>
                <w:color w:val="auto"/>
              </w:rPr>
              <w:t>现有项目运营期产生的固体废物主要为生活垃圾、废输液瓶</w:t>
            </w:r>
            <w:r>
              <w:rPr>
                <w:rFonts w:hint="eastAsia"/>
                <w:color w:val="auto"/>
              </w:rPr>
              <w:t>(</w:t>
            </w:r>
            <w:r>
              <w:rPr>
                <w:color w:val="auto"/>
              </w:rPr>
              <w:t>袋</w:t>
            </w:r>
            <w:r>
              <w:rPr>
                <w:rFonts w:hint="eastAsia"/>
                <w:color w:val="auto"/>
              </w:rPr>
              <w:t>)、</w:t>
            </w:r>
            <w:r>
              <w:rPr>
                <w:color w:val="auto"/>
              </w:rPr>
              <w:t>医疗废物、污水处理设备污泥</w:t>
            </w:r>
            <w:r>
              <w:rPr>
                <w:rFonts w:hint="eastAsia"/>
                <w:color w:val="auto"/>
              </w:rPr>
              <w:t>及消毒产生的废UV灯管</w:t>
            </w:r>
            <w:r>
              <w:rPr>
                <w:color w:val="auto"/>
              </w:rPr>
              <w:t>。</w:t>
            </w:r>
          </w:p>
          <w:p>
            <w:pPr>
              <w:pStyle w:val="12"/>
              <w:rPr>
                <w:color w:val="auto"/>
              </w:rPr>
            </w:pPr>
            <w:r>
              <w:rPr>
                <w:color w:val="auto"/>
              </w:rPr>
              <w:t>（1）生活垃圾</w:t>
            </w:r>
          </w:p>
          <w:p>
            <w:pPr>
              <w:pStyle w:val="12"/>
              <w:rPr>
                <w:color w:val="auto"/>
              </w:rPr>
            </w:pPr>
            <w:r>
              <w:rPr>
                <w:color w:val="auto"/>
              </w:rPr>
              <w:t>现有项目产生的生活垃圾通过企业布设的垃圾桶分类收集，交由当地环卫部门进行处理。</w:t>
            </w:r>
          </w:p>
          <w:p>
            <w:pPr>
              <w:pStyle w:val="23"/>
              <w:ind w:firstLine="480"/>
              <w:rPr>
                <w:rFonts w:hAnsi="Times New Roman"/>
                <w:color w:val="auto"/>
              </w:rPr>
            </w:pPr>
            <w:r>
              <w:rPr>
                <w:rFonts w:hAnsi="Times New Roman"/>
                <w:color w:val="auto"/>
              </w:rPr>
              <w:t>（2）中药残渣</w:t>
            </w:r>
          </w:p>
          <w:p>
            <w:pPr>
              <w:pStyle w:val="23"/>
              <w:ind w:firstLine="480"/>
              <w:rPr>
                <w:rFonts w:hAnsi="Times New Roman"/>
                <w:color w:val="auto"/>
              </w:rPr>
            </w:pPr>
            <w:r>
              <w:rPr>
                <w:rFonts w:hAnsi="Times New Roman"/>
                <w:color w:val="auto"/>
              </w:rPr>
              <w:t>中药</w:t>
            </w:r>
            <w:r>
              <w:rPr>
                <w:rFonts w:hint="eastAsia" w:hAnsi="Times New Roman"/>
                <w:color w:val="auto"/>
              </w:rPr>
              <w:t>材</w:t>
            </w:r>
            <w:r>
              <w:rPr>
                <w:rFonts w:hAnsi="Times New Roman"/>
                <w:color w:val="auto"/>
              </w:rPr>
              <w:t>经煎药机后产生的中药渣，不具有直接或者间接感染性，基本上也不具有毒性，中药渣不属于危险废物亦不属于医疗废物，可归属于生活垃圾处置。每日煎药量少，频次不固定，</w:t>
            </w:r>
            <w:r>
              <w:rPr>
                <w:rFonts w:hint="eastAsia" w:hAnsi="Times New Roman"/>
                <w:color w:val="auto"/>
              </w:rPr>
              <w:t>根据建设单位提供资料，</w:t>
            </w:r>
            <w:r>
              <w:rPr>
                <w:rFonts w:hAnsi="Times New Roman"/>
                <w:color w:val="auto"/>
              </w:rPr>
              <w:t>中药渣产生量为</w:t>
            </w:r>
            <w:r>
              <w:rPr>
                <w:rFonts w:hint="eastAsia" w:hAnsi="Times New Roman"/>
                <w:color w:val="auto"/>
              </w:rPr>
              <w:t>0.0</w:t>
            </w:r>
            <w:r>
              <w:rPr>
                <w:rFonts w:hint="eastAsia" w:hAnsi="Times New Roman"/>
                <w:color w:val="auto"/>
                <w:lang w:val="en-US" w:eastAsia="zh-CN"/>
              </w:rPr>
              <w:t>3</w:t>
            </w:r>
            <w:r>
              <w:rPr>
                <w:rFonts w:hint="eastAsia" w:hAnsi="Times New Roman"/>
                <w:color w:val="auto"/>
              </w:rPr>
              <w:t>t</w:t>
            </w:r>
            <w:r>
              <w:rPr>
                <w:rFonts w:hAnsi="Times New Roman"/>
                <w:color w:val="auto"/>
              </w:rPr>
              <w:t>/a。</w:t>
            </w:r>
          </w:p>
          <w:p>
            <w:pPr>
              <w:pStyle w:val="12"/>
              <w:rPr>
                <w:color w:val="auto"/>
              </w:rPr>
            </w:pPr>
            <w:r>
              <w:rPr>
                <w:color w:val="auto"/>
              </w:rPr>
              <w:t>（</w:t>
            </w:r>
            <w:r>
              <w:rPr>
                <w:rFonts w:hint="eastAsia"/>
                <w:color w:val="auto"/>
                <w:lang w:val="en-US" w:eastAsia="zh-CN"/>
              </w:rPr>
              <w:t>3</w:t>
            </w:r>
            <w:r>
              <w:rPr>
                <w:color w:val="auto"/>
              </w:rPr>
              <w:t>）废输液瓶（袋）</w:t>
            </w:r>
          </w:p>
          <w:p>
            <w:pPr>
              <w:pStyle w:val="12"/>
              <w:rPr>
                <w:color w:val="auto"/>
              </w:rPr>
            </w:pPr>
            <w:r>
              <w:rPr>
                <w:color w:val="auto"/>
              </w:rPr>
              <w:t>根据建设单位提供资料，</w:t>
            </w:r>
            <w:r>
              <w:rPr>
                <w:rFonts w:hint="eastAsia"/>
                <w:color w:val="auto"/>
              </w:rPr>
              <w:t>项目产生的各种（一次性塑料）输液瓶（袋）及废包装材料，本项目将废输液瓶（袋）暂存于专用收集容器后，交由西安泰达环保科技有限公司</w:t>
            </w:r>
            <w:r>
              <w:rPr>
                <w:color w:val="auto"/>
              </w:rPr>
              <w:t>处置</w:t>
            </w:r>
            <w:r>
              <w:rPr>
                <w:rFonts w:hint="eastAsia"/>
                <w:color w:val="auto"/>
              </w:rPr>
              <w:t>，合同详</w:t>
            </w:r>
            <w:r>
              <w:rPr>
                <w:color w:val="auto"/>
              </w:rPr>
              <w:t>见附件</w:t>
            </w:r>
            <w:r>
              <w:rPr>
                <w:rFonts w:hint="eastAsia"/>
                <w:color w:val="auto"/>
              </w:rPr>
              <w:t>12</w:t>
            </w:r>
            <w:r>
              <w:rPr>
                <w:color w:val="auto"/>
              </w:rPr>
              <w:t>。</w:t>
            </w:r>
          </w:p>
          <w:p>
            <w:pPr>
              <w:pStyle w:val="12"/>
              <w:rPr>
                <w:color w:val="auto"/>
              </w:rPr>
            </w:pPr>
            <w:r>
              <w:rPr>
                <w:color w:val="auto"/>
              </w:rPr>
              <w:t>（</w:t>
            </w:r>
            <w:r>
              <w:rPr>
                <w:rFonts w:hint="eastAsia"/>
                <w:color w:val="auto"/>
                <w:lang w:val="en-US" w:eastAsia="zh-CN"/>
              </w:rPr>
              <w:t>4</w:t>
            </w:r>
            <w:r>
              <w:rPr>
                <w:color w:val="auto"/>
              </w:rPr>
              <w:t>）医疗废物</w:t>
            </w:r>
          </w:p>
          <w:p>
            <w:pPr>
              <w:pStyle w:val="12"/>
              <w:rPr>
                <w:color w:val="auto"/>
              </w:rPr>
            </w:pPr>
            <w:r>
              <w:rPr>
                <w:color w:val="auto"/>
              </w:rPr>
              <w:t>根据建设单位提供资料，现有项目</w:t>
            </w:r>
            <w:r>
              <w:rPr>
                <w:rFonts w:hint="eastAsia"/>
                <w:color w:val="auto"/>
              </w:rPr>
              <w:t>在住院、门诊、化验、治疗过程会产生医疗废物，分类收集后暂存于危险废物贮存设施，</w:t>
            </w:r>
            <w:r>
              <w:rPr>
                <w:color w:val="auto"/>
              </w:rPr>
              <w:t>定期交由</w:t>
            </w:r>
            <w:r>
              <w:rPr>
                <w:rFonts w:hint="eastAsia"/>
                <w:color w:val="auto"/>
              </w:rPr>
              <w:t>西安卫达实业发展有限公司</w:t>
            </w:r>
            <w:r>
              <w:rPr>
                <w:color w:val="auto"/>
              </w:rPr>
              <w:t>处置</w:t>
            </w:r>
            <w:r>
              <w:rPr>
                <w:rFonts w:hint="eastAsia"/>
                <w:color w:val="auto"/>
              </w:rPr>
              <w:t>，合同详</w:t>
            </w:r>
            <w:r>
              <w:rPr>
                <w:color w:val="auto"/>
              </w:rPr>
              <w:t>见附件1</w:t>
            </w:r>
            <w:r>
              <w:rPr>
                <w:rFonts w:hint="eastAsia"/>
                <w:color w:val="auto"/>
              </w:rPr>
              <w:t>3</w:t>
            </w:r>
            <w:r>
              <w:rPr>
                <w:color w:val="auto"/>
              </w:rPr>
              <w:t>。</w:t>
            </w:r>
          </w:p>
          <w:p>
            <w:pPr>
              <w:pStyle w:val="12"/>
              <w:rPr>
                <w:color w:val="auto"/>
              </w:rPr>
            </w:pPr>
            <w:r>
              <w:rPr>
                <w:color w:val="auto"/>
              </w:rPr>
              <w:t>（</w:t>
            </w:r>
            <w:r>
              <w:rPr>
                <w:rFonts w:hint="eastAsia"/>
                <w:color w:val="auto"/>
                <w:lang w:val="en-US" w:eastAsia="zh-CN"/>
              </w:rPr>
              <w:t>5</w:t>
            </w:r>
            <w:r>
              <w:rPr>
                <w:color w:val="auto"/>
              </w:rPr>
              <w:t>）</w:t>
            </w:r>
            <w:r>
              <w:rPr>
                <w:rFonts w:hint="eastAsia"/>
                <w:color w:val="auto"/>
              </w:rPr>
              <w:t>污泥</w:t>
            </w:r>
          </w:p>
          <w:p>
            <w:pPr>
              <w:pStyle w:val="12"/>
              <w:rPr>
                <w:color w:val="auto"/>
              </w:rPr>
            </w:pPr>
            <w:r>
              <w:rPr>
                <w:color w:val="auto"/>
              </w:rPr>
              <w:t>本项目</w:t>
            </w:r>
            <w:r>
              <w:rPr>
                <w:rFonts w:hint="eastAsia"/>
                <w:color w:val="auto"/>
              </w:rPr>
              <w:t>一体化污水处理设备运行过程中会产生污泥，定期</w:t>
            </w:r>
            <w:r>
              <w:rPr>
                <w:color w:val="auto"/>
              </w:rPr>
              <w:t>由有资质单位定期抽取清掏</w:t>
            </w:r>
            <w:r>
              <w:rPr>
                <w:rFonts w:hint="eastAsia"/>
                <w:color w:val="auto"/>
              </w:rPr>
              <w:t>处置</w:t>
            </w:r>
            <w:r>
              <w:rPr>
                <w:color w:val="auto"/>
              </w:rPr>
              <w:t>。</w:t>
            </w:r>
          </w:p>
          <w:p>
            <w:pPr>
              <w:pStyle w:val="12"/>
              <w:rPr>
                <w:color w:val="auto"/>
              </w:rPr>
            </w:pPr>
            <w:r>
              <w:rPr>
                <w:rFonts w:hint="eastAsia"/>
                <w:color w:val="auto"/>
              </w:rPr>
              <w:t>（</w:t>
            </w:r>
            <w:r>
              <w:rPr>
                <w:rFonts w:hint="eastAsia"/>
                <w:color w:val="auto"/>
                <w:lang w:val="en-US" w:eastAsia="zh-CN"/>
              </w:rPr>
              <w:t>6</w:t>
            </w:r>
            <w:r>
              <w:rPr>
                <w:rFonts w:hint="eastAsia"/>
                <w:color w:val="auto"/>
              </w:rPr>
              <w:t>）废UV灯管</w:t>
            </w:r>
          </w:p>
          <w:p>
            <w:pPr>
              <w:pStyle w:val="12"/>
              <w:rPr>
                <w:color w:val="auto"/>
              </w:rPr>
            </w:pPr>
            <w:r>
              <w:rPr>
                <w:rFonts w:hint="eastAsia"/>
                <w:color w:val="auto"/>
              </w:rPr>
              <w:t>一体化污水处理设备出水采用紫外灯进行消毒，因此会产生废UV灯管，属于危险废物，定期交有资质单位处置。</w:t>
            </w:r>
          </w:p>
          <w:p>
            <w:pPr>
              <w:spacing w:line="348" w:lineRule="auto"/>
              <w:ind w:firstLine="480"/>
              <w:rPr>
                <w:color w:val="auto"/>
              </w:rPr>
            </w:pPr>
            <w:r>
              <w:rPr>
                <w:rFonts w:ascii="宋体" w:hAnsi="宋体"/>
                <w:color w:val="auto"/>
              </w:rPr>
              <w:t>根据建设单位提供资料，现有项目</w:t>
            </w:r>
            <w:r>
              <w:rPr>
                <w:rFonts w:hint="eastAsia" w:ascii="宋体" w:hAnsi="宋体"/>
                <w:color w:val="auto"/>
              </w:rPr>
              <w:t>固体废弃物产生情况见下</w:t>
            </w:r>
            <w:r>
              <w:rPr>
                <w:rFonts w:ascii="宋体" w:hAnsi="宋体"/>
                <w:color w:val="auto"/>
              </w:rPr>
              <w:t>表。</w:t>
            </w:r>
          </w:p>
          <w:p>
            <w:pPr>
              <w:pStyle w:val="15"/>
              <w:rPr>
                <w:color w:val="auto"/>
              </w:rPr>
            </w:pPr>
            <w:r>
              <w:rPr>
                <w:color w:val="auto"/>
              </w:rPr>
              <w:t>表</w:t>
            </w:r>
            <w:r>
              <w:rPr>
                <w:rFonts w:hint="eastAsia"/>
                <w:color w:val="auto"/>
              </w:rPr>
              <w:t>2-</w:t>
            </w:r>
            <w:r>
              <w:rPr>
                <w:color w:val="auto"/>
              </w:rPr>
              <w:t>6  现有项目</w:t>
            </w:r>
            <w:r>
              <w:rPr>
                <w:rFonts w:hint="eastAsia" w:ascii="宋体" w:hAnsi="宋体"/>
                <w:color w:val="auto"/>
              </w:rPr>
              <w:t>固体废弃物产生情况</w:t>
            </w:r>
            <w:r>
              <w:rPr>
                <w:color w:val="auto"/>
              </w:rPr>
              <w:t>汇总</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1984"/>
              <w:gridCol w:w="852"/>
              <w:gridCol w:w="994"/>
              <w:gridCol w:w="170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szCs w:val="21"/>
                    </w:rPr>
                  </w:pPr>
                  <w:r>
                    <w:rPr>
                      <w:rFonts w:hint="eastAsia" w:hAnsi="宋体"/>
                      <w:color w:val="auto"/>
                    </w:rPr>
                    <w:t>名称</w:t>
                  </w:r>
                </w:p>
              </w:tc>
              <w:tc>
                <w:tcPr>
                  <w:tcW w:w="1215"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危险废物代码</w:t>
                  </w:r>
                </w:p>
              </w:tc>
              <w:tc>
                <w:tcPr>
                  <w:tcW w:w="522"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产生量（</w:t>
                  </w:r>
                  <w:r>
                    <w:rPr>
                      <w:rFonts w:hint="eastAsia"/>
                      <w:color w:val="auto"/>
                    </w:rPr>
                    <w:t>t/a</w:t>
                  </w:r>
                  <w:r>
                    <w:rPr>
                      <w:rFonts w:hint="eastAsia" w:ascii="宋体" w:hAnsi="宋体"/>
                      <w:color w:val="auto"/>
                    </w:rPr>
                    <w:t>）</w:t>
                  </w:r>
                </w:p>
              </w:tc>
              <w:tc>
                <w:tcPr>
                  <w:tcW w:w="609"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产生工序及装置</w:t>
                  </w:r>
                </w:p>
              </w:tc>
              <w:tc>
                <w:tcPr>
                  <w:tcW w:w="1041"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主要/害成分</w:t>
                  </w:r>
                </w:p>
              </w:tc>
              <w:tc>
                <w:tcPr>
                  <w:tcW w:w="1068"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pct"/>
                  <w:vMerge w:val="restart"/>
                  <w:tcBorders>
                    <w:top w:val="nil"/>
                    <w:left w:val="single" w:color="auto" w:sz="4" w:space="0"/>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Ansi="宋体"/>
                      <w:color w:val="auto"/>
                    </w:rPr>
                    <w:t>医疗废物</w:t>
                  </w:r>
                </w:p>
              </w:tc>
              <w:tc>
                <w:tcPr>
                  <w:tcW w:w="1215"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感染性废物</w:t>
                  </w:r>
                  <w:r>
                    <w:rPr>
                      <w:rFonts w:hint="eastAsia"/>
                      <w:color w:val="auto"/>
                    </w:rPr>
                    <w:t>HW01</w:t>
                  </w:r>
                </w:p>
                <w:p>
                  <w:pPr>
                    <w:snapToGrid w:val="0"/>
                    <w:spacing w:line="240" w:lineRule="atLeast"/>
                    <w:ind w:left="-105" w:leftChars="-50" w:right="-105" w:rightChars="-50"/>
                    <w:jc w:val="center"/>
                    <w:rPr>
                      <w:rFonts w:hAnsi="宋体"/>
                      <w:color w:val="auto"/>
                    </w:rPr>
                  </w:pPr>
                  <w:r>
                    <w:rPr>
                      <w:rFonts w:hint="eastAsia" w:hAnsi="宋体"/>
                      <w:color w:val="auto"/>
                    </w:rPr>
                    <w:t>841-001-01</w:t>
                  </w:r>
                </w:p>
              </w:tc>
              <w:tc>
                <w:tcPr>
                  <w:tcW w:w="522"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2.2237</w:t>
                  </w:r>
                </w:p>
              </w:tc>
              <w:tc>
                <w:tcPr>
                  <w:tcW w:w="609" w:type="pct"/>
                  <w:vMerge w:val="restart"/>
                  <w:tcBorders>
                    <w:top w:val="nil"/>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门诊、住院、化验、过程</w:t>
                  </w:r>
                </w:p>
              </w:tc>
              <w:tc>
                <w:tcPr>
                  <w:tcW w:w="1041" w:type="pct"/>
                  <w:vMerge w:val="restart"/>
                  <w:tcBorders>
                    <w:top w:val="nil"/>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废注射器、废敷料、废棉球和废医用手套、损伤性废物、废试剂、化验废液、废药物等</w:t>
                  </w:r>
                </w:p>
              </w:tc>
              <w:tc>
                <w:tcPr>
                  <w:tcW w:w="1068" w:type="pct"/>
                  <w:vMerge w:val="restart"/>
                  <w:tcBorders>
                    <w:top w:val="nil"/>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分类收集后，分别暂存于危险废物贮存设施，定期交由西安卫达实业发展有限公司处置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olor w:val="auto"/>
                      <w:szCs w:val="21"/>
                    </w:rPr>
                  </w:pPr>
                </w:p>
              </w:tc>
              <w:tc>
                <w:tcPr>
                  <w:tcW w:w="1215"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损伤性废物</w:t>
                  </w:r>
                  <w:r>
                    <w:rPr>
                      <w:rFonts w:hint="eastAsia"/>
                      <w:color w:val="auto"/>
                    </w:rPr>
                    <w:t>HW01</w:t>
                  </w:r>
                </w:p>
                <w:p>
                  <w:pPr>
                    <w:snapToGrid w:val="0"/>
                    <w:spacing w:line="240" w:lineRule="atLeast"/>
                    <w:ind w:left="-105" w:leftChars="-50" w:right="-105" w:rightChars="-50"/>
                    <w:jc w:val="center"/>
                    <w:rPr>
                      <w:rFonts w:hAnsi="宋体"/>
                      <w:color w:val="auto"/>
                    </w:rPr>
                  </w:pPr>
                  <w:r>
                    <w:rPr>
                      <w:rFonts w:hint="eastAsia" w:hAnsi="宋体"/>
                      <w:color w:val="auto"/>
                    </w:rPr>
                    <w:t>841-002-01</w:t>
                  </w:r>
                </w:p>
              </w:tc>
              <w:tc>
                <w:tcPr>
                  <w:tcW w:w="522"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0.3288</w:t>
                  </w:r>
                </w:p>
              </w:tc>
              <w:tc>
                <w:tcPr>
                  <w:tcW w:w="609" w:type="pct"/>
                  <w:vMerge w:val="continue"/>
                  <w:tcBorders>
                    <w:top w:val="nil"/>
                    <w:left w:val="nil"/>
                    <w:bottom w:val="single" w:color="auto" w:sz="4" w:space="0"/>
                    <w:right w:val="single" w:color="auto" w:sz="4" w:space="0"/>
                  </w:tcBorders>
                  <w:vAlign w:val="center"/>
                </w:tcPr>
                <w:p>
                  <w:pPr>
                    <w:widowControl/>
                    <w:jc w:val="left"/>
                    <w:rPr>
                      <w:rFonts w:hAnsi="宋体"/>
                      <w:color w:val="auto"/>
                      <w:szCs w:val="21"/>
                    </w:rPr>
                  </w:pPr>
                </w:p>
              </w:tc>
              <w:tc>
                <w:tcPr>
                  <w:tcW w:w="1041" w:type="pct"/>
                  <w:vMerge w:val="continue"/>
                  <w:tcBorders>
                    <w:top w:val="nil"/>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p>
              </w:tc>
              <w:tc>
                <w:tcPr>
                  <w:tcW w:w="1068" w:type="pct"/>
                  <w:vMerge w:val="continue"/>
                  <w:tcBorders>
                    <w:top w:val="nil"/>
                    <w:left w:val="nil"/>
                    <w:bottom w:val="single" w:color="auto" w:sz="4" w:space="0"/>
                    <w:right w:val="single" w:color="auto" w:sz="4" w:space="0"/>
                  </w:tcBorders>
                  <w:vAlign w:val="center"/>
                </w:tcPr>
                <w:p>
                  <w:pPr>
                    <w:widowControl/>
                    <w:jc w:val="left"/>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olor w:val="auto"/>
                      <w:szCs w:val="21"/>
                    </w:rPr>
                  </w:pPr>
                </w:p>
              </w:tc>
              <w:tc>
                <w:tcPr>
                  <w:tcW w:w="1215"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药物性废物</w:t>
                  </w:r>
                  <w:r>
                    <w:rPr>
                      <w:rFonts w:hint="eastAsia"/>
                      <w:color w:val="auto"/>
                    </w:rPr>
                    <w:t>HW01</w:t>
                  </w:r>
                </w:p>
                <w:p>
                  <w:pPr>
                    <w:snapToGrid w:val="0"/>
                    <w:spacing w:line="240" w:lineRule="atLeast"/>
                    <w:ind w:left="-105" w:leftChars="-50" w:right="-105" w:rightChars="-50"/>
                    <w:jc w:val="center"/>
                    <w:rPr>
                      <w:rFonts w:hAnsi="宋体"/>
                      <w:color w:val="auto"/>
                    </w:rPr>
                  </w:pPr>
                  <w:r>
                    <w:rPr>
                      <w:rFonts w:hint="eastAsia" w:hAnsi="宋体"/>
                      <w:color w:val="auto"/>
                    </w:rPr>
                    <w:t>841-005-01</w:t>
                  </w:r>
                </w:p>
              </w:tc>
              <w:tc>
                <w:tcPr>
                  <w:tcW w:w="522"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0.1</w:t>
                  </w:r>
                </w:p>
              </w:tc>
              <w:tc>
                <w:tcPr>
                  <w:tcW w:w="609" w:type="pct"/>
                  <w:vMerge w:val="continue"/>
                  <w:tcBorders>
                    <w:top w:val="nil"/>
                    <w:left w:val="nil"/>
                    <w:bottom w:val="single" w:color="auto" w:sz="4" w:space="0"/>
                    <w:right w:val="single" w:color="auto" w:sz="4" w:space="0"/>
                  </w:tcBorders>
                  <w:vAlign w:val="center"/>
                </w:tcPr>
                <w:p>
                  <w:pPr>
                    <w:widowControl/>
                    <w:jc w:val="left"/>
                    <w:rPr>
                      <w:rFonts w:hAnsi="宋体"/>
                      <w:color w:val="auto"/>
                      <w:szCs w:val="21"/>
                    </w:rPr>
                  </w:pPr>
                </w:p>
              </w:tc>
              <w:tc>
                <w:tcPr>
                  <w:tcW w:w="1041" w:type="pct"/>
                  <w:vMerge w:val="continue"/>
                  <w:tcBorders>
                    <w:top w:val="nil"/>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p>
              </w:tc>
              <w:tc>
                <w:tcPr>
                  <w:tcW w:w="1068" w:type="pct"/>
                  <w:vMerge w:val="continue"/>
                  <w:tcBorders>
                    <w:top w:val="nil"/>
                    <w:left w:val="nil"/>
                    <w:bottom w:val="single" w:color="auto" w:sz="4" w:space="0"/>
                    <w:right w:val="single" w:color="auto" w:sz="4" w:space="0"/>
                  </w:tcBorders>
                  <w:vAlign w:val="center"/>
                </w:tcPr>
                <w:p>
                  <w:pPr>
                    <w:widowControl/>
                    <w:jc w:val="left"/>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olor w:val="auto"/>
                      <w:szCs w:val="21"/>
                    </w:rPr>
                  </w:pPr>
                </w:p>
              </w:tc>
              <w:tc>
                <w:tcPr>
                  <w:tcW w:w="1215"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化学性废物</w:t>
                  </w:r>
                  <w:r>
                    <w:rPr>
                      <w:rFonts w:hint="eastAsia"/>
                      <w:color w:val="auto"/>
                    </w:rPr>
                    <w:t>HW01</w:t>
                  </w:r>
                </w:p>
                <w:p>
                  <w:pPr>
                    <w:snapToGrid w:val="0"/>
                    <w:spacing w:line="240" w:lineRule="atLeast"/>
                    <w:ind w:left="-105" w:leftChars="-50" w:right="-105" w:rightChars="-50"/>
                    <w:jc w:val="center"/>
                    <w:rPr>
                      <w:rFonts w:hAnsi="宋体"/>
                      <w:color w:val="auto"/>
                    </w:rPr>
                  </w:pPr>
                  <w:r>
                    <w:rPr>
                      <w:rFonts w:hint="eastAsia" w:hAnsi="宋体"/>
                      <w:color w:val="auto"/>
                    </w:rPr>
                    <w:t>841-004-01</w:t>
                  </w:r>
                </w:p>
              </w:tc>
              <w:tc>
                <w:tcPr>
                  <w:tcW w:w="522"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0.1</w:t>
                  </w:r>
                </w:p>
              </w:tc>
              <w:tc>
                <w:tcPr>
                  <w:tcW w:w="609" w:type="pct"/>
                  <w:vMerge w:val="continue"/>
                  <w:tcBorders>
                    <w:top w:val="nil"/>
                    <w:left w:val="nil"/>
                    <w:bottom w:val="single" w:color="auto" w:sz="4" w:space="0"/>
                    <w:right w:val="single" w:color="auto" w:sz="4" w:space="0"/>
                  </w:tcBorders>
                  <w:vAlign w:val="center"/>
                </w:tcPr>
                <w:p>
                  <w:pPr>
                    <w:widowControl/>
                    <w:jc w:val="left"/>
                    <w:rPr>
                      <w:rFonts w:hAnsi="宋体"/>
                      <w:color w:val="auto"/>
                      <w:szCs w:val="21"/>
                    </w:rPr>
                  </w:pPr>
                </w:p>
              </w:tc>
              <w:tc>
                <w:tcPr>
                  <w:tcW w:w="1041" w:type="pct"/>
                  <w:vMerge w:val="continue"/>
                  <w:tcBorders>
                    <w:top w:val="nil"/>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p>
              </w:tc>
              <w:tc>
                <w:tcPr>
                  <w:tcW w:w="1068" w:type="pct"/>
                  <w:vMerge w:val="continue"/>
                  <w:tcBorders>
                    <w:top w:val="nil"/>
                    <w:left w:val="nil"/>
                    <w:bottom w:val="single" w:color="auto" w:sz="4" w:space="0"/>
                    <w:right w:val="single" w:color="auto" w:sz="4" w:space="0"/>
                  </w:tcBorders>
                  <w:vAlign w:val="center"/>
                </w:tcPr>
                <w:p>
                  <w:pPr>
                    <w:widowControl/>
                    <w:jc w:val="left"/>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pct"/>
                  <w:tcBorders>
                    <w:top w:val="nil"/>
                    <w:left w:val="single" w:color="auto" w:sz="4" w:space="0"/>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污泥</w:t>
                  </w:r>
                </w:p>
              </w:tc>
              <w:tc>
                <w:tcPr>
                  <w:tcW w:w="1215"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HW01</w:t>
                  </w:r>
                </w:p>
                <w:p>
                  <w:pPr>
                    <w:snapToGrid w:val="0"/>
                    <w:spacing w:line="240" w:lineRule="atLeast"/>
                    <w:ind w:left="-105" w:leftChars="-50" w:right="-105" w:rightChars="-50"/>
                    <w:jc w:val="center"/>
                    <w:rPr>
                      <w:rFonts w:hAnsi="宋体"/>
                      <w:color w:val="auto"/>
                    </w:rPr>
                  </w:pPr>
                  <w:r>
                    <w:rPr>
                      <w:rFonts w:hint="eastAsia" w:hAnsi="宋体"/>
                      <w:color w:val="auto"/>
                    </w:rPr>
                    <w:t>841-001-01</w:t>
                  </w:r>
                </w:p>
              </w:tc>
              <w:tc>
                <w:tcPr>
                  <w:tcW w:w="522"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0.4</w:t>
                  </w:r>
                </w:p>
              </w:tc>
              <w:tc>
                <w:tcPr>
                  <w:tcW w:w="609" w:type="pct"/>
                  <w:vMerge w:val="restart"/>
                  <w:tcBorders>
                    <w:top w:val="nil"/>
                    <w:left w:val="nil"/>
                    <w:right w:val="single" w:color="auto" w:sz="4" w:space="0"/>
                  </w:tcBorders>
                  <w:vAlign w:val="center"/>
                </w:tcPr>
                <w:p>
                  <w:pPr>
                    <w:snapToGrid w:val="0"/>
                    <w:spacing w:line="240" w:lineRule="atLeast"/>
                    <w:ind w:left="-105" w:leftChars="-50" w:right="-105" w:rightChars="-50"/>
                    <w:jc w:val="center"/>
                    <w:rPr>
                      <w:rFonts w:hAnsi="宋体"/>
                      <w:color w:val="auto"/>
                    </w:rPr>
                  </w:pPr>
                  <w:r>
                    <w:rPr>
                      <w:rFonts w:hAnsi="宋体"/>
                      <w:color w:val="auto"/>
                    </w:rPr>
                    <w:t>污水处理站</w:t>
                  </w:r>
                </w:p>
              </w:tc>
              <w:tc>
                <w:tcPr>
                  <w:tcW w:w="1041" w:type="pct"/>
                  <w:tcBorders>
                    <w:top w:val="nil"/>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Ansi="宋体"/>
                      <w:color w:val="auto"/>
                    </w:rPr>
                    <w:t>有机残片、细菌菌体、无机颗粒、胶体等</w:t>
                  </w:r>
                </w:p>
              </w:tc>
              <w:tc>
                <w:tcPr>
                  <w:tcW w:w="1068" w:type="pct"/>
                  <w:tcBorders>
                    <w:top w:val="nil"/>
                    <w:left w:val="nil"/>
                    <w:bottom w:val="single" w:color="auto" w:sz="4" w:space="0"/>
                    <w:right w:val="single" w:color="auto" w:sz="4" w:space="0"/>
                  </w:tcBorders>
                  <w:vAlign w:val="center"/>
                </w:tcPr>
                <w:p>
                  <w:pPr>
                    <w:rPr>
                      <w:rFonts w:hAnsi="宋体"/>
                      <w:color w:val="auto"/>
                    </w:rPr>
                  </w:pPr>
                  <w:r>
                    <w:rPr>
                      <w:rFonts w:ascii="宋体" w:hAnsi="宋体"/>
                      <w:color w:val="auto"/>
                    </w:rPr>
                    <w:t>消毒后，</w:t>
                  </w:r>
                  <w:r>
                    <w:rPr>
                      <w:rFonts w:hint="eastAsia" w:ascii="宋体" w:hAnsi="宋体"/>
                      <w:color w:val="auto"/>
                    </w:rPr>
                    <w:t>由</w:t>
                  </w:r>
                  <w:r>
                    <w:rPr>
                      <w:rFonts w:ascii="宋体" w:hAnsi="宋体"/>
                      <w:color w:val="auto"/>
                    </w:rPr>
                    <w:t>有资质单位抽吸清运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pct"/>
                  <w:tcBorders>
                    <w:top w:val="nil"/>
                    <w:left w:val="single" w:color="auto" w:sz="4" w:space="0"/>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UV</w:t>
                  </w:r>
                  <w:r>
                    <w:rPr>
                      <w:rFonts w:hint="eastAsia" w:ascii="宋体" w:hAnsi="宋体"/>
                      <w:color w:val="auto"/>
                    </w:rPr>
                    <w:t>灯管</w:t>
                  </w:r>
                </w:p>
              </w:tc>
              <w:tc>
                <w:tcPr>
                  <w:tcW w:w="1215"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HW029</w:t>
                  </w:r>
                </w:p>
                <w:p>
                  <w:pPr>
                    <w:snapToGrid w:val="0"/>
                    <w:spacing w:line="240" w:lineRule="atLeast"/>
                    <w:ind w:left="-105" w:leftChars="-50" w:right="-105" w:rightChars="-50"/>
                    <w:jc w:val="center"/>
                    <w:rPr>
                      <w:rFonts w:hAnsi="宋体"/>
                      <w:color w:val="auto"/>
                    </w:rPr>
                  </w:pPr>
                  <w:r>
                    <w:rPr>
                      <w:rFonts w:hint="eastAsia" w:hAnsi="宋体"/>
                      <w:color w:val="auto"/>
                    </w:rPr>
                    <w:t>900-023-29</w:t>
                  </w:r>
                </w:p>
              </w:tc>
              <w:tc>
                <w:tcPr>
                  <w:tcW w:w="522"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0.01</w:t>
                  </w:r>
                </w:p>
              </w:tc>
              <w:tc>
                <w:tcPr>
                  <w:tcW w:w="609" w:type="pct"/>
                  <w:vMerge w:val="continue"/>
                  <w:tcBorders>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p>
              </w:tc>
              <w:tc>
                <w:tcPr>
                  <w:tcW w:w="1041" w:type="pct"/>
                  <w:tcBorders>
                    <w:top w:val="nil"/>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HN</w:t>
                  </w:r>
                  <w:r>
                    <w:rPr>
                      <w:rFonts w:hint="eastAsia" w:hAnsi="宋体"/>
                      <w:color w:val="auto"/>
                      <w:vertAlign w:val="subscript"/>
                    </w:rPr>
                    <w:t>3</w:t>
                  </w:r>
                  <w:r>
                    <w:rPr>
                      <w:rFonts w:hint="eastAsia" w:hAnsi="宋体"/>
                      <w:color w:val="auto"/>
                    </w:rPr>
                    <w:t>、H</w:t>
                  </w:r>
                  <w:r>
                    <w:rPr>
                      <w:rFonts w:hint="eastAsia" w:hAnsi="宋体"/>
                      <w:color w:val="auto"/>
                      <w:vertAlign w:val="subscript"/>
                    </w:rPr>
                    <w:t>2</w:t>
                  </w:r>
                  <w:r>
                    <w:rPr>
                      <w:rFonts w:hint="eastAsia" w:hAnsi="宋体"/>
                      <w:color w:val="auto"/>
                    </w:rPr>
                    <w:t>S、臭气浓度</w:t>
                  </w:r>
                </w:p>
              </w:tc>
              <w:tc>
                <w:tcPr>
                  <w:tcW w:w="1068" w:type="pct"/>
                  <w:tcBorders>
                    <w:top w:val="nil"/>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分类收集后，暂存于危险废物贮存设施，定期交有资质单位处置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pct"/>
                  <w:tcBorders>
                    <w:top w:val="nil"/>
                    <w:left w:val="single" w:color="auto" w:sz="4" w:space="0"/>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废输液瓶（袋）</w:t>
                  </w:r>
                </w:p>
              </w:tc>
              <w:tc>
                <w:tcPr>
                  <w:tcW w:w="1215"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w:t>
                  </w:r>
                </w:p>
              </w:tc>
              <w:tc>
                <w:tcPr>
                  <w:tcW w:w="522"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1.0</w:t>
                  </w:r>
                </w:p>
              </w:tc>
              <w:tc>
                <w:tcPr>
                  <w:tcW w:w="609" w:type="pct"/>
                  <w:tcBorders>
                    <w:top w:val="nil"/>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输液过程</w:t>
                  </w:r>
                </w:p>
              </w:tc>
              <w:tc>
                <w:tcPr>
                  <w:tcW w:w="1041" w:type="pct"/>
                  <w:tcBorders>
                    <w:top w:val="nil"/>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玻璃/塑料</w:t>
                  </w:r>
                </w:p>
              </w:tc>
              <w:tc>
                <w:tcPr>
                  <w:tcW w:w="1068" w:type="pct"/>
                  <w:tcBorders>
                    <w:top w:val="nil"/>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暂存于专用收集容器后，交由西安泰达环保科技有限公司</w:t>
                  </w:r>
                  <w:r>
                    <w:rPr>
                      <w:rFonts w:hAnsi="宋体"/>
                      <w:color w:val="auto"/>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生活垃圾</w:t>
                  </w:r>
                </w:p>
              </w:tc>
              <w:tc>
                <w:tcPr>
                  <w:tcW w:w="1215"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w:t>
                  </w:r>
                </w:p>
              </w:tc>
              <w:tc>
                <w:tcPr>
                  <w:tcW w:w="522"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1.55</w:t>
                  </w:r>
                </w:p>
              </w:tc>
              <w:tc>
                <w:tcPr>
                  <w:tcW w:w="609"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日常生活</w:t>
                  </w:r>
                </w:p>
              </w:tc>
              <w:tc>
                <w:tcPr>
                  <w:tcW w:w="1041"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生活垃圾</w:t>
                  </w:r>
                </w:p>
              </w:tc>
              <w:tc>
                <w:tcPr>
                  <w:tcW w:w="1068" w:type="pct"/>
                  <w:vMerge w:val="restart"/>
                  <w:tcBorders>
                    <w:top w:val="single" w:color="auto" w:sz="4" w:space="0"/>
                    <w:left w:val="nil"/>
                    <w:right w:val="single" w:color="auto" w:sz="4" w:space="0"/>
                  </w:tcBorders>
                  <w:vAlign w:val="center"/>
                </w:tcPr>
                <w:p>
                  <w:pPr>
                    <w:snapToGrid w:val="0"/>
                    <w:spacing w:line="240" w:lineRule="atLeast"/>
                    <w:ind w:left="-105" w:leftChars="-50" w:right="-105" w:rightChars="-50"/>
                    <w:jc w:val="center"/>
                    <w:rPr>
                      <w:rFonts w:hAnsi="宋体"/>
                      <w:color w:val="auto"/>
                    </w:rPr>
                  </w:pPr>
                  <w:r>
                    <w:rPr>
                      <w:rFonts w:hint="eastAsia" w:hAnsi="宋体"/>
                      <w:color w:val="auto"/>
                    </w:rPr>
                    <w:t>分类的收集后交由环卫部门处理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pct"/>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05" w:leftChars="-50" w:right="-105" w:rightChars="-50"/>
                    <w:jc w:val="center"/>
                    <w:rPr>
                      <w:rFonts w:hint="eastAsia" w:hAnsi="宋体"/>
                      <w:color w:val="auto"/>
                    </w:rPr>
                  </w:pPr>
                  <w:r>
                    <w:rPr>
                      <w:rFonts w:hint="eastAsia" w:hAnsi="宋体"/>
                      <w:color w:val="auto"/>
                    </w:rPr>
                    <w:t>中药残渣</w:t>
                  </w:r>
                </w:p>
              </w:tc>
              <w:tc>
                <w:tcPr>
                  <w:tcW w:w="1215"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int="eastAsia" w:hAnsi="宋体"/>
                      <w:color w:val="auto"/>
                    </w:rPr>
                  </w:pPr>
                  <w:r>
                    <w:rPr>
                      <w:rFonts w:hint="eastAsia" w:hAnsi="宋体"/>
                      <w:color w:val="auto"/>
                    </w:rPr>
                    <w:t>/</w:t>
                  </w:r>
                </w:p>
              </w:tc>
              <w:tc>
                <w:tcPr>
                  <w:tcW w:w="522"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int="eastAsia" w:hAnsi="宋体" w:eastAsia="宋体"/>
                      <w:color w:val="auto"/>
                      <w:lang w:eastAsia="zh-CN"/>
                    </w:rPr>
                  </w:pPr>
                  <w:r>
                    <w:rPr>
                      <w:rFonts w:hint="eastAsia" w:hAnsi="宋体"/>
                      <w:color w:val="auto"/>
                    </w:rPr>
                    <w:t>0.0</w:t>
                  </w:r>
                  <w:r>
                    <w:rPr>
                      <w:rFonts w:hint="eastAsia" w:hAnsi="宋体"/>
                      <w:color w:val="auto"/>
                      <w:lang w:val="en-US" w:eastAsia="zh-CN"/>
                    </w:rPr>
                    <w:t>3</w:t>
                  </w:r>
                </w:p>
              </w:tc>
              <w:tc>
                <w:tcPr>
                  <w:tcW w:w="609"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int="eastAsia" w:hAnsi="宋体"/>
                      <w:color w:val="auto"/>
                    </w:rPr>
                  </w:pPr>
                  <w:r>
                    <w:rPr>
                      <w:rFonts w:hint="eastAsia" w:hAnsi="宋体"/>
                      <w:color w:val="auto"/>
                    </w:rPr>
                    <w:t>煎药过程</w:t>
                  </w:r>
                </w:p>
              </w:tc>
              <w:tc>
                <w:tcPr>
                  <w:tcW w:w="1041" w:type="pct"/>
                  <w:tcBorders>
                    <w:top w:val="single" w:color="auto" w:sz="4" w:space="0"/>
                    <w:left w:val="nil"/>
                    <w:bottom w:val="single" w:color="auto" w:sz="4" w:space="0"/>
                    <w:right w:val="single" w:color="auto" w:sz="4" w:space="0"/>
                  </w:tcBorders>
                  <w:vAlign w:val="center"/>
                </w:tcPr>
                <w:p>
                  <w:pPr>
                    <w:snapToGrid w:val="0"/>
                    <w:spacing w:line="240" w:lineRule="atLeast"/>
                    <w:ind w:left="-105" w:leftChars="-50" w:right="-105" w:rightChars="-50"/>
                    <w:jc w:val="center"/>
                    <w:rPr>
                      <w:rFonts w:hint="eastAsia" w:hAnsi="宋体"/>
                      <w:color w:val="auto"/>
                    </w:rPr>
                  </w:pPr>
                  <w:r>
                    <w:rPr>
                      <w:rFonts w:hAnsi="宋体"/>
                      <w:color w:val="auto"/>
                    </w:rPr>
                    <w:t>中药残渣</w:t>
                  </w:r>
                </w:p>
              </w:tc>
              <w:tc>
                <w:tcPr>
                  <w:tcW w:w="1068" w:type="pct"/>
                  <w:vMerge w:val="continue"/>
                  <w:tcBorders>
                    <w:left w:val="nil"/>
                    <w:right w:val="single" w:color="auto" w:sz="4" w:space="0"/>
                  </w:tcBorders>
                  <w:vAlign w:val="center"/>
                </w:tcPr>
                <w:p>
                  <w:pPr>
                    <w:snapToGrid w:val="0"/>
                    <w:spacing w:line="240" w:lineRule="atLeast"/>
                    <w:ind w:left="-105" w:leftChars="-50" w:right="-105" w:rightChars="-50"/>
                    <w:jc w:val="center"/>
                    <w:rPr>
                      <w:rFonts w:hint="eastAsia" w:hAnsi="宋体"/>
                      <w:color w:val="auto"/>
                    </w:rPr>
                  </w:pPr>
                </w:p>
              </w:tc>
            </w:tr>
          </w:tbl>
          <w:p>
            <w:pPr>
              <w:pStyle w:val="12"/>
              <w:spacing w:before="120" w:beforeLines="50"/>
              <w:ind w:firstLine="482"/>
              <w:rPr>
                <w:b/>
                <w:bCs w:val="0"/>
                <w:color w:val="auto"/>
              </w:rPr>
            </w:pPr>
            <w:r>
              <w:rPr>
                <w:rFonts w:hint="eastAsia"/>
                <w:b/>
                <w:bCs w:val="0"/>
                <w:color w:val="auto"/>
              </w:rPr>
              <w:t>三、原有项目存在的环境问题及整改措施</w:t>
            </w:r>
          </w:p>
          <w:p>
            <w:pPr>
              <w:pStyle w:val="12"/>
              <w:rPr>
                <w:color w:val="auto"/>
              </w:rPr>
            </w:pPr>
            <w:r>
              <w:rPr>
                <w:color w:val="auto"/>
              </w:rPr>
              <w:t>根据调查和现场踏勘，</w:t>
            </w:r>
            <w:r>
              <w:rPr>
                <w:rFonts w:hint="eastAsia"/>
                <w:color w:val="auto"/>
              </w:rPr>
              <w:t>现有项目</w:t>
            </w:r>
            <w:r>
              <w:rPr>
                <w:color w:val="auto"/>
              </w:rPr>
              <w:t>在建设过程中未收到周边居民投诉，建设期产生的扬尘、废水、噪声和固废均采取了防治措施，对环境污染较小</w:t>
            </w:r>
            <w:r>
              <w:rPr>
                <w:rFonts w:hint="eastAsia"/>
                <w:color w:val="auto"/>
              </w:rPr>
              <w:t>，无遗留环境问题。</w:t>
            </w:r>
          </w:p>
          <w:p>
            <w:pPr>
              <w:rPr>
                <w:color w:val="auto"/>
              </w:rPr>
            </w:pPr>
          </w:p>
          <w:p>
            <w:pPr>
              <w:rPr>
                <w:color w:val="auto"/>
              </w:rPr>
            </w:pPr>
          </w:p>
          <w:p>
            <w:pPr>
              <w:rPr>
                <w:color w:val="auto"/>
              </w:rPr>
            </w:pPr>
          </w:p>
          <w:p>
            <w:pPr>
              <w:rPr>
                <w:color w:val="auto"/>
              </w:rPr>
            </w:pPr>
          </w:p>
        </w:tc>
      </w:tr>
    </w:tbl>
    <w:p>
      <w:pPr>
        <w:jc w:val="center"/>
        <w:rPr>
          <w:rFonts w:eastAsia="黑体"/>
          <w:snapToGrid w:val="0"/>
          <w:color w:val="auto"/>
          <w:sz w:val="36"/>
          <w:szCs w:val="36"/>
        </w:rPr>
        <w:sectPr>
          <w:pgSz w:w="11906" w:h="16838"/>
          <w:pgMar w:top="1701" w:right="1531" w:bottom="1701" w:left="1531" w:header="851" w:footer="851" w:gutter="0"/>
          <w:cols w:space="720" w:num="1"/>
          <w:docGrid w:linePitch="312" w:charSpace="0"/>
        </w:sectPr>
      </w:pPr>
    </w:p>
    <w:p>
      <w:pPr>
        <w:jc w:val="center"/>
        <w:outlineLvl w:val="0"/>
        <w:rPr>
          <w:rFonts w:eastAsia="黑体"/>
          <w:snapToGrid w:val="0"/>
          <w:color w:val="auto"/>
          <w:sz w:val="30"/>
          <w:szCs w:val="30"/>
        </w:rPr>
      </w:pPr>
      <w:bookmarkStart w:id="4" w:name="_Toc117495860"/>
      <w:r>
        <w:rPr>
          <w:rFonts w:eastAsia="黑体"/>
          <w:snapToGrid w:val="0"/>
          <w:color w:val="auto"/>
          <w:sz w:val="30"/>
          <w:szCs w:val="30"/>
        </w:rPr>
        <w:t>三、区域环境质量现状、环境保护目标及评价标准</w:t>
      </w:r>
      <w:bookmarkEnd w:id="4"/>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2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0" w:hRule="atLeast"/>
          <w:jc w:val="center"/>
        </w:trPr>
        <w:tc>
          <w:tcPr>
            <w:tcW w:w="800" w:type="dxa"/>
            <w:vAlign w:val="center"/>
          </w:tcPr>
          <w:p>
            <w:pPr>
              <w:adjustRightInd w:val="0"/>
              <w:snapToGrid w:val="0"/>
              <w:jc w:val="center"/>
              <w:rPr>
                <w:color w:val="auto"/>
                <w:kern w:val="0"/>
                <w:sz w:val="24"/>
              </w:rPr>
            </w:pPr>
            <w:r>
              <w:rPr>
                <w:color w:val="auto"/>
                <w:kern w:val="0"/>
                <w:sz w:val="24"/>
              </w:rPr>
              <w:t>区域</w:t>
            </w:r>
          </w:p>
          <w:p>
            <w:pPr>
              <w:adjustRightInd w:val="0"/>
              <w:snapToGrid w:val="0"/>
              <w:jc w:val="center"/>
              <w:rPr>
                <w:color w:val="auto"/>
                <w:kern w:val="0"/>
                <w:sz w:val="24"/>
              </w:rPr>
            </w:pPr>
            <w:r>
              <w:rPr>
                <w:color w:val="auto"/>
                <w:kern w:val="0"/>
                <w:sz w:val="24"/>
              </w:rPr>
              <w:t>环境</w:t>
            </w:r>
          </w:p>
          <w:p>
            <w:pPr>
              <w:adjustRightInd w:val="0"/>
              <w:snapToGrid w:val="0"/>
              <w:jc w:val="center"/>
              <w:rPr>
                <w:color w:val="auto"/>
                <w:kern w:val="0"/>
                <w:sz w:val="24"/>
              </w:rPr>
            </w:pPr>
            <w:r>
              <w:rPr>
                <w:color w:val="auto"/>
                <w:kern w:val="0"/>
                <w:sz w:val="24"/>
              </w:rPr>
              <w:t>质量</w:t>
            </w:r>
          </w:p>
          <w:p>
            <w:pPr>
              <w:adjustRightInd w:val="0"/>
              <w:snapToGrid w:val="0"/>
              <w:jc w:val="center"/>
              <w:rPr>
                <w:color w:val="auto"/>
                <w:kern w:val="0"/>
                <w:sz w:val="24"/>
              </w:rPr>
            </w:pPr>
            <w:r>
              <w:rPr>
                <w:color w:val="auto"/>
                <w:kern w:val="0"/>
                <w:sz w:val="24"/>
              </w:rPr>
              <w:t>现状</w:t>
            </w:r>
          </w:p>
        </w:tc>
        <w:tc>
          <w:tcPr>
            <w:tcW w:w="8164" w:type="dxa"/>
            <w:vAlign w:val="center"/>
          </w:tcPr>
          <w:p>
            <w:pPr>
              <w:adjustRightInd w:val="0"/>
              <w:snapToGrid w:val="0"/>
              <w:spacing w:before="120" w:beforeLines="50" w:line="360" w:lineRule="auto"/>
              <w:ind w:firstLine="482" w:firstLineChars="200"/>
              <w:rPr>
                <w:b/>
                <w:bCs/>
                <w:color w:val="auto"/>
                <w:sz w:val="24"/>
              </w:rPr>
            </w:pPr>
            <w:r>
              <w:rPr>
                <w:b/>
                <w:bCs/>
                <w:color w:val="auto"/>
                <w:sz w:val="24"/>
              </w:rPr>
              <w:t>一</w:t>
            </w:r>
            <w:r>
              <w:rPr>
                <w:rFonts w:hint="eastAsia"/>
                <w:b/>
                <w:bCs/>
                <w:color w:val="auto"/>
                <w:sz w:val="24"/>
              </w:rPr>
              <w:t>、</w:t>
            </w:r>
            <w:r>
              <w:rPr>
                <w:b/>
                <w:bCs/>
                <w:color w:val="auto"/>
                <w:sz w:val="24"/>
              </w:rPr>
              <w:t>大气环境</w:t>
            </w:r>
          </w:p>
          <w:p>
            <w:pPr>
              <w:spacing w:line="360" w:lineRule="auto"/>
              <w:ind w:firstLine="482" w:firstLineChars="200"/>
              <w:rPr>
                <w:b/>
                <w:bCs/>
                <w:color w:val="auto"/>
                <w:sz w:val="24"/>
              </w:rPr>
            </w:pPr>
            <w:r>
              <w:rPr>
                <w:b/>
                <w:bCs/>
                <w:color w:val="auto"/>
                <w:sz w:val="24"/>
              </w:rPr>
              <w:t>1、基本污染物环境质量现状</w:t>
            </w:r>
          </w:p>
          <w:p>
            <w:pPr>
              <w:pStyle w:val="12"/>
              <w:rPr>
                <w:color w:val="auto"/>
              </w:rPr>
            </w:pPr>
            <w:r>
              <w:rPr>
                <w:color w:val="auto"/>
              </w:rPr>
              <w:t>本项目位于陕西省西安市长安区，本次评价基本污染物环境质量现状采用陕西省环境保护厅办公室于202</w:t>
            </w:r>
            <w:r>
              <w:rPr>
                <w:rFonts w:hint="eastAsia"/>
                <w:color w:val="auto"/>
              </w:rPr>
              <w:t>4</w:t>
            </w:r>
            <w:r>
              <w:rPr>
                <w:color w:val="auto"/>
              </w:rPr>
              <w:t>年1月1</w:t>
            </w:r>
            <w:r>
              <w:rPr>
                <w:rFonts w:hint="eastAsia"/>
                <w:color w:val="auto"/>
              </w:rPr>
              <w:t>9</w:t>
            </w:r>
            <w:r>
              <w:rPr>
                <w:color w:val="auto"/>
              </w:rPr>
              <w:t>日发布的《202</w:t>
            </w:r>
            <w:r>
              <w:rPr>
                <w:rFonts w:hint="eastAsia"/>
                <w:color w:val="auto"/>
              </w:rPr>
              <w:t>3</w:t>
            </w:r>
            <w:r>
              <w:rPr>
                <w:color w:val="auto"/>
              </w:rPr>
              <w:t>年12月及1~12月全省环境空气质量状况环保快报》中西安市长安区数据及结论。</w:t>
            </w:r>
          </w:p>
          <w:p>
            <w:pPr>
              <w:pStyle w:val="12"/>
              <w:rPr>
                <w:color w:val="auto"/>
              </w:rPr>
            </w:pPr>
            <w:r>
              <w:rPr>
                <w:color w:val="auto"/>
              </w:rPr>
              <w:t>202</w:t>
            </w:r>
            <w:r>
              <w:rPr>
                <w:rFonts w:hint="eastAsia"/>
                <w:color w:val="auto"/>
              </w:rPr>
              <w:t>3</w:t>
            </w:r>
            <w:r>
              <w:rPr>
                <w:color w:val="auto"/>
              </w:rPr>
              <w:t>年西安市长安区空气质量状况统计表见表3-1。</w:t>
            </w:r>
          </w:p>
          <w:p>
            <w:pPr>
              <w:pStyle w:val="15"/>
              <w:rPr>
                <w:color w:val="auto"/>
              </w:rPr>
            </w:pPr>
            <w:r>
              <w:rPr>
                <w:color w:val="auto"/>
              </w:rPr>
              <w:t>表3-1  202</w:t>
            </w:r>
            <w:r>
              <w:rPr>
                <w:rFonts w:hint="eastAsia"/>
                <w:color w:val="auto"/>
              </w:rPr>
              <w:t>3</w:t>
            </w:r>
            <w:r>
              <w:rPr>
                <w:color w:val="auto"/>
              </w:rPr>
              <w:t>年西安市长安区空气质量状况统计数据一览表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2084"/>
              <w:gridCol w:w="1133"/>
              <w:gridCol w:w="850"/>
              <w:gridCol w:w="1135"/>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1021" w:type="pct"/>
                  <w:vAlign w:val="center"/>
                </w:tcPr>
                <w:p>
                  <w:pPr>
                    <w:ind w:left="-63" w:leftChars="-30" w:right="-63" w:rightChars="-30"/>
                    <w:jc w:val="center"/>
                    <w:rPr>
                      <w:color w:val="auto"/>
                      <w:sz w:val="24"/>
                    </w:rPr>
                  </w:pPr>
                  <w:r>
                    <w:rPr>
                      <w:color w:val="auto"/>
                      <w:sz w:val="24"/>
                    </w:rPr>
                    <w:t>监控指标</w:t>
                  </w:r>
                </w:p>
              </w:tc>
              <w:tc>
                <w:tcPr>
                  <w:tcW w:w="1304" w:type="pct"/>
                  <w:vAlign w:val="center"/>
                </w:tcPr>
                <w:p>
                  <w:pPr>
                    <w:ind w:left="-63" w:leftChars="-30" w:right="-63" w:rightChars="-30"/>
                    <w:jc w:val="center"/>
                    <w:rPr>
                      <w:color w:val="auto"/>
                      <w:sz w:val="24"/>
                    </w:rPr>
                  </w:pPr>
                  <w:r>
                    <w:rPr>
                      <w:color w:val="auto"/>
                      <w:sz w:val="24"/>
                    </w:rPr>
                    <w:t>评价指标</w:t>
                  </w:r>
                </w:p>
              </w:tc>
              <w:tc>
                <w:tcPr>
                  <w:tcW w:w="709" w:type="pct"/>
                  <w:vAlign w:val="center"/>
                </w:tcPr>
                <w:p>
                  <w:pPr>
                    <w:ind w:left="-63" w:leftChars="-30" w:right="-63" w:rightChars="-30"/>
                    <w:jc w:val="center"/>
                    <w:rPr>
                      <w:color w:val="auto"/>
                      <w:sz w:val="24"/>
                    </w:rPr>
                  </w:pPr>
                  <w:r>
                    <w:rPr>
                      <w:color w:val="auto"/>
                      <w:sz w:val="24"/>
                    </w:rPr>
                    <w:t>现状结果</w:t>
                  </w:r>
                </w:p>
              </w:tc>
              <w:tc>
                <w:tcPr>
                  <w:tcW w:w="532" w:type="pct"/>
                  <w:vAlign w:val="center"/>
                </w:tcPr>
                <w:p>
                  <w:pPr>
                    <w:ind w:left="-63" w:leftChars="-30" w:right="-63" w:rightChars="-30"/>
                    <w:jc w:val="center"/>
                    <w:rPr>
                      <w:color w:val="auto"/>
                      <w:sz w:val="24"/>
                    </w:rPr>
                  </w:pPr>
                  <w:r>
                    <w:rPr>
                      <w:color w:val="auto"/>
                      <w:sz w:val="24"/>
                    </w:rPr>
                    <w:t>标准值</w:t>
                  </w:r>
                </w:p>
              </w:tc>
              <w:tc>
                <w:tcPr>
                  <w:tcW w:w="710" w:type="pct"/>
                  <w:vAlign w:val="center"/>
                </w:tcPr>
                <w:p>
                  <w:pPr>
                    <w:ind w:left="-63" w:leftChars="-30" w:right="-63" w:rightChars="-30"/>
                    <w:jc w:val="center"/>
                    <w:rPr>
                      <w:color w:val="auto"/>
                      <w:sz w:val="24"/>
                    </w:rPr>
                  </w:pPr>
                  <w:r>
                    <w:rPr>
                      <w:color w:val="auto"/>
                      <w:sz w:val="24"/>
                    </w:rPr>
                    <w:t>占标率</w:t>
                  </w:r>
                  <w:r>
                    <w:rPr>
                      <w:rFonts w:hint="eastAsia"/>
                      <w:color w:val="auto"/>
                      <w:sz w:val="24"/>
                    </w:rPr>
                    <w:t>%</w:t>
                  </w:r>
                </w:p>
              </w:tc>
              <w:tc>
                <w:tcPr>
                  <w:tcW w:w="724" w:type="pct"/>
                  <w:vAlign w:val="center"/>
                </w:tcPr>
                <w:p>
                  <w:pPr>
                    <w:ind w:left="-63" w:leftChars="-30" w:right="-63" w:rightChars="-30"/>
                    <w:jc w:val="center"/>
                    <w:rPr>
                      <w:color w:val="auto"/>
                      <w:sz w:val="24"/>
                    </w:rPr>
                  </w:pPr>
                  <w:r>
                    <w:rPr>
                      <w:color w:val="auto"/>
                      <w:sz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021" w:type="pct"/>
                  <w:vAlign w:val="center"/>
                </w:tcPr>
                <w:p>
                  <w:pPr>
                    <w:ind w:left="-63" w:leftChars="-30" w:right="-63" w:rightChars="-30"/>
                    <w:jc w:val="center"/>
                    <w:rPr>
                      <w:bCs/>
                      <w:color w:val="auto"/>
                      <w:sz w:val="24"/>
                    </w:rPr>
                  </w:pPr>
                  <w:r>
                    <w:rPr>
                      <w:color w:val="auto"/>
                      <w:sz w:val="24"/>
                    </w:rPr>
                    <w:t>SO</w:t>
                  </w:r>
                  <w:r>
                    <w:rPr>
                      <w:color w:val="auto"/>
                      <w:sz w:val="24"/>
                      <w:vertAlign w:val="subscript"/>
                    </w:rPr>
                    <w:t>2</w:t>
                  </w:r>
                  <w:r>
                    <w:rPr>
                      <w:color w:val="auto"/>
                      <w:sz w:val="24"/>
                    </w:rPr>
                    <w:t>（μg/m</w:t>
                  </w:r>
                  <w:r>
                    <w:rPr>
                      <w:color w:val="auto"/>
                      <w:sz w:val="24"/>
                      <w:vertAlign w:val="superscript"/>
                    </w:rPr>
                    <w:t>3</w:t>
                  </w:r>
                  <w:r>
                    <w:rPr>
                      <w:color w:val="auto"/>
                      <w:sz w:val="24"/>
                    </w:rPr>
                    <w:t>）</w:t>
                  </w:r>
                </w:p>
              </w:tc>
              <w:tc>
                <w:tcPr>
                  <w:tcW w:w="1304" w:type="pct"/>
                  <w:vAlign w:val="center"/>
                </w:tcPr>
                <w:p>
                  <w:pPr>
                    <w:ind w:left="-63" w:leftChars="-30" w:right="-63" w:rightChars="-30"/>
                    <w:jc w:val="center"/>
                    <w:rPr>
                      <w:color w:val="auto"/>
                      <w:sz w:val="24"/>
                    </w:rPr>
                  </w:pPr>
                  <w:r>
                    <w:rPr>
                      <w:color w:val="auto"/>
                      <w:sz w:val="24"/>
                    </w:rPr>
                    <w:t>年平均值</w:t>
                  </w:r>
                </w:p>
              </w:tc>
              <w:tc>
                <w:tcPr>
                  <w:tcW w:w="709" w:type="pct"/>
                  <w:vAlign w:val="center"/>
                </w:tcPr>
                <w:p>
                  <w:pPr>
                    <w:ind w:left="-63" w:leftChars="-30" w:right="-63" w:rightChars="-30"/>
                    <w:jc w:val="center"/>
                    <w:rPr>
                      <w:color w:val="auto"/>
                      <w:sz w:val="24"/>
                    </w:rPr>
                  </w:pPr>
                  <w:r>
                    <w:rPr>
                      <w:color w:val="auto"/>
                      <w:sz w:val="24"/>
                    </w:rPr>
                    <w:t>7</w:t>
                  </w:r>
                </w:p>
              </w:tc>
              <w:tc>
                <w:tcPr>
                  <w:tcW w:w="532" w:type="pct"/>
                  <w:vAlign w:val="center"/>
                </w:tcPr>
                <w:p>
                  <w:pPr>
                    <w:widowControl/>
                    <w:ind w:left="-63" w:leftChars="-30" w:right="-63" w:rightChars="-30"/>
                    <w:jc w:val="center"/>
                    <w:rPr>
                      <w:color w:val="auto"/>
                      <w:kern w:val="0"/>
                      <w:sz w:val="24"/>
                    </w:rPr>
                  </w:pPr>
                  <w:r>
                    <w:rPr>
                      <w:color w:val="auto"/>
                      <w:sz w:val="24"/>
                    </w:rPr>
                    <w:t>60</w:t>
                  </w:r>
                </w:p>
              </w:tc>
              <w:tc>
                <w:tcPr>
                  <w:tcW w:w="710" w:type="pct"/>
                  <w:vAlign w:val="center"/>
                </w:tcPr>
                <w:p>
                  <w:pPr>
                    <w:ind w:left="-63" w:leftChars="-30" w:right="-63" w:rightChars="-30"/>
                    <w:jc w:val="center"/>
                    <w:rPr>
                      <w:color w:val="auto"/>
                      <w:sz w:val="24"/>
                    </w:rPr>
                  </w:pPr>
                  <w:r>
                    <w:rPr>
                      <w:rFonts w:hint="eastAsia"/>
                      <w:color w:val="auto"/>
                      <w:sz w:val="24"/>
                    </w:rPr>
                    <w:t>11.7</w:t>
                  </w:r>
                </w:p>
              </w:tc>
              <w:tc>
                <w:tcPr>
                  <w:tcW w:w="724" w:type="pct"/>
                  <w:vAlign w:val="center"/>
                </w:tcPr>
                <w:p>
                  <w:pPr>
                    <w:ind w:left="-63" w:leftChars="-30" w:right="-63" w:rightChars="-30"/>
                    <w:jc w:val="center"/>
                    <w:rPr>
                      <w:color w:val="auto"/>
                      <w:sz w:val="24"/>
                    </w:rPr>
                  </w:pPr>
                  <w:r>
                    <w:rPr>
                      <w:color w:val="auto"/>
                      <w:sz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021" w:type="pct"/>
                  <w:vAlign w:val="center"/>
                </w:tcPr>
                <w:p>
                  <w:pPr>
                    <w:ind w:left="-63" w:leftChars="-30" w:right="-63" w:rightChars="-30"/>
                    <w:jc w:val="center"/>
                    <w:rPr>
                      <w:color w:val="auto"/>
                      <w:sz w:val="24"/>
                    </w:rPr>
                  </w:pPr>
                  <w:r>
                    <w:rPr>
                      <w:color w:val="auto"/>
                      <w:sz w:val="24"/>
                    </w:rPr>
                    <w:t>NO</w:t>
                  </w:r>
                  <w:r>
                    <w:rPr>
                      <w:color w:val="auto"/>
                      <w:sz w:val="24"/>
                      <w:vertAlign w:val="subscript"/>
                    </w:rPr>
                    <w:t>2</w:t>
                  </w:r>
                  <w:r>
                    <w:rPr>
                      <w:color w:val="auto"/>
                      <w:sz w:val="24"/>
                    </w:rPr>
                    <w:t>（μg/m</w:t>
                  </w:r>
                  <w:r>
                    <w:rPr>
                      <w:color w:val="auto"/>
                      <w:sz w:val="24"/>
                      <w:vertAlign w:val="superscript"/>
                    </w:rPr>
                    <w:t>3</w:t>
                  </w:r>
                  <w:r>
                    <w:rPr>
                      <w:color w:val="auto"/>
                      <w:sz w:val="24"/>
                    </w:rPr>
                    <w:t>）</w:t>
                  </w:r>
                </w:p>
              </w:tc>
              <w:tc>
                <w:tcPr>
                  <w:tcW w:w="1304" w:type="pct"/>
                  <w:vAlign w:val="center"/>
                </w:tcPr>
                <w:p>
                  <w:pPr>
                    <w:ind w:left="-63" w:leftChars="-30" w:right="-63" w:rightChars="-30"/>
                    <w:jc w:val="center"/>
                    <w:rPr>
                      <w:color w:val="auto"/>
                      <w:sz w:val="24"/>
                    </w:rPr>
                  </w:pPr>
                  <w:r>
                    <w:rPr>
                      <w:color w:val="auto"/>
                      <w:sz w:val="24"/>
                    </w:rPr>
                    <w:t>年平均值</w:t>
                  </w:r>
                </w:p>
              </w:tc>
              <w:tc>
                <w:tcPr>
                  <w:tcW w:w="709" w:type="pct"/>
                  <w:vAlign w:val="center"/>
                </w:tcPr>
                <w:p>
                  <w:pPr>
                    <w:widowControl/>
                    <w:ind w:left="-63" w:leftChars="-30" w:right="-63" w:rightChars="-30"/>
                    <w:jc w:val="center"/>
                    <w:rPr>
                      <w:color w:val="auto"/>
                      <w:kern w:val="0"/>
                      <w:sz w:val="24"/>
                    </w:rPr>
                  </w:pPr>
                  <w:r>
                    <w:rPr>
                      <w:color w:val="auto"/>
                      <w:kern w:val="0"/>
                      <w:sz w:val="24"/>
                    </w:rPr>
                    <w:t>3</w:t>
                  </w:r>
                  <w:r>
                    <w:rPr>
                      <w:rFonts w:hint="eastAsia"/>
                      <w:color w:val="auto"/>
                      <w:kern w:val="0"/>
                      <w:sz w:val="24"/>
                    </w:rPr>
                    <w:t>4</w:t>
                  </w:r>
                </w:p>
              </w:tc>
              <w:tc>
                <w:tcPr>
                  <w:tcW w:w="532" w:type="pct"/>
                  <w:vAlign w:val="center"/>
                </w:tcPr>
                <w:p>
                  <w:pPr>
                    <w:ind w:left="-63" w:leftChars="-30" w:right="-63" w:rightChars="-30"/>
                    <w:jc w:val="center"/>
                    <w:rPr>
                      <w:color w:val="auto"/>
                      <w:sz w:val="24"/>
                    </w:rPr>
                  </w:pPr>
                  <w:r>
                    <w:rPr>
                      <w:color w:val="auto"/>
                      <w:sz w:val="24"/>
                    </w:rPr>
                    <w:t>40</w:t>
                  </w:r>
                </w:p>
              </w:tc>
              <w:tc>
                <w:tcPr>
                  <w:tcW w:w="710" w:type="pct"/>
                  <w:vAlign w:val="center"/>
                </w:tcPr>
                <w:p>
                  <w:pPr>
                    <w:ind w:left="-63" w:leftChars="-30" w:right="-63" w:rightChars="-30"/>
                    <w:jc w:val="center"/>
                    <w:rPr>
                      <w:color w:val="auto"/>
                      <w:sz w:val="24"/>
                    </w:rPr>
                  </w:pPr>
                  <w:r>
                    <w:rPr>
                      <w:rFonts w:hint="eastAsia"/>
                      <w:color w:val="auto"/>
                      <w:sz w:val="24"/>
                    </w:rPr>
                    <w:t>85</w:t>
                  </w:r>
                </w:p>
              </w:tc>
              <w:tc>
                <w:tcPr>
                  <w:tcW w:w="724" w:type="pct"/>
                  <w:vAlign w:val="center"/>
                </w:tcPr>
                <w:p>
                  <w:pPr>
                    <w:ind w:left="-63" w:leftChars="-30" w:right="-63" w:rightChars="-30"/>
                    <w:jc w:val="center"/>
                    <w:rPr>
                      <w:color w:val="auto"/>
                      <w:sz w:val="24"/>
                    </w:rPr>
                  </w:pPr>
                  <w:r>
                    <w:rPr>
                      <w:color w:val="auto"/>
                      <w:sz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021" w:type="pct"/>
                  <w:vAlign w:val="center"/>
                </w:tcPr>
                <w:p>
                  <w:pPr>
                    <w:ind w:left="-63" w:leftChars="-30" w:right="-63" w:rightChars="-30"/>
                    <w:jc w:val="center"/>
                    <w:rPr>
                      <w:color w:val="auto"/>
                      <w:sz w:val="24"/>
                    </w:rPr>
                  </w:pPr>
                  <w:r>
                    <w:rPr>
                      <w:color w:val="auto"/>
                      <w:sz w:val="24"/>
                    </w:rPr>
                    <w:t>PM</w:t>
                  </w:r>
                  <w:r>
                    <w:rPr>
                      <w:color w:val="auto"/>
                      <w:sz w:val="24"/>
                      <w:vertAlign w:val="subscript"/>
                    </w:rPr>
                    <w:t>10</w:t>
                  </w:r>
                  <w:r>
                    <w:rPr>
                      <w:color w:val="auto"/>
                      <w:sz w:val="24"/>
                    </w:rPr>
                    <w:t>（μg/m</w:t>
                  </w:r>
                  <w:r>
                    <w:rPr>
                      <w:color w:val="auto"/>
                      <w:sz w:val="24"/>
                      <w:vertAlign w:val="superscript"/>
                    </w:rPr>
                    <w:t>3</w:t>
                  </w:r>
                  <w:r>
                    <w:rPr>
                      <w:color w:val="auto"/>
                      <w:sz w:val="24"/>
                    </w:rPr>
                    <w:t>）</w:t>
                  </w:r>
                </w:p>
              </w:tc>
              <w:tc>
                <w:tcPr>
                  <w:tcW w:w="1304" w:type="pct"/>
                  <w:vAlign w:val="center"/>
                </w:tcPr>
                <w:p>
                  <w:pPr>
                    <w:ind w:left="-63" w:leftChars="-30" w:right="-63" w:rightChars="-30"/>
                    <w:jc w:val="center"/>
                    <w:rPr>
                      <w:color w:val="auto"/>
                      <w:sz w:val="24"/>
                    </w:rPr>
                  </w:pPr>
                  <w:r>
                    <w:rPr>
                      <w:color w:val="auto"/>
                      <w:sz w:val="24"/>
                    </w:rPr>
                    <w:t>年平均值</w:t>
                  </w:r>
                </w:p>
              </w:tc>
              <w:tc>
                <w:tcPr>
                  <w:tcW w:w="709" w:type="pct"/>
                  <w:vAlign w:val="center"/>
                </w:tcPr>
                <w:p>
                  <w:pPr>
                    <w:ind w:left="-63" w:leftChars="-30" w:right="-63" w:rightChars="-30"/>
                    <w:jc w:val="center"/>
                    <w:rPr>
                      <w:color w:val="auto"/>
                      <w:sz w:val="24"/>
                    </w:rPr>
                  </w:pPr>
                  <w:r>
                    <w:rPr>
                      <w:rFonts w:hint="eastAsia"/>
                      <w:color w:val="auto"/>
                      <w:sz w:val="24"/>
                    </w:rPr>
                    <w:t>80</w:t>
                  </w:r>
                </w:p>
              </w:tc>
              <w:tc>
                <w:tcPr>
                  <w:tcW w:w="532" w:type="pct"/>
                  <w:vAlign w:val="center"/>
                </w:tcPr>
                <w:p>
                  <w:pPr>
                    <w:ind w:left="-63" w:leftChars="-30" w:right="-63" w:rightChars="-30"/>
                    <w:jc w:val="center"/>
                    <w:rPr>
                      <w:color w:val="auto"/>
                      <w:sz w:val="24"/>
                    </w:rPr>
                  </w:pPr>
                  <w:r>
                    <w:rPr>
                      <w:color w:val="auto"/>
                      <w:sz w:val="24"/>
                    </w:rPr>
                    <w:t>70</w:t>
                  </w:r>
                </w:p>
              </w:tc>
              <w:tc>
                <w:tcPr>
                  <w:tcW w:w="710" w:type="pct"/>
                  <w:vAlign w:val="center"/>
                </w:tcPr>
                <w:p>
                  <w:pPr>
                    <w:ind w:left="-63" w:leftChars="-30" w:right="-63" w:rightChars="-30"/>
                    <w:jc w:val="center"/>
                    <w:rPr>
                      <w:color w:val="auto"/>
                      <w:sz w:val="24"/>
                    </w:rPr>
                  </w:pPr>
                  <w:r>
                    <w:rPr>
                      <w:rFonts w:hint="eastAsia"/>
                      <w:color w:val="auto"/>
                      <w:sz w:val="24"/>
                    </w:rPr>
                    <w:t>114.3</w:t>
                  </w:r>
                </w:p>
              </w:tc>
              <w:tc>
                <w:tcPr>
                  <w:tcW w:w="724" w:type="pct"/>
                  <w:vAlign w:val="center"/>
                </w:tcPr>
                <w:p>
                  <w:pPr>
                    <w:ind w:left="-63" w:leftChars="-30" w:right="-63" w:rightChars="-30"/>
                    <w:jc w:val="center"/>
                    <w:rPr>
                      <w:color w:val="auto"/>
                      <w:sz w:val="24"/>
                    </w:rPr>
                  </w:pPr>
                  <w:r>
                    <w:rPr>
                      <w:color w:val="auto"/>
                      <w:sz w:val="24"/>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021" w:type="pct"/>
                  <w:vAlign w:val="center"/>
                </w:tcPr>
                <w:p>
                  <w:pPr>
                    <w:ind w:left="-63" w:leftChars="-30" w:right="-63" w:rightChars="-30"/>
                    <w:jc w:val="center"/>
                    <w:rPr>
                      <w:color w:val="auto"/>
                      <w:sz w:val="24"/>
                    </w:rPr>
                  </w:pPr>
                  <w:r>
                    <w:rPr>
                      <w:color w:val="auto"/>
                      <w:sz w:val="24"/>
                    </w:rPr>
                    <w:t>PM</w:t>
                  </w:r>
                  <w:r>
                    <w:rPr>
                      <w:color w:val="auto"/>
                      <w:sz w:val="24"/>
                      <w:vertAlign w:val="subscript"/>
                    </w:rPr>
                    <w:t>2.5</w:t>
                  </w:r>
                  <w:r>
                    <w:rPr>
                      <w:color w:val="auto"/>
                      <w:sz w:val="24"/>
                    </w:rPr>
                    <w:t>（μg/m</w:t>
                  </w:r>
                  <w:r>
                    <w:rPr>
                      <w:color w:val="auto"/>
                      <w:sz w:val="24"/>
                      <w:vertAlign w:val="superscript"/>
                    </w:rPr>
                    <w:t>3</w:t>
                  </w:r>
                  <w:r>
                    <w:rPr>
                      <w:color w:val="auto"/>
                      <w:sz w:val="24"/>
                    </w:rPr>
                    <w:t>）</w:t>
                  </w:r>
                </w:p>
              </w:tc>
              <w:tc>
                <w:tcPr>
                  <w:tcW w:w="1304" w:type="pct"/>
                  <w:vAlign w:val="center"/>
                </w:tcPr>
                <w:p>
                  <w:pPr>
                    <w:ind w:left="-63" w:leftChars="-30" w:right="-63" w:rightChars="-30"/>
                    <w:jc w:val="center"/>
                    <w:rPr>
                      <w:color w:val="auto"/>
                      <w:sz w:val="24"/>
                    </w:rPr>
                  </w:pPr>
                  <w:r>
                    <w:rPr>
                      <w:color w:val="auto"/>
                      <w:sz w:val="24"/>
                    </w:rPr>
                    <w:t>年平均值</w:t>
                  </w:r>
                </w:p>
              </w:tc>
              <w:tc>
                <w:tcPr>
                  <w:tcW w:w="709" w:type="pct"/>
                  <w:vAlign w:val="center"/>
                </w:tcPr>
                <w:p>
                  <w:pPr>
                    <w:ind w:left="-63" w:leftChars="-30" w:right="-63" w:rightChars="-30"/>
                    <w:jc w:val="center"/>
                    <w:rPr>
                      <w:color w:val="auto"/>
                      <w:sz w:val="24"/>
                    </w:rPr>
                  </w:pPr>
                  <w:r>
                    <w:rPr>
                      <w:rFonts w:hint="eastAsia"/>
                      <w:color w:val="auto"/>
                      <w:sz w:val="24"/>
                    </w:rPr>
                    <w:t>46</w:t>
                  </w:r>
                </w:p>
              </w:tc>
              <w:tc>
                <w:tcPr>
                  <w:tcW w:w="532" w:type="pct"/>
                  <w:vAlign w:val="center"/>
                </w:tcPr>
                <w:p>
                  <w:pPr>
                    <w:ind w:left="-63" w:leftChars="-30" w:right="-63" w:rightChars="-30"/>
                    <w:jc w:val="center"/>
                    <w:rPr>
                      <w:color w:val="auto"/>
                      <w:sz w:val="24"/>
                    </w:rPr>
                  </w:pPr>
                  <w:r>
                    <w:rPr>
                      <w:color w:val="auto"/>
                      <w:sz w:val="24"/>
                    </w:rPr>
                    <w:t>35</w:t>
                  </w:r>
                </w:p>
              </w:tc>
              <w:tc>
                <w:tcPr>
                  <w:tcW w:w="710" w:type="pct"/>
                  <w:vAlign w:val="center"/>
                </w:tcPr>
                <w:p>
                  <w:pPr>
                    <w:ind w:left="-63" w:leftChars="-30" w:right="-63" w:rightChars="-30"/>
                    <w:jc w:val="center"/>
                    <w:rPr>
                      <w:color w:val="auto"/>
                      <w:sz w:val="24"/>
                    </w:rPr>
                  </w:pPr>
                  <w:r>
                    <w:rPr>
                      <w:rFonts w:hint="eastAsia"/>
                      <w:color w:val="auto"/>
                      <w:sz w:val="24"/>
                    </w:rPr>
                    <w:t>131.4</w:t>
                  </w:r>
                </w:p>
              </w:tc>
              <w:tc>
                <w:tcPr>
                  <w:tcW w:w="724" w:type="pct"/>
                  <w:vAlign w:val="center"/>
                </w:tcPr>
                <w:p>
                  <w:pPr>
                    <w:ind w:left="-63" w:leftChars="-30" w:right="-63" w:rightChars="-30"/>
                    <w:jc w:val="center"/>
                    <w:rPr>
                      <w:color w:val="auto"/>
                      <w:sz w:val="24"/>
                    </w:rPr>
                  </w:pPr>
                  <w:r>
                    <w:rPr>
                      <w:color w:val="auto"/>
                      <w:sz w:val="24"/>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021" w:type="pct"/>
                  <w:vAlign w:val="center"/>
                </w:tcPr>
                <w:p>
                  <w:pPr>
                    <w:ind w:left="-63" w:leftChars="-30" w:right="-63" w:rightChars="-30"/>
                    <w:jc w:val="center"/>
                    <w:rPr>
                      <w:color w:val="auto"/>
                      <w:sz w:val="24"/>
                    </w:rPr>
                  </w:pPr>
                  <w:r>
                    <w:rPr>
                      <w:color w:val="auto"/>
                      <w:sz w:val="24"/>
                    </w:rPr>
                    <w:t>CO（mg/m</w:t>
                  </w:r>
                  <w:r>
                    <w:rPr>
                      <w:color w:val="auto"/>
                      <w:sz w:val="24"/>
                      <w:vertAlign w:val="superscript"/>
                    </w:rPr>
                    <w:t>3</w:t>
                  </w:r>
                  <w:r>
                    <w:rPr>
                      <w:color w:val="auto"/>
                      <w:sz w:val="24"/>
                    </w:rPr>
                    <w:t>）</w:t>
                  </w:r>
                </w:p>
              </w:tc>
              <w:tc>
                <w:tcPr>
                  <w:tcW w:w="1304" w:type="pct"/>
                  <w:vAlign w:val="center"/>
                </w:tcPr>
                <w:p>
                  <w:pPr>
                    <w:ind w:left="-63" w:leftChars="-30" w:right="-63" w:rightChars="-30"/>
                    <w:rPr>
                      <w:color w:val="auto"/>
                      <w:sz w:val="24"/>
                    </w:rPr>
                  </w:pPr>
                  <w:r>
                    <w:rPr>
                      <w:color w:val="auto"/>
                      <w:sz w:val="24"/>
                    </w:rPr>
                    <w:t>第95%百分位数24小时平均浓度</w:t>
                  </w:r>
                </w:p>
              </w:tc>
              <w:tc>
                <w:tcPr>
                  <w:tcW w:w="709" w:type="pct"/>
                  <w:vAlign w:val="center"/>
                </w:tcPr>
                <w:p>
                  <w:pPr>
                    <w:widowControl/>
                    <w:ind w:left="-63" w:leftChars="-30" w:right="-63" w:rightChars="-30"/>
                    <w:jc w:val="center"/>
                    <w:rPr>
                      <w:color w:val="auto"/>
                      <w:kern w:val="0"/>
                      <w:sz w:val="24"/>
                    </w:rPr>
                  </w:pPr>
                  <w:r>
                    <w:rPr>
                      <w:color w:val="auto"/>
                      <w:kern w:val="0"/>
                      <w:sz w:val="24"/>
                    </w:rPr>
                    <w:t>1.</w:t>
                  </w:r>
                  <w:r>
                    <w:rPr>
                      <w:rFonts w:hint="eastAsia"/>
                      <w:color w:val="auto"/>
                      <w:kern w:val="0"/>
                      <w:sz w:val="24"/>
                    </w:rPr>
                    <w:t>5</w:t>
                  </w:r>
                </w:p>
              </w:tc>
              <w:tc>
                <w:tcPr>
                  <w:tcW w:w="532" w:type="pct"/>
                  <w:vAlign w:val="center"/>
                </w:tcPr>
                <w:p>
                  <w:pPr>
                    <w:ind w:left="-63" w:leftChars="-30" w:right="-63" w:rightChars="-30"/>
                    <w:jc w:val="center"/>
                    <w:rPr>
                      <w:color w:val="auto"/>
                      <w:sz w:val="24"/>
                    </w:rPr>
                  </w:pPr>
                  <w:r>
                    <w:rPr>
                      <w:color w:val="auto"/>
                      <w:sz w:val="24"/>
                    </w:rPr>
                    <w:t>4</w:t>
                  </w:r>
                </w:p>
              </w:tc>
              <w:tc>
                <w:tcPr>
                  <w:tcW w:w="710" w:type="pct"/>
                  <w:vAlign w:val="center"/>
                </w:tcPr>
                <w:p>
                  <w:pPr>
                    <w:ind w:left="-63" w:leftChars="-30" w:right="-63" w:rightChars="-30"/>
                    <w:jc w:val="center"/>
                    <w:rPr>
                      <w:color w:val="auto"/>
                      <w:sz w:val="24"/>
                    </w:rPr>
                  </w:pPr>
                  <w:r>
                    <w:rPr>
                      <w:rFonts w:hint="eastAsia"/>
                      <w:color w:val="auto"/>
                      <w:sz w:val="24"/>
                    </w:rPr>
                    <w:t>37.5</w:t>
                  </w:r>
                </w:p>
              </w:tc>
              <w:tc>
                <w:tcPr>
                  <w:tcW w:w="724" w:type="pct"/>
                  <w:vAlign w:val="center"/>
                </w:tcPr>
                <w:p>
                  <w:pPr>
                    <w:widowControl/>
                    <w:ind w:left="-63" w:leftChars="-30" w:right="-63" w:rightChars="-30"/>
                    <w:jc w:val="center"/>
                    <w:rPr>
                      <w:color w:val="auto"/>
                      <w:sz w:val="24"/>
                    </w:rPr>
                  </w:pPr>
                  <w:r>
                    <w:rPr>
                      <w:color w:val="auto"/>
                      <w:sz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021" w:type="pct"/>
                  <w:vAlign w:val="center"/>
                </w:tcPr>
                <w:p>
                  <w:pPr>
                    <w:ind w:left="-63" w:leftChars="-30" w:right="-63" w:rightChars="-30"/>
                    <w:jc w:val="center"/>
                    <w:rPr>
                      <w:color w:val="auto"/>
                      <w:sz w:val="24"/>
                    </w:rPr>
                  </w:pPr>
                  <w:r>
                    <w:rPr>
                      <w:color w:val="auto"/>
                      <w:sz w:val="24"/>
                    </w:rPr>
                    <w:t>O</w:t>
                  </w:r>
                  <w:r>
                    <w:rPr>
                      <w:color w:val="auto"/>
                      <w:sz w:val="24"/>
                      <w:vertAlign w:val="subscript"/>
                    </w:rPr>
                    <w:t>3</w:t>
                  </w:r>
                  <w:r>
                    <w:rPr>
                      <w:color w:val="auto"/>
                      <w:sz w:val="24"/>
                    </w:rPr>
                    <w:t>（μg/m</w:t>
                  </w:r>
                  <w:r>
                    <w:rPr>
                      <w:color w:val="auto"/>
                      <w:sz w:val="24"/>
                      <w:vertAlign w:val="superscript"/>
                    </w:rPr>
                    <w:t>3</w:t>
                  </w:r>
                  <w:r>
                    <w:rPr>
                      <w:color w:val="auto"/>
                      <w:sz w:val="24"/>
                    </w:rPr>
                    <w:t>）</w:t>
                  </w:r>
                </w:p>
              </w:tc>
              <w:tc>
                <w:tcPr>
                  <w:tcW w:w="1304" w:type="pct"/>
                  <w:vAlign w:val="center"/>
                </w:tcPr>
                <w:p>
                  <w:pPr>
                    <w:ind w:left="-63" w:leftChars="-30" w:right="-63" w:rightChars="-30"/>
                    <w:rPr>
                      <w:color w:val="auto"/>
                      <w:sz w:val="24"/>
                    </w:rPr>
                  </w:pPr>
                  <w:r>
                    <w:rPr>
                      <w:color w:val="auto"/>
                      <w:sz w:val="24"/>
                    </w:rPr>
                    <w:t>第90%百分位数8小时平均浓度</w:t>
                  </w:r>
                </w:p>
              </w:tc>
              <w:tc>
                <w:tcPr>
                  <w:tcW w:w="709" w:type="pct"/>
                  <w:vAlign w:val="center"/>
                </w:tcPr>
                <w:p>
                  <w:pPr>
                    <w:widowControl/>
                    <w:ind w:left="-63" w:leftChars="-30" w:right="-63" w:rightChars="-30"/>
                    <w:jc w:val="center"/>
                    <w:rPr>
                      <w:color w:val="auto"/>
                      <w:kern w:val="0"/>
                      <w:sz w:val="24"/>
                    </w:rPr>
                  </w:pPr>
                  <w:r>
                    <w:rPr>
                      <w:color w:val="auto"/>
                      <w:kern w:val="0"/>
                      <w:sz w:val="24"/>
                    </w:rPr>
                    <w:t>19</w:t>
                  </w:r>
                  <w:r>
                    <w:rPr>
                      <w:rFonts w:hint="eastAsia"/>
                      <w:color w:val="auto"/>
                      <w:kern w:val="0"/>
                      <w:sz w:val="24"/>
                    </w:rPr>
                    <w:t>0</w:t>
                  </w:r>
                </w:p>
              </w:tc>
              <w:tc>
                <w:tcPr>
                  <w:tcW w:w="532" w:type="pct"/>
                  <w:vAlign w:val="center"/>
                </w:tcPr>
                <w:p>
                  <w:pPr>
                    <w:ind w:left="-63" w:leftChars="-30" w:right="-63" w:rightChars="-30"/>
                    <w:jc w:val="center"/>
                    <w:rPr>
                      <w:color w:val="auto"/>
                      <w:sz w:val="24"/>
                    </w:rPr>
                  </w:pPr>
                  <w:r>
                    <w:rPr>
                      <w:color w:val="auto"/>
                      <w:sz w:val="24"/>
                    </w:rPr>
                    <w:t>160</w:t>
                  </w:r>
                </w:p>
              </w:tc>
              <w:tc>
                <w:tcPr>
                  <w:tcW w:w="710" w:type="pct"/>
                  <w:vAlign w:val="center"/>
                </w:tcPr>
                <w:p>
                  <w:pPr>
                    <w:ind w:left="-63" w:leftChars="-30" w:right="-63" w:rightChars="-30"/>
                    <w:jc w:val="center"/>
                    <w:rPr>
                      <w:color w:val="auto"/>
                      <w:sz w:val="24"/>
                    </w:rPr>
                  </w:pPr>
                  <w:r>
                    <w:rPr>
                      <w:rFonts w:hint="eastAsia"/>
                      <w:color w:val="auto"/>
                      <w:sz w:val="24"/>
                    </w:rPr>
                    <w:t>118.8</w:t>
                  </w:r>
                </w:p>
              </w:tc>
              <w:tc>
                <w:tcPr>
                  <w:tcW w:w="724" w:type="pct"/>
                  <w:vAlign w:val="center"/>
                </w:tcPr>
                <w:p>
                  <w:pPr>
                    <w:ind w:left="-63" w:leftChars="-30" w:right="-63" w:rightChars="-30"/>
                    <w:jc w:val="center"/>
                    <w:rPr>
                      <w:color w:val="auto"/>
                      <w:sz w:val="24"/>
                    </w:rPr>
                  </w:pPr>
                  <w:r>
                    <w:rPr>
                      <w:color w:val="auto"/>
                      <w:sz w:val="24"/>
                    </w:rPr>
                    <w:t>不达标</w:t>
                  </w:r>
                </w:p>
              </w:tc>
            </w:tr>
          </w:tbl>
          <w:p>
            <w:pPr>
              <w:pStyle w:val="12"/>
              <w:spacing w:before="120" w:beforeLines="50"/>
              <w:rPr>
                <w:color w:val="auto"/>
              </w:rPr>
            </w:pPr>
            <w:r>
              <w:rPr>
                <w:color w:val="auto"/>
              </w:rPr>
              <w:t>根据《环境影响评价技术导则 大气环境》</w:t>
            </w:r>
            <w:r>
              <w:rPr>
                <w:rFonts w:hint="eastAsia"/>
                <w:color w:val="auto"/>
              </w:rPr>
              <w:t>（</w:t>
            </w:r>
            <w:r>
              <w:rPr>
                <w:color w:val="auto"/>
              </w:rPr>
              <w:t>HJ2.2-2018</w:t>
            </w:r>
            <w:r>
              <w:rPr>
                <w:rFonts w:hint="eastAsia"/>
                <w:color w:val="auto"/>
              </w:rPr>
              <w:t>）</w:t>
            </w:r>
            <w:r>
              <w:rPr>
                <w:color w:val="auto"/>
              </w:rPr>
              <w:t>中</w:t>
            </w:r>
            <w:r>
              <w:rPr>
                <w:rFonts w:eastAsia="等线"/>
                <w:color w:val="auto"/>
              </w:rPr>
              <w:t>3-1</w:t>
            </w:r>
            <w:r>
              <w:rPr>
                <w:color w:val="auto"/>
              </w:rPr>
              <w:t>区域达标判断，项目区域环境空气PM</w:t>
            </w:r>
            <w:r>
              <w:rPr>
                <w:color w:val="auto"/>
                <w:vertAlign w:val="subscript"/>
              </w:rPr>
              <w:t>10</w:t>
            </w:r>
            <w:r>
              <w:rPr>
                <w:color w:val="auto"/>
              </w:rPr>
              <w:t>、PM</w:t>
            </w:r>
            <w:r>
              <w:rPr>
                <w:color w:val="auto"/>
                <w:vertAlign w:val="subscript"/>
              </w:rPr>
              <w:t>2.5</w:t>
            </w:r>
            <w:r>
              <w:rPr>
                <w:rFonts w:hint="eastAsia"/>
                <w:color w:val="auto"/>
              </w:rPr>
              <w:t>、O</w:t>
            </w:r>
            <w:r>
              <w:rPr>
                <w:color w:val="auto"/>
                <w:vertAlign w:val="subscript"/>
              </w:rPr>
              <w:t>3</w:t>
            </w:r>
            <w:r>
              <w:rPr>
                <w:color w:val="auto"/>
              </w:rPr>
              <w:t>质量不满足《环境空气质量标准》</w:t>
            </w:r>
            <w:r>
              <w:rPr>
                <w:rFonts w:hint="eastAsia"/>
                <w:color w:val="auto"/>
              </w:rPr>
              <w:t>（</w:t>
            </w:r>
            <w:r>
              <w:rPr>
                <w:color w:val="auto"/>
              </w:rPr>
              <w:t>GB3095-2012</w:t>
            </w:r>
            <w:r>
              <w:rPr>
                <w:rFonts w:hint="eastAsia"/>
                <w:color w:val="auto"/>
              </w:rPr>
              <w:t>）</w:t>
            </w:r>
            <w:r>
              <w:rPr>
                <w:color w:val="auto"/>
              </w:rPr>
              <w:t>中二级标准限值要求，本项目所在区域属不达标区。</w:t>
            </w:r>
          </w:p>
          <w:p>
            <w:pPr>
              <w:spacing w:line="360" w:lineRule="auto"/>
              <w:ind w:firstLine="482" w:firstLineChars="200"/>
              <w:rPr>
                <w:b/>
                <w:bCs/>
                <w:color w:val="auto"/>
                <w:sz w:val="24"/>
              </w:rPr>
            </w:pPr>
            <w:r>
              <w:rPr>
                <w:b/>
                <w:bCs/>
                <w:color w:val="auto"/>
                <w:sz w:val="24"/>
              </w:rPr>
              <w:t>2、特征因子环境空气质量现状</w:t>
            </w:r>
          </w:p>
          <w:p>
            <w:pPr>
              <w:adjustRightInd w:val="0"/>
              <w:spacing w:line="360" w:lineRule="auto"/>
              <w:ind w:firstLine="480" w:firstLineChars="200"/>
              <w:rPr>
                <w:color w:val="auto"/>
                <w:sz w:val="24"/>
              </w:rPr>
            </w:pPr>
            <w:r>
              <w:rPr>
                <w:rFonts w:hint="eastAsia" w:ascii="宋体" w:hAnsi="宋体"/>
                <w:color w:val="auto"/>
                <w:sz w:val="24"/>
              </w:rPr>
              <w:t>根据《建设项目环境影响报告表内容、格式及编制技术指南常见问题解答》（</w:t>
            </w:r>
            <w:r>
              <w:rPr>
                <w:rFonts w:hint="eastAsia"/>
                <w:color w:val="auto"/>
                <w:sz w:val="24"/>
              </w:rPr>
              <w:t>2021</w:t>
            </w:r>
            <w:r>
              <w:rPr>
                <w:rFonts w:hint="eastAsia" w:ascii="宋体" w:hAnsi="宋体"/>
                <w:color w:val="auto"/>
                <w:sz w:val="24"/>
              </w:rPr>
              <w:t>年</w:t>
            </w:r>
            <w:r>
              <w:rPr>
                <w:rFonts w:hint="eastAsia"/>
                <w:color w:val="auto"/>
                <w:sz w:val="24"/>
              </w:rPr>
              <w:t>10</w:t>
            </w:r>
            <w:r>
              <w:rPr>
                <w:rFonts w:hint="eastAsia" w:ascii="宋体" w:hAnsi="宋体"/>
                <w:color w:val="auto"/>
                <w:sz w:val="24"/>
              </w:rPr>
              <w:t>月</w:t>
            </w:r>
            <w:r>
              <w:rPr>
                <w:rFonts w:hint="eastAsia"/>
                <w:color w:val="auto"/>
                <w:sz w:val="24"/>
              </w:rPr>
              <w:t>20</w:t>
            </w:r>
            <w:r>
              <w:rPr>
                <w:rFonts w:hint="eastAsia" w:ascii="宋体" w:hAnsi="宋体"/>
                <w:color w:val="auto"/>
                <w:sz w:val="24"/>
              </w:rPr>
              <w:t>日）：“技术指南中提到“排放国家、地方环境空气质量标准中有标准限值要求的特征污染物”，其中环境空气质量标准指《环境空气质量标准》（</w:t>
            </w:r>
            <w:r>
              <w:rPr>
                <w:rFonts w:hint="eastAsia"/>
                <w:color w:val="auto"/>
                <w:sz w:val="24"/>
              </w:rPr>
              <w:t>GB3095-2012</w:t>
            </w:r>
            <w:r>
              <w:rPr>
                <w:rFonts w:hint="eastAsia" w:ascii="宋体" w:hAnsi="宋体"/>
                <w:color w:val="auto"/>
                <w:sz w:val="24"/>
              </w:rPr>
              <w:t>）和地方的环境空气质量标准，不包括《环境影响评价技术导则大气环境》（</w:t>
            </w:r>
            <w:r>
              <w:rPr>
                <w:rFonts w:hint="eastAsia"/>
                <w:color w:val="auto"/>
                <w:sz w:val="24"/>
              </w:rPr>
              <w:t>HJ2.2-2018</w:t>
            </w:r>
            <w:r>
              <w:rPr>
                <w:rFonts w:hint="eastAsia" w:ascii="宋体" w:hAnsi="宋体"/>
                <w:color w:val="auto"/>
                <w:sz w:val="24"/>
              </w:rPr>
              <w:t xml:space="preserve">）附录 </w:t>
            </w:r>
            <w:r>
              <w:rPr>
                <w:rFonts w:hint="eastAsia"/>
                <w:color w:val="auto"/>
                <w:sz w:val="24"/>
              </w:rPr>
              <w:t>D</w:t>
            </w:r>
            <w:r>
              <w:rPr>
                <w:rFonts w:hint="eastAsia" w:ascii="宋体" w:hAnsi="宋体"/>
                <w:color w:val="auto"/>
                <w:sz w:val="24"/>
              </w:rPr>
              <w:t>、《大气污染物综合排放标准详解》等导则或参考资料”。因此本次评价不对NH</w:t>
            </w:r>
            <w:r>
              <w:rPr>
                <w:rFonts w:hint="eastAsia" w:ascii="宋体" w:hAnsi="宋体"/>
                <w:color w:val="auto"/>
                <w:sz w:val="24"/>
                <w:vertAlign w:val="subscript"/>
              </w:rPr>
              <w:t>3</w:t>
            </w:r>
            <w:r>
              <w:rPr>
                <w:rFonts w:hint="eastAsia" w:ascii="宋体" w:hAnsi="宋体"/>
                <w:color w:val="auto"/>
                <w:sz w:val="24"/>
              </w:rPr>
              <w:t>、H</w:t>
            </w:r>
            <w:r>
              <w:rPr>
                <w:rFonts w:hint="eastAsia" w:ascii="宋体" w:hAnsi="宋体"/>
                <w:color w:val="auto"/>
                <w:sz w:val="24"/>
                <w:vertAlign w:val="subscript"/>
              </w:rPr>
              <w:t>2</w:t>
            </w:r>
            <w:r>
              <w:rPr>
                <w:rFonts w:hint="eastAsia" w:ascii="宋体" w:hAnsi="宋体"/>
                <w:color w:val="auto"/>
                <w:sz w:val="24"/>
              </w:rPr>
              <w:t>S、臭气浓度进行监测。</w:t>
            </w:r>
          </w:p>
          <w:p>
            <w:pPr>
              <w:spacing w:line="360" w:lineRule="auto"/>
              <w:ind w:firstLine="482" w:firstLineChars="200"/>
              <w:rPr>
                <w:b/>
                <w:color w:val="auto"/>
                <w:sz w:val="24"/>
                <w:lang w:val="zh-CN"/>
              </w:rPr>
            </w:pPr>
            <w:r>
              <w:rPr>
                <w:b/>
                <w:color w:val="auto"/>
                <w:sz w:val="24"/>
                <w:lang w:val="zh-CN"/>
              </w:rPr>
              <w:t>二、声环境</w:t>
            </w:r>
          </w:p>
          <w:p>
            <w:pPr>
              <w:pStyle w:val="12"/>
              <w:rPr>
                <w:color w:val="auto"/>
              </w:rPr>
            </w:pPr>
            <w:r>
              <w:rPr>
                <w:color w:val="auto"/>
              </w:rPr>
              <w:t>本项目声环境质量现状监测委托中环标检科技有限公司于202</w:t>
            </w:r>
            <w:r>
              <w:rPr>
                <w:rFonts w:hint="eastAsia"/>
                <w:color w:val="auto"/>
              </w:rPr>
              <w:t>4</w:t>
            </w:r>
            <w:r>
              <w:rPr>
                <w:color w:val="auto"/>
              </w:rPr>
              <w:t>年</w:t>
            </w:r>
            <w:r>
              <w:rPr>
                <w:rFonts w:hint="eastAsia"/>
                <w:color w:val="auto"/>
              </w:rPr>
              <w:t>4</w:t>
            </w:r>
            <w:r>
              <w:rPr>
                <w:color w:val="auto"/>
              </w:rPr>
              <w:t>月</w:t>
            </w:r>
            <w:r>
              <w:rPr>
                <w:rFonts w:hint="eastAsia"/>
                <w:color w:val="auto"/>
              </w:rPr>
              <w:t>27日-28</w:t>
            </w:r>
            <w:r>
              <w:rPr>
                <w:color w:val="auto"/>
              </w:rPr>
              <w:t>日进行</w:t>
            </w:r>
            <w:r>
              <w:rPr>
                <w:rFonts w:hint="eastAsia"/>
                <w:color w:val="auto"/>
              </w:rPr>
              <w:t>噪声</w:t>
            </w:r>
            <w:r>
              <w:rPr>
                <w:color w:val="auto"/>
              </w:rPr>
              <w:t>监测，项目厂界四周各设</w:t>
            </w:r>
            <w:r>
              <w:rPr>
                <w:rFonts w:hint="eastAsia"/>
                <w:color w:val="auto"/>
              </w:rPr>
              <w:t>1</w:t>
            </w:r>
            <w:r>
              <w:rPr>
                <w:color w:val="auto"/>
              </w:rPr>
              <w:t>个监测点</w:t>
            </w:r>
            <w:r>
              <w:rPr>
                <w:rFonts w:hint="eastAsia"/>
                <w:color w:val="auto"/>
              </w:rPr>
              <w:t>，国色天香设置1个监测点</w:t>
            </w:r>
            <w:r>
              <w:rPr>
                <w:color w:val="auto"/>
              </w:rPr>
              <w:t>。监测点位分布图见附图4。监测结果见表3-2。</w:t>
            </w:r>
          </w:p>
          <w:p>
            <w:pPr>
              <w:pStyle w:val="15"/>
              <w:jc w:val="right"/>
              <w:rPr>
                <w:color w:val="auto"/>
              </w:rPr>
            </w:pPr>
            <w:r>
              <w:rPr>
                <w:color w:val="auto"/>
              </w:rPr>
              <w:t>表3-2  项目场界噪声监测结果            单位：dB（A）</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49"/>
              <w:gridCol w:w="2167"/>
              <w:gridCol w:w="1213"/>
              <w:gridCol w:w="1210"/>
              <w:gridCol w:w="1039"/>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19"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rPr>
                    <w:t>监测</w:t>
                  </w:r>
                  <w:r>
                    <w:rPr>
                      <w:color w:val="auto"/>
                    </w:rPr>
                    <w:t>时间</w:t>
                  </w:r>
                </w:p>
              </w:tc>
              <w:tc>
                <w:tcPr>
                  <w:tcW w:w="1356" w:type="pct"/>
                  <w:vMerge w:val="restart"/>
                  <w:tcBorders>
                    <w:top w:val="single" w:color="auto" w:sz="4" w:space="0"/>
                    <w:left w:val="nil"/>
                    <w:bottom w:val="single" w:color="auto" w:sz="4" w:space="0"/>
                    <w:right w:val="single" w:color="auto" w:sz="4" w:space="0"/>
                  </w:tcBorders>
                  <w:vAlign w:val="center"/>
                </w:tcPr>
                <w:p>
                  <w:pPr>
                    <w:jc w:val="center"/>
                    <w:rPr>
                      <w:color w:val="auto"/>
                    </w:rPr>
                  </w:pPr>
                  <w:r>
                    <w:rPr>
                      <w:color w:val="auto"/>
                    </w:rPr>
                    <w:t>位置</w:t>
                  </w:r>
                </w:p>
              </w:tc>
              <w:tc>
                <w:tcPr>
                  <w:tcW w:w="1516" w:type="pct"/>
                  <w:gridSpan w:val="2"/>
                  <w:tcBorders>
                    <w:top w:val="single" w:color="auto" w:sz="4" w:space="0"/>
                    <w:left w:val="nil"/>
                    <w:bottom w:val="single" w:color="auto" w:sz="4" w:space="0"/>
                    <w:right w:val="single" w:color="auto" w:sz="4" w:space="0"/>
                  </w:tcBorders>
                  <w:vAlign w:val="center"/>
                </w:tcPr>
                <w:p>
                  <w:pPr>
                    <w:jc w:val="center"/>
                    <w:rPr>
                      <w:color w:val="auto"/>
                    </w:rPr>
                  </w:pPr>
                  <w:r>
                    <w:rPr>
                      <w:color w:val="auto"/>
                    </w:rPr>
                    <w:t>昼间</w:t>
                  </w:r>
                </w:p>
              </w:tc>
              <w:tc>
                <w:tcPr>
                  <w:tcW w:w="1408" w:type="pct"/>
                  <w:gridSpan w:val="2"/>
                  <w:tcBorders>
                    <w:top w:val="single" w:color="auto" w:sz="4" w:space="0"/>
                    <w:left w:val="nil"/>
                    <w:bottom w:val="single" w:color="auto" w:sz="4" w:space="0"/>
                    <w:right w:val="single" w:color="auto" w:sz="4" w:space="0"/>
                  </w:tcBorders>
                  <w:vAlign w:val="center"/>
                </w:tcPr>
                <w:p>
                  <w:pPr>
                    <w:jc w:val="center"/>
                    <w:rPr>
                      <w:color w:val="auto"/>
                    </w:rPr>
                  </w:pPr>
                  <w:r>
                    <w:rPr>
                      <w:color w:val="auto"/>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356" w:type="pct"/>
                  <w:vMerge w:val="continue"/>
                  <w:tcBorders>
                    <w:top w:val="single" w:color="auto" w:sz="4" w:space="0"/>
                    <w:left w:val="nil"/>
                    <w:bottom w:val="single" w:color="auto" w:sz="4" w:space="0"/>
                    <w:right w:val="single" w:color="auto" w:sz="4" w:space="0"/>
                  </w:tcBorders>
                  <w:vAlign w:val="center"/>
                </w:tcPr>
                <w:p>
                  <w:pPr>
                    <w:widowControl/>
                    <w:jc w:val="left"/>
                    <w:rPr>
                      <w:color w:val="auto"/>
                      <w:szCs w:val="21"/>
                    </w:rPr>
                  </w:pPr>
                </w:p>
              </w:tc>
              <w:tc>
                <w:tcPr>
                  <w:tcW w:w="759" w:type="pct"/>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监测结果</w:t>
                  </w:r>
                </w:p>
              </w:tc>
              <w:tc>
                <w:tcPr>
                  <w:tcW w:w="757" w:type="pct"/>
                  <w:tcBorders>
                    <w:top w:val="single" w:color="auto" w:sz="4" w:space="0"/>
                    <w:left w:val="nil"/>
                    <w:bottom w:val="single" w:color="auto" w:sz="4" w:space="0"/>
                    <w:right w:val="single" w:color="auto" w:sz="4" w:space="0"/>
                  </w:tcBorders>
                  <w:vAlign w:val="center"/>
                </w:tcPr>
                <w:p>
                  <w:pPr>
                    <w:jc w:val="center"/>
                    <w:rPr>
                      <w:color w:val="auto"/>
                    </w:rPr>
                  </w:pPr>
                  <w:r>
                    <w:rPr>
                      <w:color w:val="auto"/>
                    </w:rPr>
                    <w:t>标准值</w:t>
                  </w:r>
                </w:p>
              </w:tc>
              <w:tc>
                <w:tcPr>
                  <w:tcW w:w="650" w:type="pct"/>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监测结果</w:t>
                  </w:r>
                </w:p>
              </w:tc>
              <w:tc>
                <w:tcPr>
                  <w:tcW w:w="757" w:type="pct"/>
                  <w:tcBorders>
                    <w:top w:val="single" w:color="auto" w:sz="4" w:space="0"/>
                    <w:left w:val="nil"/>
                    <w:bottom w:val="single" w:color="auto" w:sz="4" w:space="0"/>
                    <w:right w:val="single" w:color="auto" w:sz="4" w:space="0"/>
                  </w:tcBorders>
                  <w:vAlign w:val="center"/>
                </w:tcPr>
                <w:p>
                  <w:pPr>
                    <w:jc w:val="center"/>
                    <w:rPr>
                      <w:color w:val="auto"/>
                    </w:rPr>
                  </w:pPr>
                  <w:r>
                    <w:rPr>
                      <w:color w:val="auto"/>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19" w:type="pct"/>
                  <w:vMerge w:val="restart"/>
                  <w:tcBorders>
                    <w:top w:val="nil"/>
                    <w:left w:val="single" w:color="auto" w:sz="4" w:space="0"/>
                    <w:bottom w:val="single" w:color="auto" w:sz="4" w:space="0"/>
                    <w:right w:val="single" w:color="auto" w:sz="4" w:space="0"/>
                  </w:tcBorders>
                  <w:vAlign w:val="center"/>
                </w:tcPr>
                <w:p>
                  <w:pPr>
                    <w:jc w:val="center"/>
                    <w:rPr>
                      <w:color w:val="auto"/>
                    </w:rPr>
                  </w:pPr>
                  <w:r>
                    <w:rPr>
                      <w:rFonts w:hint="eastAsia"/>
                      <w:color w:val="auto"/>
                    </w:rPr>
                    <w:t>04</w:t>
                  </w:r>
                  <w:r>
                    <w:rPr>
                      <w:rFonts w:hint="eastAsia" w:ascii="宋体" w:hAnsi="宋体"/>
                      <w:color w:val="auto"/>
                    </w:rPr>
                    <w:t>月</w:t>
                  </w:r>
                  <w:r>
                    <w:rPr>
                      <w:rFonts w:hint="eastAsia"/>
                      <w:color w:val="auto"/>
                    </w:rPr>
                    <w:t>27</w:t>
                  </w:r>
                  <w:r>
                    <w:rPr>
                      <w:rFonts w:hint="eastAsia" w:ascii="宋体" w:hAnsi="宋体"/>
                      <w:color w:val="auto"/>
                    </w:rPr>
                    <w:t>日</w:t>
                  </w:r>
                  <w:r>
                    <w:rPr>
                      <w:rFonts w:hint="eastAsia"/>
                      <w:color w:val="auto"/>
                    </w:rPr>
                    <w:t>-28</w:t>
                  </w:r>
                  <w:r>
                    <w:rPr>
                      <w:rFonts w:hint="eastAsia" w:ascii="宋体" w:hAnsi="宋体"/>
                      <w:color w:val="auto"/>
                    </w:rPr>
                    <w:t>日</w:t>
                  </w:r>
                </w:p>
              </w:tc>
              <w:tc>
                <w:tcPr>
                  <w:tcW w:w="1356" w:type="pct"/>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厂界西侧1</w:t>
                  </w:r>
                  <w:r>
                    <w:rPr>
                      <w:color w:val="auto"/>
                      <w:vertAlign w:val="superscript"/>
                    </w:rPr>
                    <w:t>#</w:t>
                  </w:r>
                </w:p>
              </w:tc>
              <w:tc>
                <w:tcPr>
                  <w:tcW w:w="759" w:type="pct"/>
                  <w:tcBorders>
                    <w:top w:val="single" w:color="auto" w:sz="4" w:space="0"/>
                    <w:left w:val="nil"/>
                    <w:bottom w:val="single" w:color="auto" w:sz="4" w:space="0"/>
                    <w:right w:val="single" w:color="auto" w:sz="4" w:space="0"/>
                  </w:tcBorders>
                  <w:vAlign w:val="center"/>
                </w:tcPr>
                <w:p>
                  <w:pPr>
                    <w:snapToGrid w:val="0"/>
                    <w:jc w:val="center"/>
                    <w:rPr>
                      <w:rFonts w:hint="default" w:eastAsia="宋体"/>
                      <w:color w:val="auto"/>
                      <w:lang w:val="en-US" w:eastAsia="zh-CN"/>
                    </w:rPr>
                  </w:pPr>
                  <w:r>
                    <w:rPr>
                      <w:rFonts w:hint="eastAsia"/>
                      <w:color w:val="auto"/>
                      <w:lang w:eastAsia="zh-CN"/>
                    </w:rPr>
                    <w:t>5</w:t>
                  </w:r>
                  <w:r>
                    <w:rPr>
                      <w:rFonts w:hint="eastAsia"/>
                      <w:color w:val="auto"/>
                      <w:lang w:val="en-US" w:eastAsia="zh-CN"/>
                    </w:rPr>
                    <w:t>2</w:t>
                  </w:r>
                </w:p>
              </w:tc>
              <w:tc>
                <w:tcPr>
                  <w:tcW w:w="757" w:type="pct"/>
                  <w:tcBorders>
                    <w:top w:val="nil"/>
                    <w:left w:val="nil"/>
                    <w:bottom w:val="single" w:color="auto" w:sz="4" w:space="0"/>
                    <w:right w:val="single" w:color="auto" w:sz="4" w:space="0"/>
                  </w:tcBorders>
                  <w:vAlign w:val="center"/>
                </w:tcPr>
                <w:p>
                  <w:pPr>
                    <w:jc w:val="center"/>
                    <w:rPr>
                      <w:color w:val="auto"/>
                    </w:rPr>
                  </w:pPr>
                  <w:r>
                    <w:rPr>
                      <w:rFonts w:hint="eastAsia"/>
                      <w:color w:val="auto"/>
                    </w:rPr>
                    <w:t>55</w:t>
                  </w:r>
                </w:p>
              </w:tc>
              <w:tc>
                <w:tcPr>
                  <w:tcW w:w="650" w:type="pct"/>
                  <w:tcBorders>
                    <w:top w:val="single" w:color="auto" w:sz="4" w:space="0"/>
                    <w:left w:val="nil"/>
                    <w:bottom w:val="single" w:color="auto" w:sz="4" w:space="0"/>
                    <w:right w:val="single" w:color="auto" w:sz="4" w:space="0"/>
                  </w:tcBorders>
                  <w:vAlign w:val="center"/>
                </w:tcPr>
                <w:p>
                  <w:pPr>
                    <w:snapToGrid w:val="0"/>
                    <w:jc w:val="center"/>
                    <w:rPr>
                      <w:rFonts w:hint="default" w:eastAsia="宋体"/>
                      <w:color w:val="auto"/>
                      <w:lang w:val="en-US" w:eastAsia="zh-CN"/>
                    </w:rPr>
                  </w:pPr>
                  <w:r>
                    <w:rPr>
                      <w:rFonts w:hint="eastAsia"/>
                      <w:color w:val="auto"/>
                      <w:lang w:val="en-US" w:eastAsia="zh-CN"/>
                    </w:rPr>
                    <w:t>42</w:t>
                  </w:r>
                </w:p>
              </w:tc>
              <w:tc>
                <w:tcPr>
                  <w:tcW w:w="757" w:type="pct"/>
                  <w:tcBorders>
                    <w:top w:val="nil"/>
                    <w:left w:val="nil"/>
                    <w:bottom w:val="single" w:color="auto" w:sz="4" w:space="0"/>
                    <w:right w:val="single" w:color="auto" w:sz="4" w:space="0"/>
                  </w:tcBorders>
                  <w:vAlign w:val="center"/>
                </w:tcPr>
                <w:p>
                  <w:pPr>
                    <w:jc w:val="center"/>
                    <w:rPr>
                      <w:color w:val="auto"/>
                    </w:rPr>
                  </w:pPr>
                  <w:r>
                    <w:rPr>
                      <w:rFonts w:hint="eastAsia"/>
                      <w:color w:val="auto"/>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19" w:type="pct"/>
                  <w:vMerge w:val="continue"/>
                  <w:tcBorders>
                    <w:top w:val="nil"/>
                    <w:left w:val="single" w:color="auto" w:sz="4" w:space="0"/>
                    <w:bottom w:val="single" w:color="auto" w:sz="4" w:space="0"/>
                    <w:right w:val="single" w:color="auto" w:sz="4" w:space="0"/>
                  </w:tcBorders>
                  <w:vAlign w:val="center"/>
                </w:tcPr>
                <w:p>
                  <w:pPr>
                    <w:widowControl/>
                    <w:jc w:val="left"/>
                    <w:rPr>
                      <w:color w:val="auto"/>
                      <w:szCs w:val="21"/>
                    </w:rPr>
                  </w:pPr>
                </w:p>
              </w:tc>
              <w:tc>
                <w:tcPr>
                  <w:tcW w:w="1356" w:type="pct"/>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厂界北侧2</w:t>
                  </w:r>
                  <w:r>
                    <w:rPr>
                      <w:color w:val="auto"/>
                      <w:vertAlign w:val="superscript"/>
                    </w:rPr>
                    <w:t>#</w:t>
                  </w:r>
                </w:p>
              </w:tc>
              <w:tc>
                <w:tcPr>
                  <w:tcW w:w="759" w:type="pct"/>
                  <w:tcBorders>
                    <w:top w:val="single" w:color="auto" w:sz="4" w:space="0"/>
                    <w:left w:val="nil"/>
                    <w:bottom w:val="single" w:color="auto" w:sz="4" w:space="0"/>
                    <w:right w:val="single" w:color="auto" w:sz="4" w:space="0"/>
                  </w:tcBorders>
                  <w:vAlign w:val="center"/>
                </w:tcPr>
                <w:p>
                  <w:pPr>
                    <w:snapToGrid w:val="0"/>
                    <w:jc w:val="center"/>
                    <w:rPr>
                      <w:rFonts w:hint="eastAsia" w:eastAsia="宋体"/>
                      <w:color w:val="auto"/>
                      <w:lang w:val="en-US" w:eastAsia="zh-CN"/>
                    </w:rPr>
                  </w:pPr>
                  <w:r>
                    <w:rPr>
                      <w:rFonts w:hint="default"/>
                      <w:color w:val="auto"/>
                      <w:lang w:val="en-US"/>
                    </w:rPr>
                    <w:t>5</w:t>
                  </w:r>
                  <w:r>
                    <w:rPr>
                      <w:rFonts w:hint="eastAsia"/>
                      <w:color w:val="auto"/>
                      <w:lang w:val="en-US" w:eastAsia="zh-CN"/>
                    </w:rPr>
                    <w:t>3</w:t>
                  </w:r>
                </w:p>
              </w:tc>
              <w:tc>
                <w:tcPr>
                  <w:tcW w:w="757" w:type="pct"/>
                  <w:tcBorders>
                    <w:top w:val="single" w:color="auto" w:sz="4" w:space="0"/>
                    <w:left w:val="nil"/>
                    <w:bottom w:val="single" w:color="auto" w:sz="4" w:space="0"/>
                    <w:right w:val="single" w:color="auto" w:sz="4" w:space="0"/>
                  </w:tcBorders>
                  <w:vAlign w:val="center"/>
                </w:tcPr>
                <w:p>
                  <w:pPr>
                    <w:jc w:val="center"/>
                    <w:rPr>
                      <w:color w:val="auto"/>
                    </w:rPr>
                  </w:pPr>
                  <w:r>
                    <w:rPr>
                      <w:color w:val="auto"/>
                    </w:rPr>
                    <w:t>55</w:t>
                  </w:r>
                </w:p>
              </w:tc>
              <w:tc>
                <w:tcPr>
                  <w:tcW w:w="650" w:type="pct"/>
                  <w:tcBorders>
                    <w:top w:val="single" w:color="auto" w:sz="4" w:space="0"/>
                    <w:left w:val="nil"/>
                    <w:bottom w:val="single" w:color="auto" w:sz="4" w:space="0"/>
                    <w:right w:val="single" w:color="auto" w:sz="4" w:space="0"/>
                  </w:tcBorders>
                  <w:vAlign w:val="center"/>
                </w:tcPr>
                <w:p>
                  <w:pPr>
                    <w:snapToGrid w:val="0"/>
                    <w:jc w:val="center"/>
                    <w:rPr>
                      <w:rFonts w:hint="default" w:eastAsia="宋体"/>
                      <w:color w:val="auto"/>
                      <w:lang w:val="en-US" w:eastAsia="zh-CN"/>
                    </w:rPr>
                  </w:pPr>
                  <w:r>
                    <w:rPr>
                      <w:rFonts w:hint="eastAsia"/>
                      <w:color w:val="auto"/>
                      <w:lang w:val="en-US" w:eastAsia="zh-CN"/>
                    </w:rPr>
                    <w:t>43</w:t>
                  </w:r>
                </w:p>
              </w:tc>
              <w:tc>
                <w:tcPr>
                  <w:tcW w:w="757" w:type="pct"/>
                  <w:tcBorders>
                    <w:top w:val="single" w:color="auto" w:sz="4" w:space="0"/>
                    <w:left w:val="nil"/>
                    <w:bottom w:val="single" w:color="auto" w:sz="4" w:space="0"/>
                    <w:right w:val="single" w:color="auto" w:sz="4" w:space="0"/>
                  </w:tcBorders>
                  <w:vAlign w:val="center"/>
                </w:tcPr>
                <w:p>
                  <w:pPr>
                    <w:jc w:val="center"/>
                    <w:rPr>
                      <w:color w:val="auto"/>
                    </w:rPr>
                  </w:pPr>
                  <w:r>
                    <w:rPr>
                      <w:color w:val="auto"/>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19" w:type="pct"/>
                  <w:vMerge w:val="continue"/>
                  <w:tcBorders>
                    <w:top w:val="nil"/>
                    <w:left w:val="single" w:color="auto" w:sz="4" w:space="0"/>
                    <w:bottom w:val="single" w:color="auto" w:sz="4" w:space="0"/>
                    <w:right w:val="single" w:color="auto" w:sz="4" w:space="0"/>
                  </w:tcBorders>
                  <w:vAlign w:val="center"/>
                </w:tcPr>
                <w:p>
                  <w:pPr>
                    <w:widowControl/>
                    <w:jc w:val="left"/>
                    <w:rPr>
                      <w:color w:val="auto"/>
                      <w:szCs w:val="21"/>
                    </w:rPr>
                  </w:pPr>
                </w:p>
              </w:tc>
              <w:tc>
                <w:tcPr>
                  <w:tcW w:w="1356" w:type="pct"/>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厂界东侧3</w:t>
                  </w:r>
                  <w:r>
                    <w:rPr>
                      <w:color w:val="auto"/>
                      <w:vertAlign w:val="superscript"/>
                    </w:rPr>
                    <w:t>#</w:t>
                  </w:r>
                </w:p>
              </w:tc>
              <w:tc>
                <w:tcPr>
                  <w:tcW w:w="759" w:type="pct"/>
                  <w:tcBorders>
                    <w:top w:val="single" w:color="auto" w:sz="4" w:space="0"/>
                    <w:left w:val="nil"/>
                    <w:bottom w:val="single" w:color="auto" w:sz="4" w:space="0"/>
                    <w:right w:val="single" w:color="auto" w:sz="4" w:space="0"/>
                  </w:tcBorders>
                  <w:vAlign w:val="center"/>
                </w:tcPr>
                <w:p>
                  <w:pPr>
                    <w:snapToGrid w:val="0"/>
                    <w:jc w:val="center"/>
                    <w:rPr>
                      <w:color w:val="auto"/>
                    </w:rPr>
                  </w:pPr>
                  <w:r>
                    <w:rPr>
                      <w:rFonts w:hint="eastAsia"/>
                      <w:color w:val="auto"/>
                    </w:rPr>
                    <w:t>58</w:t>
                  </w:r>
                </w:p>
              </w:tc>
              <w:tc>
                <w:tcPr>
                  <w:tcW w:w="757" w:type="pct"/>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70</w:t>
                  </w:r>
                </w:p>
              </w:tc>
              <w:tc>
                <w:tcPr>
                  <w:tcW w:w="650" w:type="pct"/>
                  <w:tcBorders>
                    <w:top w:val="single" w:color="auto" w:sz="4" w:space="0"/>
                    <w:left w:val="nil"/>
                    <w:bottom w:val="single" w:color="auto" w:sz="4" w:space="0"/>
                    <w:right w:val="single" w:color="auto" w:sz="4" w:space="0"/>
                  </w:tcBorders>
                  <w:vAlign w:val="center"/>
                </w:tcPr>
                <w:p>
                  <w:pPr>
                    <w:snapToGrid w:val="0"/>
                    <w:jc w:val="center"/>
                    <w:rPr>
                      <w:color w:val="auto"/>
                    </w:rPr>
                  </w:pPr>
                  <w:r>
                    <w:rPr>
                      <w:rFonts w:hint="eastAsia"/>
                      <w:color w:val="auto"/>
                    </w:rPr>
                    <w:t>48</w:t>
                  </w:r>
                </w:p>
              </w:tc>
              <w:tc>
                <w:tcPr>
                  <w:tcW w:w="757" w:type="pct"/>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19" w:type="pct"/>
                  <w:vMerge w:val="continue"/>
                  <w:tcBorders>
                    <w:top w:val="nil"/>
                    <w:left w:val="single" w:color="auto" w:sz="4" w:space="0"/>
                    <w:bottom w:val="single" w:color="auto" w:sz="4" w:space="0"/>
                    <w:right w:val="single" w:color="auto" w:sz="4" w:space="0"/>
                  </w:tcBorders>
                  <w:vAlign w:val="center"/>
                </w:tcPr>
                <w:p>
                  <w:pPr>
                    <w:widowControl/>
                    <w:jc w:val="left"/>
                    <w:rPr>
                      <w:color w:val="auto"/>
                      <w:szCs w:val="21"/>
                    </w:rPr>
                  </w:pPr>
                </w:p>
              </w:tc>
              <w:tc>
                <w:tcPr>
                  <w:tcW w:w="1356" w:type="pct"/>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厂界南侧4</w:t>
                  </w:r>
                  <w:r>
                    <w:rPr>
                      <w:color w:val="auto"/>
                      <w:vertAlign w:val="superscript"/>
                    </w:rPr>
                    <w:t>#</w:t>
                  </w:r>
                </w:p>
              </w:tc>
              <w:tc>
                <w:tcPr>
                  <w:tcW w:w="759" w:type="pct"/>
                  <w:tcBorders>
                    <w:top w:val="single" w:color="auto" w:sz="4" w:space="0"/>
                    <w:left w:val="nil"/>
                    <w:bottom w:val="single" w:color="auto" w:sz="4" w:space="0"/>
                    <w:right w:val="single" w:color="auto" w:sz="4" w:space="0"/>
                  </w:tcBorders>
                  <w:vAlign w:val="center"/>
                </w:tcPr>
                <w:p>
                  <w:pPr>
                    <w:snapToGrid w:val="0"/>
                    <w:jc w:val="center"/>
                    <w:rPr>
                      <w:rFonts w:hint="default" w:eastAsia="宋体"/>
                      <w:color w:val="auto"/>
                      <w:lang w:val="en-US" w:eastAsia="zh-CN"/>
                    </w:rPr>
                  </w:pPr>
                  <w:r>
                    <w:rPr>
                      <w:rFonts w:hint="eastAsia"/>
                      <w:color w:val="auto"/>
                      <w:lang w:val="en-US" w:eastAsia="zh-CN"/>
                    </w:rPr>
                    <w:t>52</w:t>
                  </w:r>
                </w:p>
              </w:tc>
              <w:tc>
                <w:tcPr>
                  <w:tcW w:w="757" w:type="pct"/>
                  <w:tcBorders>
                    <w:top w:val="single" w:color="auto" w:sz="4" w:space="0"/>
                    <w:left w:val="nil"/>
                    <w:bottom w:val="single" w:color="auto" w:sz="4" w:space="0"/>
                    <w:right w:val="single" w:color="auto" w:sz="4" w:space="0"/>
                  </w:tcBorders>
                  <w:vAlign w:val="center"/>
                </w:tcPr>
                <w:p>
                  <w:pPr>
                    <w:jc w:val="center"/>
                    <w:rPr>
                      <w:color w:val="auto"/>
                    </w:rPr>
                  </w:pPr>
                  <w:r>
                    <w:rPr>
                      <w:color w:val="auto"/>
                    </w:rPr>
                    <w:t>55</w:t>
                  </w:r>
                </w:p>
              </w:tc>
              <w:tc>
                <w:tcPr>
                  <w:tcW w:w="650" w:type="pct"/>
                  <w:tcBorders>
                    <w:top w:val="single" w:color="auto" w:sz="4" w:space="0"/>
                    <w:left w:val="nil"/>
                    <w:bottom w:val="single" w:color="auto" w:sz="4" w:space="0"/>
                    <w:right w:val="single" w:color="auto" w:sz="4" w:space="0"/>
                  </w:tcBorders>
                  <w:vAlign w:val="center"/>
                </w:tcPr>
                <w:p>
                  <w:pPr>
                    <w:snapToGrid w:val="0"/>
                    <w:jc w:val="center"/>
                    <w:rPr>
                      <w:rFonts w:hint="eastAsia" w:eastAsia="宋体"/>
                      <w:color w:val="auto"/>
                      <w:lang w:eastAsia="zh-CN"/>
                    </w:rPr>
                  </w:pPr>
                  <w:r>
                    <w:rPr>
                      <w:rFonts w:hint="eastAsia"/>
                      <w:color w:val="auto"/>
                    </w:rPr>
                    <w:t>4</w:t>
                  </w:r>
                  <w:r>
                    <w:rPr>
                      <w:rFonts w:hint="eastAsia"/>
                      <w:color w:val="auto"/>
                      <w:lang w:val="en-US" w:eastAsia="zh-CN"/>
                    </w:rPr>
                    <w:t>2</w:t>
                  </w:r>
                </w:p>
              </w:tc>
              <w:tc>
                <w:tcPr>
                  <w:tcW w:w="757" w:type="pct"/>
                  <w:tcBorders>
                    <w:top w:val="single" w:color="auto" w:sz="4" w:space="0"/>
                    <w:left w:val="nil"/>
                    <w:bottom w:val="single" w:color="auto" w:sz="4" w:space="0"/>
                    <w:right w:val="single" w:color="auto" w:sz="4" w:space="0"/>
                  </w:tcBorders>
                  <w:vAlign w:val="center"/>
                </w:tcPr>
                <w:p>
                  <w:pPr>
                    <w:jc w:val="center"/>
                    <w:rPr>
                      <w:color w:val="auto"/>
                    </w:rPr>
                  </w:pPr>
                  <w:r>
                    <w:rPr>
                      <w:color w:val="auto"/>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19" w:type="pct"/>
                  <w:vMerge w:val="continue"/>
                  <w:tcBorders>
                    <w:top w:val="nil"/>
                    <w:left w:val="single" w:color="auto" w:sz="4" w:space="0"/>
                    <w:bottom w:val="single" w:color="auto" w:sz="4" w:space="0"/>
                    <w:right w:val="single" w:color="auto" w:sz="4" w:space="0"/>
                  </w:tcBorders>
                  <w:vAlign w:val="center"/>
                </w:tcPr>
                <w:p>
                  <w:pPr>
                    <w:widowControl/>
                    <w:jc w:val="left"/>
                    <w:rPr>
                      <w:color w:val="auto"/>
                      <w:szCs w:val="21"/>
                    </w:rPr>
                  </w:pPr>
                </w:p>
              </w:tc>
              <w:tc>
                <w:tcPr>
                  <w:tcW w:w="1356" w:type="pct"/>
                  <w:tcBorders>
                    <w:top w:val="single" w:color="auto" w:sz="4" w:space="0"/>
                    <w:left w:val="nil"/>
                    <w:bottom w:val="single" w:color="auto" w:sz="4" w:space="0"/>
                    <w:right w:val="single" w:color="auto" w:sz="4" w:space="0"/>
                  </w:tcBorders>
                  <w:vAlign w:val="center"/>
                </w:tcPr>
                <w:p>
                  <w:pPr>
                    <w:jc w:val="center"/>
                    <w:rPr>
                      <w:color w:val="auto"/>
                    </w:rPr>
                  </w:pPr>
                  <w:r>
                    <w:rPr>
                      <w:rFonts w:hint="eastAsia" w:ascii="宋体" w:hAnsi="宋体"/>
                      <w:color w:val="auto"/>
                    </w:rPr>
                    <w:t>国色天香1期</w:t>
                  </w:r>
                  <w:r>
                    <w:rPr>
                      <w:rFonts w:hint="eastAsia"/>
                      <w:color w:val="auto"/>
                    </w:rPr>
                    <w:t>5</w:t>
                  </w:r>
                  <w:r>
                    <w:rPr>
                      <w:color w:val="auto"/>
                      <w:vertAlign w:val="superscript"/>
                    </w:rPr>
                    <w:t>#</w:t>
                  </w:r>
                </w:p>
              </w:tc>
              <w:tc>
                <w:tcPr>
                  <w:tcW w:w="759" w:type="pct"/>
                  <w:tcBorders>
                    <w:top w:val="single" w:color="auto" w:sz="4" w:space="0"/>
                    <w:left w:val="nil"/>
                    <w:bottom w:val="single" w:color="auto" w:sz="4" w:space="0"/>
                    <w:right w:val="single" w:color="auto" w:sz="4" w:space="0"/>
                  </w:tcBorders>
                  <w:vAlign w:val="center"/>
                </w:tcPr>
                <w:p>
                  <w:pPr>
                    <w:snapToGrid w:val="0"/>
                    <w:jc w:val="center"/>
                    <w:rPr>
                      <w:rFonts w:hint="default" w:eastAsia="宋体"/>
                      <w:color w:val="auto"/>
                      <w:lang w:val="en-US" w:eastAsia="zh-CN"/>
                    </w:rPr>
                  </w:pPr>
                  <w:r>
                    <w:rPr>
                      <w:rFonts w:hint="eastAsia"/>
                      <w:color w:val="auto"/>
                      <w:lang w:val="en-US" w:eastAsia="zh-CN"/>
                    </w:rPr>
                    <w:t>51</w:t>
                  </w:r>
                </w:p>
              </w:tc>
              <w:tc>
                <w:tcPr>
                  <w:tcW w:w="757" w:type="pct"/>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55</w:t>
                  </w:r>
                </w:p>
              </w:tc>
              <w:tc>
                <w:tcPr>
                  <w:tcW w:w="650" w:type="pct"/>
                  <w:tcBorders>
                    <w:top w:val="single" w:color="auto" w:sz="4" w:space="0"/>
                    <w:left w:val="nil"/>
                    <w:bottom w:val="single" w:color="auto" w:sz="4" w:space="0"/>
                    <w:right w:val="single" w:color="auto" w:sz="4" w:space="0"/>
                  </w:tcBorders>
                  <w:vAlign w:val="center"/>
                </w:tcPr>
                <w:p>
                  <w:pPr>
                    <w:snapToGrid w:val="0"/>
                    <w:jc w:val="center"/>
                    <w:rPr>
                      <w:rFonts w:hint="eastAsia" w:eastAsia="宋体"/>
                      <w:color w:val="auto"/>
                      <w:lang w:eastAsia="zh-CN"/>
                    </w:rPr>
                  </w:pPr>
                  <w:r>
                    <w:rPr>
                      <w:rFonts w:hint="eastAsia"/>
                      <w:color w:val="auto"/>
                    </w:rPr>
                    <w:t>4</w:t>
                  </w:r>
                  <w:r>
                    <w:rPr>
                      <w:rFonts w:hint="eastAsia"/>
                      <w:color w:val="auto"/>
                      <w:lang w:val="en-US" w:eastAsia="zh-CN"/>
                    </w:rPr>
                    <w:t>1</w:t>
                  </w:r>
                </w:p>
              </w:tc>
              <w:tc>
                <w:tcPr>
                  <w:tcW w:w="757" w:type="pct"/>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45</w:t>
                  </w:r>
                </w:p>
              </w:tc>
            </w:tr>
          </w:tbl>
          <w:p>
            <w:pPr>
              <w:pStyle w:val="12"/>
              <w:spacing w:before="120" w:beforeLines="50"/>
              <w:rPr>
                <w:color w:val="auto"/>
              </w:rPr>
            </w:pPr>
            <w:r>
              <w:rPr>
                <w:color w:val="auto"/>
              </w:rPr>
              <w:t>根据《西安市人民政府办公厅关于印发声环境功能区划方案的通知》（市政办函〔2019〕107号），本项目</w:t>
            </w:r>
            <w:r>
              <w:rPr>
                <w:rFonts w:hint="eastAsia"/>
                <w:color w:val="auto"/>
              </w:rPr>
              <w:t xml:space="preserve">属于“表2-2 </w:t>
            </w:r>
            <w:r>
              <w:rPr>
                <w:color w:val="auto"/>
              </w:rPr>
              <w:t>西安市1类标准适用区域名单</w:t>
            </w:r>
            <w:r>
              <w:rPr>
                <w:rFonts w:hint="eastAsia"/>
                <w:color w:val="auto"/>
              </w:rPr>
              <w:t>”中的“</w:t>
            </w:r>
            <w:r>
              <w:rPr>
                <w:color w:val="auto"/>
              </w:rPr>
              <w:t>西长安街北部区域</w:t>
            </w:r>
            <w:r>
              <w:rPr>
                <w:rFonts w:hint="eastAsia"/>
                <w:color w:val="auto"/>
              </w:rPr>
              <w:t xml:space="preserve">”，企业东侧临路为茅坡路属于“表2-5 </w:t>
            </w:r>
            <w:r>
              <w:rPr>
                <w:color w:val="auto"/>
              </w:rPr>
              <w:t>西安市4a类标准适用区域名单</w:t>
            </w:r>
            <w:r>
              <w:rPr>
                <w:rFonts w:hint="eastAsia"/>
                <w:color w:val="auto"/>
              </w:rPr>
              <w:t>”</w:t>
            </w:r>
            <w:r>
              <w:rPr>
                <w:color w:val="auto"/>
              </w:rPr>
              <w:t>。监测结果</w:t>
            </w:r>
            <w:r>
              <w:rPr>
                <w:color w:val="auto"/>
                <w:spacing w:val="6"/>
              </w:rPr>
              <w:t>表明，项目1#东厂界</w:t>
            </w:r>
            <w:r>
              <w:rPr>
                <w:color w:val="auto"/>
              </w:rPr>
              <w:t>昼、夜间的噪声值均达到</w:t>
            </w:r>
            <w:r>
              <w:rPr>
                <w:rFonts w:hint="eastAsia" w:ascii="宋体" w:hAnsi="宋体"/>
                <w:color w:val="auto"/>
              </w:rPr>
              <w:t>《工业企业厂界环境噪声排放标准》（</w:t>
            </w:r>
            <w:r>
              <w:rPr>
                <w:color w:val="auto"/>
              </w:rPr>
              <w:t>GB12348-2008</w:t>
            </w:r>
            <w:r>
              <w:rPr>
                <w:rFonts w:hint="eastAsia" w:ascii="宋体" w:hAnsi="宋体"/>
                <w:color w:val="auto"/>
              </w:rPr>
              <w:t>）中</w:t>
            </w:r>
            <w:r>
              <w:rPr>
                <w:rFonts w:hint="eastAsia"/>
                <w:color w:val="auto"/>
              </w:rPr>
              <w:t>4</w:t>
            </w:r>
            <w:r>
              <w:rPr>
                <w:color w:val="auto"/>
              </w:rPr>
              <w:t>类标准要求；2#北厂界、3#南厂界及4#北厂界昼、夜间的噪声值均达到</w:t>
            </w:r>
            <w:r>
              <w:rPr>
                <w:rFonts w:hint="eastAsia" w:ascii="宋体" w:hAnsi="宋体"/>
                <w:color w:val="auto"/>
              </w:rPr>
              <w:t>《工业企业厂界环境噪声排放标准》（</w:t>
            </w:r>
            <w:r>
              <w:rPr>
                <w:color w:val="auto"/>
              </w:rPr>
              <w:t>GB12348-2008</w:t>
            </w:r>
            <w:r>
              <w:rPr>
                <w:rFonts w:hint="eastAsia" w:ascii="宋体" w:hAnsi="宋体"/>
                <w:color w:val="auto"/>
              </w:rPr>
              <w:t>）</w:t>
            </w:r>
            <w:r>
              <w:rPr>
                <w:color w:val="auto"/>
              </w:rPr>
              <w:t>中1类标准要求。</w:t>
            </w:r>
            <w:r>
              <w:rPr>
                <w:rFonts w:hint="eastAsia"/>
                <w:color w:val="auto"/>
              </w:rPr>
              <w:t>敏感点</w:t>
            </w:r>
            <w:r>
              <w:rPr>
                <w:rFonts w:hint="eastAsia" w:ascii="宋体" w:hAnsi="宋体"/>
                <w:color w:val="auto"/>
              </w:rPr>
              <w:t>国色天香</w:t>
            </w:r>
            <w:r>
              <w:rPr>
                <w:rFonts w:ascii="宋体" w:hAnsi="宋体"/>
                <w:color w:val="auto"/>
              </w:rPr>
              <w:t>1</w:t>
            </w:r>
            <w:r>
              <w:rPr>
                <w:rFonts w:hint="eastAsia" w:ascii="宋体" w:hAnsi="宋体"/>
                <w:color w:val="auto"/>
              </w:rPr>
              <w:t>期间</w:t>
            </w:r>
            <w:r>
              <w:rPr>
                <w:rFonts w:hint="eastAsia"/>
                <w:color w:val="auto"/>
              </w:rPr>
              <w:t>噪声值满足《声环境质量标准》（</w:t>
            </w:r>
            <w:r>
              <w:rPr>
                <w:color w:val="auto"/>
              </w:rPr>
              <w:t>GB3096-2008</w:t>
            </w:r>
            <w:r>
              <w:rPr>
                <w:rFonts w:hint="eastAsia"/>
                <w:color w:val="auto"/>
              </w:rPr>
              <w:t>）中</w:t>
            </w:r>
            <w:r>
              <w:rPr>
                <w:color w:val="auto"/>
              </w:rPr>
              <w:t>1</w:t>
            </w:r>
            <w:r>
              <w:rPr>
                <w:rFonts w:hint="eastAsia"/>
                <w:color w:val="auto"/>
              </w:rPr>
              <w:t>类区标准。</w:t>
            </w:r>
          </w:p>
          <w:p>
            <w:pPr>
              <w:adjustRightInd w:val="0"/>
              <w:snapToGrid w:val="0"/>
              <w:spacing w:line="360" w:lineRule="auto"/>
              <w:ind w:firstLine="484"/>
              <w:rPr>
                <w:b/>
                <w:bCs/>
                <w:snapToGrid w:val="0"/>
                <w:color w:val="auto"/>
                <w:spacing w:val="1"/>
                <w:position w:val="-3"/>
                <w:sz w:val="24"/>
              </w:rPr>
            </w:pPr>
            <w:r>
              <w:rPr>
                <w:rFonts w:hint="eastAsia"/>
                <w:b/>
                <w:bCs/>
                <w:snapToGrid w:val="0"/>
                <w:color w:val="auto"/>
                <w:spacing w:val="1"/>
                <w:position w:val="-3"/>
                <w:sz w:val="24"/>
              </w:rPr>
              <w:t>三、地下水、土壤环境</w:t>
            </w:r>
          </w:p>
          <w:p>
            <w:pPr>
              <w:adjustRightInd w:val="0"/>
              <w:snapToGrid w:val="0"/>
              <w:spacing w:line="360" w:lineRule="auto"/>
              <w:ind w:firstLine="484"/>
              <w:rPr>
                <w:snapToGrid w:val="0"/>
                <w:color w:val="auto"/>
                <w:spacing w:val="1"/>
                <w:position w:val="-3"/>
                <w:sz w:val="24"/>
              </w:rPr>
            </w:pPr>
            <w:r>
              <w:rPr>
                <w:snapToGrid w:val="0"/>
                <w:color w:val="auto"/>
                <w:spacing w:val="1"/>
                <w:position w:val="-3"/>
                <w:sz w:val="24"/>
              </w:rPr>
              <w:t>本项目土壤、地下水污染源</w:t>
            </w:r>
            <w:r>
              <w:rPr>
                <w:rFonts w:hint="eastAsia"/>
                <w:snapToGrid w:val="0"/>
                <w:color w:val="auto"/>
                <w:spacing w:val="1"/>
                <w:position w:val="-3"/>
                <w:sz w:val="24"/>
              </w:rPr>
              <w:t>为医疗废物暂存间、一体化污水处理设备</w:t>
            </w:r>
            <w:r>
              <w:rPr>
                <w:snapToGrid w:val="0"/>
                <w:color w:val="auto"/>
                <w:spacing w:val="1"/>
                <w:position w:val="-3"/>
                <w:sz w:val="24"/>
              </w:rPr>
              <w:t>，</w:t>
            </w:r>
            <w:r>
              <w:rPr>
                <w:rFonts w:hint="eastAsia"/>
                <w:snapToGrid w:val="0"/>
                <w:color w:val="auto"/>
                <w:spacing w:val="1"/>
                <w:position w:val="-3"/>
                <w:sz w:val="24"/>
              </w:rPr>
              <w:t>已</w:t>
            </w:r>
            <w:r>
              <w:rPr>
                <w:snapToGrid w:val="0"/>
                <w:color w:val="auto"/>
                <w:spacing w:val="1"/>
                <w:position w:val="-3"/>
                <w:sz w:val="24"/>
              </w:rPr>
              <w:t>根据要求硬化、重点防渗处理，</w:t>
            </w:r>
            <w:r>
              <w:rPr>
                <w:rFonts w:hint="eastAsia"/>
                <w:snapToGrid w:val="0"/>
                <w:color w:val="auto"/>
                <w:spacing w:val="1"/>
                <w:position w:val="-3"/>
                <w:sz w:val="24"/>
              </w:rPr>
              <w:t>可阻断</w:t>
            </w:r>
            <w:r>
              <w:rPr>
                <w:snapToGrid w:val="0"/>
                <w:color w:val="auto"/>
                <w:spacing w:val="1"/>
                <w:position w:val="-3"/>
                <w:sz w:val="24"/>
              </w:rPr>
              <w:t>在土壤、地下水污染途径</w:t>
            </w:r>
            <w:r>
              <w:rPr>
                <w:rFonts w:hint="eastAsia"/>
                <w:snapToGrid w:val="0"/>
                <w:color w:val="auto"/>
                <w:spacing w:val="1"/>
                <w:position w:val="-3"/>
                <w:sz w:val="24"/>
              </w:rPr>
              <w:t>。此外其他地面均已进行了硬化处理，不具备土壤采样条件，对土壤、地下水产生污染的可能性较小。</w:t>
            </w:r>
            <w:r>
              <w:rPr>
                <w:snapToGrid w:val="0"/>
                <w:color w:val="auto"/>
                <w:spacing w:val="1"/>
                <w:position w:val="-3"/>
                <w:sz w:val="24"/>
              </w:rPr>
              <w:t>故不开展地下水、土壤环境质量现状调查。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00" w:type="dxa"/>
            <w:vAlign w:val="center"/>
          </w:tcPr>
          <w:p>
            <w:pPr>
              <w:adjustRightInd w:val="0"/>
              <w:snapToGrid w:val="0"/>
              <w:jc w:val="center"/>
              <w:rPr>
                <w:color w:val="auto"/>
                <w:kern w:val="0"/>
                <w:sz w:val="24"/>
              </w:rPr>
            </w:pPr>
            <w:r>
              <w:rPr>
                <w:color w:val="auto"/>
                <w:kern w:val="0"/>
                <w:sz w:val="24"/>
              </w:rPr>
              <w:t>环境</w:t>
            </w:r>
          </w:p>
          <w:p>
            <w:pPr>
              <w:adjustRightInd w:val="0"/>
              <w:snapToGrid w:val="0"/>
              <w:jc w:val="center"/>
              <w:rPr>
                <w:color w:val="auto"/>
                <w:kern w:val="0"/>
                <w:sz w:val="24"/>
              </w:rPr>
            </w:pPr>
            <w:r>
              <w:rPr>
                <w:color w:val="auto"/>
                <w:kern w:val="0"/>
                <w:sz w:val="24"/>
              </w:rPr>
              <w:t>保护</w:t>
            </w:r>
          </w:p>
          <w:p>
            <w:pPr>
              <w:adjustRightInd w:val="0"/>
              <w:snapToGrid w:val="0"/>
              <w:jc w:val="center"/>
              <w:rPr>
                <w:color w:val="auto"/>
                <w:kern w:val="0"/>
                <w:sz w:val="24"/>
              </w:rPr>
            </w:pPr>
            <w:r>
              <w:rPr>
                <w:color w:val="auto"/>
                <w:kern w:val="0"/>
                <w:sz w:val="24"/>
              </w:rPr>
              <w:t>目标</w:t>
            </w:r>
          </w:p>
        </w:tc>
        <w:tc>
          <w:tcPr>
            <w:tcW w:w="8164" w:type="dxa"/>
            <w:vAlign w:val="center"/>
          </w:tcPr>
          <w:p>
            <w:pPr>
              <w:adjustRightInd w:val="0"/>
              <w:snapToGrid w:val="0"/>
              <w:spacing w:before="120" w:beforeLines="50" w:line="360" w:lineRule="auto"/>
              <w:ind w:firstLine="480" w:firstLineChars="200"/>
              <w:rPr>
                <w:color w:val="auto"/>
                <w:kern w:val="0"/>
                <w:sz w:val="24"/>
              </w:rPr>
            </w:pPr>
            <w:r>
              <w:rPr>
                <w:color w:val="auto"/>
                <w:kern w:val="0"/>
                <w:sz w:val="24"/>
              </w:rPr>
              <w:t>本项目</w:t>
            </w:r>
            <w:r>
              <w:rPr>
                <w:rFonts w:hint="eastAsia"/>
                <w:color w:val="auto"/>
                <w:kern w:val="0"/>
                <w:sz w:val="24"/>
              </w:rPr>
              <w:t>主要环境</w:t>
            </w:r>
            <w:r>
              <w:rPr>
                <w:color w:val="auto"/>
                <w:kern w:val="0"/>
                <w:sz w:val="24"/>
              </w:rPr>
              <w:t>保护目标见表3-</w:t>
            </w:r>
            <w:r>
              <w:rPr>
                <w:rFonts w:hint="eastAsia"/>
                <w:color w:val="auto"/>
                <w:kern w:val="0"/>
                <w:sz w:val="24"/>
              </w:rPr>
              <w:t>3</w:t>
            </w:r>
            <w:r>
              <w:rPr>
                <w:color w:val="auto"/>
                <w:kern w:val="0"/>
                <w:sz w:val="24"/>
              </w:rPr>
              <w:t>。</w:t>
            </w:r>
          </w:p>
          <w:p>
            <w:pPr>
              <w:pStyle w:val="15"/>
              <w:spacing w:before="24" w:after="24"/>
              <w:ind w:firstLine="480"/>
              <w:rPr>
                <w:color w:val="auto"/>
              </w:rPr>
            </w:pPr>
            <w:r>
              <w:rPr>
                <w:rFonts w:ascii="黑体" w:hAnsi="黑体"/>
                <w:color w:val="auto"/>
              </w:rPr>
              <w:t>表</w:t>
            </w:r>
            <w:r>
              <w:rPr>
                <w:color w:val="auto"/>
              </w:rPr>
              <w:t>3-</w:t>
            </w:r>
            <w:r>
              <w:rPr>
                <w:rFonts w:hint="eastAsia"/>
                <w:color w:val="auto"/>
              </w:rPr>
              <w:t>3</w:t>
            </w:r>
            <w:r>
              <w:rPr>
                <w:color w:val="auto"/>
              </w:rPr>
              <w:t xml:space="preserve">  </w:t>
            </w:r>
            <w:r>
              <w:rPr>
                <w:rFonts w:ascii="黑体" w:hAnsi="黑体"/>
                <w:color w:val="auto"/>
              </w:rPr>
              <w:t>主要环境保护目标一览表</w:t>
            </w:r>
          </w:p>
          <w:tbl>
            <w:tblPr>
              <w:tblStyle w:val="6"/>
              <w:tblW w:w="7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1091"/>
              <w:gridCol w:w="983"/>
              <w:gridCol w:w="1389"/>
              <w:gridCol w:w="709"/>
              <w:gridCol w:w="708"/>
              <w:gridCol w:w="1253"/>
              <w:gridCol w:w="709"/>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5" w:type="dxa"/>
                  <w:vMerge w:val="restart"/>
                  <w:vAlign w:val="center"/>
                </w:tcPr>
                <w:p>
                  <w:pPr>
                    <w:ind w:left="-63" w:leftChars="-30" w:right="-63" w:rightChars="-30"/>
                    <w:jc w:val="center"/>
                    <w:rPr>
                      <w:color w:val="auto"/>
                      <w:szCs w:val="21"/>
                    </w:rPr>
                  </w:pPr>
                  <w:r>
                    <w:rPr>
                      <w:rFonts w:hint="eastAsia"/>
                      <w:color w:val="auto"/>
                      <w:szCs w:val="21"/>
                    </w:rPr>
                    <w:t>名称</w:t>
                  </w:r>
                </w:p>
              </w:tc>
              <w:tc>
                <w:tcPr>
                  <w:tcW w:w="2074" w:type="dxa"/>
                  <w:gridSpan w:val="2"/>
                  <w:vAlign w:val="center"/>
                </w:tcPr>
                <w:p>
                  <w:pPr>
                    <w:ind w:left="-63" w:leftChars="-30" w:right="-63" w:rightChars="-30"/>
                    <w:jc w:val="center"/>
                    <w:rPr>
                      <w:color w:val="auto"/>
                      <w:szCs w:val="21"/>
                    </w:rPr>
                  </w:pPr>
                  <w:r>
                    <w:rPr>
                      <w:rFonts w:hint="eastAsia"/>
                      <w:color w:val="auto"/>
                      <w:szCs w:val="21"/>
                    </w:rPr>
                    <w:t>坐标</w:t>
                  </w:r>
                </w:p>
              </w:tc>
              <w:tc>
                <w:tcPr>
                  <w:tcW w:w="1389" w:type="dxa"/>
                  <w:vMerge w:val="restart"/>
                  <w:vAlign w:val="center"/>
                </w:tcPr>
                <w:p>
                  <w:pPr>
                    <w:ind w:left="-63" w:leftChars="-30" w:right="-63" w:rightChars="-30"/>
                    <w:jc w:val="center"/>
                    <w:rPr>
                      <w:color w:val="auto"/>
                      <w:szCs w:val="21"/>
                    </w:rPr>
                  </w:pPr>
                  <w:r>
                    <w:rPr>
                      <w:rFonts w:hint="eastAsia"/>
                      <w:color w:val="auto"/>
                      <w:szCs w:val="21"/>
                    </w:rPr>
                    <w:t>保护对象</w:t>
                  </w:r>
                </w:p>
              </w:tc>
              <w:tc>
                <w:tcPr>
                  <w:tcW w:w="709" w:type="dxa"/>
                  <w:vMerge w:val="restart"/>
                  <w:vAlign w:val="center"/>
                </w:tcPr>
                <w:p>
                  <w:pPr>
                    <w:ind w:left="-63" w:leftChars="-30" w:right="-63" w:rightChars="-30"/>
                    <w:jc w:val="center"/>
                    <w:rPr>
                      <w:color w:val="auto"/>
                      <w:szCs w:val="21"/>
                    </w:rPr>
                  </w:pPr>
                  <w:r>
                    <w:rPr>
                      <w:rFonts w:hint="eastAsia"/>
                      <w:color w:val="auto"/>
                      <w:szCs w:val="21"/>
                    </w:rPr>
                    <w:t>保护</w:t>
                  </w:r>
                </w:p>
                <w:p>
                  <w:pPr>
                    <w:ind w:left="-63" w:leftChars="-30" w:right="-63" w:rightChars="-30"/>
                    <w:jc w:val="center"/>
                    <w:rPr>
                      <w:color w:val="auto"/>
                      <w:szCs w:val="21"/>
                    </w:rPr>
                  </w:pPr>
                  <w:r>
                    <w:rPr>
                      <w:rFonts w:hint="eastAsia"/>
                      <w:color w:val="auto"/>
                      <w:szCs w:val="21"/>
                    </w:rPr>
                    <w:t>内容</w:t>
                  </w:r>
                </w:p>
              </w:tc>
              <w:tc>
                <w:tcPr>
                  <w:tcW w:w="708" w:type="dxa"/>
                  <w:vMerge w:val="restart"/>
                  <w:vAlign w:val="center"/>
                </w:tcPr>
                <w:p>
                  <w:pPr>
                    <w:ind w:left="-105" w:leftChars="-50" w:right="-105" w:rightChars="-50"/>
                    <w:jc w:val="center"/>
                    <w:rPr>
                      <w:color w:val="auto"/>
                      <w:szCs w:val="21"/>
                    </w:rPr>
                  </w:pPr>
                  <w:r>
                    <w:rPr>
                      <w:rFonts w:hint="eastAsia"/>
                      <w:color w:val="auto"/>
                      <w:szCs w:val="21"/>
                    </w:rPr>
                    <w:t>保护</w:t>
                  </w:r>
                </w:p>
                <w:p>
                  <w:pPr>
                    <w:ind w:left="-105" w:leftChars="-50" w:right="-105" w:rightChars="-50"/>
                    <w:jc w:val="center"/>
                    <w:rPr>
                      <w:color w:val="auto"/>
                      <w:szCs w:val="21"/>
                    </w:rPr>
                  </w:pPr>
                  <w:r>
                    <w:rPr>
                      <w:rFonts w:hint="eastAsia"/>
                      <w:color w:val="auto"/>
                      <w:szCs w:val="21"/>
                    </w:rPr>
                    <w:t>人数/人</w:t>
                  </w:r>
                </w:p>
              </w:tc>
              <w:tc>
                <w:tcPr>
                  <w:tcW w:w="1253" w:type="dxa"/>
                  <w:vMerge w:val="restart"/>
                  <w:vAlign w:val="center"/>
                </w:tcPr>
                <w:p>
                  <w:pPr>
                    <w:ind w:left="-63" w:leftChars="-30" w:right="-63" w:rightChars="-30"/>
                    <w:jc w:val="center"/>
                    <w:rPr>
                      <w:color w:val="auto"/>
                      <w:szCs w:val="21"/>
                    </w:rPr>
                  </w:pPr>
                  <w:r>
                    <w:rPr>
                      <w:rFonts w:hint="eastAsia"/>
                      <w:color w:val="auto"/>
                      <w:szCs w:val="21"/>
                    </w:rPr>
                    <w:t>环境功能区</w:t>
                  </w:r>
                </w:p>
              </w:tc>
              <w:tc>
                <w:tcPr>
                  <w:tcW w:w="709" w:type="dxa"/>
                  <w:vMerge w:val="restart"/>
                  <w:vAlign w:val="center"/>
                </w:tcPr>
                <w:p>
                  <w:pPr>
                    <w:ind w:left="-63" w:leftChars="-30" w:right="-63" w:rightChars="-30"/>
                    <w:jc w:val="center"/>
                    <w:rPr>
                      <w:color w:val="auto"/>
                      <w:szCs w:val="21"/>
                    </w:rPr>
                  </w:pPr>
                  <w:r>
                    <w:rPr>
                      <w:rFonts w:hint="eastAsia"/>
                      <w:color w:val="auto"/>
                      <w:szCs w:val="21"/>
                    </w:rPr>
                    <w:t>相对厂址方位</w:t>
                  </w:r>
                </w:p>
              </w:tc>
              <w:tc>
                <w:tcPr>
                  <w:tcW w:w="613" w:type="dxa"/>
                  <w:vMerge w:val="restart"/>
                  <w:vAlign w:val="center"/>
                </w:tcPr>
                <w:p>
                  <w:pPr>
                    <w:ind w:left="-63" w:leftChars="-30" w:right="-63" w:rightChars="-30"/>
                    <w:jc w:val="center"/>
                    <w:rPr>
                      <w:color w:val="auto"/>
                      <w:szCs w:val="21"/>
                    </w:rPr>
                  </w:pPr>
                  <w:r>
                    <w:rPr>
                      <w:rFonts w:hint="eastAsia"/>
                      <w:color w:val="auto"/>
                      <w:szCs w:val="21"/>
                    </w:rPr>
                    <w:t>相对距离/m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5" w:type="dxa"/>
                  <w:vMerge w:val="continue"/>
                  <w:vAlign w:val="center"/>
                </w:tcPr>
                <w:p>
                  <w:pPr>
                    <w:widowControl/>
                    <w:ind w:left="-63" w:leftChars="-30" w:right="-63" w:rightChars="-30"/>
                    <w:jc w:val="left"/>
                    <w:rPr>
                      <w:rFonts w:ascii="等线" w:hAnsi="等线" w:eastAsia="等线"/>
                      <w:color w:val="auto"/>
                      <w:kern w:val="0"/>
                      <w:szCs w:val="21"/>
                    </w:rPr>
                  </w:pPr>
                </w:p>
              </w:tc>
              <w:tc>
                <w:tcPr>
                  <w:tcW w:w="1091" w:type="dxa"/>
                  <w:vAlign w:val="center"/>
                </w:tcPr>
                <w:p>
                  <w:pPr>
                    <w:ind w:left="-63" w:leftChars="-30" w:right="-63" w:rightChars="-30"/>
                    <w:jc w:val="center"/>
                    <w:rPr>
                      <w:rFonts w:ascii="宋体" w:hAnsi="宋体"/>
                      <w:color w:val="auto"/>
                      <w:szCs w:val="21"/>
                    </w:rPr>
                  </w:pPr>
                  <w:r>
                    <w:rPr>
                      <w:rFonts w:hint="eastAsia" w:ascii="宋体" w:hAnsi="宋体"/>
                      <w:color w:val="auto"/>
                      <w:szCs w:val="21"/>
                    </w:rPr>
                    <w:t>经度</w:t>
                  </w:r>
                </w:p>
              </w:tc>
              <w:tc>
                <w:tcPr>
                  <w:tcW w:w="983" w:type="dxa"/>
                  <w:vAlign w:val="center"/>
                </w:tcPr>
                <w:p>
                  <w:pPr>
                    <w:ind w:left="-63" w:leftChars="-30" w:right="-63" w:rightChars="-30"/>
                    <w:jc w:val="center"/>
                    <w:rPr>
                      <w:rFonts w:ascii="宋体" w:hAnsi="宋体"/>
                      <w:color w:val="auto"/>
                      <w:szCs w:val="21"/>
                    </w:rPr>
                  </w:pPr>
                  <w:r>
                    <w:rPr>
                      <w:rFonts w:hint="eastAsia" w:ascii="宋体" w:hAnsi="宋体"/>
                      <w:color w:val="auto"/>
                      <w:szCs w:val="21"/>
                    </w:rPr>
                    <w:t>纬度</w:t>
                  </w:r>
                </w:p>
              </w:tc>
              <w:tc>
                <w:tcPr>
                  <w:tcW w:w="1389" w:type="dxa"/>
                  <w:vMerge w:val="continue"/>
                  <w:vAlign w:val="center"/>
                </w:tcPr>
                <w:p>
                  <w:pPr>
                    <w:widowControl/>
                    <w:ind w:left="-63" w:leftChars="-30" w:right="-63" w:rightChars="-30"/>
                    <w:jc w:val="left"/>
                    <w:rPr>
                      <w:rFonts w:ascii="等线" w:hAnsi="等线" w:eastAsia="等线"/>
                      <w:color w:val="auto"/>
                      <w:kern w:val="0"/>
                      <w:szCs w:val="21"/>
                    </w:rPr>
                  </w:pPr>
                </w:p>
              </w:tc>
              <w:tc>
                <w:tcPr>
                  <w:tcW w:w="709" w:type="dxa"/>
                  <w:vMerge w:val="continue"/>
                  <w:vAlign w:val="center"/>
                </w:tcPr>
                <w:p>
                  <w:pPr>
                    <w:widowControl/>
                    <w:ind w:left="-63" w:leftChars="-30" w:right="-63" w:rightChars="-30"/>
                    <w:jc w:val="left"/>
                    <w:rPr>
                      <w:rFonts w:ascii="等线" w:hAnsi="等线" w:eastAsia="等线"/>
                      <w:color w:val="auto"/>
                      <w:kern w:val="0"/>
                      <w:szCs w:val="21"/>
                    </w:rPr>
                  </w:pPr>
                </w:p>
              </w:tc>
              <w:tc>
                <w:tcPr>
                  <w:tcW w:w="708" w:type="dxa"/>
                  <w:vMerge w:val="continue"/>
                  <w:vAlign w:val="center"/>
                </w:tcPr>
                <w:p>
                  <w:pPr>
                    <w:widowControl/>
                    <w:ind w:left="-63" w:leftChars="-30" w:right="-63" w:rightChars="-30"/>
                    <w:jc w:val="center"/>
                    <w:rPr>
                      <w:rFonts w:ascii="等线" w:hAnsi="等线" w:eastAsia="等线"/>
                      <w:color w:val="auto"/>
                      <w:kern w:val="0"/>
                      <w:szCs w:val="21"/>
                    </w:rPr>
                  </w:pPr>
                </w:p>
              </w:tc>
              <w:tc>
                <w:tcPr>
                  <w:tcW w:w="1253" w:type="dxa"/>
                  <w:vMerge w:val="continue"/>
                  <w:vAlign w:val="center"/>
                </w:tcPr>
                <w:p>
                  <w:pPr>
                    <w:widowControl/>
                    <w:ind w:left="-63" w:leftChars="-30" w:right="-63" w:rightChars="-30"/>
                    <w:jc w:val="left"/>
                    <w:rPr>
                      <w:rFonts w:ascii="等线" w:hAnsi="等线" w:eastAsia="等线"/>
                      <w:color w:val="auto"/>
                      <w:kern w:val="0"/>
                      <w:szCs w:val="21"/>
                    </w:rPr>
                  </w:pPr>
                </w:p>
              </w:tc>
              <w:tc>
                <w:tcPr>
                  <w:tcW w:w="709" w:type="dxa"/>
                  <w:vMerge w:val="continue"/>
                  <w:vAlign w:val="center"/>
                </w:tcPr>
                <w:p>
                  <w:pPr>
                    <w:widowControl/>
                    <w:ind w:left="-63" w:leftChars="-30" w:right="-63" w:rightChars="-30"/>
                    <w:jc w:val="left"/>
                    <w:rPr>
                      <w:rFonts w:ascii="等线" w:hAnsi="等线" w:eastAsia="等线"/>
                      <w:color w:val="auto"/>
                      <w:kern w:val="0"/>
                      <w:szCs w:val="21"/>
                    </w:rPr>
                  </w:pPr>
                </w:p>
              </w:tc>
              <w:tc>
                <w:tcPr>
                  <w:tcW w:w="613" w:type="dxa"/>
                  <w:vMerge w:val="continue"/>
                  <w:vAlign w:val="center"/>
                </w:tcPr>
                <w:p>
                  <w:pPr>
                    <w:widowControl/>
                    <w:ind w:left="-63" w:leftChars="-30" w:right="-63" w:rightChars="-30"/>
                    <w:jc w:val="left"/>
                    <w:rPr>
                      <w:rFonts w:ascii="等线" w:hAnsi="等线" w:eastAsia="等线"/>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5" w:type="dxa"/>
                  <w:vMerge w:val="restart"/>
                  <w:vAlign w:val="center"/>
                </w:tcPr>
                <w:p>
                  <w:pPr>
                    <w:ind w:left="-63" w:leftChars="-30" w:right="-63" w:rightChars="-30"/>
                    <w:rPr>
                      <w:rFonts w:ascii="等线" w:hAnsi="等线" w:eastAsia="等线"/>
                      <w:color w:val="auto"/>
                      <w:szCs w:val="21"/>
                    </w:rPr>
                  </w:pPr>
                  <w:r>
                    <w:rPr>
                      <w:rFonts w:hint="eastAsia" w:ascii="宋体" w:hAnsi="宋体"/>
                      <w:color w:val="auto"/>
                      <w:szCs w:val="21"/>
                    </w:rPr>
                    <w:t>空气</w:t>
                  </w:r>
                </w:p>
              </w:tc>
              <w:tc>
                <w:tcPr>
                  <w:tcW w:w="1091" w:type="dxa"/>
                  <w:vAlign w:val="center"/>
                </w:tcPr>
                <w:p>
                  <w:pPr>
                    <w:ind w:left="-63" w:leftChars="-30" w:right="-63" w:rightChars="-30"/>
                    <w:rPr>
                      <w:color w:val="auto"/>
                      <w:szCs w:val="21"/>
                    </w:rPr>
                  </w:pPr>
                  <w:r>
                    <w:rPr>
                      <w:color w:val="auto"/>
                      <w:szCs w:val="21"/>
                    </w:rPr>
                    <w:t>108.883674</w:t>
                  </w:r>
                </w:p>
              </w:tc>
              <w:tc>
                <w:tcPr>
                  <w:tcW w:w="983" w:type="dxa"/>
                  <w:vAlign w:val="center"/>
                </w:tcPr>
                <w:p>
                  <w:pPr>
                    <w:ind w:left="-63" w:leftChars="-30" w:right="-63" w:rightChars="-30"/>
                    <w:rPr>
                      <w:color w:val="auto"/>
                      <w:szCs w:val="21"/>
                    </w:rPr>
                  </w:pPr>
                  <w:r>
                    <w:rPr>
                      <w:color w:val="auto"/>
                      <w:szCs w:val="21"/>
                    </w:rPr>
                    <w:t>34.162048</w:t>
                  </w:r>
                </w:p>
              </w:tc>
              <w:tc>
                <w:tcPr>
                  <w:tcW w:w="1389" w:type="dxa"/>
                  <w:vAlign w:val="center"/>
                </w:tcPr>
                <w:p>
                  <w:pPr>
                    <w:ind w:left="-63" w:leftChars="-30" w:right="-63" w:rightChars="-30"/>
                    <w:rPr>
                      <w:color w:val="auto"/>
                      <w:szCs w:val="21"/>
                    </w:rPr>
                  </w:pPr>
                  <w:r>
                    <w:rPr>
                      <w:rFonts w:hint="eastAsia"/>
                      <w:color w:val="auto"/>
                      <w:szCs w:val="21"/>
                    </w:rPr>
                    <w:t>紫薇睿纳时代</w:t>
                  </w:r>
                </w:p>
              </w:tc>
              <w:tc>
                <w:tcPr>
                  <w:tcW w:w="709" w:type="dxa"/>
                  <w:vAlign w:val="center"/>
                </w:tcPr>
                <w:p>
                  <w:pPr>
                    <w:ind w:left="-63" w:leftChars="-30" w:right="-63" w:rightChars="-30"/>
                    <w:jc w:val="center"/>
                    <w:rPr>
                      <w:color w:val="auto"/>
                      <w:kern w:val="0"/>
                      <w:szCs w:val="21"/>
                    </w:rPr>
                  </w:pPr>
                  <w:r>
                    <w:rPr>
                      <w:rFonts w:hint="eastAsia"/>
                      <w:color w:val="auto"/>
                      <w:kern w:val="0"/>
                      <w:szCs w:val="21"/>
                    </w:rPr>
                    <w:t>居民</w:t>
                  </w:r>
                </w:p>
              </w:tc>
              <w:tc>
                <w:tcPr>
                  <w:tcW w:w="708" w:type="dxa"/>
                  <w:vAlign w:val="center"/>
                </w:tcPr>
                <w:p>
                  <w:pPr>
                    <w:ind w:left="-63" w:leftChars="-30" w:right="-63" w:rightChars="-30"/>
                    <w:rPr>
                      <w:color w:val="auto"/>
                      <w:szCs w:val="21"/>
                    </w:rPr>
                  </w:pPr>
                  <w:r>
                    <w:rPr>
                      <w:rFonts w:hint="eastAsia"/>
                      <w:color w:val="auto"/>
                      <w:szCs w:val="21"/>
                    </w:rPr>
                    <w:t>2930</w:t>
                  </w:r>
                </w:p>
              </w:tc>
              <w:tc>
                <w:tcPr>
                  <w:tcW w:w="1253" w:type="dxa"/>
                  <w:vMerge w:val="restart"/>
                  <w:vAlign w:val="center"/>
                </w:tcPr>
                <w:p>
                  <w:pPr>
                    <w:wordWrap w:val="0"/>
                    <w:ind w:left="-63" w:leftChars="-30" w:right="-63" w:rightChars="-30"/>
                    <w:rPr>
                      <w:color w:val="auto"/>
                      <w:szCs w:val="21"/>
                    </w:rPr>
                  </w:pPr>
                  <w:r>
                    <w:rPr>
                      <w:rFonts w:hint="eastAsia"/>
                      <w:color w:val="auto"/>
                      <w:szCs w:val="21"/>
                    </w:rPr>
                    <w:t>《环境空气质量标准》（GB3095-2012）二级标准</w:t>
                  </w:r>
                </w:p>
              </w:tc>
              <w:tc>
                <w:tcPr>
                  <w:tcW w:w="709" w:type="dxa"/>
                  <w:vAlign w:val="center"/>
                </w:tcPr>
                <w:p>
                  <w:pPr>
                    <w:ind w:left="-63" w:leftChars="-30" w:right="-63" w:rightChars="-30"/>
                    <w:rPr>
                      <w:color w:val="auto"/>
                      <w:szCs w:val="21"/>
                    </w:rPr>
                  </w:pPr>
                  <w:r>
                    <w:rPr>
                      <w:rFonts w:hint="eastAsia"/>
                      <w:color w:val="auto"/>
                      <w:szCs w:val="21"/>
                    </w:rPr>
                    <w:t>NW</w:t>
                  </w:r>
                </w:p>
              </w:tc>
              <w:tc>
                <w:tcPr>
                  <w:tcW w:w="613" w:type="dxa"/>
                  <w:vAlign w:val="center"/>
                </w:tcPr>
                <w:p>
                  <w:pPr>
                    <w:ind w:left="-63" w:leftChars="-30" w:right="-63" w:rightChars="-30"/>
                    <w:rPr>
                      <w:color w:val="auto"/>
                      <w:szCs w:val="21"/>
                    </w:rPr>
                  </w:pPr>
                  <w:r>
                    <w:rPr>
                      <w:rFonts w:hint="eastAsia"/>
                      <w:color w:val="auto"/>
                      <w:szCs w:val="21"/>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5" w:type="dxa"/>
                  <w:vMerge w:val="continue"/>
                  <w:vAlign w:val="center"/>
                </w:tcPr>
                <w:p>
                  <w:pPr>
                    <w:ind w:left="-63" w:leftChars="-30" w:right="-63" w:rightChars="-30"/>
                    <w:rPr>
                      <w:rFonts w:ascii="宋体" w:hAnsi="宋体"/>
                      <w:color w:val="auto"/>
                      <w:szCs w:val="21"/>
                    </w:rPr>
                  </w:pPr>
                </w:p>
              </w:tc>
              <w:tc>
                <w:tcPr>
                  <w:tcW w:w="1091" w:type="dxa"/>
                  <w:vAlign w:val="center"/>
                </w:tcPr>
                <w:p>
                  <w:pPr>
                    <w:ind w:left="-63" w:leftChars="-30" w:right="-63" w:rightChars="-30"/>
                    <w:rPr>
                      <w:color w:val="auto"/>
                      <w:szCs w:val="21"/>
                    </w:rPr>
                  </w:pPr>
                  <w:r>
                    <w:rPr>
                      <w:color w:val="auto"/>
                      <w:szCs w:val="21"/>
                    </w:rPr>
                    <w:t>108.886388</w:t>
                  </w:r>
                </w:p>
              </w:tc>
              <w:tc>
                <w:tcPr>
                  <w:tcW w:w="983" w:type="dxa"/>
                  <w:vAlign w:val="center"/>
                </w:tcPr>
                <w:p>
                  <w:pPr>
                    <w:ind w:left="-63" w:leftChars="-30" w:right="-63" w:rightChars="-30"/>
                    <w:rPr>
                      <w:color w:val="auto"/>
                      <w:szCs w:val="21"/>
                    </w:rPr>
                  </w:pPr>
                  <w:r>
                    <w:rPr>
                      <w:color w:val="auto"/>
                      <w:szCs w:val="21"/>
                    </w:rPr>
                    <w:t>34.162585</w:t>
                  </w:r>
                </w:p>
              </w:tc>
              <w:tc>
                <w:tcPr>
                  <w:tcW w:w="1389" w:type="dxa"/>
                  <w:vAlign w:val="center"/>
                </w:tcPr>
                <w:p>
                  <w:pPr>
                    <w:ind w:left="-63" w:leftChars="-30" w:right="-63" w:rightChars="-30"/>
                    <w:rPr>
                      <w:color w:val="auto"/>
                      <w:szCs w:val="21"/>
                    </w:rPr>
                  </w:pPr>
                  <w:r>
                    <w:rPr>
                      <w:rFonts w:hint="eastAsia"/>
                      <w:color w:val="auto"/>
                      <w:szCs w:val="21"/>
                    </w:rPr>
                    <w:t>国色天香2期</w:t>
                  </w:r>
                </w:p>
              </w:tc>
              <w:tc>
                <w:tcPr>
                  <w:tcW w:w="709" w:type="dxa"/>
                  <w:vAlign w:val="center"/>
                </w:tcPr>
                <w:p>
                  <w:pPr>
                    <w:ind w:left="-63" w:leftChars="-30" w:right="-63" w:rightChars="-30"/>
                    <w:jc w:val="center"/>
                    <w:rPr>
                      <w:color w:val="auto"/>
                      <w:kern w:val="0"/>
                      <w:szCs w:val="21"/>
                    </w:rPr>
                  </w:pPr>
                  <w:r>
                    <w:rPr>
                      <w:rFonts w:hint="eastAsia"/>
                      <w:color w:val="auto"/>
                      <w:kern w:val="0"/>
                      <w:szCs w:val="21"/>
                    </w:rPr>
                    <w:t>居民</w:t>
                  </w:r>
                </w:p>
              </w:tc>
              <w:tc>
                <w:tcPr>
                  <w:tcW w:w="708" w:type="dxa"/>
                  <w:vAlign w:val="center"/>
                </w:tcPr>
                <w:p>
                  <w:pPr>
                    <w:ind w:left="-63" w:leftChars="-30" w:right="-63" w:rightChars="-30"/>
                    <w:rPr>
                      <w:color w:val="auto"/>
                      <w:szCs w:val="21"/>
                    </w:rPr>
                  </w:pPr>
                  <w:r>
                    <w:rPr>
                      <w:rFonts w:hint="eastAsia"/>
                      <w:color w:val="auto"/>
                      <w:szCs w:val="21"/>
                    </w:rPr>
                    <w:t>8700</w:t>
                  </w:r>
                </w:p>
              </w:tc>
              <w:tc>
                <w:tcPr>
                  <w:tcW w:w="1253" w:type="dxa"/>
                  <w:vMerge w:val="continue"/>
                  <w:vAlign w:val="center"/>
                </w:tcPr>
                <w:p>
                  <w:pPr>
                    <w:ind w:left="-63" w:leftChars="-30" w:right="-63" w:rightChars="-30"/>
                    <w:rPr>
                      <w:color w:val="auto"/>
                      <w:szCs w:val="21"/>
                    </w:rPr>
                  </w:pPr>
                </w:p>
              </w:tc>
              <w:tc>
                <w:tcPr>
                  <w:tcW w:w="709" w:type="dxa"/>
                  <w:vAlign w:val="center"/>
                </w:tcPr>
                <w:p>
                  <w:pPr>
                    <w:ind w:left="-63" w:leftChars="-30" w:right="-63" w:rightChars="-30"/>
                    <w:rPr>
                      <w:color w:val="auto"/>
                      <w:szCs w:val="21"/>
                    </w:rPr>
                  </w:pPr>
                  <w:r>
                    <w:rPr>
                      <w:rFonts w:hint="eastAsia"/>
                      <w:color w:val="auto"/>
                      <w:szCs w:val="21"/>
                    </w:rPr>
                    <w:t>NW</w:t>
                  </w:r>
                </w:p>
              </w:tc>
              <w:tc>
                <w:tcPr>
                  <w:tcW w:w="613" w:type="dxa"/>
                  <w:vAlign w:val="center"/>
                </w:tcPr>
                <w:p>
                  <w:pPr>
                    <w:ind w:left="-63" w:leftChars="-30" w:right="-63" w:rightChars="-30"/>
                    <w:rPr>
                      <w:color w:val="auto"/>
                      <w:szCs w:val="21"/>
                    </w:rPr>
                  </w:pPr>
                  <w:r>
                    <w:rPr>
                      <w:rFonts w:hint="eastAsia"/>
                      <w:color w:val="auto"/>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5" w:type="dxa"/>
                  <w:vMerge w:val="continue"/>
                  <w:vAlign w:val="center"/>
                </w:tcPr>
                <w:p>
                  <w:pPr>
                    <w:ind w:left="-63" w:leftChars="-30" w:right="-63" w:rightChars="-30"/>
                    <w:jc w:val="center"/>
                    <w:rPr>
                      <w:rFonts w:ascii="宋体" w:hAnsi="宋体"/>
                      <w:color w:val="auto"/>
                    </w:rPr>
                  </w:pPr>
                </w:p>
              </w:tc>
              <w:tc>
                <w:tcPr>
                  <w:tcW w:w="1091" w:type="dxa"/>
                  <w:vAlign w:val="center"/>
                </w:tcPr>
                <w:p>
                  <w:pPr>
                    <w:ind w:left="-63" w:leftChars="-30" w:right="-63" w:rightChars="-30"/>
                    <w:rPr>
                      <w:color w:val="auto"/>
                      <w:szCs w:val="21"/>
                    </w:rPr>
                  </w:pPr>
                  <w:r>
                    <w:rPr>
                      <w:color w:val="auto"/>
                      <w:szCs w:val="21"/>
                    </w:rPr>
                    <w:t>108.886646</w:t>
                  </w:r>
                </w:p>
              </w:tc>
              <w:tc>
                <w:tcPr>
                  <w:tcW w:w="983" w:type="dxa"/>
                  <w:vAlign w:val="center"/>
                </w:tcPr>
                <w:p>
                  <w:pPr>
                    <w:ind w:left="-63" w:leftChars="-30" w:right="-63" w:rightChars="-30"/>
                    <w:rPr>
                      <w:color w:val="auto"/>
                      <w:szCs w:val="21"/>
                    </w:rPr>
                  </w:pPr>
                  <w:r>
                    <w:rPr>
                      <w:color w:val="auto"/>
                      <w:szCs w:val="21"/>
                    </w:rPr>
                    <w:t>34.164505</w:t>
                  </w:r>
                </w:p>
              </w:tc>
              <w:tc>
                <w:tcPr>
                  <w:tcW w:w="1389" w:type="dxa"/>
                  <w:vAlign w:val="center"/>
                </w:tcPr>
                <w:p>
                  <w:pPr>
                    <w:ind w:left="-63" w:leftChars="-30" w:right="-63" w:rightChars="-30"/>
                    <w:rPr>
                      <w:color w:val="auto"/>
                      <w:szCs w:val="21"/>
                    </w:rPr>
                  </w:pPr>
                  <w:r>
                    <w:rPr>
                      <w:rFonts w:hint="eastAsia"/>
                      <w:color w:val="auto"/>
                      <w:szCs w:val="21"/>
                    </w:rPr>
                    <w:t>雅居乐铂琅峯</w:t>
                  </w:r>
                </w:p>
              </w:tc>
              <w:tc>
                <w:tcPr>
                  <w:tcW w:w="709" w:type="dxa"/>
                  <w:vAlign w:val="center"/>
                </w:tcPr>
                <w:p>
                  <w:pPr>
                    <w:ind w:left="-63" w:leftChars="-30" w:right="-63" w:rightChars="-30"/>
                    <w:jc w:val="center"/>
                    <w:rPr>
                      <w:color w:val="auto"/>
                      <w:kern w:val="0"/>
                      <w:szCs w:val="21"/>
                    </w:rPr>
                  </w:pPr>
                  <w:r>
                    <w:rPr>
                      <w:rFonts w:hint="eastAsia"/>
                      <w:color w:val="auto"/>
                      <w:kern w:val="0"/>
                      <w:szCs w:val="21"/>
                    </w:rPr>
                    <w:t>居民</w:t>
                  </w:r>
                </w:p>
              </w:tc>
              <w:tc>
                <w:tcPr>
                  <w:tcW w:w="708" w:type="dxa"/>
                  <w:vAlign w:val="center"/>
                </w:tcPr>
                <w:p>
                  <w:pPr>
                    <w:ind w:left="-63" w:leftChars="-30" w:right="-63" w:rightChars="-30"/>
                    <w:rPr>
                      <w:color w:val="auto"/>
                      <w:szCs w:val="21"/>
                    </w:rPr>
                  </w:pPr>
                  <w:r>
                    <w:rPr>
                      <w:rFonts w:hint="eastAsia"/>
                      <w:color w:val="auto"/>
                      <w:szCs w:val="21"/>
                    </w:rPr>
                    <w:t>11400</w:t>
                  </w:r>
                </w:p>
              </w:tc>
              <w:tc>
                <w:tcPr>
                  <w:tcW w:w="1253" w:type="dxa"/>
                  <w:vMerge w:val="continue"/>
                  <w:vAlign w:val="center"/>
                </w:tcPr>
                <w:p>
                  <w:pPr>
                    <w:ind w:left="-63" w:leftChars="-30" w:right="-63" w:rightChars="-30"/>
                    <w:rPr>
                      <w:color w:val="auto"/>
                      <w:szCs w:val="21"/>
                    </w:rPr>
                  </w:pPr>
                </w:p>
              </w:tc>
              <w:tc>
                <w:tcPr>
                  <w:tcW w:w="709" w:type="dxa"/>
                  <w:vAlign w:val="center"/>
                </w:tcPr>
                <w:p>
                  <w:pPr>
                    <w:ind w:left="-63" w:leftChars="-30" w:right="-63" w:rightChars="-30"/>
                    <w:rPr>
                      <w:color w:val="auto"/>
                      <w:szCs w:val="21"/>
                    </w:rPr>
                  </w:pPr>
                  <w:r>
                    <w:rPr>
                      <w:rFonts w:hint="eastAsia"/>
                      <w:color w:val="auto"/>
                      <w:szCs w:val="21"/>
                    </w:rPr>
                    <w:t>NW</w:t>
                  </w:r>
                </w:p>
              </w:tc>
              <w:tc>
                <w:tcPr>
                  <w:tcW w:w="613" w:type="dxa"/>
                  <w:vAlign w:val="center"/>
                </w:tcPr>
                <w:p>
                  <w:pPr>
                    <w:ind w:left="-63" w:leftChars="-30" w:right="-63" w:rightChars="-30"/>
                    <w:rPr>
                      <w:color w:val="auto"/>
                      <w:szCs w:val="21"/>
                    </w:rPr>
                  </w:pPr>
                  <w:r>
                    <w:rPr>
                      <w:rFonts w:hint="eastAsia"/>
                      <w:color w:val="auto"/>
                      <w:szCs w:val="21"/>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5" w:type="dxa"/>
                  <w:vMerge w:val="continue"/>
                  <w:vAlign w:val="center"/>
                </w:tcPr>
                <w:p>
                  <w:pPr>
                    <w:ind w:left="-63" w:leftChars="-30" w:right="-63" w:rightChars="-30"/>
                    <w:jc w:val="center"/>
                    <w:rPr>
                      <w:rFonts w:ascii="宋体" w:hAnsi="宋体"/>
                      <w:color w:val="auto"/>
                    </w:rPr>
                  </w:pPr>
                </w:p>
              </w:tc>
              <w:tc>
                <w:tcPr>
                  <w:tcW w:w="1091" w:type="dxa"/>
                  <w:vAlign w:val="center"/>
                </w:tcPr>
                <w:p>
                  <w:pPr>
                    <w:ind w:left="-63" w:leftChars="-30" w:right="-63" w:rightChars="-30"/>
                    <w:rPr>
                      <w:color w:val="auto"/>
                      <w:szCs w:val="21"/>
                    </w:rPr>
                  </w:pPr>
                  <w:r>
                    <w:rPr>
                      <w:color w:val="auto"/>
                      <w:szCs w:val="21"/>
                    </w:rPr>
                    <w:t>108.887603</w:t>
                  </w:r>
                </w:p>
              </w:tc>
              <w:tc>
                <w:tcPr>
                  <w:tcW w:w="983" w:type="dxa"/>
                  <w:vAlign w:val="center"/>
                </w:tcPr>
                <w:p>
                  <w:pPr>
                    <w:ind w:left="-63" w:leftChars="-30" w:right="-63" w:rightChars="-30"/>
                    <w:rPr>
                      <w:color w:val="auto"/>
                      <w:szCs w:val="21"/>
                    </w:rPr>
                  </w:pPr>
                  <w:r>
                    <w:rPr>
                      <w:color w:val="auto"/>
                      <w:szCs w:val="21"/>
                    </w:rPr>
                    <w:t>34.160852</w:t>
                  </w:r>
                </w:p>
              </w:tc>
              <w:tc>
                <w:tcPr>
                  <w:tcW w:w="1389" w:type="dxa"/>
                  <w:vAlign w:val="center"/>
                </w:tcPr>
                <w:p>
                  <w:pPr>
                    <w:ind w:left="-63" w:leftChars="-30" w:right="-63" w:rightChars="-30"/>
                    <w:rPr>
                      <w:color w:val="auto"/>
                      <w:szCs w:val="21"/>
                    </w:rPr>
                  </w:pPr>
                  <w:r>
                    <w:rPr>
                      <w:rFonts w:hint="eastAsia"/>
                      <w:color w:val="auto"/>
                      <w:szCs w:val="21"/>
                    </w:rPr>
                    <w:t>国色天香1期</w:t>
                  </w:r>
                </w:p>
              </w:tc>
              <w:tc>
                <w:tcPr>
                  <w:tcW w:w="709" w:type="dxa"/>
                  <w:vAlign w:val="center"/>
                </w:tcPr>
                <w:p>
                  <w:pPr>
                    <w:ind w:left="-63" w:leftChars="-30" w:right="-63" w:rightChars="-30"/>
                    <w:jc w:val="center"/>
                    <w:rPr>
                      <w:color w:val="auto"/>
                      <w:szCs w:val="21"/>
                    </w:rPr>
                  </w:pPr>
                  <w:r>
                    <w:rPr>
                      <w:rFonts w:hint="eastAsia"/>
                      <w:color w:val="auto"/>
                      <w:szCs w:val="21"/>
                    </w:rPr>
                    <w:t>居民</w:t>
                  </w:r>
                </w:p>
              </w:tc>
              <w:tc>
                <w:tcPr>
                  <w:tcW w:w="708" w:type="dxa"/>
                  <w:vAlign w:val="center"/>
                </w:tcPr>
                <w:p>
                  <w:pPr>
                    <w:ind w:left="-63" w:leftChars="-30" w:right="-63" w:rightChars="-30"/>
                    <w:rPr>
                      <w:color w:val="auto"/>
                      <w:szCs w:val="21"/>
                    </w:rPr>
                  </w:pPr>
                  <w:r>
                    <w:rPr>
                      <w:rFonts w:hint="eastAsia"/>
                      <w:color w:val="auto"/>
                      <w:szCs w:val="21"/>
                    </w:rPr>
                    <w:t>3147</w:t>
                  </w:r>
                </w:p>
              </w:tc>
              <w:tc>
                <w:tcPr>
                  <w:tcW w:w="1253" w:type="dxa"/>
                  <w:vMerge w:val="continue"/>
                  <w:vAlign w:val="center"/>
                </w:tcPr>
                <w:p>
                  <w:pPr>
                    <w:ind w:left="-63" w:leftChars="-30" w:right="-63" w:rightChars="-30"/>
                    <w:rPr>
                      <w:color w:val="auto"/>
                      <w:szCs w:val="21"/>
                    </w:rPr>
                  </w:pPr>
                </w:p>
              </w:tc>
              <w:tc>
                <w:tcPr>
                  <w:tcW w:w="709" w:type="dxa"/>
                  <w:vAlign w:val="center"/>
                </w:tcPr>
                <w:p>
                  <w:pPr>
                    <w:ind w:left="-63" w:leftChars="-30" w:right="-63" w:rightChars="-30"/>
                    <w:rPr>
                      <w:color w:val="auto"/>
                      <w:szCs w:val="21"/>
                    </w:rPr>
                  </w:pPr>
                  <w:r>
                    <w:rPr>
                      <w:rFonts w:hint="eastAsia"/>
                      <w:color w:val="auto"/>
                      <w:szCs w:val="21"/>
                    </w:rPr>
                    <w:t>W</w:t>
                  </w:r>
                </w:p>
              </w:tc>
              <w:tc>
                <w:tcPr>
                  <w:tcW w:w="613" w:type="dxa"/>
                  <w:vAlign w:val="center"/>
                </w:tcPr>
                <w:p>
                  <w:pPr>
                    <w:ind w:left="-63" w:leftChars="-30" w:right="-63" w:rightChars="-30"/>
                    <w:rPr>
                      <w:color w:val="auto"/>
                      <w:szCs w:val="21"/>
                    </w:rPr>
                  </w:pPr>
                  <w:r>
                    <w:rPr>
                      <w:rFonts w:hint="eastAsia"/>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5" w:type="dxa"/>
                  <w:vMerge w:val="continue"/>
                  <w:vAlign w:val="center"/>
                </w:tcPr>
                <w:p>
                  <w:pPr>
                    <w:ind w:left="-63" w:leftChars="-30" w:right="-63" w:rightChars="-30"/>
                    <w:jc w:val="center"/>
                    <w:rPr>
                      <w:rFonts w:ascii="宋体" w:hAnsi="宋体"/>
                      <w:color w:val="auto"/>
                    </w:rPr>
                  </w:pPr>
                </w:p>
              </w:tc>
              <w:tc>
                <w:tcPr>
                  <w:tcW w:w="1091" w:type="dxa"/>
                  <w:vAlign w:val="center"/>
                </w:tcPr>
                <w:p>
                  <w:pPr>
                    <w:ind w:left="-63" w:leftChars="-30" w:right="-63" w:rightChars="-30"/>
                    <w:rPr>
                      <w:color w:val="auto"/>
                      <w:szCs w:val="21"/>
                    </w:rPr>
                  </w:pPr>
                  <w:r>
                    <w:rPr>
                      <w:color w:val="auto"/>
                      <w:szCs w:val="21"/>
                    </w:rPr>
                    <w:t>108.889929</w:t>
                  </w:r>
                </w:p>
              </w:tc>
              <w:tc>
                <w:tcPr>
                  <w:tcW w:w="983" w:type="dxa"/>
                  <w:vAlign w:val="center"/>
                </w:tcPr>
                <w:p>
                  <w:pPr>
                    <w:ind w:left="-63" w:leftChars="-30" w:right="-63" w:rightChars="-30"/>
                    <w:rPr>
                      <w:color w:val="auto"/>
                      <w:szCs w:val="21"/>
                    </w:rPr>
                  </w:pPr>
                  <w:r>
                    <w:rPr>
                      <w:color w:val="auto"/>
                      <w:szCs w:val="21"/>
                    </w:rPr>
                    <w:t>34.164420</w:t>
                  </w:r>
                </w:p>
              </w:tc>
              <w:tc>
                <w:tcPr>
                  <w:tcW w:w="1389" w:type="dxa"/>
                  <w:vAlign w:val="center"/>
                </w:tcPr>
                <w:p>
                  <w:pPr>
                    <w:ind w:left="-63" w:leftChars="-30" w:right="-63" w:rightChars="-30"/>
                    <w:rPr>
                      <w:color w:val="auto"/>
                      <w:szCs w:val="21"/>
                    </w:rPr>
                  </w:pPr>
                  <w:r>
                    <w:rPr>
                      <w:rFonts w:hint="eastAsia"/>
                      <w:color w:val="auto"/>
                      <w:szCs w:val="21"/>
                    </w:rPr>
                    <w:t>陕西师范大学万科中学</w:t>
                  </w:r>
                </w:p>
              </w:tc>
              <w:tc>
                <w:tcPr>
                  <w:tcW w:w="709" w:type="dxa"/>
                  <w:vAlign w:val="center"/>
                </w:tcPr>
                <w:p>
                  <w:pPr>
                    <w:ind w:left="-63" w:leftChars="-30" w:right="-63" w:rightChars="-30"/>
                    <w:jc w:val="center"/>
                    <w:rPr>
                      <w:color w:val="auto"/>
                      <w:szCs w:val="21"/>
                    </w:rPr>
                  </w:pPr>
                  <w:r>
                    <w:rPr>
                      <w:color w:val="auto"/>
                      <w:szCs w:val="21"/>
                    </w:rPr>
                    <w:t>师生</w:t>
                  </w:r>
                </w:p>
              </w:tc>
              <w:tc>
                <w:tcPr>
                  <w:tcW w:w="708" w:type="dxa"/>
                  <w:vAlign w:val="center"/>
                </w:tcPr>
                <w:p>
                  <w:pPr>
                    <w:ind w:left="-63" w:leftChars="-30" w:right="-63" w:rightChars="-30"/>
                    <w:rPr>
                      <w:color w:val="auto"/>
                      <w:szCs w:val="21"/>
                    </w:rPr>
                  </w:pPr>
                  <w:r>
                    <w:rPr>
                      <w:rFonts w:hint="eastAsia"/>
                      <w:color w:val="auto"/>
                      <w:szCs w:val="21"/>
                    </w:rPr>
                    <w:t>1600</w:t>
                  </w:r>
                </w:p>
              </w:tc>
              <w:tc>
                <w:tcPr>
                  <w:tcW w:w="1253" w:type="dxa"/>
                  <w:vMerge w:val="continue"/>
                  <w:vAlign w:val="center"/>
                </w:tcPr>
                <w:p>
                  <w:pPr>
                    <w:ind w:left="-63" w:leftChars="-30" w:right="-63" w:rightChars="-30"/>
                    <w:rPr>
                      <w:color w:val="auto"/>
                      <w:szCs w:val="21"/>
                    </w:rPr>
                  </w:pPr>
                </w:p>
              </w:tc>
              <w:tc>
                <w:tcPr>
                  <w:tcW w:w="709" w:type="dxa"/>
                  <w:vAlign w:val="center"/>
                </w:tcPr>
                <w:p>
                  <w:pPr>
                    <w:ind w:left="-63" w:leftChars="-30" w:right="-63" w:rightChars="-30"/>
                    <w:rPr>
                      <w:color w:val="auto"/>
                      <w:szCs w:val="21"/>
                    </w:rPr>
                  </w:pPr>
                  <w:r>
                    <w:rPr>
                      <w:rFonts w:hint="eastAsia"/>
                      <w:color w:val="auto"/>
                      <w:szCs w:val="21"/>
                    </w:rPr>
                    <w:t>NE</w:t>
                  </w:r>
                </w:p>
              </w:tc>
              <w:tc>
                <w:tcPr>
                  <w:tcW w:w="613" w:type="dxa"/>
                  <w:vAlign w:val="center"/>
                </w:tcPr>
                <w:p>
                  <w:pPr>
                    <w:ind w:left="-63" w:leftChars="-30" w:right="-63" w:rightChars="-30"/>
                    <w:rPr>
                      <w:color w:val="auto"/>
                      <w:szCs w:val="21"/>
                    </w:rPr>
                  </w:pPr>
                  <w:r>
                    <w:rPr>
                      <w:rFonts w:hint="eastAsia"/>
                      <w:color w:val="auto"/>
                      <w:szCs w:val="21"/>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5" w:type="dxa"/>
                  <w:vMerge w:val="continue"/>
                  <w:vAlign w:val="center"/>
                </w:tcPr>
                <w:p>
                  <w:pPr>
                    <w:ind w:left="-63" w:leftChars="-30" w:right="-63" w:rightChars="-30"/>
                    <w:jc w:val="center"/>
                    <w:rPr>
                      <w:rFonts w:ascii="宋体" w:hAnsi="宋体"/>
                      <w:color w:val="auto"/>
                    </w:rPr>
                  </w:pPr>
                </w:p>
              </w:tc>
              <w:tc>
                <w:tcPr>
                  <w:tcW w:w="1091" w:type="dxa"/>
                  <w:vAlign w:val="center"/>
                </w:tcPr>
                <w:p>
                  <w:pPr>
                    <w:ind w:left="-63" w:leftChars="-30" w:right="-63" w:rightChars="-30"/>
                    <w:rPr>
                      <w:color w:val="auto"/>
                      <w:szCs w:val="21"/>
                    </w:rPr>
                  </w:pPr>
                  <w:r>
                    <w:rPr>
                      <w:color w:val="auto"/>
                      <w:szCs w:val="21"/>
                    </w:rPr>
                    <w:t>108.888663</w:t>
                  </w:r>
                </w:p>
              </w:tc>
              <w:tc>
                <w:tcPr>
                  <w:tcW w:w="983" w:type="dxa"/>
                  <w:vAlign w:val="center"/>
                </w:tcPr>
                <w:p>
                  <w:pPr>
                    <w:ind w:left="-63" w:leftChars="-30" w:right="-63" w:rightChars="-30"/>
                    <w:rPr>
                      <w:color w:val="auto"/>
                      <w:szCs w:val="21"/>
                    </w:rPr>
                  </w:pPr>
                  <w:r>
                    <w:rPr>
                      <w:color w:val="auto"/>
                      <w:szCs w:val="21"/>
                    </w:rPr>
                    <w:t>34.164355</w:t>
                  </w:r>
                </w:p>
              </w:tc>
              <w:tc>
                <w:tcPr>
                  <w:tcW w:w="1389" w:type="dxa"/>
                  <w:vAlign w:val="center"/>
                </w:tcPr>
                <w:p>
                  <w:pPr>
                    <w:ind w:left="-63" w:leftChars="-30" w:right="-63" w:rightChars="-30"/>
                    <w:rPr>
                      <w:color w:val="auto"/>
                      <w:szCs w:val="21"/>
                    </w:rPr>
                  </w:pPr>
                  <w:r>
                    <w:rPr>
                      <w:rFonts w:hint="eastAsia"/>
                      <w:color w:val="auto"/>
                      <w:szCs w:val="21"/>
                    </w:rPr>
                    <w:t>万科城2期</w:t>
                  </w:r>
                </w:p>
              </w:tc>
              <w:tc>
                <w:tcPr>
                  <w:tcW w:w="709" w:type="dxa"/>
                  <w:vAlign w:val="center"/>
                </w:tcPr>
                <w:p>
                  <w:pPr>
                    <w:ind w:left="-63" w:leftChars="-30" w:right="-63" w:rightChars="-30"/>
                    <w:jc w:val="center"/>
                    <w:rPr>
                      <w:color w:val="auto"/>
                      <w:szCs w:val="21"/>
                    </w:rPr>
                  </w:pPr>
                  <w:r>
                    <w:rPr>
                      <w:rFonts w:hint="eastAsia"/>
                      <w:color w:val="auto"/>
                      <w:szCs w:val="21"/>
                    </w:rPr>
                    <w:t>居民</w:t>
                  </w:r>
                </w:p>
              </w:tc>
              <w:tc>
                <w:tcPr>
                  <w:tcW w:w="708" w:type="dxa"/>
                  <w:vAlign w:val="center"/>
                </w:tcPr>
                <w:p>
                  <w:pPr>
                    <w:ind w:left="-63" w:leftChars="-30" w:right="-63" w:rightChars="-30"/>
                    <w:rPr>
                      <w:color w:val="auto"/>
                      <w:szCs w:val="21"/>
                    </w:rPr>
                  </w:pPr>
                  <w:r>
                    <w:rPr>
                      <w:rFonts w:hint="eastAsia"/>
                      <w:color w:val="auto"/>
                      <w:szCs w:val="21"/>
                    </w:rPr>
                    <w:t>7338</w:t>
                  </w:r>
                </w:p>
              </w:tc>
              <w:tc>
                <w:tcPr>
                  <w:tcW w:w="1253" w:type="dxa"/>
                  <w:vMerge w:val="continue"/>
                  <w:vAlign w:val="center"/>
                </w:tcPr>
                <w:p>
                  <w:pPr>
                    <w:ind w:left="-63" w:leftChars="-30" w:right="-63" w:rightChars="-30"/>
                    <w:rPr>
                      <w:color w:val="auto"/>
                      <w:szCs w:val="21"/>
                    </w:rPr>
                  </w:pPr>
                </w:p>
              </w:tc>
              <w:tc>
                <w:tcPr>
                  <w:tcW w:w="709" w:type="dxa"/>
                  <w:vAlign w:val="center"/>
                </w:tcPr>
                <w:p>
                  <w:pPr>
                    <w:ind w:left="-63" w:leftChars="-30" w:right="-63" w:rightChars="-30"/>
                    <w:rPr>
                      <w:color w:val="auto"/>
                      <w:szCs w:val="21"/>
                    </w:rPr>
                  </w:pPr>
                  <w:r>
                    <w:rPr>
                      <w:rFonts w:hint="eastAsia"/>
                      <w:color w:val="auto"/>
                      <w:szCs w:val="21"/>
                    </w:rPr>
                    <w:t>NE</w:t>
                  </w:r>
                </w:p>
              </w:tc>
              <w:tc>
                <w:tcPr>
                  <w:tcW w:w="613" w:type="dxa"/>
                  <w:vAlign w:val="center"/>
                </w:tcPr>
                <w:p>
                  <w:pPr>
                    <w:ind w:left="-63" w:leftChars="-30" w:right="-63" w:rightChars="-30"/>
                    <w:rPr>
                      <w:color w:val="auto"/>
                      <w:szCs w:val="21"/>
                    </w:rPr>
                  </w:pPr>
                  <w:r>
                    <w:rPr>
                      <w:rFonts w:hint="eastAsia"/>
                      <w:color w:val="auto"/>
                      <w:szCs w:val="21"/>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5" w:type="dxa"/>
                  <w:vMerge w:val="continue"/>
                  <w:vAlign w:val="center"/>
                </w:tcPr>
                <w:p>
                  <w:pPr>
                    <w:ind w:left="-63" w:leftChars="-30" w:right="-63" w:rightChars="-30"/>
                    <w:jc w:val="center"/>
                    <w:rPr>
                      <w:rFonts w:ascii="宋体" w:hAnsi="宋体"/>
                      <w:color w:val="auto"/>
                    </w:rPr>
                  </w:pPr>
                </w:p>
              </w:tc>
              <w:tc>
                <w:tcPr>
                  <w:tcW w:w="1091" w:type="dxa"/>
                  <w:vAlign w:val="center"/>
                </w:tcPr>
                <w:p>
                  <w:pPr>
                    <w:ind w:left="-63" w:leftChars="-30" w:right="-63" w:rightChars="-30"/>
                    <w:rPr>
                      <w:color w:val="auto"/>
                      <w:szCs w:val="21"/>
                    </w:rPr>
                  </w:pPr>
                  <w:r>
                    <w:rPr>
                      <w:color w:val="auto"/>
                      <w:szCs w:val="21"/>
                    </w:rPr>
                    <w:t>108.890841</w:t>
                  </w:r>
                </w:p>
              </w:tc>
              <w:tc>
                <w:tcPr>
                  <w:tcW w:w="983" w:type="dxa"/>
                  <w:vAlign w:val="center"/>
                </w:tcPr>
                <w:p>
                  <w:pPr>
                    <w:ind w:left="-63" w:leftChars="-30" w:right="-63" w:rightChars="-30"/>
                    <w:rPr>
                      <w:color w:val="auto"/>
                      <w:szCs w:val="21"/>
                    </w:rPr>
                  </w:pPr>
                  <w:r>
                    <w:rPr>
                      <w:color w:val="auto"/>
                      <w:szCs w:val="21"/>
                    </w:rPr>
                    <w:t>34.161727</w:t>
                  </w:r>
                </w:p>
              </w:tc>
              <w:tc>
                <w:tcPr>
                  <w:tcW w:w="1389" w:type="dxa"/>
                  <w:vAlign w:val="center"/>
                </w:tcPr>
                <w:p>
                  <w:pPr>
                    <w:ind w:left="-63" w:leftChars="-30" w:right="-63" w:rightChars="-30"/>
                    <w:rPr>
                      <w:color w:val="auto"/>
                      <w:szCs w:val="21"/>
                    </w:rPr>
                  </w:pPr>
                  <w:r>
                    <w:rPr>
                      <w:rFonts w:hint="eastAsia"/>
                      <w:color w:val="auto"/>
                      <w:szCs w:val="21"/>
                    </w:rPr>
                    <w:t>万科城1期</w:t>
                  </w:r>
                </w:p>
              </w:tc>
              <w:tc>
                <w:tcPr>
                  <w:tcW w:w="709" w:type="dxa"/>
                  <w:vAlign w:val="center"/>
                </w:tcPr>
                <w:p>
                  <w:pPr>
                    <w:ind w:left="-63" w:leftChars="-30" w:right="-63" w:rightChars="-30"/>
                    <w:jc w:val="center"/>
                    <w:rPr>
                      <w:color w:val="auto"/>
                      <w:szCs w:val="21"/>
                    </w:rPr>
                  </w:pPr>
                  <w:r>
                    <w:rPr>
                      <w:rFonts w:hint="eastAsia"/>
                      <w:color w:val="auto"/>
                      <w:szCs w:val="21"/>
                    </w:rPr>
                    <w:t>居民</w:t>
                  </w:r>
                </w:p>
              </w:tc>
              <w:tc>
                <w:tcPr>
                  <w:tcW w:w="708" w:type="dxa"/>
                  <w:vAlign w:val="center"/>
                </w:tcPr>
                <w:p>
                  <w:pPr>
                    <w:ind w:left="-63" w:leftChars="-30" w:right="-63" w:rightChars="-30"/>
                    <w:rPr>
                      <w:color w:val="auto"/>
                      <w:szCs w:val="21"/>
                    </w:rPr>
                  </w:pPr>
                  <w:r>
                    <w:rPr>
                      <w:rFonts w:hint="eastAsia"/>
                      <w:color w:val="auto"/>
                      <w:szCs w:val="21"/>
                    </w:rPr>
                    <w:t>13755</w:t>
                  </w:r>
                </w:p>
              </w:tc>
              <w:tc>
                <w:tcPr>
                  <w:tcW w:w="1253" w:type="dxa"/>
                  <w:vMerge w:val="continue"/>
                  <w:vAlign w:val="center"/>
                </w:tcPr>
                <w:p>
                  <w:pPr>
                    <w:ind w:left="-63" w:leftChars="-30" w:right="-63" w:rightChars="-30"/>
                    <w:rPr>
                      <w:color w:val="auto"/>
                      <w:szCs w:val="21"/>
                    </w:rPr>
                  </w:pPr>
                </w:p>
              </w:tc>
              <w:tc>
                <w:tcPr>
                  <w:tcW w:w="709" w:type="dxa"/>
                  <w:vAlign w:val="center"/>
                </w:tcPr>
                <w:p>
                  <w:pPr>
                    <w:ind w:left="-63" w:leftChars="-30" w:right="-63" w:rightChars="-30"/>
                    <w:rPr>
                      <w:color w:val="auto"/>
                      <w:szCs w:val="21"/>
                    </w:rPr>
                  </w:pPr>
                  <w:r>
                    <w:rPr>
                      <w:rFonts w:hint="eastAsia"/>
                      <w:color w:val="auto"/>
                      <w:szCs w:val="21"/>
                    </w:rPr>
                    <w:t>E</w:t>
                  </w:r>
                </w:p>
              </w:tc>
              <w:tc>
                <w:tcPr>
                  <w:tcW w:w="613" w:type="dxa"/>
                  <w:vAlign w:val="center"/>
                </w:tcPr>
                <w:p>
                  <w:pPr>
                    <w:ind w:left="-63" w:leftChars="-30" w:right="-63" w:rightChars="-30"/>
                    <w:rPr>
                      <w:color w:val="auto"/>
                      <w:szCs w:val="21"/>
                    </w:rPr>
                  </w:pPr>
                  <w:r>
                    <w:rPr>
                      <w:rFonts w:hint="eastAsia"/>
                      <w:color w:val="auto"/>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5" w:type="dxa"/>
                  <w:vMerge w:val="continue"/>
                  <w:vAlign w:val="center"/>
                </w:tcPr>
                <w:p>
                  <w:pPr>
                    <w:ind w:left="-63" w:leftChars="-30" w:right="-63" w:rightChars="-30"/>
                    <w:jc w:val="center"/>
                    <w:rPr>
                      <w:rFonts w:ascii="宋体" w:hAnsi="宋体"/>
                      <w:color w:val="auto"/>
                    </w:rPr>
                  </w:pPr>
                </w:p>
              </w:tc>
              <w:tc>
                <w:tcPr>
                  <w:tcW w:w="1091" w:type="dxa"/>
                  <w:vAlign w:val="center"/>
                </w:tcPr>
                <w:p>
                  <w:pPr>
                    <w:ind w:left="-63" w:leftChars="-30" w:right="-63" w:rightChars="-30"/>
                    <w:rPr>
                      <w:color w:val="auto"/>
                      <w:szCs w:val="21"/>
                    </w:rPr>
                  </w:pPr>
                  <w:r>
                    <w:rPr>
                      <w:color w:val="auto"/>
                      <w:szCs w:val="21"/>
                    </w:rPr>
                    <w:t>108.887933</w:t>
                  </w:r>
                </w:p>
              </w:tc>
              <w:tc>
                <w:tcPr>
                  <w:tcW w:w="983" w:type="dxa"/>
                  <w:vAlign w:val="center"/>
                </w:tcPr>
                <w:p>
                  <w:pPr>
                    <w:ind w:left="-63" w:leftChars="-30" w:right="-63" w:rightChars="-30"/>
                    <w:rPr>
                      <w:color w:val="auto"/>
                      <w:szCs w:val="21"/>
                    </w:rPr>
                  </w:pPr>
                  <w:r>
                    <w:rPr>
                      <w:color w:val="auto"/>
                      <w:szCs w:val="21"/>
                    </w:rPr>
                    <w:t>34.158690</w:t>
                  </w:r>
                </w:p>
              </w:tc>
              <w:tc>
                <w:tcPr>
                  <w:tcW w:w="1389" w:type="dxa"/>
                  <w:vAlign w:val="center"/>
                </w:tcPr>
                <w:p>
                  <w:pPr>
                    <w:ind w:left="-63" w:leftChars="-30" w:right="-63" w:rightChars="-30"/>
                    <w:rPr>
                      <w:color w:val="auto"/>
                      <w:szCs w:val="21"/>
                    </w:rPr>
                  </w:pPr>
                  <w:r>
                    <w:rPr>
                      <w:rFonts w:hint="eastAsia"/>
                      <w:color w:val="auto"/>
                      <w:szCs w:val="21"/>
                    </w:rPr>
                    <w:t>陕西师范大学（长安校区）</w:t>
                  </w:r>
                </w:p>
              </w:tc>
              <w:tc>
                <w:tcPr>
                  <w:tcW w:w="709" w:type="dxa"/>
                  <w:vAlign w:val="center"/>
                </w:tcPr>
                <w:p>
                  <w:pPr>
                    <w:ind w:left="-63" w:leftChars="-30" w:right="-63" w:rightChars="-30"/>
                    <w:jc w:val="center"/>
                    <w:rPr>
                      <w:color w:val="auto"/>
                      <w:szCs w:val="21"/>
                    </w:rPr>
                  </w:pPr>
                  <w:r>
                    <w:rPr>
                      <w:color w:val="auto"/>
                      <w:szCs w:val="21"/>
                    </w:rPr>
                    <w:t>师生</w:t>
                  </w:r>
                </w:p>
              </w:tc>
              <w:tc>
                <w:tcPr>
                  <w:tcW w:w="708" w:type="dxa"/>
                  <w:vAlign w:val="center"/>
                </w:tcPr>
                <w:p>
                  <w:pPr>
                    <w:ind w:left="-63" w:leftChars="-30" w:right="-63" w:rightChars="-30"/>
                    <w:rPr>
                      <w:color w:val="auto"/>
                      <w:szCs w:val="21"/>
                    </w:rPr>
                  </w:pPr>
                  <w:r>
                    <w:rPr>
                      <w:rFonts w:hint="eastAsia"/>
                      <w:color w:val="auto"/>
                      <w:szCs w:val="21"/>
                    </w:rPr>
                    <w:t>23226</w:t>
                  </w:r>
                </w:p>
              </w:tc>
              <w:tc>
                <w:tcPr>
                  <w:tcW w:w="1253" w:type="dxa"/>
                  <w:vMerge w:val="continue"/>
                  <w:vAlign w:val="center"/>
                </w:tcPr>
                <w:p>
                  <w:pPr>
                    <w:ind w:left="-63" w:leftChars="-30" w:right="-63" w:rightChars="-30"/>
                    <w:rPr>
                      <w:color w:val="auto"/>
                      <w:szCs w:val="21"/>
                    </w:rPr>
                  </w:pPr>
                </w:p>
              </w:tc>
              <w:tc>
                <w:tcPr>
                  <w:tcW w:w="709" w:type="dxa"/>
                  <w:vAlign w:val="center"/>
                </w:tcPr>
                <w:p>
                  <w:pPr>
                    <w:ind w:left="-63" w:leftChars="-30" w:right="-63" w:rightChars="-30"/>
                    <w:rPr>
                      <w:color w:val="auto"/>
                      <w:szCs w:val="21"/>
                    </w:rPr>
                  </w:pPr>
                  <w:r>
                    <w:rPr>
                      <w:rFonts w:hint="eastAsia"/>
                      <w:color w:val="auto"/>
                      <w:szCs w:val="21"/>
                    </w:rPr>
                    <w:t>S</w:t>
                  </w:r>
                </w:p>
              </w:tc>
              <w:tc>
                <w:tcPr>
                  <w:tcW w:w="613" w:type="dxa"/>
                  <w:vAlign w:val="center"/>
                </w:tcPr>
                <w:p>
                  <w:pPr>
                    <w:ind w:left="-63" w:leftChars="-30" w:right="-63" w:rightChars="-30"/>
                    <w:rPr>
                      <w:color w:val="auto"/>
                      <w:szCs w:val="21"/>
                    </w:rPr>
                  </w:pPr>
                  <w:r>
                    <w:rPr>
                      <w:rFonts w:hint="eastAsia"/>
                      <w:color w:val="auto"/>
                      <w:szCs w:val="21"/>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5" w:type="dxa"/>
                  <w:vAlign w:val="center"/>
                </w:tcPr>
                <w:p>
                  <w:pPr>
                    <w:ind w:left="-63" w:leftChars="-30" w:right="-63" w:rightChars="-30"/>
                    <w:jc w:val="center"/>
                    <w:rPr>
                      <w:rFonts w:ascii="等线" w:hAnsi="等线" w:eastAsia="等线"/>
                      <w:color w:val="auto"/>
                      <w:szCs w:val="21"/>
                    </w:rPr>
                  </w:pPr>
                  <w:r>
                    <w:rPr>
                      <w:rFonts w:hint="eastAsia" w:ascii="宋体" w:hAnsi="宋体"/>
                      <w:color w:val="auto"/>
                      <w:szCs w:val="21"/>
                    </w:rPr>
                    <w:t>声环境</w:t>
                  </w:r>
                </w:p>
              </w:tc>
              <w:tc>
                <w:tcPr>
                  <w:tcW w:w="1091" w:type="dxa"/>
                  <w:vAlign w:val="center"/>
                </w:tcPr>
                <w:p>
                  <w:pPr>
                    <w:ind w:left="-63" w:leftChars="-30" w:right="-63" w:rightChars="-30"/>
                    <w:rPr>
                      <w:color w:val="auto"/>
                      <w:szCs w:val="21"/>
                    </w:rPr>
                  </w:pPr>
                  <w:r>
                    <w:rPr>
                      <w:color w:val="auto"/>
                      <w:szCs w:val="21"/>
                    </w:rPr>
                    <w:t>108.887603</w:t>
                  </w:r>
                </w:p>
              </w:tc>
              <w:tc>
                <w:tcPr>
                  <w:tcW w:w="983" w:type="dxa"/>
                  <w:vAlign w:val="center"/>
                </w:tcPr>
                <w:p>
                  <w:pPr>
                    <w:ind w:left="-63" w:leftChars="-30" w:right="-63" w:rightChars="-30"/>
                    <w:rPr>
                      <w:color w:val="auto"/>
                      <w:szCs w:val="21"/>
                    </w:rPr>
                  </w:pPr>
                  <w:r>
                    <w:rPr>
                      <w:color w:val="auto"/>
                      <w:szCs w:val="21"/>
                    </w:rPr>
                    <w:t>34.160852</w:t>
                  </w:r>
                </w:p>
              </w:tc>
              <w:tc>
                <w:tcPr>
                  <w:tcW w:w="1389" w:type="dxa"/>
                  <w:vAlign w:val="center"/>
                </w:tcPr>
                <w:p>
                  <w:pPr>
                    <w:ind w:left="-63" w:leftChars="-30" w:right="-63" w:rightChars="-30"/>
                    <w:rPr>
                      <w:color w:val="auto"/>
                      <w:szCs w:val="21"/>
                    </w:rPr>
                  </w:pPr>
                  <w:r>
                    <w:rPr>
                      <w:rFonts w:hint="eastAsia"/>
                      <w:color w:val="auto"/>
                      <w:szCs w:val="21"/>
                    </w:rPr>
                    <w:t>国色天香1期</w:t>
                  </w:r>
                </w:p>
              </w:tc>
              <w:tc>
                <w:tcPr>
                  <w:tcW w:w="709" w:type="dxa"/>
                  <w:vAlign w:val="center"/>
                </w:tcPr>
                <w:p>
                  <w:pPr>
                    <w:ind w:left="-63" w:leftChars="-30" w:right="-63" w:rightChars="-30"/>
                    <w:jc w:val="center"/>
                    <w:rPr>
                      <w:color w:val="auto"/>
                      <w:szCs w:val="21"/>
                    </w:rPr>
                  </w:pPr>
                  <w:r>
                    <w:rPr>
                      <w:rFonts w:hint="eastAsia"/>
                      <w:color w:val="auto"/>
                      <w:szCs w:val="21"/>
                    </w:rPr>
                    <w:t>居民</w:t>
                  </w:r>
                </w:p>
              </w:tc>
              <w:tc>
                <w:tcPr>
                  <w:tcW w:w="708" w:type="dxa"/>
                  <w:vAlign w:val="center"/>
                </w:tcPr>
                <w:p>
                  <w:pPr>
                    <w:ind w:left="-63" w:leftChars="-30" w:right="-63" w:rightChars="-30"/>
                    <w:rPr>
                      <w:color w:val="auto"/>
                      <w:szCs w:val="21"/>
                    </w:rPr>
                  </w:pPr>
                  <w:r>
                    <w:rPr>
                      <w:rFonts w:hint="eastAsia"/>
                      <w:color w:val="auto"/>
                      <w:szCs w:val="21"/>
                    </w:rPr>
                    <w:t>230</w:t>
                  </w:r>
                </w:p>
              </w:tc>
              <w:tc>
                <w:tcPr>
                  <w:tcW w:w="1253" w:type="dxa"/>
                  <w:vAlign w:val="center"/>
                </w:tcPr>
                <w:p>
                  <w:pPr>
                    <w:wordWrap w:val="0"/>
                    <w:ind w:left="-63" w:leftChars="-30" w:right="-63" w:rightChars="-30"/>
                    <w:rPr>
                      <w:rFonts w:ascii="等线" w:hAnsi="等线" w:eastAsia="等线"/>
                      <w:color w:val="auto"/>
                      <w:szCs w:val="21"/>
                    </w:rPr>
                  </w:pPr>
                  <w:r>
                    <w:rPr>
                      <w:rFonts w:hint="eastAsia"/>
                      <w:color w:val="auto"/>
                      <w:szCs w:val="21"/>
                    </w:rPr>
                    <w:t>《声环境质量标准》</w:t>
                  </w:r>
                  <w:r>
                    <w:rPr>
                      <w:rFonts w:hint="eastAsia" w:ascii="宋体" w:hAnsi="宋体"/>
                      <w:color w:val="auto"/>
                    </w:rPr>
                    <w:t>（</w:t>
                  </w:r>
                  <w:r>
                    <w:rPr>
                      <w:color w:val="auto"/>
                    </w:rPr>
                    <w:t>GB3096-2008</w:t>
                  </w:r>
                  <w:r>
                    <w:rPr>
                      <w:rFonts w:hint="eastAsia" w:ascii="宋体" w:hAnsi="宋体"/>
                      <w:color w:val="auto"/>
                    </w:rPr>
                    <w:t>）1类标准</w:t>
                  </w:r>
                </w:p>
              </w:tc>
              <w:tc>
                <w:tcPr>
                  <w:tcW w:w="709" w:type="dxa"/>
                  <w:vAlign w:val="center"/>
                </w:tcPr>
                <w:p>
                  <w:pPr>
                    <w:ind w:left="-63" w:leftChars="-30" w:right="-63" w:rightChars="-30"/>
                    <w:rPr>
                      <w:color w:val="auto"/>
                      <w:szCs w:val="21"/>
                    </w:rPr>
                  </w:pPr>
                  <w:r>
                    <w:rPr>
                      <w:rFonts w:hint="eastAsia"/>
                      <w:color w:val="auto"/>
                      <w:szCs w:val="21"/>
                    </w:rPr>
                    <w:t>W</w:t>
                  </w:r>
                </w:p>
              </w:tc>
              <w:tc>
                <w:tcPr>
                  <w:tcW w:w="613" w:type="dxa"/>
                  <w:vAlign w:val="center"/>
                </w:tcPr>
                <w:p>
                  <w:pPr>
                    <w:ind w:left="-63" w:leftChars="-30" w:right="-63" w:rightChars="-30"/>
                    <w:rPr>
                      <w:color w:val="auto"/>
                      <w:szCs w:val="21"/>
                    </w:rPr>
                  </w:pPr>
                  <w:r>
                    <w:rPr>
                      <w:rFonts w:hint="eastAsia"/>
                      <w:color w:val="auto"/>
                      <w:szCs w:val="21"/>
                    </w:rPr>
                    <w:t>4</w:t>
                  </w:r>
                </w:p>
              </w:tc>
            </w:tr>
          </w:tbl>
          <w:p>
            <w:pPr>
              <w:adjustRightInd w:val="0"/>
              <w:snapToGrid w:val="0"/>
              <w:ind w:firstLine="442" w:firstLineChars="200"/>
              <w:rPr>
                <w:color w:val="auto"/>
                <w:kern w:val="0"/>
                <w:sz w:val="24"/>
              </w:rPr>
            </w:pPr>
            <w:r>
              <w:rPr>
                <w:rFonts w:hint="eastAsia"/>
                <w:b/>
                <w:bCs/>
                <w:color w:val="auto"/>
                <w:kern w:val="0"/>
                <w:sz w:val="22"/>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00" w:type="dxa"/>
            <w:tcMar>
              <w:left w:w="28" w:type="dxa"/>
              <w:right w:w="28" w:type="dxa"/>
            </w:tcMar>
            <w:vAlign w:val="center"/>
          </w:tcPr>
          <w:p>
            <w:pPr>
              <w:adjustRightInd w:val="0"/>
              <w:snapToGrid w:val="0"/>
              <w:jc w:val="center"/>
              <w:rPr>
                <w:color w:val="auto"/>
                <w:kern w:val="0"/>
                <w:sz w:val="24"/>
              </w:rPr>
            </w:pPr>
            <w:r>
              <w:rPr>
                <w:color w:val="auto"/>
                <w:kern w:val="0"/>
                <w:sz w:val="24"/>
              </w:rPr>
              <w:t>污染</w:t>
            </w:r>
          </w:p>
          <w:p>
            <w:pPr>
              <w:adjustRightInd w:val="0"/>
              <w:snapToGrid w:val="0"/>
              <w:jc w:val="center"/>
              <w:rPr>
                <w:color w:val="auto"/>
                <w:kern w:val="0"/>
                <w:sz w:val="24"/>
              </w:rPr>
            </w:pPr>
            <w:r>
              <w:rPr>
                <w:color w:val="auto"/>
                <w:kern w:val="0"/>
                <w:sz w:val="24"/>
              </w:rPr>
              <w:t>物排</w:t>
            </w:r>
          </w:p>
          <w:p>
            <w:pPr>
              <w:adjustRightInd w:val="0"/>
              <w:snapToGrid w:val="0"/>
              <w:jc w:val="center"/>
              <w:rPr>
                <w:color w:val="auto"/>
                <w:kern w:val="0"/>
                <w:sz w:val="24"/>
              </w:rPr>
            </w:pPr>
            <w:r>
              <w:rPr>
                <w:color w:val="auto"/>
                <w:kern w:val="0"/>
                <w:sz w:val="24"/>
              </w:rPr>
              <w:t>放控</w:t>
            </w:r>
          </w:p>
          <w:p>
            <w:pPr>
              <w:adjustRightInd w:val="0"/>
              <w:snapToGrid w:val="0"/>
              <w:jc w:val="center"/>
              <w:rPr>
                <w:color w:val="auto"/>
                <w:kern w:val="0"/>
                <w:sz w:val="24"/>
              </w:rPr>
            </w:pPr>
            <w:r>
              <w:rPr>
                <w:color w:val="auto"/>
                <w:kern w:val="0"/>
                <w:sz w:val="24"/>
              </w:rPr>
              <w:t>制标</w:t>
            </w:r>
          </w:p>
          <w:p>
            <w:pPr>
              <w:adjustRightInd w:val="0"/>
              <w:snapToGrid w:val="0"/>
              <w:jc w:val="center"/>
              <w:rPr>
                <w:color w:val="auto"/>
                <w:kern w:val="0"/>
                <w:sz w:val="24"/>
              </w:rPr>
            </w:pPr>
            <w:r>
              <w:rPr>
                <w:color w:val="auto"/>
                <w:kern w:val="0"/>
                <w:sz w:val="24"/>
              </w:rPr>
              <w:t>准</w:t>
            </w:r>
          </w:p>
        </w:tc>
        <w:tc>
          <w:tcPr>
            <w:tcW w:w="8164" w:type="dxa"/>
            <w:vAlign w:val="center"/>
          </w:tcPr>
          <w:p>
            <w:pPr>
              <w:pStyle w:val="12"/>
              <w:spacing w:before="120" w:beforeLines="50"/>
              <w:ind w:firstLine="482"/>
              <w:rPr>
                <w:b/>
                <w:bCs w:val="0"/>
                <w:color w:val="auto"/>
              </w:rPr>
            </w:pPr>
            <w:r>
              <w:rPr>
                <w:b/>
                <w:bCs w:val="0"/>
                <w:color w:val="auto"/>
              </w:rPr>
              <w:t>一、废气排放标准：</w:t>
            </w:r>
          </w:p>
          <w:p>
            <w:pPr>
              <w:pStyle w:val="12"/>
              <w:rPr>
                <w:color w:val="auto"/>
              </w:rPr>
            </w:pPr>
            <w:r>
              <w:rPr>
                <w:color w:val="auto"/>
              </w:rPr>
              <w:t>运营期废气主要为污水处理设施废气。污水处理设施无组织排放废气执行《医疗机构水污染物排放标准》（GB18466-2005）表3中标准</w:t>
            </w:r>
            <w:r>
              <w:rPr>
                <w:rFonts w:hint="eastAsia"/>
                <w:color w:val="auto"/>
              </w:rPr>
              <w:t>，</w:t>
            </w:r>
            <w:r>
              <w:rPr>
                <w:color w:val="auto"/>
              </w:rPr>
              <w:t>各污染物执行标准</w:t>
            </w:r>
            <w:r>
              <w:rPr>
                <w:rFonts w:hint="eastAsia"/>
                <w:color w:val="auto"/>
              </w:rPr>
              <w:t>详</w:t>
            </w:r>
            <w:r>
              <w:rPr>
                <w:color w:val="auto"/>
              </w:rPr>
              <w:t>见</w:t>
            </w:r>
            <w:r>
              <w:rPr>
                <w:rFonts w:hint="eastAsia"/>
                <w:color w:val="auto"/>
              </w:rPr>
              <w:t>下</w:t>
            </w:r>
            <w:r>
              <w:rPr>
                <w:color w:val="auto"/>
              </w:rPr>
              <w:t>表。</w:t>
            </w:r>
          </w:p>
          <w:p>
            <w:pPr>
              <w:pStyle w:val="15"/>
              <w:rPr>
                <w:color w:val="auto"/>
              </w:rPr>
            </w:pPr>
            <w:r>
              <w:rPr>
                <w:color w:val="auto"/>
              </w:rPr>
              <w:t>表3-</w:t>
            </w:r>
            <w:r>
              <w:rPr>
                <w:rFonts w:hint="eastAsia"/>
                <w:color w:val="auto"/>
              </w:rPr>
              <w:t>4</w:t>
            </w:r>
            <w:r>
              <w:rPr>
                <w:color w:val="auto"/>
              </w:rPr>
              <w:t xml:space="preserve">  废气排放标准</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2021"/>
              <w:gridCol w:w="1453"/>
              <w:gridCol w:w="3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064" w:type="dxa"/>
                  <w:vAlign w:val="center"/>
                </w:tcPr>
                <w:p>
                  <w:pPr>
                    <w:adjustRightInd w:val="0"/>
                    <w:snapToGrid w:val="0"/>
                    <w:jc w:val="center"/>
                    <w:rPr>
                      <w:rFonts w:eastAsiaTheme="minorEastAsia"/>
                      <w:b/>
                      <w:bCs/>
                      <w:color w:val="auto"/>
                    </w:rPr>
                  </w:pPr>
                  <w:r>
                    <w:rPr>
                      <w:rFonts w:eastAsiaTheme="minorEastAsia"/>
                      <w:b/>
                      <w:bCs/>
                      <w:color w:val="auto"/>
                    </w:rPr>
                    <w:t>污染物</w:t>
                  </w:r>
                </w:p>
              </w:tc>
              <w:tc>
                <w:tcPr>
                  <w:tcW w:w="2014" w:type="dxa"/>
                  <w:vAlign w:val="center"/>
                </w:tcPr>
                <w:p>
                  <w:pPr>
                    <w:adjustRightInd w:val="0"/>
                    <w:snapToGrid w:val="0"/>
                    <w:jc w:val="center"/>
                    <w:rPr>
                      <w:rFonts w:eastAsiaTheme="minorEastAsia"/>
                      <w:b/>
                      <w:bCs/>
                      <w:color w:val="auto"/>
                    </w:rPr>
                  </w:pPr>
                  <w:r>
                    <w:rPr>
                      <w:rFonts w:eastAsiaTheme="minorEastAsia"/>
                      <w:b/>
                      <w:bCs/>
                      <w:color w:val="auto"/>
                    </w:rPr>
                    <w:t>项目</w:t>
                  </w:r>
                </w:p>
              </w:tc>
              <w:tc>
                <w:tcPr>
                  <w:tcW w:w="1448" w:type="dxa"/>
                  <w:vAlign w:val="center"/>
                </w:tcPr>
                <w:p>
                  <w:pPr>
                    <w:adjustRightInd w:val="0"/>
                    <w:snapToGrid w:val="0"/>
                    <w:jc w:val="center"/>
                    <w:rPr>
                      <w:rFonts w:eastAsiaTheme="minorEastAsia"/>
                      <w:b/>
                      <w:bCs/>
                      <w:color w:val="auto"/>
                    </w:rPr>
                  </w:pPr>
                  <w:r>
                    <w:rPr>
                      <w:rFonts w:eastAsiaTheme="minorEastAsia"/>
                      <w:b/>
                      <w:bCs/>
                      <w:color w:val="auto"/>
                    </w:rPr>
                    <w:t>限值</w:t>
                  </w:r>
                </w:p>
              </w:tc>
              <w:tc>
                <w:tcPr>
                  <w:tcW w:w="3438" w:type="dxa"/>
                  <w:vAlign w:val="center"/>
                </w:tcPr>
                <w:p>
                  <w:pPr>
                    <w:adjustRightInd w:val="0"/>
                    <w:snapToGrid w:val="0"/>
                    <w:jc w:val="center"/>
                    <w:rPr>
                      <w:rFonts w:eastAsiaTheme="minorEastAsia"/>
                      <w:b/>
                      <w:bCs/>
                      <w:color w:val="auto"/>
                    </w:rPr>
                  </w:pPr>
                  <w:r>
                    <w:rPr>
                      <w:rFonts w:eastAsiaTheme="minorEastAsia"/>
                      <w:b/>
                      <w:bCs/>
                      <w:color w:val="auto"/>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064" w:type="dxa"/>
                  <w:vMerge w:val="restart"/>
                  <w:vAlign w:val="center"/>
                </w:tcPr>
                <w:p>
                  <w:pPr>
                    <w:widowControl/>
                    <w:jc w:val="center"/>
                    <w:rPr>
                      <w:rFonts w:eastAsiaTheme="minorEastAsia"/>
                      <w:color w:val="auto"/>
                    </w:rPr>
                  </w:pPr>
                  <w:r>
                    <w:rPr>
                      <w:rFonts w:eastAsiaTheme="minorEastAsia"/>
                      <w:color w:val="auto"/>
                    </w:rPr>
                    <w:t>污水处理</w:t>
                  </w:r>
                </w:p>
                <w:p>
                  <w:pPr>
                    <w:widowControl/>
                    <w:jc w:val="center"/>
                    <w:rPr>
                      <w:rFonts w:eastAsiaTheme="minorEastAsia"/>
                      <w:color w:val="auto"/>
                    </w:rPr>
                  </w:pPr>
                  <w:r>
                    <w:rPr>
                      <w:rFonts w:eastAsiaTheme="minorEastAsia"/>
                      <w:color w:val="auto"/>
                    </w:rPr>
                    <w:t>废气</w:t>
                  </w:r>
                </w:p>
              </w:tc>
              <w:tc>
                <w:tcPr>
                  <w:tcW w:w="2014" w:type="dxa"/>
                  <w:vAlign w:val="center"/>
                </w:tcPr>
                <w:p>
                  <w:pPr>
                    <w:jc w:val="center"/>
                    <w:rPr>
                      <w:rFonts w:eastAsiaTheme="minorEastAsia"/>
                      <w:color w:val="auto"/>
                    </w:rPr>
                  </w:pPr>
                  <w:r>
                    <w:rPr>
                      <w:rFonts w:eastAsiaTheme="minorEastAsia"/>
                      <w:color w:val="auto"/>
                    </w:rPr>
                    <w:t>NH</w:t>
                  </w:r>
                  <w:r>
                    <w:rPr>
                      <w:rFonts w:eastAsiaTheme="minorEastAsia"/>
                      <w:color w:val="auto"/>
                      <w:vertAlign w:val="subscript"/>
                    </w:rPr>
                    <w:t>3</w:t>
                  </w:r>
                </w:p>
              </w:tc>
              <w:tc>
                <w:tcPr>
                  <w:tcW w:w="1448" w:type="dxa"/>
                  <w:vAlign w:val="center"/>
                </w:tcPr>
                <w:p>
                  <w:pPr>
                    <w:adjustRightInd w:val="0"/>
                    <w:snapToGrid w:val="0"/>
                    <w:jc w:val="center"/>
                    <w:rPr>
                      <w:rFonts w:eastAsiaTheme="minorEastAsia"/>
                      <w:color w:val="auto"/>
                    </w:rPr>
                  </w:pPr>
                  <w:r>
                    <w:rPr>
                      <w:rFonts w:eastAsiaTheme="minorEastAsia"/>
                      <w:color w:val="auto"/>
                      <w:kern w:val="0"/>
                    </w:rPr>
                    <w:t>1.0</w:t>
                  </w:r>
                  <w:r>
                    <w:rPr>
                      <w:rFonts w:hint="eastAsia" w:eastAsiaTheme="minorEastAsia"/>
                      <w:color w:val="auto"/>
                      <w:kern w:val="0"/>
                    </w:rPr>
                    <w:t xml:space="preserve"> </w:t>
                  </w:r>
                  <w:r>
                    <w:rPr>
                      <w:rFonts w:eastAsiaTheme="minorEastAsia"/>
                      <w:color w:val="auto"/>
                    </w:rPr>
                    <w:t>mg/m</w:t>
                  </w:r>
                  <w:r>
                    <w:rPr>
                      <w:rFonts w:eastAsiaTheme="minorEastAsia"/>
                      <w:color w:val="auto"/>
                      <w:vertAlign w:val="superscript"/>
                    </w:rPr>
                    <w:t>3</w:t>
                  </w:r>
                </w:p>
              </w:tc>
              <w:tc>
                <w:tcPr>
                  <w:tcW w:w="3438" w:type="dxa"/>
                  <w:vMerge w:val="restart"/>
                  <w:vAlign w:val="center"/>
                </w:tcPr>
                <w:p>
                  <w:pPr>
                    <w:adjustRightInd w:val="0"/>
                    <w:snapToGrid w:val="0"/>
                    <w:jc w:val="center"/>
                    <w:rPr>
                      <w:rFonts w:eastAsiaTheme="minorEastAsia"/>
                      <w:color w:val="auto"/>
                      <w:kern w:val="0"/>
                    </w:rPr>
                  </w:pPr>
                  <w:r>
                    <w:rPr>
                      <w:rFonts w:eastAsiaTheme="minorEastAsia"/>
                      <w:color w:val="auto"/>
                    </w:rPr>
                    <w:t>《医疗机构水污染物排放标准》（GB18466-2005）表3污水处理站周边大气污染物最高允许浓度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064" w:type="dxa"/>
                  <w:vMerge w:val="continue"/>
                  <w:vAlign w:val="center"/>
                </w:tcPr>
                <w:p>
                  <w:pPr>
                    <w:widowControl/>
                    <w:jc w:val="left"/>
                    <w:rPr>
                      <w:rFonts w:eastAsiaTheme="minorEastAsia"/>
                      <w:color w:val="auto"/>
                      <w:szCs w:val="21"/>
                    </w:rPr>
                  </w:pPr>
                </w:p>
              </w:tc>
              <w:tc>
                <w:tcPr>
                  <w:tcW w:w="2014" w:type="dxa"/>
                  <w:vAlign w:val="center"/>
                </w:tcPr>
                <w:p>
                  <w:pPr>
                    <w:jc w:val="center"/>
                    <w:rPr>
                      <w:rFonts w:eastAsiaTheme="minorEastAsia"/>
                      <w:color w:val="auto"/>
                    </w:rPr>
                  </w:pPr>
                  <w:r>
                    <w:rPr>
                      <w:rFonts w:eastAsiaTheme="minorEastAsia"/>
                      <w:color w:val="auto"/>
                    </w:rPr>
                    <w:t>H</w:t>
                  </w:r>
                  <w:r>
                    <w:rPr>
                      <w:rFonts w:eastAsiaTheme="minorEastAsia"/>
                      <w:color w:val="auto"/>
                      <w:vertAlign w:val="subscript"/>
                    </w:rPr>
                    <w:t>2</w:t>
                  </w:r>
                  <w:r>
                    <w:rPr>
                      <w:rFonts w:eastAsiaTheme="minorEastAsia"/>
                      <w:color w:val="auto"/>
                    </w:rPr>
                    <w:t>S</w:t>
                  </w:r>
                </w:p>
              </w:tc>
              <w:tc>
                <w:tcPr>
                  <w:tcW w:w="1448" w:type="dxa"/>
                  <w:vAlign w:val="center"/>
                </w:tcPr>
                <w:p>
                  <w:pPr>
                    <w:adjustRightInd w:val="0"/>
                    <w:snapToGrid w:val="0"/>
                    <w:jc w:val="center"/>
                    <w:rPr>
                      <w:rFonts w:eastAsiaTheme="minorEastAsia"/>
                      <w:color w:val="auto"/>
                    </w:rPr>
                  </w:pPr>
                  <w:r>
                    <w:rPr>
                      <w:rFonts w:eastAsiaTheme="minorEastAsia"/>
                      <w:color w:val="auto"/>
                      <w:kern w:val="0"/>
                    </w:rPr>
                    <w:t>0.03</w:t>
                  </w:r>
                  <w:r>
                    <w:rPr>
                      <w:rFonts w:hint="eastAsia" w:eastAsiaTheme="minorEastAsia"/>
                      <w:color w:val="auto"/>
                      <w:kern w:val="0"/>
                    </w:rPr>
                    <w:t xml:space="preserve"> </w:t>
                  </w:r>
                  <w:r>
                    <w:rPr>
                      <w:rFonts w:eastAsiaTheme="minorEastAsia"/>
                      <w:color w:val="auto"/>
                    </w:rPr>
                    <w:t>mg/m</w:t>
                  </w:r>
                  <w:r>
                    <w:rPr>
                      <w:rFonts w:eastAsiaTheme="minorEastAsia"/>
                      <w:color w:val="auto"/>
                      <w:vertAlign w:val="superscript"/>
                    </w:rPr>
                    <w:t>3</w:t>
                  </w:r>
                </w:p>
              </w:tc>
              <w:tc>
                <w:tcPr>
                  <w:tcW w:w="3438" w:type="dxa"/>
                  <w:vMerge w:val="continue"/>
                  <w:vAlign w:val="center"/>
                </w:tcPr>
                <w:p>
                  <w:pPr>
                    <w:widowControl/>
                    <w:jc w:val="left"/>
                    <w:rPr>
                      <w:rFonts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064" w:type="dxa"/>
                  <w:vMerge w:val="continue"/>
                  <w:vAlign w:val="center"/>
                </w:tcPr>
                <w:p>
                  <w:pPr>
                    <w:widowControl/>
                    <w:jc w:val="left"/>
                    <w:rPr>
                      <w:rFonts w:eastAsiaTheme="minorEastAsia"/>
                      <w:color w:val="auto"/>
                      <w:szCs w:val="21"/>
                    </w:rPr>
                  </w:pPr>
                </w:p>
              </w:tc>
              <w:tc>
                <w:tcPr>
                  <w:tcW w:w="2014" w:type="dxa"/>
                  <w:vAlign w:val="center"/>
                </w:tcPr>
                <w:p>
                  <w:pPr>
                    <w:jc w:val="center"/>
                    <w:rPr>
                      <w:rFonts w:eastAsiaTheme="minorEastAsia"/>
                      <w:color w:val="auto"/>
                    </w:rPr>
                  </w:pPr>
                  <w:r>
                    <w:rPr>
                      <w:rFonts w:eastAsiaTheme="minorEastAsia"/>
                      <w:color w:val="auto"/>
                    </w:rPr>
                    <w:t>臭气浓度（无量纲）</w:t>
                  </w:r>
                </w:p>
              </w:tc>
              <w:tc>
                <w:tcPr>
                  <w:tcW w:w="1448" w:type="dxa"/>
                  <w:vAlign w:val="center"/>
                </w:tcPr>
                <w:p>
                  <w:pPr>
                    <w:adjustRightInd w:val="0"/>
                    <w:snapToGrid w:val="0"/>
                    <w:jc w:val="center"/>
                    <w:rPr>
                      <w:rFonts w:eastAsiaTheme="minorEastAsia"/>
                      <w:color w:val="auto"/>
                      <w:kern w:val="0"/>
                    </w:rPr>
                  </w:pPr>
                  <w:r>
                    <w:rPr>
                      <w:rFonts w:eastAsiaTheme="minorEastAsia"/>
                      <w:color w:val="auto"/>
                      <w:kern w:val="0"/>
                    </w:rPr>
                    <w:t>10</w:t>
                  </w:r>
                </w:p>
              </w:tc>
              <w:tc>
                <w:tcPr>
                  <w:tcW w:w="3438" w:type="dxa"/>
                  <w:vMerge w:val="continue"/>
                  <w:vAlign w:val="center"/>
                </w:tcPr>
                <w:p>
                  <w:pPr>
                    <w:widowControl/>
                    <w:jc w:val="left"/>
                    <w:rPr>
                      <w:rFonts w:eastAsiaTheme="minorEastAsia"/>
                      <w:color w:val="auto"/>
                      <w:kern w:val="0"/>
                      <w:szCs w:val="21"/>
                    </w:rPr>
                  </w:pPr>
                </w:p>
              </w:tc>
            </w:tr>
          </w:tbl>
          <w:p>
            <w:pPr>
              <w:pStyle w:val="12"/>
              <w:spacing w:before="120" w:beforeLines="50"/>
              <w:ind w:firstLine="482"/>
              <w:rPr>
                <w:b/>
                <w:bCs w:val="0"/>
                <w:color w:val="auto"/>
              </w:rPr>
            </w:pPr>
            <w:bookmarkStart w:id="5" w:name="_Toc18202"/>
            <w:bookmarkStart w:id="6" w:name="_Toc95"/>
            <w:bookmarkStart w:id="7" w:name="_Toc14972"/>
            <w:r>
              <w:rPr>
                <w:b/>
                <w:bCs w:val="0"/>
                <w:color w:val="auto"/>
              </w:rPr>
              <w:t>二、废水排放标准：</w:t>
            </w:r>
          </w:p>
          <w:p>
            <w:pPr>
              <w:pStyle w:val="12"/>
              <w:rPr>
                <w:color w:val="auto"/>
              </w:rPr>
            </w:pPr>
            <w:r>
              <w:rPr>
                <w:rFonts w:ascii="宋体" w:hAnsi="宋体"/>
                <w:color w:val="auto"/>
              </w:rPr>
              <w:t>本项目废水排放执行《医疗机构水污染物排放标准》（</w:t>
            </w:r>
            <w:r>
              <w:rPr>
                <w:color w:val="auto"/>
              </w:rPr>
              <w:t>GB18466-2005</w:t>
            </w:r>
            <w:r>
              <w:rPr>
                <w:rFonts w:ascii="宋体" w:hAnsi="宋体"/>
                <w:color w:val="auto"/>
              </w:rPr>
              <w:t>）中</w:t>
            </w:r>
            <w:r>
              <w:rPr>
                <w:rFonts w:hint="eastAsia" w:ascii="宋体" w:hAnsi="宋体"/>
                <w:color w:val="auto"/>
              </w:rPr>
              <w:t>“</w:t>
            </w:r>
            <w:r>
              <w:rPr>
                <w:rFonts w:ascii="宋体" w:hAnsi="宋体"/>
                <w:color w:val="auto"/>
              </w:rPr>
              <w:t>表</w:t>
            </w:r>
            <w:r>
              <w:rPr>
                <w:color w:val="auto"/>
              </w:rPr>
              <w:t>2</w:t>
            </w:r>
            <w:r>
              <w:rPr>
                <w:rFonts w:ascii="宋体" w:hAnsi="宋体"/>
                <w:color w:val="auto"/>
              </w:rPr>
              <w:t>综合医疗机构和其他医疗机构水污染物排放限值（日均值）预处理标准</w:t>
            </w:r>
            <w:r>
              <w:rPr>
                <w:rFonts w:hint="eastAsia" w:ascii="宋体" w:hAnsi="宋体"/>
                <w:color w:val="auto"/>
              </w:rPr>
              <w:t>”，</w:t>
            </w:r>
            <w:r>
              <w:rPr>
                <w:rFonts w:ascii="宋体" w:hAnsi="宋体"/>
                <w:color w:val="auto"/>
              </w:rPr>
              <w:t>氨氮参照执行《污水排入城镇下水道水质标准》（</w:t>
            </w:r>
            <w:r>
              <w:rPr>
                <w:color w:val="auto"/>
              </w:rPr>
              <w:t>GB/T31962-2015</w:t>
            </w:r>
            <w:r>
              <w:rPr>
                <w:rFonts w:ascii="宋体" w:hAnsi="宋体"/>
                <w:color w:val="auto"/>
              </w:rPr>
              <w:t>）</w:t>
            </w:r>
            <w:r>
              <w:rPr>
                <w:color w:val="auto"/>
              </w:rPr>
              <w:t>B</w:t>
            </w:r>
            <w:r>
              <w:rPr>
                <w:rFonts w:ascii="宋体" w:hAnsi="宋体"/>
                <w:color w:val="auto"/>
              </w:rPr>
              <w:t>级标准。</w:t>
            </w:r>
          </w:p>
          <w:p>
            <w:pPr>
              <w:pStyle w:val="15"/>
              <w:rPr>
                <w:color w:val="auto"/>
              </w:rPr>
            </w:pPr>
            <w:r>
              <w:rPr>
                <w:rFonts w:hint="eastAsia"/>
                <w:color w:val="auto"/>
              </w:rPr>
              <w:t>表</w:t>
            </w:r>
            <w:r>
              <w:rPr>
                <w:color w:val="auto"/>
              </w:rPr>
              <w:t>3-</w:t>
            </w:r>
            <w:r>
              <w:rPr>
                <w:rFonts w:hint="eastAsia"/>
                <w:color w:val="auto"/>
              </w:rPr>
              <w:t>5</w:t>
            </w:r>
            <w:r>
              <w:rPr>
                <w:color w:val="auto"/>
              </w:rPr>
              <w:t xml:space="preserve">  </w:t>
            </w:r>
            <w:r>
              <w:rPr>
                <w:rFonts w:hint="eastAsia"/>
                <w:color w:val="auto"/>
              </w:rPr>
              <w:t>水</w:t>
            </w:r>
            <w:r>
              <w:rPr>
                <w:color w:val="auto"/>
              </w:rPr>
              <w:t>污染排放标准</w:t>
            </w:r>
          </w:p>
          <w:tbl>
            <w:tblPr>
              <w:tblStyle w:val="6"/>
              <w:tblW w:w="499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434"/>
              <w:gridCol w:w="2268"/>
              <w:gridCol w:w="1254"/>
              <w:gridCol w:w="2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auto"/>
                      <w:szCs w:val="21"/>
                    </w:rPr>
                  </w:pPr>
                  <w:r>
                    <w:rPr>
                      <w:rFonts w:hint="eastAsia"/>
                      <w:color w:val="auto"/>
                      <w:szCs w:val="21"/>
                    </w:rPr>
                    <w:t>执行标准</w:t>
                  </w:r>
                </w:p>
              </w:tc>
              <w:tc>
                <w:tcPr>
                  <w:tcW w:w="2268"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rFonts w:hint="eastAsia"/>
                      <w:color w:val="auto"/>
                      <w:szCs w:val="21"/>
                    </w:rPr>
                    <w:t>污染物</w:t>
                  </w:r>
                </w:p>
              </w:tc>
              <w:tc>
                <w:tcPr>
                  <w:tcW w:w="1254"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rFonts w:hint="eastAsia"/>
                      <w:color w:val="auto"/>
                      <w:szCs w:val="21"/>
                    </w:rPr>
                    <w:t>标准限值</w:t>
                  </w:r>
                </w:p>
              </w:tc>
              <w:tc>
                <w:tcPr>
                  <w:tcW w:w="2023"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rFonts w:hint="eastAsia"/>
                      <w:color w:val="auto"/>
                      <w:szCs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434" w:type="dxa"/>
                  <w:vMerge w:val="restart"/>
                  <w:tcBorders>
                    <w:top w:val="nil"/>
                    <w:left w:val="single" w:color="000000" w:sz="4" w:space="0"/>
                    <w:bottom w:val="single" w:color="000000" w:sz="4" w:space="0"/>
                    <w:right w:val="single" w:color="000000" w:sz="4" w:space="0"/>
                  </w:tcBorders>
                  <w:vAlign w:val="center"/>
                </w:tcPr>
                <w:p>
                  <w:pPr>
                    <w:wordWrap w:val="0"/>
                    <w:adjustRightInd w:val="0"/>
                    <w:snapToGrid w:val="0"/>
                    <w:jc w:val="center"/>
                    <w:rPr>
                      <w:color w:val="auto"/>
                      <w:szCs w:val="21"/>
                    </w:rPr>
                  </w:pPr>
                  <w:r>
                    <w:rPr>
                      <w:rFonts w:hint="eastAsia"/>
                      <w:color w:val="auto"/>
                      <w:szCs w:val="21"/>
                    </w:rPr>
                    <w:t>《医疗机构水污染物排放标准》（</w:t>
                  </w:r>
                  <w:r>
                    <w:rPr>
                      <w:color w:val="auto"/>
                      <w:szCs w:val="21"/>
                    </w:rPr>
                    <w:t>GB18466-2005）预</w:t>
                  </w:r>
                  <w:r>
                    <w:rPr>
                      <w:rFonts w:hint="eastAsia"/>
                      <w:color w:val="auto"/>
                      <w:szCs w:val="21"/>
                    </w:rPr>
                    <w:t>处理标准</w:t>
                  </w:r>
                  <w:r>
                    <w:rPr>
                      <w:color w:val="auto"/>
                    </w:rPr>
                    <w:t>阴离子表面活性剂</w:t>
                  </w:r>
                </w:p>
              </w:tc>
              <w:tc>
                <w:tcPr>
                  <w:tcW w:w="2268"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pH</w:t>
                  </w:r>
                </w:p>
              </w:tc>
              <w:tc>
                <w:tcPr>
                  <w:tcW w:w="1254"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6~9</w:t>
                  </w:r>
                </w:p>
              </w:tc>
              <w:tc>
                <w:tcPr>
                  <w:tcW w:w="2023"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rFonts w:hint="eastAsia"/>
                      <w:color w:val="auto"/>
                      <w:szCs w:val="21"/>
                    </w:rPr>
                    <w:t>无量纲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34" w:type="dxa"/>
                  <w:vMerge w:val="continue"/>
                  <w:tcBorders>
                    <w:top w:val="nil"/>
                    <w:left w:val="single" w:color="000000" w:sz="4" w:space="0"/>
                    <w:bottom w:val="single" w:color="000000" w:sz="4" w:space="0"/>
                    <w:right w:val="single" w:color="000000" w:sz="4" w:space="0"/>
                  </w:tcBorders>
                  <w:vAlign w:val="center"/>
                </w:tcPr>
                <w:p>
                  <w:pPr>
                    <w:wordWrap w:val="0"/>
                    <w:adjustRightInd w:val="0"/>
                    <w:snapToGrid w:val="0"/>
                    <w:jc w:val="center"/>
                    <w:rPr>
                      <w:color w:val="auto"/>
                      <w:szCs w:val="21"/>
                    </w:rPr>
                  </w:pPr>
                </w:p>
              </w:tc>
              <w:tc>
                <w:tcPr>
                  <w:tcW w:w="2268"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COD</w:t>
                  </w:r>
                </w:p>
              </w:tc>
              <w:tc>
                <w:tcPr>
                  <w:tcW w:w="1254"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250</w:t>
                  </w:r>
                </w:p>
              </w:tc>
              <w:tc>
                <w:tcPr>
                  <w:tcW w:w="2023"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34" w:type="dxa"/>
                  <w:vMerge w:val="continue"/>
                  <w:tcBorders>
                    <w:top w:val="nil"/>
                    <w:left w:val="single" w:color="000000" w:sz="4" w:space="0"/>
                    <w:bottom w:val="single" w:color="000000" w:sz="4" w:space="0"/>
                    <w:right w:val="single" w:color="000000" w:sz="4" w:space="0"/>
                  </w:tcBorders>
                  <w:vAlign w:val="center"/>
                </w:tcPr>
                <w:p>
                  <w:pPr>
                    <w:wordWrap w:val="0"/>
                    <w:adjustRightInd w:val="0"/>
                    <w:snapToGrid w:val="0"/>
                    <w:jc w:val="center"/>
                    <w:rPr>
                      <w:color w:val="auto"/>
                      <w:szCs w:val="21"/>
                    </w:rPr>
                  </w:pPr>
                </w:p>
              </w:tc>
              <w:tc>
                <w:tcPr>
                  <w:tcW w:w="2268"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BOD</w:t>
                  </w:r>
                  <w:r>
                    <w:rPr>
                      <w:color w:val="auto"/>
                      <w:szCs w:val="21"/>
                      <w:vertAlign w:val="subscript"/>
                    </w:rPr>
                    <w:t>5</w:t>
                  </w:r>
                </w:p>
              </w:tc>
              <w:tc>
                <w:tcPr>
                  <w:tcW w:w="1254"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100</w:t>
                  </w:r>
                </w:p>
              </w:tc>
              <w:tc>
                <w:tcPr>
                  <w:tcW w:w="2023"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34" w:type="dxa"/>
                  <w:vMerge w:val="continue"/>
                  <w:tcBorders>
                    <w:top w:val="nil"/>
                    <w:left w:val="single" w:color="000000" w:sz="4" w:space="0"/>
                    <w:bottom w:val="single" w:color="000000" w:sz="4" w:space="0"/>
                    <w:right w:val="single" w:color="000000" w:sz="4" w:space="0"/>
                  </w:tcBorders>
                  <w:vAlign w:val="center"/>
                </w:tcPr>
                <w:p>
                  <w:pPr>
                    <w:wordWrap w:val="0"/>
                    <w:adjustRightInd w:val="0"/>
                    <w:snapToGrid w:val="0"/>
                    <w:jc w:val="center"/>
                    <w:rPr>
                      <w:color w:val="auto"/>
                      <w:szCs w:val="21"/>
                    </w:rPr>
                  </w:pPr>
                </w:p>
              </w:tc>
              <w:tc>
                <w:tcPr>
                  <w:tcW w:w="2268"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SS</w:t>
                  </w:r>
                </w:p>
              </w:tc>
              <w:tc>
                <w:tcPr>
                  <w:tcW w:w="1254"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60</w:t>
                  </w:r>
                </w:p>
              </w:tc>
              <w:tc>
                <w:tcPr>
                  <w:tcW w:w="2023"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34" w:type="dxa"/>
                  <w:vMerge w:val="continue"/>
                  <w:tcBorders>
                    <w:top w:val="nil"/>
                    <w:left w:val="single" w:color="000000" w:sz="4" w:space="0"/>
                    <w:bottom w:val="single" w:color="000000" w:sz="4" w:space="0"/>
                    <w:right w:val="single" w:color="000000" w:sz="4" w:space="0"/>
                  </w:tcBorders>
                  <w:vAlign w:val="center"/>
                </w:tcPr>
                <w:p>
                  <w:pPr>
                    <w:wordWrap w:val="0"/>
                    <w:adjustRightInd w:val="0"/>
                    <w:snapToGrid w:val="0"/>
                    <w:jc w:val="center"/>
                    <w:rPr>
                      <w:color w:val="auto"/>
                      <w:szCs w:val="21"/>
                    </w:rPr>
                  </w:pPr>
                </w:p>
              </w:tc>
              <w:tc>
                <w:tcPr>
                  <w:tcW w:w="2268"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rFonts w:hint="eastAsia"/>
                      <w:color w:val="auto"/>
                      <w:szCs w:val="21"/>
                    </w:rPr>
                    <w:t>粪大肠菌群数</w:t>
                  </w:r>
                </w:p>
              </w:tc>
              <w:tc>
                <w:tcPr>
                  <w:tcW w:w="1254"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5000</w:t>
                  </w:r>
                </w:p>
              </w:tc>
              <w:tc>
                <w:tcPr>
                  <w:tcW w:w="2023"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MPN/L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34" w:type="dxa"/>
                  <w:vMerge w:val="continue"/>
                  <w:tcBorders>
                    <w:top w:val="nil"/>
                    <w:left w:val="single" w:color="000000" w:sz="4" w:space="0"/>
                    <w:bottom w:val="single" w:color="000000" w:sz="4" w:space="0"/>
                    <w:right w:val="single" w:color="000000" w:sz="4" w:space="0"/>
                  </w:tcBorders>
                  <w:vAlign w:val="center"/>
                </w:tcPr>
                <w:p>
                  <w:pPr>
                    <w:wordWrap w:val="0"/>
                    <w:adjustRightInd w:val="0"/>
                    <w:snapToGrid w:val="0"/>
                    <w:jc w:val="center"/>
                    <w:rPr>
                      <w:color w:val="auto"/>
                      <w:szCs w:val="21"/>
                    </w:rPr>
                  </w:pPr>
                </w:p>
              </w:tc>
              <w:tc>
                <w:tcPr>
                  <w:tcW w:w="2268"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rFonts w:hint="eastAsia" w:ascii="宋体" w:hAnsi="宋体" w:cs="宋体"/>
                      <w:color w:val="auto"/>
                    </w:rPr>
                    <w:t>阴离子表面活性剂</w:t>
                  </w:r>
                </w:p>
              </w:tc>
              <w:tc>
                <w:tcPr>
                  <w:tcW w:w="1254"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rFonts w:hint="eastAsia"/>
                      <w:color w:val="auto"/>
                      <w:szCs w:val="21"/>
                    </w:rPr>
                    <w:t>10</w:t>
                  </w:r>
                </w:p>
              </w:tc>
              <w:tc>
                <w:tcPr>
                  <w:tcW w:w="2023"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34" w:type="dxa"/>
                  <w:vMerge w:val="continue"/>
                  <w:tcBorders>
                    <w:top w:val="nil"/>
                    <w:left w:val="single" w:color="000000" w:sz="4" w:space="0"/>
                    <w:bottom w:val="single" w:color="000000" w:sz="4" w:space="0"/>
                    <w:right w:val="single" w:color="000000" w:sz="4" w:space="0"/>
                  </w:tcBorders>
                  <w:vAlign w:val="center"/>
                </w:tcPr>
                <w:p>
                  <w:pPr>
                    <w:wordWrap w:val="0"/>
                    <w:adjustRightInd w:val="0"/>
                    <w:snapToGrid w:val="0"/>
                    <w:jc w:val="center"/>
                    <w:rPr>
                      <w:color w:val="auto"/>
                      <w:szCs w:val="21"/>
                    </w:rPr>
                  </w:pPr>
                </w:p>
              </w:tc>
              <w:tc>
                <w:tcPr>
                  <w:tcW w:w="2268"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vertAlign w:val="superscript"/>
                    </w:rPr>
                  </w:pPr>
                  <w:r>
                    <w:rPr>
                      <w:rFonts w:hint="eastAsia"/>
                      <w:color w:val="auto"/>
                      <w:szCs w:val="21"/>
                    </w:rPr>
                    <w:t>总余氯</w:t>
                  </w:r>
                  <w:r>
                    <w:rPr>
                      <w:rFonts w:hint="eastAsia"/>
                      <w:color w:val="auto"/>
                      <w:szCs w:val="21"/>
                      <w:vertAlign w:val="superscript"/>
                    </w:rPr>
                    <w:t>1) 2)</w:t>
                  </w:r>
                </w:p>
              </w:tc>
              <w:tc>
                <w:tcPr>
                  <w:tcW w:w="1254"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rFonts w:hint="eastAsia"/>
                      <w:color w:val="auto"/>
                      <w:szCs w:val="21"/>
                    </w:rPr>
                    <w:t>/</w:t>
                  </w:r>
                </w:p>
              </w:tc>
              <w:tc>
                <w:tcPr>
                  <w:tcW w:w="2023"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434" w:type="dxa"/>
                  <w:vMerge w:val="continue"/>
                  <w:tcBorders>
                    <w:top w:val="nil"/>
                    <w:left w:val="single" w:color="000000" w:sz="4" w:space="0"/>
                    <w:bottom w:val="single" w:color="000000" w:sz="4" w:space="0"/>
                    <w:right w:val="single" w:color="000000" w:sz="4" w:space="0"/>
                  </w:tcBorders>
                  <w:vAlign w:val="center"/>
                </w:tcPr>
                <w:p>
                  <w:pPr>
                    <w:wordWrap w:val="0"/>
                    <w:adjustRightInd w:val="0"/>
                    <w:snapToGrid w:val="0"/>
                    <w:jc w:val="center"/>
                    <w:rPr>
                      <w:color w:val="auto"/>
                      <w:szCs w:val="21"/>
                    </w:rPr>
                  </w:pPr>
                </w:p>
              </w:tc>
              <w:tc>
                <w:tcPr>
                  <w:tcW w:w="2268"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rFonts w:hint="eastAsia"/>
                      <w:color w:val="auto"/>
                      <w:szCs w:val="21"/>
                    </w:rPr>
                    <w:t>石油类</w:t>
                  </w:r>
                </w:p>
              </w:tc>
              <w:tc>
                <w:tcPr>
                  <w:tcW w:w="1254"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rFonts w:hint="eastAsia"/>
                      <w:color w:val="auto"/>
                      <w:szCs w:val="21"/>
                    </w:rPr>
                    <w:t>20</w:t>
                  </w:r>
                </w:p>
              </w:tc>
              <w:tc>
                <w:tcPr>
                  <w:tcW w:w="2023"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2434" w:type="dxa"/>
                  <w:tcBorders>
                    <w:top w:val="single" w:color="000000" w:sz="4" w:space="0"/>
                    <w:left w:val="single" w:color="000000" w:sz="4" w:space="0"/>
                    <w:bottom w:val="single" w:color="000000" w:sz="4" w:space="0"/>
                    <w:right w:val="single" w:color="000000" w:sz="4" w:space="0"/>
                  </w:tcBorders>
                  <w:vAlign w:val="center"/>
                </w:tcPr>
                <w:p>
                  <w:pPr>
                    <w:wordWrap w:val="0"/>
                    <w:adjustRightInd w:val="0"/>
                    <w:snapToGrid w:val="0"/>
                    <w:jc w:val="center"/>
                    <w:rPr>
                      <w:color w:val="auto"/>
                      <w:szCs w:val="21"/>
                    </w:rPr>
                  </w:pPr>
                  <w:r>
                    <w:rPr>
                      <w:rFonts w:hint="eastAsia"/>
                      <w:color w:val="auto"/>
                      <w:szCs w:val="21"/>
                    </w:rPr>
                    <w:t>《污水排入城镇下水道水质标准》</w:t>
                  </w:r>
                  <w:r>
                    <w:rPr>
                      <w:color w:val="auto"/>
                      <w:szCs w:val="21"/>
                    </w:rPr>
                    <w:t>B级标准</w:t>
                  </w:r>
                </w:p>
              </w:tc>
              <w:tc>
                <w:tcPr>
                  <w:tcW w:w="2268"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rFonts w:hint="eastAsia"/>
                      <w:color w:val="auto"/>
                      <w:szCs w:val="21"/>
                    </w:rPr>
                    <w:t>氨氮</w:t>
                  </w:r>
                </w:p>
              </w:tc>
              <w:tc>
                <w:tcPr>
                  <w:tcW w:w="1254"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45</w:t>
                  </w:r>
                </w:p>
              </w:tc>
              <w:tc>
                <w:tcPr>
                  <w:tcW w:w="2023" w:type="dxa"/>
                  <w:tcBorders>
                    <w:top w:val="single" w:color="000000" w:sz="4" w:space="0"/>
                    <w:left w:val="nil"/>
                    <w:bottom w:val="single" w:color="000000" w:sz="4" w:space="0"/>
                    <w:right w:val="single" w:color="000000" w:sz="4" w:space="0"/>
                  </w:tcBorders>
                  <w:vAlign w:val="center"/>
                </w:tcPr>
                <w:p>
                  <w:pPr>
                    <w:wordWrap w:val="0"/>
                    <w:adjustRightInd w:val="0"/>
                    <w:snapToGrid w:val="0"/>
                    <w:jc w:val="center"/>
                    <w:rPr>
                      <w:color w:val="auto"/>
                      <w:szCs w:val="21"/>
                    </w:rPr>
                  </w:pPr>
                  <w:r>
                    <w:rPr>
                      <w:color w:val="auto"/>
                      <w:szCs w:val="21"/>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979"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color w:val="auto"/>
                    </w:rPr>
                  </w:pPr>
                  <w:r>
                    <w:rPr>
                      <w:color w:val="auto"/>
                    </w:rPr>
                    <w:t>注：1）采用含氯消毒剂消毒的工艺控制要求为：</w:t>
                  </w:r>
                </w:p>
                <w:p>
                  <w:pPr>
                    <w:wordWrap w:val="0"/>
                    <w:adjustRightInd w:val="0"/>
                    <w:snapToGrid w:val="0"/>
                    <w:ind w:left="735" w:leftChars="350"/>
                    <w:jc w:val="left"/>
                    <w:rPr>
                      <w:color w:val="auto"/>
                    </w:rPr>
                  </w:pPr>
                  <w:r>
                    <w:rPr>
                      <w:color w:val="auto"/>
                    </w:rPr>
                    <w:t>一级标准：消毒接触池接触时间≥1h，接触池出口总余氯3-10mg/L。</w:t>
                  </w:r>
                </w:p>
                <w:p>
                  <w:pPr>
                    <w:wordWrap w:val="0"/>
                    <w:adjustRightInd w:val="0"/>
                    <w:snapToGrid w:val="0"/>
                    <w:ind w:left="735" w:leftChars="350"/>
                    <w:jc w:val="left"/>
                    <w:rPr>
                      <w:color w:val="auto"/>
                    </w:rPr>
                  </w:pPr>
                  <w:r>
                    <w:rPr>
                      <w:color w:val="auto"/>
                    </w:rPr>
                    <w:t>二级标准：消毒接触池接触时间≥1h，接触池出口总余氯2-8mg/L。</w:t>
                  </w:r>
                </w:p>
                <w:p>
                  <w:pPr>
                    <w:wordWrap w:val="0"/>
                    <w:adjustRightInd w:val="0"/>
                    <w:snapToGrid w:val="0"/>
                    <w:ind w:left="420" w:leftChars="200"/>
                    <w:jc w:val="left"/>
                    <w:rPr>
                      <w:color w:val="auto"/>
                      <w:szCs w:val="21"/>
                    </w:rPr>
                  </w:pPr>
                  <w:r>
                    <w:rPr>
                      <w:color w:val="auto"/>
                    </w:rPr>
                    <w:t>2）采用其他消毒剂对总余氯不作要求。</w:t>
                  </w:r>
                </w:p>
              </w:tc>
            </w:tr>
            <w:bookmarkEnd w:id="5"/>
            <w:bookmarkEnd w:id="6"/>
            <w:bookmarkEnd w:id="7"/>
          </w:tbl>
          <w:p>
            <w:pPr>
              <w:tabs>
                <w:tab w:val="left" w:pos="0"/>
              </w:tabs>
              <w:spacing w:before="120" w:beforeLines="50" w:line="360" w:lineRule="auto"/>
              <w:ind w:firstLine="482" w:firstLineChars="200"/>
              <w:rPr>
                <w:b/>
                <w:bCs/>
                <w:color w:val="auto"/>
                <w:sz w:val="24"/>
                <w:lang w:bidi="ar"/>
              </w:rPr>
            </w:pPr>
            <w:r>
              <w:rPr>
                <w:b/>
                <w:bCs/>
                <w:color w:val="auto"/>
                <w:sz w:val="24"/>
                <w:lang w:bidi="ar"/>
              </w:rPr>
              <w:t>三、噪声排放标准：</w:t>
            </w:r>
          </w:p>
          <w:p>
            <w:pPr>
              <w:tabs>
                <w:tab w:val="left" w:pos="0"/>
              </w:tabs>
              <w:spacing w:line="360" w:lineRule="auto"/>
              <w:ind w:firstLine="480" w:firstLineChars="200"/>
              <w:rPr>
                <w:snapToGrid w:val="0"/>
                <w:color w:val="auto"/>
                <w:spacing w:val="1"/>
                <w:position w:val="-3"/>
                <w:sz w:val="24"/>
              </w:rPr>
            </w:pPr>
            <w:r>
              <w:rPr>
                <w:color w:val="auto"/>
                <w:sz w:val="24"/>
                <w:lang w:bidi="ar"/>
              </w:rPr>
              <w:t>根据《西安市人民政府办公厅关于印发声环境功能区划方案的通知》（市政办函〔2019〕107号），本项目</w:t>
            </w:r>
            <w:r>
              <w:rPr>
                <w:rFonts w:hint="eastAsia"/>
                <w:color w:val="auto"/>
                <w:sz w:val="24"/>
                <w:lang w:bidi="ar"/>
              </w:rPr>
              <w:t xml:space="preserve">属于“表2-2 </w:t>
            </w:r>
            <w:r>
              <w:rPr>
                <w:color w:val="auto"/>
                <w:sz w:val="24"/>
                <w:lang w:bidi="ar"/>
              </w:rPr>
              <w:t>西安市1类标准适用区域名单</w:t>
            </w:r>
            <w:r>
              <w:rPr>
                <w:rFonts w:hint="eastAsia"/>
                <w:color w:val="auto"/>
                <w:sz w:val="24"/>
                <w:lang w:bidi="ar"/>
              </w:rPr>
              <w:t>”中的“</w:t>
            </w:r>
            <w:r>
              <w:rPr>
                <w:color w:val="auto"/>
                <w:sz w:val="24"/>
                <w:lang w:bidi="ar"/>
              </w:rPr>
              <w:t>西长安街北部区域</w:t>
            </w:r>
            <w:r>
              <w:rPr>
                <w:rFonts w:hint="eastAsia"/>
                <w:color w:val="auto"/>
                <w:sz w:val="24"/>
                <w:lang w:bidi="ar"/>
              </w:rPr>
              <w:t xml:space="preserve">”，企业东侧临路为茅坡路属于“表2-5 </w:t>
            </w:r>
            <w:r>
              <w:rPr>
                <w:color w:val="auto"/>
                <w:sz w:val="24"/>
                <w:lang w:bidi="ar"/>
              </w:rPr>
              <w:t>西安市4a类标准适用区域名单</w:t>
            </w:r>
            <w:r>
              <w:rPr>
                <w:rFonts w:hint="eastAsia"/>
                <w:color w:val="auto"/>
                <w:sz w:val="24"/>
                <w:lang w:bidi="ar"/>
              </w:rPr>
              <w:t>”</w:t>
            </w:r>
            <w:r>
              <w:rPr>
                <w:color w:val="auto"/>
                <w:sz w:val="24"/>
                <w:lang w:bidi="ar"/>
              </w:rPr>
              <w:t>。运营期</w:t>
            </w:r>
            <w:r>
              <w:rPr>
                <w:rFonts w:hint="eastAsia"/>
                <w:color w:val="auto"/>
                <w:sz w:val="24"/>
                <w:lang w:bidi="ar"/>
              </w:rPr>
              <w:t>北、西、南</w:t>
            </w:r>
            <w:r>
              <w:rPr>
                <w:color w:val="auto"/>
                <w:sz w:val="24"/>
                <w:lang w:bidi="ar"/>
              </w:rPr>
              <w:t>厂界噪声执行《工业企业厂界环境噪声排放标准》（GB12348-2008）中</w:t>
            </w:r>
            <w:r>
              <w:rPr>
                <w:rFonts w:hint="eastAsia"/>
                <w:color w:val="auto"/>
                <w:sz w:val="24"/>
                <w:lang w:bidi="ar"/>
              </w:rPr>
              <w:t>1</w:t>
            </w:r>
            <w:r>
              <w:rPr>
                <w:color w:val="auto"/>
                <w:sz w:val="24"/>
                <w:lang w:bidi="ar"/>
              </w:rPr>
              <w:t>类标准</w:t>
            </w:r>
            <w:r>
              <w:rPr>
                <w:rFonts w:hint="eastAsia"/>
                <w:color w:val="auto"/>
                <w:sz w:val="24"/>
                <w:lang w:bidi="ar"/>
              </w:rPr>
              <w:t>，东</w:t>
            </w:r>
            <w:r>
              <w:rPr>
                <w:color w:val="auto"/>
                <w:sz w:val="24"/>
                <w:lang w:bidi="ar"/>
              </w:rPr>
              <w:t>厂界噪声执行《工业企业厂界环境噪声排放标准》（GB12348-2008）中</w:t>
            </w:r>
            <w:r>
              <w:rPr>
                <w:rFonts w:hint="eastAsia"/>
                <w:color w:val="auto"/>
                <w:sz w:val="24"/>
                <w:lang w:bidi="ar"/>
              </w:rPr>
              <w:t>4</w:t>
            </w:r>
            <w:r>
              <w:rPr>
                <w:color w:val="auto"/>
                <w:sz w:val="24"/>
                <w:lang w:bidi="ar"/>
              </w:rPr>
              <w:t>类标准</w:t>
            </w:r>
            <w:r>
              <w:rPr>
                <w:color w:val="auto"/>
                <w:sz w:val="24"/>
              </w:rPr>
              <w:t>。</w:t>
            </w:r>
          </w:p>
          <w:p>
            <w:pPr>
              <w:pStyle w:val="15"/>
              <w:rPr>
                <w:color w:val="auto"/>
              </w:rPr>
            </w:pPr>
            <w:r>
              <w:rPr>
                <w:color w:val="auto"/>
              </w:rPr>
              <w:t>表3-</w:t>
            </w:r>
            <w:r>
              <w:rPr>
                <w:rFonts w:hint="eastAsia"/>
                <w:color w:val="auto"/>
              </w:rPr>
              <w:t>6</w:t>
            </w:r>
            <w:r>
              <w:rPr>
                <w:color w:val="auto"/>
              </w:rPr>
              <w:t xml:space="preserve">  工业企业厂界环境噪声排放限值</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Layout w:type="autofit"/>
              <w:tblCellMar>
                <w:top w:w="0" w:type="dxa"/>
                <w:left w:w="108" w:type="dxa"/>
                <w:bottom w:w="0" w:type="dxa"/>
                <w:right w:w="108" w:type="dxa"/>
              </w:tblCellMar>
            </w:tblPr>
            <w:tblGrid>
              <w:gridCol w:w="884"/>
              <w:gridCol w:w="848"/>
              <w:gridCol w:w="1133"/>
              <w:gridCol w:w="992"/>
              <w:gridCol w:w="1133"/>
              <w:gridCol w:w="2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108" w:type="dxa"/>
                  <w:bottom w:w="0" w:type="dxa"/>
                  <w:right w:w="108" w:type="dxa"/>
                </w:tblCellMar>
              </w:tblPrEx>
              <w:trPr>
                <w:cantSplit/>
                <w:trHeight w:val="211" w:hRule="atLeast"/>
              </w:trPr>
              <w:tc>
                <w:tcPr>
                  <w:tcW w:w="554" w:type="pct"/>
                  <w:vMerge w:val="restart"/>
                  <w:tcBorders>
                    <w:tl2br w:val="nil"/>
                    <w:tr2bl w:val="nil"/>
                  </w:tcBorders>
                  <w:vAlign w:val="center"/>
                </w:tcPr>
                <w:p>
                  <w:pPr>
                    <w:snapToGrid w:val="0"/>
                    <w:jc w:val="center"/>
                    <w:rPr>
                      <w:bCs/>
                      <w:color w:val="auto"/>
                      <w:szCs w:val="21"/>
                    </w:rPr>
                  </w:pPr>
                  <w:r>
                    <w:rPr>
                      <w:bCs/>
                      <w:color w:val="auto"/>
                      <w:szCs w:val="21"/>
                      <w:lang w:bidi="ar"/>
                    </w:rPr>
                    <w:t>监测点</w:t>
                  </w:r>
                </w:p>
              </w:tc>
              <w:tc>
                <w:tcPr>
                  <w:tcW w:w="531" w:type="pct"/>
                  <w:vMerge w:val="restart"/>
                  <w:tcBorders>
                    <w:tl2br w:val="nil"/>
                    <w:tr2bl w:val="nil"/>
                  </w:tcBorders>
                  <w:vAlign w:val="center"/>
                </w:tcPr>
                <w:p>
                  <w:pPr>
                    <w:snapToGrid w:val="0"/>
                    <w:jc w:val="center"/>
                    <w:rPr>
                      <w:bCs/>
                      <w:color w:val="auto"/>
                      <w:szCs w:val="21"/>
                    </w:rPr>
                  </w:pPr>
                  <w:r>
                    <w:rPr>
                      <w:bCs/>
                      <w:color w:val="auto"/>
                      <w:szCs w:val="21"/>
                      <w:lang w:bidi="ar"/>
                    </w:rPr>
                    <w:t>级别</w:t>
                  </w:r>
                </w:p>
              </w:tc>
              <w:tc>
                <w:tcPr>
                  <w:tcW w:w="709" w:type="pct"/>
                  <w:vMerge w:val="restart"/>
                  <w:tcBorders>
                    <w:tl2br w:val="nil"/>
                    <w:tr2bl w:val="nil"/>
                  </w:tcBorders>
                  <w:vAlign w:val="center"/>
                </w:tcPr>
                <w:p>
                  <w:pPr>
                    <w:snapToGrid w:val="0"/>
                    <w:jc w:val="center"/>
                    <w:rPr>
                      <w:bCs/>
                      <w:color w:val="auto"/>
                      <w:szCs w:val="21"/>
                    </w:rPr>
                  </w:pPr>
                  <w:r>
                    <w:rPr>
                      <w:bCs/>
                      <w:color w:val="auto"/>
                      <w:szCs w:val="21"/>
                      <w:lang w:bidi="ar"/>
                    </w:rPr>
                    <w:t>单位</w:t>
                  </w:r>
                </w:p>
              </w:tc>
              <w:tc>
                <w:tcPr>
                  <w:tcW w:w="1330" w:type="pct"/>
                  <w:gridSpan w:val="2"/>
                  <w:tcBorders>
                    <w:tl2br w:val="nil"/>
                    <w:tr2bl w:val="nil"/>
                  </w:tcBorders>
                  <w:vAlign w:val="center"/>
                </w:tcPr>
                <w:p>
                  <w:pPr>
                    <w:snapToGrid w:val="0"/>
                    <w:jc w:val="center"/>
                    <w:rPr>
                      <w:bCs/>
                      <w:color w:val="auto"/>
                      <w:szCs w:val="21"/>
                    </w:rPr>
                  </w:pPr>
                  <w:r>
                    <w:rPr>
                      <w:bCs/>
                      <w:color w:val="auto"/>
                      <w:szCs w:val="21"/>
                      <w:lang w:bidi="ar"/>
                    </w:rPr>
                    <w:t>标准限值</w:t>
                  </w:r>
                </w:p>
              </w:tc>
              <w:tc>
                <w:tcPr>
                  <w:tcW w:w="1876" w:type="pct"/>
                  <w:vMerge w:val="restart"/>
                  <w:tcBorders>
                    <w:tl2br w:val="nil"/>
                    <w:tr2bl w:val="nil"/>
                  </w:tcBorders>
                  <w:vAlign w:val="center"/>
                </w:tcPr>
                <w:p>
                  <w:pPr>
                    <w:snapToGrid w:val="0"/>
                    <w:jc w:val="center"/>
                    <w:rPr>
                      <w:bCs/>
                      <w:color w:val="auto"/>
                      <w:szCs w:val="21"/>
                    </w:rPr>
                  </w:pPr>
                  <w:r>
                    <w:rPr>
                      <w:bCs/>
                      <w:color w:val="auto"/>
                      <w:szCs w:val="21"/>
                      <w:lang w:bidi="ar"/>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108" w:type="dxa"/>
                  <w:bottom w:w="0" w:type="dxa"/>
                  <w:right w:w="108" w:type="dxa"/>
                </w:tblCellMar>
              </w:tblPrEx>
              <w:trPr>
                <w:cantSplit/>
                <w:trHeight w:val="211" w:hRule="atLeast"/>
              </w:trPr>
              <w:tc>
                <w:tcPr>
                  <w:tcW w:w="554" w:type="pct"/>
                  <w:vMerge w:val="continue"/>
                  <w:tcBorders>
                    <w:tl2br w:val="nil"/>
                    <w:tr2bl w:val="nil"/>
                  </w:tcBorders>
                  <w:vAlign w:val="center"/>
                </w:tcPr>
                <w:p>
                  <w:pPr>
                    <w:rPr>
                      <w:color w:val="auto"/>
                      <w:szCs w:val="21"/>
                    </w:rPr>
                  </w:pPr>
                </w:p>
              </w:tc>
              <w:tc>
                <w:tcPr>
                  <w:tcW w:w="531" w:type="pct"/>
                  <w:vMerge w:val="continue"/>
                  <w:tcBorders>
                    <w:tl2br w:val="nil"/>
                    <w:tr2bl w:val="nil"/>
                  </w:tcBorders>
                  <w:vAlign w:val="center"/>
                </w:tcPr>
                <w:p>
                  <w:pPr>
                    <w:rPr>
                      <w:color w:val="auto"/>
                      <w:szCs w:val="21"/>
                    </w:rPr>
                  </w:pPr>
                </w:p>
              </w:tc>
              <w:tc>
                <w:tcPr>
                  <w:tcW w:w="709" w:type="pct"/>
                  <w:vMerge w:val="continue"/>
                  <w:tcBorders>
                    <w:tl2br w:val="nil"/>
                    <w:tr2bl w:val="nil"/>
                  </w:tcBorders>
                  <w:vAlign w:val="center"/>
                </w:tcPr>
                <w:p>
                  <w:pPr>
                    <w:rPr>
                      <w:color w:val="auto"/>
                      <w:szCs w:val="21"/>
                    </w:rPr>
                  </w:pPr>
                </w:p>
              </w:tc>
              <w:tc>
                <w:tcPr>
                  <w:tcW w:w="621" w:type="pct"/>
                  <w:tcBorders>
                    <w:tl2br w:val="nil"/>
                    <w:tr2bl w:val="nil"/>
                  </w:tcBorders>
                  <w:vAlign w:val="center"/>
                </w:tcPr>
                <w:p>
                  <w:pPr>
                    <w:snapToGrid w:val="0"/>
                    <w:jc w:val="center"/>
                    <w:rPr>
                      <w:bCs/>
                      <w:color w:val="auto"/>
                      <w:szCs w:val="21"/>
                    </w:rPr>
                  </w:pPr>
                  <w:r>
                    <w:rPr>
                      <w:bCs/>
                      <w:color w:val="auto"/>
                      <w:szCs w:val="21"/>
                      <w:lang w:bidi="ar"/>
                    </w:rPr>
                    <w:t>昼间</w:t>
                  </w:r>
                </w:p>
              </w:tc>
              <w:tc>
                <w:tcPr>
                  <w:tcW w:w="709" w:type="pct"/>
                  <w:tcBorders>
                    <w:tl2br w:val="nil"/>
                    <w:tr2bl w:val="nil"/>
                  </w:tcBorders>
                  <w:vAlign w:val="center"/>
                </w:tcPr>
                <w:p>
                  <w:pPr>
                    <w:snapToGrid w:val="0"/>
                    <w:jc w:val="center"/>
                    <w:rPr>
                      <w:bCs/>
                      <w:color w:val="auto"/>
                      <w:szCs w:val="21"/>
                    </w:rPr>
                  </w:pPr>
                  <w:r>
                    <w:rPr>
                      <w:bCs/>
                      <w:color w:val="auto"/>
                      <w:szCs w:val="21"/>
                      <w:lang w:bidi="ar"/>
                    </w:rPr>
                    <w:t>夜间</w:t>
                  </w:r>
                </w:p>
              </w:tc>
              <w:tc>
                <w:tcPr>
                  <w:tcW w:w="1876" w:type="pct"/>
                  <w:vMerge w:val="continue"/>
                  <w:tcBorders>
                    <w:tl2br w:val="nil"/>
                    <w:tr2bl w:val="nil"/>
                  </w:tcBorders>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108" w:type="dxa"/>
                  <w:bottom w:w="0" w:type="dxa"/>
                  <w:right w:w="108" w:type="dxa"/>
                </w:tblCellMar>
              </w:tblPrEx>
              <w:trPr>
                <w:cantSplit/>
                <w:trHeight w:val="403" w:hRule="atLeast"/>
              </w:trPr>
              <w:tc>
                <w:tcPr>
                  <w:tcW w:w="554" w:type="pct"/>
                  <w:tcBorders>
                    <w:tl2br w:val="nil"/>
                    <w:tr2bl w:val="nil"/>
                  </w:tcBorders>
                  <w:vAlign w:val="center"/>
                </w:tcPr>
                <w:p>
                  <w:pPr>
                    <w:snapToGrid w:val="0"/>
                    <w:jc w:val="center"/>
                    <w:rPr>
                      <w:bCs/>
                      <w:color w:val="auto"/>
                      <w:szCs w:val="21"/>
                    </w:rPr>
                  </w:pPr>
                  <w:r>
                    <w:rPr>
                      <w:rFonts w:hint="eastAsia"/>
                      <w:bCs/>
                      <w:color w:val="auto"/>
                      <w:szCs w:val="21"/>
                    </w:rPr>
                    <w:t>北、西、南</w:t>
                  </w:r>
                  <w:r>
                    <w:rPr>
                      <w:bCs/>
                      <w:color w:val="auto"/>
                      <w:szCs w:val="21"/>
                    </w:rPr>
                    <w:t>厂界</w:t>
                  </w:r>
                </w:p>
              </w:tc>
              <w:tc>
                <w:tcPr>
                  <w:tcW w:w="531" w:type="pct"/>
                  <w:tcBorders>
                    <w:tl2br w:val="nil"/>
                    <w:tr2bl w:val="nil"/>
                  </w:tcBorders>
                  <w:vAlign w:val="center"/>
                </w:tcPr>
                <w:p>
                  <w:pPr>
                    <w:snapToGrid w:val="0"/>
                    <w:jc w:val="center"/>
                    <w:rPr>
                      <w:bCs/>
                      <w:color w:val="auto"/>
                      <w:szCs w:val="21"/>
                    </w:rPr>
                  </w:pPr>
                  <w:r>
                    <w:rPr>
                      <w:rFonts w:hint="eastAsia"/>
                      <w:bCs/>
                      <w:color w:val="auto"/>
                      <w:szCs w:val="21"/>
                    </w:rPr>
                    <w:t>1</w:t>
                  </w:r>
                  <w:r>
                    <w:rPr>
                      <w:bCs/>
                      <w:color w:val="auto"/>
                      <w:szCs w:val="21"/>
                    </w:rPr>
                    <w:t>类</w:t>
                  </w:r>
                </w:p>
              </w:tc>
              <w:tc>
                <w:tcPr>
                  <w:tcW w:w="709" w:type="pct"/>
                  <w:tcBorders>
                    <w:tl2br w:val="nil"/>
                    <w:tr2bl w:val="nil"/>
                  </w:tcBorders>
                  <w:vAlign w:val="center"/>
                </w:tcPr>
                <w:p>
                  <w:pPr>
                    <w:snapToGrid w:val="0"/>
                    <w:jc w:val="center"/>
                    <w:rPr>
                      <w:bCs/>
                      <w:color w:val="auto"/>
                      <w:szCs w:val="21"/>
                    </w:rPr>
                  </w:pPr>
                  <w:r>
                    <w:rPr>
                      <w:bCs/>
                      <w:color w:val="auto"/>
                      <w:szCs w:val="21"/>
                      <w:lang w:bidi="ar"/>
                    </w:rPr>
                    <w:t>dB（A）</w:t>
                  </w:r>
                </w:p>
              </w:tc>
              <w:tc>
                <w:tcPr>
                  <w:tcW w:w="621" w:type="pct"/>
                  <w:tcBorders>
                    <w:tl2br w:val="nil"/>
                    <w:tr2bl w:val="nil"/>
                  </w:tcBorders>
                  <w:vAlign w:val="center"/>
                </w:tcPr>
                <w:p>
                  <w:pPr>
                    <w:snapToGrid w:val="0"/>
                    <w:jc w:val="center"/>
                    <w:rPr>
                      <w:bCs/>
                      <w:color w:val="auto"/>
                      <w:szCs w:val="21"/>
                    </w:rPr>
                  </w:pPr>
                  <w:r>
                    <w:rPr>
                      <w:rFonts w:hint="eastAsia"/>
                      <w:bCs/>
                      <w:color w:val="auto"/>
                      <w:szCs w:val="21"/>
                    </w:rPr>
                    <w:t>55</w:t>
                  </w:r>
                </w:p>
              </w:tc>
              <w:tc>
                <w:tcPr>
                  <w:tcW w:w="709" w:type="pct"/>
                  <w:tcBorders>
                    <w:tl2br w:val="nil"/>
                    <w:tr2bl w:val="nil"/>
                  </w:tcBorders>
                  <w:vAlign w:val="center"/>
                </w:tcPr>
                <w:p>
                  <w:pPr>
                    <w:snapToGrid w:val="0"/>
                    <w:jc w:val="center"/>
                    <w:rPr>
                      <w:bCs/>
                      <w:color w:val="auto"/>
                      <w:szCs w:val="21"/>
                    </w:rPr>
                  </w:pPr>
                  <w:r>
                    <w:rPr>
                      <w:rFonts w:hint="eastAsia"/>
                      <w:bCs/>
                      <w:color w:val="auto"/>
                      <w:szCs w:val="21"/>
                    </w:rPr>
                    <w:t>45</w:t>
                  </w:r>
                </w:p>
              </w:tc>
              <w:tc>
                <w:tcPr>
                  <w:tcW w:w="1876" w:type="pct"/>
                  <w:vMerge w:val="restart"/>
                  <w:tcBorders>
                    <w:tl2br w:val="nil"/>
                    <w:tr2bl w:val="nil"/>
                  </w:tcBorders>
                  <w:vAlign w:val="center"/>
                </w:tcPr>
                <w:p>
                  <w:pPr>
                    <w:snapToGrid w:val="0"/>
                    <w:jc w:val="left"/>
                    <w:rPr>
                      <w:bCs/>
                      <w:color w:val="auto"/>
                      <w:szCs w:val="21"/>
                    </w:rPr>
                  </w:pPr>
                  <w:r>
                    <w:rPr>
                      <w:bCs/>
                      <w:color w:val="auto"/>
                      <w:szCs w:val="21"/>
                      <w:lang w:bidi="ar"/>
                    </w:rPr>
                    <w:t>《工业企业厂界环境噪声排放标准》（GB12348-2008）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108" w:type="dxa"/>
                  <w:bottom w:w="0" w:type="dxa"/>
                  <w:right w:w="108" w:type="dxa"/>
                </w:tblCellMar>
              </w:tblPrEx>
              <w:trPr>
                <w:cantSplit/>
                <w:trHeight w:val="403" w:hRule="atLeast"/>
              </w:trPr>
              <w:tc>
                <w:tcPr>
                  <w:tcW w:w="554" w:type="pct"/>
                  <w:tcBorders>
                    <w:tl2br w:val="nil"/>
                    <w:tr2bl w:val="nil"/>
                  </w:tcBorders>
                  <w:vAlign w:val="center"/>
                </w:tcPr>
                <w:p>
                  <w:pPr>
                    <w:snapToGrid w:val="0"/>
                    <w:jc w:val="center"/>
                    <w:rPr>
                      <w:bCs/>
                      <w:color w:val="auto"/>
                      <w:szCs w:val="21"/>
                    </w:rPr>
                  </w:pPr>
                  <w:r>
                    <w:rPr>
                      <w:rFonts w:hint="eastAsia"/>
                      <w:bCs/>
                      <w:color w:val="auto"/>
                      <w:szCs w:val="21"/>
                    </w:rPr>
                    <w:t>东</w:t>
                  </w:r>
                  <w:r>
                    <w:rPr>
                      <w:bCs/>
                      <w:color w:val="auto"/>
                      <w:szCs w:val="21"/>
                    </w:rPr>
                    <w:t>厂界</w:t>
                  </w:r>
                </w:p>
              </w:tc>
              <w:tc>
                <w:tcPr>
                  <w:tcW w:w="531" w:type="pct"/>
                  <w:tcBorders>
                    <w:tl2br w:val="nil"/>
                    <w:tr2bl w:val="nil"/>
                  </w:tcBorders>
                  <w:vAlign w:val="center"/>
                </w:tcPr>
                <w:p>
                  <w:pPr>
                    <w:snapToGrid w:val="0"/>
                    <w:jc w:val="center"/>
                    <w:rPr>
                      <w:bCs/>
                      <w:color w:val="auto"/>
                      <w:szCs w:val="21"/>
                    </w:rPr>
                  </w:pPr>
                  <w:r>
                    <w:rPr>
                      <w:rFonts w:hint="eastAsia"/>
                      <w:bCs/>
                      <w:color w:val="auto"/>
                      <w:szCs w:val="21"/>
                    </w:rPr>
                    <w:t>4类</w:t>
                  </w:r>
                </w:p>
              </w:tc>
              <w:tc>
                <w:tcPr>
                  <w:tcW w:w="709" w:type="pct"/>
                  <w:tcBorders>
                    <w:tl2br w:val="nil"/>
                    <w:tr2bl w:val="nil"/>
                  </w:tcBorders>
                  <w:vAlign w:val="center"/>
                </w:tcPr>
                <w:p>
                  <w:pPr>
                    <w:snapToGrid w:val="0"/>
                    <w:jc w:val="center"/>
                    <w:rPr>
                      <w:bCs/>
                      <w:color w:val="auto"/>
                      <w:szCs w:val="21"/>
                      <w:lang w:bidi="ar"/>
                    </w:rPr>
                  </w:pPr>
                  <w:r>
                    <w:rPr>
                      <w:bCs/>
                      <w:color w:val="auto"/>
                      <w:szCs w:val="21"/>
                      <w:lang w:bidi="ar"/>
                    </w:rPr>
                    <w:t>dB（A）</w:t>
                  </w:r>
                </w:p>
              </w:tc>
              <w:tc>
                <w:tcPr>
                  <w:tcW w:w="621" w:type="pct"/>
                  <w:tcBorders>
                    <w:tl2br w:val="nil"/>
                    <w:tr2bl w:val="nil"/>
                  </w:tcBorders>
                  <w:vAlign w:val="center"/>
                </w:tcPr>
                <w:p>
                  <w:pPr>
                    <w:snapToGrid w:val="0"/>
                    <w:jc w:val="center"/>
                    <w:rPr>
                      <w:bCs/>
                      <w:color w:val="auto"/>
                      <w:szCs w:val="21"/>
                    </w:rPr>
                  </w:pPr>
                  <w:r>
                    <w:rPr>
                      <w:rFonts w:hint="eastAsia"/>
                      <w:bCs/>
                      <w:color w:val="auto"/>
                      <w:szCs w:val="21"/>
                    </w:rPr>
                    <w:t>70</w:t>
                  </w:r>
                </w:p>
              </w:tc>
              <w:tc>
                <w:tcPr>
                  <w:tcW w:w="709" w:type="pct"/>
                  <w:tcBorders>
                    <w:tl2br w:val="nil"/>
                    <w:tr2bl w:val="nil"/>
                  </w:tcBorders>
                  <w:vAlign w:val="center"/>
                </w:tcPr>
                <w:p>
                  <w:pPr>
                    <w:snapToGrid w:val="0"/>
                    <w:jc w:val="center"/>
                    <w:rPr>
                      <w:bCs/>
                      <w:color w:val="auto"/>
                      <w:szCs w:val="21"/>
                    </w:rPr>
                  </w:pPr>
                  <w:r>
                    <w:rPr>
                      <w:rFonts w:hint="eastAsia"/>
                      <w:bCs/>
                      <w:color w:val="auto"/>
                      <w:szCs w:val="21"/>
                    </w:rPr>
                    <w:t>55</w:t>
                  </w:r>
                </w:p>
              </w:tc>
              <w:tc>
                <w:tcPr>
                  <w:tcW w:w="1876" w:type="pct"/>
                  <w:vMerge w:val="continue"/>
                  <w:tcBorders>
                    <w:tl2br w:val="nil"/>
                    <w:tr2bl w:val="nil"/>
                  </w:tcBorders>
                  <w:vAlign w:val="center"/>
                </w:tcPr>
                <w:p>
                  <w:pPr>
                    <w:snapToGrid w:val="0"/>
                    <w:jc w:val="left"/>
                    <w:rPr>
                      <w:bCs/>
                      <w:color w:val="auto"/>
                      <w:szCs w:val="21"/>
                      <w:lang w:bidi="ar"/>
                    </w:rPr>
                  </w:pPr>
                </w:p>
              </w:tc>
            </w:tr>
          </w:tbl>
          <w:p>
            <w:pPr>
              <w:adjustRightInd w:val="0"/>
              <w:snapToGrid w:val="0"/>
              <w:spacing w:before="120" w:beforeLines="50" w:line="360" w:lineRule="auto"/>
              <w:ind w:firstLine="482" w:firstLineChars="200"/>
              <w:rPr>
                <w:b/>
                <w:bCs/>
                <w:color w:val="auto"/>
                <w:sz w:val="24"/>
                <w:lang w:bidi="ar"/>
              </w:rPr>
            </w:pPr>
            <w:r>
              <w:rPr>
                <w:b/>
                <w:bCs/>
                <w:color w:val="auto"/>
                <w:sz w:val="24"/>
                <w:lang w:bidi="ar"/>
              </w:rPr>
              <w:t>四、固体废物排放标准：</w:t>
            </w:r>
          </w:p>
          <w:p>
            <w:pPr>
              <w:tabs>
                <w:tab w:val="left" w:pos="0"/>
              </w:tabs>
              <w:spacing w:line="360" w:lineRule="auto"/>
              <w:ind w:firstLine="480" w:firstLineChars="200"/>
              <w:rPr>
                <w:color w:val="auto"/>
                <w:sz w:val="24"/>
                <w:lang w:bidi="ar"/>
              </w:rPr>
            </w:pPr>
            <w:r>
              <w:rPr>
                <w:rFonts w:hint="eastAsia"/>
                <w:color w:val="auto"/>
                <w:sz w:val="24"/>
                <w:lang w:bidi="ar"/>
              </w:rPr>
              <w:t>一般固体废物执行《一般工业固体废物贮存和填埋污染控制标准》（GB18599-2020）中有关要求；医疗废物执行《医疗废物处理处置污染控制标准》（GB39707-2020）；危险废物执行《危险废物贮存污染控制标准》（</w:t>
            </w:r>
            <w:r>
              <w:rPr>
                <w:color w:val="auto"/>
                <w:sz w:val="24"/>
                <w:lang w:bidi="ar"/>
              </w:rPr>
              <w:t>GB18597-20</w:t>
            </w:r>
            <w:r>
              <w:rPr>
                <w:rFonts w:hint="eastAsia"/>
                <w:color w:val="auto"/>
                <w:sz w:val="24"/>
                <w:lang w:bidi="ar"/>
              </w:rPr>
              <w:t>23）中相关要求</w:t>
            </w:r>
            <w:r>
              <w:rPr>
                <w:color w:val="auto"/>
                <w:sz w:val="24"/>
                <w:lang w:bidi="ar"/>
              </w:rPr>
              <w:t>；污泥执行《医疗机构水污染物排放标准》（GB18466-2005）中医疗机构污泥控制标准。</w:t>
            </w:r>
          </w:p>
          <w:p>
            <w:pPr>
              <w:pStyle w:val="15"/>
              <w:rPr>
                <w:color w:val="auto"/>
              </w:rPr>
            </w:pPr>
            <w:r>
              <w:rPr>
                <w:rFonts w:hint="eastAsia"/>
                <w:color w:val="auto"/>
              </w:rPr>
              <w:t>表</w:t>
            </w:r>
            <w:r>
              <w:rPr>
                <w:color w:val="auto"/>
              </w:rPr>
              <w:t>3-</w:t>
            </w:r>
            <w:r>
              <w:rPr>
                <w:rFonts w:hint="eastAsia"/>
                <w:color w:val="auto"/>
              </w:rPr>
              <w:t>7  医疗机构污泥控制标准</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1747"/>
              <w:gridCol w:w="964"/>
              <w:gridCol w:w="908"/>
              <w:gridCol w:w="722"/>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202" w:type="pct"/>
                  <w:tcBorders>
                    <w:top w:val="single" w:color="auto" w:sz="4" w:space="0"/>
                    <w:left w:val="single" w:color="auto" w:sz="4" w:space="0"/>
                    <w:bottom w:val="single" w:color="auto" w:sz="4" w:space="0"/>
                    <w:right w:val="single" w:color="auto" w:sz="4" w:space="0"/>
                  </w:tcBorders>
                  <w:vAlign w:val="center"/>
                </w:tcPr>
                <w:p>
                  <w:pPr>
                    <w:snapToGrid w:val="0"/>
                    <w:jc w:val="center"/>
                    <w:rPr>
                      <w:bCs/>
                      <w:color w:val="auto"/>
                      <w:szCs w:val="21"/>
                      <w:lang w:bidi="ar"/>
                    </w:rPr>
                  </w:pPr>
                  <w:r>
                    <w:rPr>
                      <w:bCs/>
                      <w:color w:val="auto"/>
                      <w:szCs w:val="21"/>
                      <w:lang w:bidi="ar"/>
                    </w:rPr>
                    <w:t>医疗机构类别</w:t>
                  </w:r>
                </w:p>
              </w:tc>
              <w:tc>
                <w:tcPr>
                  <w:tcW w:w="1093" w:type="pct"/>
                  <w:tcBorders>
                    <w:top w:val="single" w:color="auto" w:sz="4" w:space="0"/>
                    <w:left w:val="nil"/>
                    <w:bottom w:val="single" w:color="auto" w:sz="4" w:space="0"/>
                    <w:right w:val="single" w:color="auto" w:sz="4" w:space="0"/>
                  </w:tcBorders>
                  <w:vAlign w:val="center"/>
                </w:tcPr>
                <w:p>
                  <w:pPr>
                    <w:snapToGrid w:val="0"/>
                    <w:jc w:val="center"/>
                    <w:rPr>
                      <w:bCs/>
                      <w:color w:val="auto"/>
                      <w:szCs w:val="21"/>
                      <w:lang w:bidi="ar"/>
                    </w:rPr>
                  </w:pPr>
                  <w:r>
                    <w:rPr>
                      <w:bCs/>
                      <w:color w:val="auto"/>
                      <w:szCs w:val="21"/>
                      <w:lang w:bidi="ar"/>
                    </w:rPr>
                    <w:t>粪大肠菌群数（MPN/g）</w:t>
                  </w:r>
                </w:p>
              </w:tc>
              <w:tc>
                <w:tcPr>
                  <w:tcW w:w="603" w:type="pct"/>
                  <w:tcBorders>
                    <w:top w:val="single" w:color="auto" w:sz="4" w:space="0"/>
                    <w:left w:val="nil"/>
                    <w:bottom w:val="single" w:color="auto" w:sz="4" w:space="0"/>
                    <w:right w:val="single" w:color="auto" w:sz="4" w:space="0"/>
                  </w:tcBorders>
                  <w:vAlign w:val="center"/>
                </w:tcPr>
                <w:p>
                  <w:pPr>
                    <w:snapToGrid w:val="0"/>
                    <w:jc w:val="center"/>
                    <w:outlineLvl w:val="1"/>
                    <w:rPr>
                      <w:bCs/>
                      <w:color w:val="auto"/>
                      <w:szCs w:val="21"/>
                      <w:lang w:bidi="ar"/>
                    </w:rPr>
                  </w:pPr>
                  <w:r>
                    <w:rPr>
                      <w:bCs/>
                      <w:color w:val="auto"/>
                      <w:szCs w:val="21"/>
                      <w:lang w:bidi="ar"/>
                    </w:rPr>
                    <w:t>肠道致病菌</w:t>
                  </w:r>
                </w:p>
              </w:tc>
              <w:tc>
                <w:tcPr>
                  <w:tcW w:w="568" w:type="pct"/>
                  <w:tcBorders>
                    <w:top w:val="single" w:color="auto" w:sz="4" w:space="0"/>
                    <w:left w:val="nil"/>
                    <w:bottom w:val="single" w:color="auto" w:sz="4" w:space="0"/>
                    <w:right w:val="single" w:color="auto" w:sz="4" w:space="0"/>
                  </w:tcBorders>
                  <w:vAlign w:val="center"/>
                </w:tcPr>
                <w:p>
                  <w:pPr>
                    <w:snapToGrid w:val="0"/>
                    <w:jc w:val="center"/>
                    <w:outlineLvl w:val="1"/>
                    <w:rPr>
                      <w:bCs/>
                      <w:color w:val="auto"/>
                      <w:szCs w:val="21"/>
                      <w:lang w:bidi="ar"/>
                    </w:rPr>
                  </w:pPr>
                  <w:r>
                    <w:rPr>
                      <w:bCs/>
                      <w:color w:val="auto"/>
                      <w:szCs w:val="21"/>
                      <w:lang w:bidi="ar"/>
                    </w:rPr>
                    <w:t>肠道病毒</w:t>
                  </w:r>
                </w:p>
              </w:tc>
              <w:tc>
                <w:tcPr>
                  <w:tcW w:w="452" w:type="pct"/>
                  <w:tcBorders>
                    <w:top w:val="single" w:color="auto" w:sz="4" w:space="0"/>
                    <w:left w:val="nil"/>
                    <w:bottom w:val="single" w:color="auto" w:sz="4" w:space="0"/>
                    <w:right w:val="single" w:color="auto" w:sz="4" w:space="0"/>
                  </w:tcBorders>
                  <w:vAlign w:val="center"/>
                </w:tcPr>
                <w:p>
                  <w:pPr>
                    <w:snapToGrid w:val="0"/>
                    <w:jc w:val="center"/>
                    <w:rPr>
                      <w:bCs/>
                      <w:color w:val="auto"/>
                      <w:szCs w:val="21"/>
                      <w:lang w:bidi="ar"/>
                    </w:rPr>
                  </w:pPr>
                  <w:r>
                    <w:rPr>
                      <w:bCs/>
                      <w:color w:val="auto"/>
                      <w:szCs w:val="21"/>
                      <w:lang w:bidi="ar"/>
                    </w:rPr>
                    <w:t>结核杆菌</w:t>
                  </w:r>
                </w:p>
              </w:tc>
              <w:tc>
                <w:tcPr>
                  <w:tcW w:w="1082" w:type="pct"/>
                  <w:tcBorders>
                    <w:top w:val="single" w:color="auto" w:sz="4" w:space="0"/>
                    <w:left w:val="nil"/>
                    <w:bottom w:val="single" w:color="auto" w:sz="4" w:space="0"/>
                    <w:right w:val="single" w:color="auto" w:sz="4" w:space="0"/>
                  </w:tcBorders>
                  <w:vAlign w:val="center"/>
                </w:tcPr>
                <w:p>
                  <w:pPr>
                    <w:snapToGrid w:val="0"/>
                    <w:jc w:val="center"/>
                    <w:rPr>
                      <w:bCs/>
                      <w:color w:val="auto"/>
                      <w:szCs w:val="21"/>
                      <w:lang w:bidi="ar"/>
                    </w:rPr>
                  </w:pPr>
                  <w:r>
                    <w:rPr>
                      <w:bCs/>
                      <w:color w:val="auto"/>
                      <w:szCs w:val="21"/>
                      <w:lang w:bidi="ar"/>
                    </w:rPr>
                    <w:t>蛔虫卵死亡率</w:t>
                  </w:r>
                  <w:r>
                    <w:rPr>
                      <w:rFonts w:hint="eastAsia"/>
                      <w:bCs/>
                      <w:color w:val="auto"/>
                      <w:szCs w:val="21"/>
                      <w:lang w:bidi="ar"/>
                    </w:rPr>
                    <w:t>(</w:t>
                  </w:r>
                  <w:r>
                    <w:rPr>
                      <w:bCs/>
                      <w:color w:val="auto"/>
                      <w:szCs w:val="21"/>
                      <w:lang w:bidi="ar"/>
                    </w:rPr>
                    <w:t>%</w:t>
                  </w:r>
                  <w:r>
                    <w:rPr>
                      <w:rFonts w:hint="eastAsia"/>
                      <w:bCs/>
                      <w:color w:val="auto"/>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pct"/>
                  <w:tcBorders>
                    <w:top w:val="single" w:color="auto" w:sz="4" w:space="0"/>
                    <w:left w:val="single" w:color="auto" w:sz="4" w:space="0"/>
                    <w:bottom w:val="single" w:color="auto" w:sz="4" w:space="0"/>
                    <w:right w:val="single" w:color="auto" w:sz="4" w:space="0"/>
                  </w:tcBorders>
                  <w:vAlign w:val="center"/>
                </w:tcPr>
                <w:p>
                  <w:pPr>
                    <w:snapToGrid w:val="0"/>
                    <w:jc w:val="center"/>
                    <w:rPr>
                      <w:bCs/>
                      <w:color w:val="auto"/>
                      <w:szCs w:val="21"/>
                      <w:lang w:bidi="ar"/>
                    </w:rPr>
                  </w:pPr>
                  <w:r>
                    <w:rPr>
                      <w:bCs/>
                      <w:color w:val="auto"/>
                      <w:szCs w:val="21"/>
                      <w:lang w:bidi="ar"/>
                    </w:rPr>
                    <w:t>综合医疗机构和其他医疗机构</w:t>
                  </w:r>
                </w:p>
              </w:tc>
              <w:tc>
                <w:tcPr>
                  <w:tcW w:w="1093" w:type="pct"/>
                  <w:tcBorders>
                    <w:top w:val="single" w:color="auto" w:sz="4" w:space="0"/>
                    <w:left w:val="nil"/>
                    <w:bottom w:val="single" w:color="auto" w:sz="4" w:space="0"/>
                    <w:right w:val="single" w:color="auto" w:sz="4" w:space="0"/>
                  </w:tcBorders>
                  <w:vAlign w:val="center"/>
                </w:tcPr>
                <w:p>
                  <w:pPr>
                    <w:snapToGrid w:val="0"/>
                    <w:jc w:val="center"/>
                    <w:rPr>
                      <w:bCs/>
                      <w:color w:val="auto"/>
                      <w:szCs w:val="21"/>
                      <w:lang w:bidi="ar"/>
                    </w:rPr>
                  </w:pPr>
                  <w:r>
                    <w:rPr>
                      <w:bCs/>
                      <w:color w:val="auto"/>
                      <w:szCs w:val="21"/>
                      <w:lang w:bidi="ar"/>
                    </w:rPr>
                    <w:t>≤100</w:t>
                  </w:r>
                </w:p>
              </w:tc>
              <w:tc>
                <w:tcPr>
                  <w:tcW w:w="603" w:type="pct"/>
                  <w:tcBorders>
                    <w:top w:val="single" w:color="auto" w:sz="4" w:space="0"/>
                    <w:left w:val="nil"/>
                    <w:bottom w:val="single" w:color="auto" w:sz="4" w:space="0"/>
                    <w:right w:val="single" w:color="auto" w:sz="4" w:space="0"/>
                  </w:tcBorders>
                  <w:vAlign w:val="center"/>
                </w:tcPr>
                <w:p>
                  <w:pPr>
                    <w:snapToGrid w:val="0"/>
                    <w:jc w:val="center"/>
                    <w:rPr>
                      <w:bCs/>
                      <w:color w:val="auto"/>
                      <w:szCs w:val="21"/>
                      <w:lang w:bidi="ar"/>
                    </w:rPr>
                  </w:pPr>
                  <w:r>
                    <w:rPr>
                      <w:bCs/>
                      <w:color w:val="auto"/>
                      <w:szCs w:val="21"/>
                      <w:lang w:bidi="ar"/>
                    </w:rPr>
                    <w:t>/</w:t>
                  </w:r>
                </w:p>
              </w:tc>
              <w:tc>
                <w:tcPr>
                  <w:tcW w:w="568" w:type="pct"/>
                  <w:tcBorders>
                    <w:top w:val="single" w:color="auto" w:sz="4" w:space="0"/>
                    <w:left w:val="nil"/>
                    <w:bottom w:val="single" w:color="auto" w:sz="4" w:space="0"/>
                    <w:right w:val="single" w:color="auto" w:sz="4" w:space="0"/>
                  </w:tcBorders>
                  <w:vAlign w:val="center"/>
                </w:tcPr>
                <w:p>
                  <w:pPr>
                    <w:snapToGrid w:val="0"/>
                    <w:jc w:val="center"/>
                    <w:rPr>
                      <w:bCs/>
                      <w:color w:val="auto"/>
                      <w:szCs w:val="21"/>
                      <w:lang w:bidi="ar"/>
                    </w:rPr>
                  </w:pPr>
                  <w:r>
                    <w:rPr>
                      <w:bCs/>
                      <w:color w:val="auto"/>
                      <w:szCs w:val="21"/>
                      <w:lang w:bidi="ar"/>
                    </w:rPr>
                    <w:t>/</w:t>
                  </w:r>
                </w:p>
              </w:tc>
              <w:tc>
                <w:tcPr>
                  <w:tcW w:w="452" w:type="pct"/>
                  <w:tcBorders>
                    <w:top w:val="single" w:color="auto" w:sz="4" w:space="0"/>
                    <w:left w:val="nil"/>
                    <w:bottom w:val="single" w:color="auto" w:sz="4" w:space="0"/>
                    <w:right w:val="single" w:color="auto" w:sz="4" w:space="0"/>
                  </w:tcBorders>
                  <w:vAlign w:val="center"/>
                </w:tcPr>
                <w:p>
                  <w:pPr>
                    <w:snapToGrid w:val="0"/>
                    <w:jc w:val="center"/>
                    <w:rPr>
                      <w:bCs/>
                      <w:color w:val="auto"/>
                      <w:szCs w:val="21"/>
                      <w:lang w:bidi="ar"/>
                    </w:rPr>
                  </w:pPr>
                  <w:r>
                    <w:rPr>
                      <w:bCs/>
                      <w:color w:val="auto"/>
                      <w:szCs w:val="21"/>
                      <w:lang w:bidi="ar"/>
                    </w:rPr>
                    <w:t>/</w:t>
                  </w:r>
                </w:p>
              </w:tc>
              <w:tc>
                <w:tcPr>
                  <w:tcW w:w="1082" w:type="pct"/>
                  <w:tcBorders>
                    <w:top w:val="single" w:color="auto" w:sz="4" w:space="0"/>
                    <w:left w:val="nil"/>
                    <w:bottom w:val="single" w:color="auto" w:sz="4" w:space="0"/>
                    <w:right w:val="single" w:color="auto" w:sz="4" w:space="0"/>
                  </w:tcBorders>
                  <w:vAlign w:val="center"/>
                </w:tcPr>
                <w:p>
                  <w:pPr>
                    <w:snapToGrid w:val="0"/>
                    <w:jc w:val="center"/>
                    <w:rPr>
                      <w:bCs/>
                      <w:color w:val="auto"/>
                      <w:szCs w:val="21"/>
                      <w:lang w:bidi="ar"/>
                    </w:rPr>
                  </w:pPr>
                  <w:r>
                    <w:rPr>
                      <w:bCs/>
                      <w:color w:val="auto"/>
                      <w:szCs w:val="21"/>
                      <w:lang w:bidi="ar"/>
                    </w:rPr>
                    <w:t>＞95</w:t>
                  </w:r>
                </w:p>
              </w:tc>
            </w:tr>
          </w:tbl>
          <w:p>
            <w:pPr>
              <w:rPr>
                <w:color w:val="auto"/>
                <w:kern w:val="0"/>
                <w:sz w:val="24"/>
              </w:rPr>
            </w:pPr>
            <w:r>
              <w:rPr>
                <w:rFonts w:hint="eastAsia"/>
                <w:color w:val="auto"/>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7" w:hRule="atLeast"/>
          <w:jc w:val="center"/>
        </w:trPr>
        <w:tc>
          <w:tcPr>
            <w:tcW w:w="800" w:type="dxa"/>
            <w:vAlign w:val="center"/>
          </w:tcPr>
          <w:p>
            <w:pPr>
              <w:adjustRightInd w:val="0"/>
              <w:snapToGrid w:val="0"/>
              <w:rPr>
                <w:color w:val="auto"/>
                <w:kern w:val="0"/>
                <w:sz w:val="24"/>
              </w:rPr>
            </w:pPr>
            <w:r>
              <w:rPr>
                <w:color w:val="auto"/>
                <w:kern w:val="0"/>
                <w:sz w:val="24"/>
              </w:rPr>
              <w:t>总量</w:t>
            </w:r>
          </w:p>
          <w:p>
            <w:pPr>
              <w:adjustRightInd w:val="0"/>
              <w:snapToGrid w:val="0"/>
              <w:rPr>
                <w:color w:val="auto"/>
                <w:kern w:val="0"/>
                <w:sz w:val="24"/>
              </w:rPr>
            </w:pPr>
            <w:r>
              <w:rPr>
                <w:color w:val="auto"/>
                <w:kern w:val="0"/>
                <w:sz w:val="24"/>
              </w:rPr>
              <w:t>控制</w:t>
            </w:r>
          </w:p>
          <w:p>
            <w:pPr>
              <w:adjustRightInd w:val="0"/>
              <w:snapToGrid w:val="0"/>
              <w:rPr>
                <w:color w:val="auto"/>
                <w:kern w:val="0"/>
                <w:sz w:val="24"/>
              </w:rPr>
            </w:pPr>
            <w:r>
              <w:rPr>
                <w:color w:val="auto"/>
                <w:kern w:val="0"/>
                <w:sz w:val="24"/>
              </w:rPr>
              <w:t>指标</w:t>
            </w:r>
          </w:p>
        </w:tc>
        <w:tc>
          <w:tcPr>
            <w:tcW w:w="8164" w:type="dxa"/>
          </w:tcPr>
          <w:p>
            <w:pPr>
              <w:spacing w:before="120" w:beforeLines="50" w:line="360" w:lineRule="auto"/>
              <w:ind w:firstLine="480" w:firstLineChars="200"/>
              <w:rPr>
                <w:color w:val="auto"/>
                <w:sz w:val="24"/>
              </w:rPr>
            </w:pPr>
            <w:r>
              <w:rPr>
                <w:rFonts w:ascii="宋体" w:hAnsi="宋体"/>
                <w:color w:val="auto"/>
                <w:sz w:val="24"/>
              </w:rPr>
              <w:t>根据《</w:t>
            </w:r>
            <w:r>
              <w:rPr>
                <w:rFonts w:hint="eastAsia" w:ascii="宋体" w:hAnsi="宋体"/>
                <w:color w:val="auto"/>
                <w:sz w:val="24"/>
              </w:rPr>
              <w:t>陕西省</w:t>
            </w:r>
            <w:r>
              <w:rPr>
                <w:color w:val="auto"/>
                <w:sz w:val="24"/>
              </w:rPr>
              <w:t>“</w:t>
            </w:r>
            <w:r>
              <w:rPr>
                <w:rFonts w:ascii="宋体" w:hAnsi="宋体"/>
                <w:color w:val="auto"/>
                <w:sz w:val="24"/>
              </w:rPr>
              <w:t>十</w:t>
            </w:r>
            <w:r>
              <w:rPr>
                <w:rFonts w:hint="eastAsia" w:ascii="宋体" w:hAnsi="宋体"/>
                <w:color w:val="auto"/>
                <w:sz w:val="24"/>
              </w:rPr>
              <w:t>四</w:t>
            </w:r>
            <w:r>
              <w:rPr>
                <w:rFonts w:ascii="宋体" w:hAnsi="宋体"/>
                <w:color w:val="auto"/>
                <w:sz w:val="24"/>
              </w:rPr>
              <w:t>五</w:t>
            </w:r>
            <w:r>
              <w:rPr>
                <w:color w:val="auto"/>
                <w:sz w:val="24"/>
              </w:rPr>
              <w:t>”</w:t>
            </w:r>
            <w:r>
              <w:rPr>
                <w:rFonts w:hint="eastAsia" w:ascii="宋体" w:hAnsi="宋体"/>
                <w:color w:val="auto"/>
                <w:sz w:val="24"/>
              </w:rPr>
              <w:t>生态环境保护规划</w:t>
            </w:r>
            <w:r>
              <w:rPr>
                <w:rFonts w:ascii="宋体" w:hAnsi="宋体"/>
                <w:color w:val="auto"/>
                <w:sz w:val="24"/>
              </w:rPr>
              <w:t>》，十</w:t>
            </w:r>
            <w:r>
              <w:rPr>
                <w:rFonts w:hint="eastAsia" w:ascii="宋体" w:hAnsi="宋体"/>
                <w:color w:val="auto"/>
                <w:sz w:val="24"/>
              </w:rPr>
              <w:t>四</w:t>
            </w:r>
            <w:r>
              <w:rPr>
                <w:rFonts w:ascii="宋体" w:hAnsi="宋体"/>
                <w:color w:val="auto"/>
                <w:sz w:val="24"/>
              </w:rPr>
              <w:t>五</w:t>
            </w:r>
            <w:r>
              <w:rPr>
                <w:color w:val="auto"/>
                <w:sz w:val="24"/>
              </w:rPr>
              <w:t>”</w:t>
            </w:r>
            <w:r>
              <w:rPr>
                <w:rFonts w:ascii="宋体" w:hAnsi="宋体"/>
                <w:color w:val="auto"/>
                <w:sz w:val="24"/>
              </w:rPr>
              <w:t>期间对</w:t>
            </w:r>
            <w:r>
              <w:rPr>
                <w:color w:val="auto"/>
                <w:sz w:val="24"/>
              </w:rPr>
              <w:t>COD</w:t>
            </w:r>
            <w:r>
              <w:rPr>
                <w:rFonts w:ascii="宋体" w:hAnsi="宋体"/>
                <w:color w:val="auto"/>
                <w:sz w:val="24"/>
              </w:rPr>
              <w:t>、</w:t>
            </w:r>
            <w:r>
              <w:rPr>
                <w:color w:val="auto"/>
                <w:sz w:val="24"/>
              </w:rPr>
              <w:t>NH</w:t>
            </w:r>
            <w:r>
              <w:rPr>
                <w:color w:val="auto"/>
                <w:sz w:val="24"/>
                <w:vertAlign w:val="subscript"/>
              </w:rPr>
              <w:t>3</w:t>
            </w:r>
            <w:r>
              <w:rPr>
                <w:color w:val="auto"/>
                <w:sz w:val="24"/>
              </w:rPr>
              <w:t>-N</w:t>
            </w:r>
            <w:r>
              <w:rPr>
                <w:rFonts w:ascii="宋体" w:hAnsi="宋体"/>
                <w:color w:val="auto"/>
                <w:sz w:val="24"/>
              </w:rPr>
              <w:t>、</w:t>
            </w:r>
            <w:r>
              <w:rPr>
                <w:color w:val="auto"/>
                <w:sz w:val="24"/>
              </w:rPr>
              <w:t>NOx</w:t>
            </w:r>
            <w:r>
              <w:rPr>
                <w:rFonts w:hint="eastAsia" w:ascii="宋体" w:hAnsi="宋体"/>
                <w:color w:val="auto"/>
                <w:sz w:val="24"/>
              </w:rPr>
              <w:t>、</w:t>
            </w:r>
            <w:r>
              <w:rPr>
                <w:rFonts w:ascii="宋体" w:hAnsi="宋体"/>
                <w:color w:val="auto"/>
                <w:sz w:val="24"/>
              </w:rPr>
              <w:t>挥发性有机物（</w:t>
            </w:r>
            <w:r>
              <w:rPr>
                <w:color w:val="auto"/>
                <w:sz w:val="24"/>
              </w:rPr>
              <w:t>VOCs</w:t>
            </w:r>
            <w:r>
              <w:rPr>
                <w:rFonts w:ascii="宋体" w:hAnsi="宋体"/>
                <w:color w:val="auto"/>
                <w:sz w:val="24"/>
              </w:rPr>
              <w:t>）</w:t>
            </w:r>
            <w:r>
              <w:rPr>
                <w:color w:val="auto"/>
                <w:sz w:val="24"/>
              </w:rPr>
              <w:t>这4种污染物实行排放总量控制。</w:t>
            </w:r>
          </w:p>
          <w:p>
            <w:pPr>
              <w:pStyle w:val="12"/>
              <w:rPr>
                <w:color w:val="auto"/>
              </w:rPr>
            </w:pPr>
            <w:r>
              <w:rPr>
                <w:rFonts w:hint="eastAsia"/>
                <w:color w:val="auto"/>
              </w:rPr>
              <w:t>本项目医疗废水及生活污水经一体化污水处理设施处理后进入国色天香化粪池，后经市政污水管网排入西安市第九污水处理厂</w:t>
            </w:r>
            <w:r>
              <w:rPr>
                <w:color w:val="auto"/>
              </w:rPr>
              <w:t>。本项目废水纳入市政管网和污水处理厂，因此COD、氨氮不再另行许可总量控制指标。</w:t>
            </w: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before="120" w:beforeLines="50" w:line="360" w:lineRule="auto"/>
              <w:rPr>
                <w:color w:val="auto"/>
                <w:kern w:val="0"/>
                <w:sz w:val="24"/>
              </w:rPr>
            </w:pPr>
          </w:p>
        </w:tc>
      </w:tr>
    </w:tbl>
    <w:p>
      <w:pPr>
        <w:jc w:val="center"/>
        <w:outlineLvl w:val="0"/>
        <w:rPr>
          <w:rFonts w:eastAsia="黑体"/>
          <w:snapToGrid w:val="0"/>
          <w:color w:val="auto"/>
          <w:sz w:val="30"/>
          <w:szCs w:val="30"/>
        </w:rPr>
      </w:pPr>
      <w:r>
        <w:rPr>
          <w:rFonts w:eastAsia="黑体"/>
          <w:snapToGrid w:val="0"/>
          <w:color w:val="auto"/>
          <w:sz w:val="36"/>
          <w:szCs w:val="36"/>
        </w:rPr>
        <w:br w:type="page"/>
      </w:r>
      <w:bookmarkStart w:id="8" w:name="_Toc117495861"/>
      <w:r>
        <w:rPr>
          <w:rFonts w:eastAsia="黑体"/>
          <w:snapToGrid w:val="0"/>
          <w:color w:val="auto"/>
          <w:sz w:val="30"/>
          <w:szCs w:val="30"/>
        </w:rPr>
        <w:t>四、主要环境影响和保护措施</w:t>
      </w:r>
      <w:bookmarkEnd w:id="8"/>
    </w:p>
    <w:tbl>
      <w:tblPr>
        <w:tblStyle w:val="6"/>
        <w:tblW w:w="900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9"/>
        <w:gridCol w:w="82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99" w:type="dxa"/>
            <w:tcMar>
              <w:left w:w="28" w:type="dxa"/>
              <w:right w:w="28" w:type="dxa"/>
            </w:tcMar>
            <w:vAlign w:val="center"/>
          </w:tcPr>
          <w:p>
            <w:pPr>
              <w:adjustRightInd w:val="0"/>
              <w:snapToGrid w:val="0"/>
              <w:jc w:val="center"/>
              <w:rPr>
                <w:color w:val="auto"/>
              </w:rPr>
            </w:pPr>
            <w:r>
              <w:rPr>
                <w:color w:val="auto"/>
              </w:rPr>
              <w:t>施工</w:t>
            </w:r>
          </w:p>
          <w:p>
            <w:pPr>
              <w:adjustRightInd w:val="0"/>
              <w:snapToGrid w:val="0"/>
              <w:jc w:val="center"/>
              <w:rPr>
                <w:color w:val="auto"/>
              </w:rPr>
            </w:pPr>
            <w:r>
              <w:rPr>
                <w:color w:val="auto"/>
              </w:rPr>
              <w:t>期环</w:t>
            </w:r>
          </w:p>
          <w:p>
            <w:pPr>
              <w:adjustRightInd w:val="0"/>
              <w:snapToGrid w:val="0"/>
              <w:jc w:val="center"/>
              <w:rPr>
                <w:color w:val="auto"/>
              </w:rPr>
            </w:pPr>
            <w:r>
              <w:rPr>
                <w:color w:val="auto"/>
              </w:rPr>
              <w:t>境保</w:t>
            </w:r>
          </w:p>
          <w:p>
            <w:pPr>
              <w:adjustRightInd w:val="0"/>
              <w:snapToGrid w:val="0"/>
              <w:jc w:val="center"/>
              <w:rPr>
                <w:color w:val="auto"/>
              </w:rPr>
            </w:pPr>
            <w:r>
              <w:rPr>
                <w:color w:val="auto"/>
              </w:rPr>
              <w:t>护措</w:t>
            </w:r>
          </w:p>
          <w:p>
            <w:pPr>
              <w:adjustRightInd w:val="0"/>
              <w:snapToGrid w:val="0"/>
              <w:jc w:val="center"/>
              <w:rPr>
                <w:bCs/>
                <w:color w:val="auto"/>
              </w:rPr>
            </w:pPr>
            <w:r>
              <w:rPr>
                <w:color w:val="auto"/>
              </w:rPr>
              <w:t>施</w:t>
            </w:r>
          </w:p>
        </w:tc>
        <w:tc>
          <w:tcPr>
            <w:tcW w:w="8203" w:type="dxa"/>
            <w:vAlign w:val="center"/>
          </w:tcPr>
          <w:p>
            <w:pPr>
              <w:spacing w:before="120" w:beforeLines="50" w:line="360" w:lineRule="auto"/>
              <w:ind w:firstLine="480" w:firstLineChars="200"/>
              <w:rPr>
                <w:rFonts w:ascii="宋体" w:hAnsi="宋体" w:cs="宋体"/>
                <w:color w:val="auto"/>
                <w:sz w:val="24"/>
              </w:rPr>
            </w:pPr>
            <w:r>
              <w:rPr>
                <w:rFonts w:hAnsi="宋体"/>
                <w:color w:val="auto"/>
                <w:sz w:val="24"/>
              </w:rPr>
              <w:t>本</w:t>
            </w:r>
            <w:r>
              <w:rPr>
                <w:rFonts w:ascii="宋体" w:hAnsi="宋体" w:cs="宋体"/>
                <w:color w:val="auto"/>
                <w:sz w:val="24"/>
              </w:rPr>
              <w:t>项目的施工内容主要是现有商用房内部建筑的局部改造、</w:t>
            </w:r>
            <w:r>
              <w:rPr>
                <w:rFonts w:hint="eastAsia" w:ascii="宋体" w:hAnsi="宋体" w:cs="宋体"/>
                <w:color w:val="auto"/>
                <w:sz w:val="24"/>
              </w:rPr>
              <w:t>房屋装修、</w:t>
            </w:r>
            <w:r>
              <w:rPr>
                <w:rFonts w:ascii="宋体" w:hAnsi="宋体" w:cs="宋体"/>
                <w:color w:val="auto"/>
                <w:sz w:val="24"/>
              </w:rPr>
              <w:t>设备安装</w:t>
            </w:r>
            <w:r>
              <w:rPr>
                <w:rFonts w:hint="eastAsia" w:ascii="宋体" w:hAnsi="宋体" w:cs="宋体"/>
                <w:color w:val="auto"/>
                <w:sz w:val="24"/>
              </w:rPr>
              <w:t>扩建一体化污水处理设备等，施工期产生的环境影响因素主要为施工期间产生的噪声、施工废气、施工生活污水、施工建筑垃圾和生活垃圾。</w:t>
            </w:r>
          </w:p>
          <w:p>
            <w:pPr>
              <w:spacing w:line="360" w:lineRule="auto"/>
              <w:ind w:firstLine="482" w:firstLineChars="200"/>
              <w:rPr>
                <w:rFonts w:hAnsi="宋体"/>
                <w:b/>
                <w:bCs/>
                <w:color w:val="auto"/>
                <w:sz w:val="24"/>
              </w:rPr>
            </w:pPr>
            <w:r>
              <w:rPr>
                <w:rFonts w:hint="eastAsia" w:hAnsi="宋体"/>
                <w:b/>
                <w:bCs/>
                <w:color w:val="auto"/>
                <w:sz w:val="24"/>
              </w:rPr>
              <w:t>一、</w:t>
            </w:r>
            <w:r>
              <w:rPr>
                <w:rFonts w:hAnsi="宋体"/>
                <w:b/>
                <w:bCs/>
                <w:color w:val="auto"/>
                <w:sz w:val="24"/>
              </w:rPr>
              <w:t>施工废气</w:t>
            </w:r>
          </w:p>
          <w:p>
            <w:pPr>
              <w:spacing w:line="360" w:lineRule="auto"/>
              <w:ind w:firstLine="480" w:firstLineChars="200"/>
              <w:rPr>
                <w:color w:val="auto"/>
                <w:sz w:val="24"/>
              </w:rPr>
            </w:pPr>
            <w:r>
              <w:rPr>
                <w:color w:val="auto"/>
                <w:sz w:val="24"/>
              </w:rPr>
              <w:t>1、装修废气</w:t>
            </w:r>
          </w:p>
          <w:p>
            <w:pPr>
              <w:spacing w:line="360" w:lineRule="auto"/>
              <w:ind w:firstLine="480" w:firstLineChars="200"/>
              <w:rPr>
                <w:color w:val="auto"/>
                <w:sz w:val="24"/>
              </w:rPr>
            </w:pPr>
            <w:r>
              <w:rPr>
                <w:rFonts w:hAnsi="宋体"/>
                <w:color w:val="auto"/>
                <w:sz w:val="24"/>
              </w:rPr>
              <w:t>项目施工过程中在对</w:t>
            </w:r>
            <w:r>
              <w:rPr>
                <w:rFonts w:hint="eastAsia" w:hAnsi="宋体"/>
                <w:color w:val="auto"/>
                <w:sz w:val="24"/>
              </w:rPr>
              <w:t>现有医院部房屋</w:t>
            </w:r>
            <w:r>
              <w:rPr>
                <w:rFonts w:hAnsi="宋体"/>
                <w:color w:val="auto"/>
                <w:sz w:val="24"/>
              </w:rPr>
              <w:t>进行装修</w:t>
            </w:r>
            <w:r>
              <w:rPr>
                <w:rFonts w:hint="eastAsia" w:hAnsi="宋体"/>
                <w:color w:val="auto"/>
                <w:sz w:val="24"/>
              </w:rPr>
              <w:t>，</w:t>
            </w:r>
            <w:r>
              <w:rPr>
                <w:color w:val="auto"/>
                <w:sz w:val="24"/>
              </w:rPr>
              <w:t>装修期间</w:t>
            </w:r>
            <w:r>
              <w:rPr>
                <w:rFonts w:hAnsi="宋体"/>
                <w:color w:val="auto"/>
                <w:sz w:val="24"/>
              </w:rPr>
              <w:t>表面粉刷</w:t>
            </w:r>
            <w:r>
              <w:rPr>
                <w:rFonts w:hint="eastAsia" w:hAnsi="宋体"/>
                <w:color w:val="auto"/>
                <w:sz w:val="24"/>
              </w:rPr>
              <w:t>、</w:t>
            </w:r>
            <w:r>
              <w:rPr>
                <w:rFonts w:hAnsi="宋体"/>
                <w:color w:val="auto"/>
                <w:sz w:val="24"/>
              </w:rPr>
              <w:t>油漆</w:t>
            </w:r>
            <w:r>
              <w:rPr>
                <w:rFonts w:hint="eastAsia"/>
                <w:color w:val="auto"/>
                <w:sz w:val="24"/>
              </w:rPr>
              <w:t>等过程会产生废气</w:t>
            </w:r>
            <w:r>
              <w:rPr>
                <w:color w:val="auto"/>
                <w:sz w:val="24"/>
              </w:rPr>
              <w:t>，由于废气属无组织排放，且使用功能不同装修油漆消耗量和选用的油漆品牌也不一样，加之装修时间也有先后差异，因此该废气的排放对周围环境的影响也较难预测。有油漆废气挥发产生的有机溶剂废气在室内累积并向室外弥散，将对周围环境空气产生一定的不利影响。</w:t>
            </w:r>
          </w:p>
          <w:p>
            <w:pPr>
              <w:spacing w:line="360" w:lineRule="auto"/>
              <w:ind w:firstLine="480" w:firstLineChars="200"/>
              <w:rPr>
                <w:color w:val="auto"/>
                <w:sz w:val="24"/>
              </w:rPr>
            </w:pPr>
            <w:r>
              <w:rPr>
                <w:color w:val="auto"/>
                <w:sz w:val="24"/>
              </w:rPr>
              <w:t>本环评要求装修期间应严格选用环保型油漆，使室内空气中各项污染指标达到《室内空气质量标准》（GB/T18883-2002）及《民用建筑工程室内环境污染控制规范》限值要求，避免对室内环境造成污染。</w:t>
            </w:r>
          </w:p>
          <w:p>
            <w:pPr>
              <w:spacing w:line="360" w:lineRule="auto"/>
              <w:ind w:firstLine="480" w:firstLineChars="200"/>
              <w:rPr>
                <w:color w:val="auto"/>
              </w:rPr>
            </w:pPr>
            <w:r>
              <w:rPr>
                <w:color w:val="auto"/>
                <w:sz w:val="24"/>
              </w:rPr>
              <w:t>2、扬尘</w:t>
            </w:r>
          </w:p>
          <w:p>
            <w:pPr>
              <w:spacing w:line="360" w:lineRule="auto"/>
              <w:ind w:firstLine="480" w:firstLineChars="200"/>
              <w:rPr>
                <w:color w:val="auto"/>
                <w:sz w:val="24"/>
                <w:szCs w:val="20"/>
              </w:rPr>
            </w:pPr>
            <w:r>
              <w:rPr>
                <w:color w:val="auto"/>
                <w:sz w:val="24"/>
                <w:szCs w:val="20"/>
              </w:rPr>
              <w:t>施工扬尘的主要来源有：</w:t>
            </w:r>
          </w:p>
          <w:p>
            <w:pPr>
              <w:spacing w:line="360" w:lineRule="auto"/>
              <w:ind w:firstLine="480" w:firstLineChars="200"/>
              <w:rPr>
                <w:color w:val="auto"/>
                <w:sz w:val="24"/>
                <w:szCs w:val="20"/>
              </w:rPr>
            </w:pPr>
            <w:r>
              <w:rPr>
                <w:rFonts w:hint="eastAsia" w:ascii="宋体" w:hAnsi="宋体" w:cs="宋体"/>
                <w:color w:val="auto"/>
                <w:sz w:val="24"/>
                <w:szCs w:val="20"/>
              </w:rPr>
              <w:t>①</w:t>
            </w:r>
            <w:r>
              <w:rPr>
                <w:color w:val="auto"/>
                <w:sz w:val="24"/>
                <w:szCs w:val="20"/>
              </w:rPr>
              <w:t>装修过程中对墙体、地面处理产生的扬尘；</w:t>
            </w:r>
          </w:p>
          <w:p>
            <w:pPr>
              <w:spacing w:line="360" w:lineRule="auto"/>
              <w:ind w:firstLine="480" w:firstLineChars="200"/>
              <w:rPr>
                <w:color w:val="auto"/>
                <w:sz w:val="24"/>
                <w:szCs w:val="20"/>
              </w:rPr>
            </w:pPr>
            <w:r>
              <w:rPr>
                <w:rFonts w:hint="eastAsia" w:ascii="宋体" w:hAnsi="宋体" w:cs="宋体"/>
                <w:color w:val="auto"/>
                <w:sz w:val="24"/>
                <w:szCs w:val="20"/>
              </w:rPr>
              <w:t>②</w:t>
            </w:r>
            <w:r>
              <w:rPr>
                <w:color w:val="auto"/>
                <w:sz w:val="24"/>
                <w:szCs w:val="20"/>
              </w:rPr>
              <w:t>运输车辆往来产生的扬尘；</w:t>
            </w:r>
          </w:p>
          <w:p>
            <w:pPr>
              <w:spacing w:line="360" w:lineRule="auto"/>
              <w:ind w:firstLine="480" w:firstLineChars="200"/>
              <w:rPr>
                <w:color w:val="auto"/>
              </w:rPr>
            </w:pPr>
            <w:r>
              <w:rPr>
                <w:rFonts w:hint="eastAsia" w:ascii="宋体" w:hAnsi="宋体" w:cs="宋体"/>
                <w:color w:val="auto"/>
                <w:sz w:val="24"/>
                <w:szCs w:val="20"/>
              </w:rPr>
              <w:t>③</w:t>
            </w:r>
            <w:r>
              <w:rPr>
                <w:color w:val="auto"/>
                <w:sz w:val="24"/>
                <w:szCs w:val="20"/>
              </w:rPr>
              <w:t>施工垃圾堆放和清运过程中产生的扬尘；</w:t>
            </w:r>
          </w:p>
          <w:p>
            <w:pPr>
              <w:spacing w:line="360" w:lineRule="auto"/>
              <w:ind w:firstLine="480" w:firstLineChars="200"/>
              <w:rPr>
                <w:color w:val="auto"/>
                <w:sz w:val="24"/>
                <w:szCs w:val="20"/>
              </w:rPr>
            </w:pPr>
            <w:r>
              <w:rPr>
                <w:color w:val="auto"/>
                <w:sz w:val="24"/>
                <w:szCs w:val="20"/>
              </w:rPr>
              <w:t>本项目所在地地处平原地区，大气扩散条件好，扬尘污染范围小。评价要求项目在施工期设置固定的垃圾存放点并及时清运。施工期造成的扬尘污染是短期的、局部的影响，工程竣工后即可消失，故对施工扬尘在采取有效的防治措施后，</w:t>
            </w:r>
            <w:r>
              <w:rPr>
                <w:color w:val="auto"/>
                <w:sz w:val="24"/>
              </w:rPr>
              <w:t>扬尘排放量角度，</w:t>
            </w:r>
            <w:r>
              <w:rPr>
                <w:color w:val="auto"/>
                <w:sz w:val="24"/>
                <w:szCs w:val="20"/>
              </w:rPr>
              <w:t>对周围环境产生的影响较小。</w:t>
            </w:r>
          </w:p>
          <w:p>
            <w:pPr>
              <w:spacing w:line="360" w:lineRule="auto"/>
              <w:ind w:left="420" w:leftChars="200"/>
              <w:rPr>
                <w:rFonts w:hAnsi="宋体"/>
                <w:b/>
                <w:bCs/>
                <w:color w:val="auto"/>
                <w:sz w:val="24"/>
              </w:rPr>
            </w:pPr>
            <w:r>
              <w:rPr>
                <w:rFonts w:hint="eastAsia" w:hAnsi="宋体"/>
                <w:b/>
                <w:bCs/>
                <w:color w:val="auto"/>
                <w:sz w:val="24"/>
              </w:rPr>
              <w:t>二、</w:t>
            </w:r>
            <w:r>
              <w:rPr>
                <w:rFonts w:hAnsi="宋体"/>
                <w:b/>
                <w:bCs/>
                <w:color w:val="auto"/>
                <w:sz w:val="24"/>
              </w:rPr>
              <w:t>施工废水</w:t>
            </w:r>
          </w:p>
          <w:p>
            <w:pPr>
              <w:spacing w:line="360" w:lineRule="auto"/>
              <w:ind w:firstLine="480" w:firstLineChars="200"/>
              <w:rPr>
                <w:rFonts w:hAnsi="宋体"/>
                <w:color w:val="auto"/>
                <w:sz w:val="24"/>
              </w:rPr>
            </w:pPr>
            <w:r>
              <w:rPr>
                <w:rFonts w:hint="eastAsia" w:hAnsi="宋体"/>
                <w:color w:val="auto"/>
                <w:sz w:val="24"/>
              </w:rPr>
              <w:t>项目施工废水主要为施工人员的生活污水。</w:t>
            </w:r>
          </w:p>
          <w:p>
            <w:pPr>
              <w:spacing w:line="360" w:lineRule="auto"/>
              <w:ind w:firstLine="480" w:firstLineChars="200"/>
              <w:rPr>
                <w:rFonts w:hAnsi="宋体"/>
                <w:color w:val="auto"/>
                <w:sz w:val="24"/>
              </w:rPr>
            </w:pPr>
            <w:r>
              <w:rPr>
                <w:rFonts w:hint="eastAsia" w:hAnsi="宋体"/>
                <w:color w:val="auto"/>
                <w:sz w:val="24"/>
              </w:rPr>
              <w:t>项目</w:t>
            </w:r>
            <w:r>
              <w:rPr>
                <w:rFonts w:hAnsi="宋体"/>
                <w:color w:val="auto"/>
                <w:sz w:val="24"/>
              </w:rPr>
              <w:t>施工期短且施工人员较少，施工期生活污水</w:t>
            </w:r>
            <w:r>
              <w:rPr>
                <w:bCs/>
                <w:color w:val="auto"/>
                <w:sz w:val="24"/>
              </w:rPr>
              <w:t>废水中主要污染物为</w:t>
            </w:r>
            <w:r>
              <w:rPr>
                <w:rFonts w:hint="eastAsia"/>
                <w:bCs/>
                <w:color w:val="auto"/>
                <w:sz w:val="24"/>
              </w:rPr>
              <w:t>化学需氧量</w:t>
            </w:r>
            <w:r>
              <w:rPr>
                <w:bCs/>
                <w:color w:val="auto"/>
                <w:sz w:val="24"/>
              </w:rPr>
              <w:t>、</w:t>
            </w:r>
            <w:r>
              <w:rPr>
                <w:rFonts w:hint="eastAsia"/>
                <w:bCs/>
                <w:color w:val="auto"/>
                <w:sz w:val="24"/>
              </w:rPr>
              <w:t>五日生化需氧量</w:t>
            </w:r>
            <w:r>
              <w:rPr>
                <w:bCs/>
                <w:color w:val="auto"/>
                <w:sz w:val="24"/>
              </w:rPr>
              <w:t>、</w:t>
            </w:r>
            <w:r>
              <w:rPr>
                <w:rFonts w:hint="eastAsia"/>
                <w:bCs/>
                <w:color w:val="auto"/>
                <w:sz w:val="24"/>
              </w:rPr>
              <w:t>悬浮物</w:t>
            </w:r>
            <w:r>
              <w:rPr>
                <w:bCs/>
                <w:color w:val="auto"/>
                <w:sz w:val="24"/>
              </w:rPr>
              <w:t>、</w:t>
            </w:r>
            <w:r>
              <w:rPr>
                <w:rFonts w:hint="eastAsia"/>
                <w:bCs/>
                <w:color w:val="auto"/>
                <w:sz w:val="24"/>
              </w:rPr>
              <w:t>氨氮</w:t>
            </w:r>
            <w:r>
              <w:rPr>
                <w:bCs/>
                <w:color w:val="auto"/>
                <w:sz w:val="24"/>
              </w:rPr>
              <w:t>等</w:t>
            </w:r>
            <w:r>
              <w:rPr>
                <w:rFonts w:hint="eastAsia"/>
                <w:bCs/>
                <w:color w:val="auto"/>
                <w:sz w:val="24"/>
              </w:rPr>
              <w:t>，工人洗手如厕等</w:t>
            </w:r>
            <w:r>
              <w:rPr>
                <w:rFonts w:hAnsi="宋体"/>
                <w:color w:val="auto"/>
                <w:sz w:val="24"/>
              </w:rPr>
              <w:t>依托</w:t>
            </w:r>
            <w:r>
              <w:rPr>
                <w:rFonts w:hint="eastAsia" w:hAnsi="宋体"/>
                <w:color w:val="auto"/>
                <w:sz w:val="24"/>
              </w:rPr>
              <w:t>企业现有</w:t>
            </w:r>
            <w:r>
              <w:rPr>
                <w:rFonts w:hAnsi="宋体"/>
                <w:color w:val="auto"/>
                <w:sz w:val="24"/>
              </w:rPr>
              <w:t>公厕，</w:t>
            </w:r>
            <w:r>
              <w:rPr>
                <w:rFonts w:hint="eastAsia"/>
                <w:bCs/>
                <w:color w:val="auto"/>
                <w:sz w:val="24"/>
              </w:rPr>
              <w:t>废水依托企业现有一体化污水处理设施处理后</w:t>
            </w:r>
            <w:r>
              <w:rPr>
                <w:bCs/>
                <w:color w:val="auto"/>
                <w:sz w:val="24"/>
              </w:rPr>
              <w:t>进入国色天香化粪池，后市政污水管网，最终进入西安市第九污水处理厂</w:t>
            </w:r>
            <w:r>
              <w:rPr>
                <w:rFonts w:hAnsi="宋体"/>
                <w:color w:val="auto"/>
                <w:sz w:val="24"/>
              </w:rPr>
              <w:t>。</w:t>
            </w:r>
          </w:p>
          <w:p>
            <w:pPr>
              <w:spacing w:line="360" w:lineRule="auto"/>
              <w:ind w:left="420" w:leftChars="200"/>
              <w:rPr>
                <w:color w:val="auto"/>
                <w:sz w:val="24"/>
              </w:rPr>
            </w:pPr>
            <w:r>
              <w:rPr>
                <w:rFonts w:hint="eastAsia"/>
                <w:b/>
                <w:bCs/>
                <w:color w:val="auto"/>
                <w:sz w:val="24"/>
              </w:rPr>
              <w:t>三、</w:t>
            </w:r>
            <w:r>
              <w:rPr>
                <w:b/>
                <w:bCs/>
                <w:color w:val="auto"/>
                <w:sz w:val="24"/>
              </w:rPr>
              <w:t>施工期噪声</w:t>
            </w:r>
          </w:p>
          <w:p>
            <w:pPr>
              <w:adjustRightInd w:val="0"/>
              <w:snapToGrid w:val="0"/>
              <w:spacing w:line="360" w:lineRule="auto"/>
              <w:ind w:firstLine="480" w:firstLineChars="200"/>
              <w:rPr>
                <w:bCs/>
                <w:color w:val="auto"/>
                <w:sz w:val="24"/>
              </w:rPr>
            </w:pPr>
            <w:r>
              <w:rPr>
                <w:rFonts w:hint="eastAsia"/>
                <w:bCs/>
                <w:color w:val="auto"/>
                <w:sz w:val="24"/>
              </w:rPr>
              <w:t>①</w:t>
            </w:r>
            <w:r>
              <w:rPr>
                <w:bCs/>
                <w:color w:val="auto"/>
                <w:sz w:val="24"/>
              </w:rPr>
              <w:t>施工期间</w:t>
            </w:r>
            <w:r>
              <w:rPr>
                <w:rFonts w:hint="eastAsia"/>
                <w:bCs/>
                <w:color w:val="auto"/>
                <w:sz w:val="24"/>
              </w:rPr>
              <w:t>应</w:t>
            </w:r>
            <w:r>
              <w:rPr>
                <w:bCs/>
                <w:color w:val="auto"/>
                <w:sz w:val="24"/>
              </w:rPr>
              <w:t>加强管理，严格控制施工时间；根据不同季节合理安排工期，要避开午休时间动用高噪声设备，禁止夜间22</w:t>
            </w:r>
            <w:r>
              <w:rPr>
                <w:rFonts w:hint="eastAsia"/>
                <w:bCs/>
                <w:color w:val="auto"/>
                <w:sz w:val="24"/>
              </w:rPr>
              <w:t>:</w:t>
            </w:r>
            <w:r>
              <w:rPr>
                <w:bCs/>
                <w:color w:val="auto"/>
                <w:sz w:val="24"/>
              </w:rPr>
              <w:t>00～06</w:t>
            </w:r>
            <w:r>
              <w:rPr>
                <w:rFonts w:hint="eastAsia"/>
                <w:bCs/>
                <w:color w:val="auto"/>
                <w:sz w:val="24"/>
              </w:rPr>
              <w:t>:</w:t>
            </w:r>
            <w:r>
              <w:rPr>
                <w:bCs/>
                <w:color w:val="auto"/>
                <w:sz w:val="24"/>
              </w:rPr>
              <w:t>00施工作业，避免扰民。</w:t>
            </w:r>
          </w:p>
          <w:p>
            <w:pPr>
              <w:adjustRightInd w:val="0"/>
              <w:snapToGrid w:val="0"/>
              <w:spacing w:line="360" w:lineRule="auto"/>
              <w:ind w:firstLine="480" w:firstLineChars="200"/>
              <w:rPr>
                <w:bCs/>
                <w:color w:val="auto"/>
                <w:sz w:val="24"/>
              </w:rPr>
            </w:pPr>
            <w:r>
              <w:rPr>
                <w:rFonts w:hint="eastAsia"/>
                <w:bCs/>
                <w:color w:val="auto"/>
                <w:sz w:val="24"/>
              </w:rPr>
              <w:t>②施工设备选型时，在满足施工需要的前提下，尽可能选取噪声低、振动小、能耗小的先进设备。</w:t>
            </w:r>
          </w:p>
          <w:p>
            <w:pPr>
              <w:spacing w:line="360" w:lineRule="auto"/>
              <w:ind w:firstLine="480" w:firstLineChars="200"/>
              <w:rPr>
                <w:rFonts w:hAnsi="宋体"/>
                <w:color w:val="auto"/>
                <w:sz w:val="24"/>
              </w:rPr>
            </w:pPr>
            <w:r>
              <w:rPr>
                <w:rFonts w:hint="eastAsia" w:ascii="宋体" w:hAnsi="宋体" w:cs="宋体"/>
                <w:bCs/>
                <w:color w:val="auto"/>
                <w:sz w:val="24"/>
              </w:rPr>
              <w:t>③</w:t>
            </w:r>
            <w:r>
              <w:rPr>
                <w:rFonts w:hint="eastAsia"/>
                <w:color w:val="auto"/>
                <w:sz w:val="24"/>
              </w:rPr>
              <w:t>项目施工期仅进行装修改造，且在室内，</w:t>
            </w:r>
            <w:r>
              <w:rPr>
                <w:rFonts w:hAnsi="宋体"/>
                <w:color w:val="auto"/>
                <w:sz w:val="24"/>
              </w:rPr>
              <w:t>施工期噪声主要是施工机械设备噪声装修安装阶段声源数量少，主要噪声源如电钻、电锯等主要在房间内部使用，属于间断性噪声，通过隔音、减震措施，并经过厂界距离衰减，对周围环境影响不大。</w:t>
            </w:r>
          </w:p>
          <w:p>
            <w:pPr>
              <w:spacing w:line="360" w:lineRule="auto"/>
              <w:ind w:left="420" w:leftChars="200"/>
              <w:rPr>
                <w:rFonts w:hAnsi="宋体"/>
                <w:b/>
                <w:bCs/>
                <w:color w:val="auto"/>
                <w:sz w:val="24"/>
              </w:rPr>
            </w:pPr>
            <w:r>
              <w:rPr>
                <w:rFonts w:hint="eastAsia" w:hAnsi="宋体"/>
                <w:b/>
                <w:bCs/>
                <w:color w:val="auto"/>
                <w:sz w:val="24"/>
              </w:rPr>
              <w:t>四、</w:t>
            </w:r>
            <w:r>
              <w:rPr>
                <w:rFonts w:hAnsi="宋体"/>
                <w:b/>
                <w:bCs/>
                <w:color w:val="auto"/>
                <w:sz w:val="24"/>
              </w:rPr>
              <w:t xml:space="preserve">施工期固体废物 </w:t>
            </w:r>
          </w:p>
          <w:p>
            <w:pPr>
              <w:pStyle w:val="12"/>
              <w:rPr>
                <w:color w:val="auto"/>
              </w:rPr>
            </w:pPr>
            <w:r>
              <w:rPr>
                <w:rFonts w:hint="eastAsia"/>
                <w:color w:val="auto"/>
              </w:rPr>
              <w:t>施工固废主要为施工人员的生活垃圾、施工建筑垃圾。施工生活垃圾设置垃圾桶，交由环卫部门清运处置，避免对环境的影响；施工建筑垃圾主要是设备废弃包装物，外卖废品站。</w:t>
            </w:r>
          </w:p>
          <w:p>
            <w:pPr>
              <w:pStyle w:val="12"/>
              <w:rPr>
                <w:color w:val="auto"/>
              </w:rPr>
            </w:pPr>
            <w:r>
              <w:rPr>
                <w:rFonts w:hint="eastAsia"/>
                <w:color w:val="auto"/>
              </w:rPr>
              <w:t>在采取以上措施后，施工期固体废物对周边环境影响较小，且随着施工期的结束而消失。</w:t>
            </w:r>
          </w:p>
          <w:p>
            <w:pPr>
              <w:pStyle w:val="12"/>
              <w:rPr>
                <w:color w:val="auto"/>
                <w:szCs w:val="32"/>
              </w:rPr>
            </w:pPr>
            <w:r>
              <w:rPr>
                <w:rFonts w:hint="eastAsia"/>
                <w:color w:val="auto"/>
              </w:rPr>
              <w:t>综上所述，若施工各环节采取有效控制，可将施工期的影响控制到可接受程度，且上述影响都是暂时的，随着施工期的结束而消失。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dxa"/>
            <w:tcMar>
              <w:left w:w="28" w:type="dxa"/>
              <w:right w:w="28" w:type="dxa"/>
            </w:tcMar>
            <w:vAlign w:val="center"/>
          </w:tcPr>
          <w:p>
            <w:pPr>
              <w:adjustRightInd w:val="0"/>
              <w:snapToGrid w:val="0"/>
              <w:jc w:val="center"/>
              <w:rPr>
                <w:bCs/>
                <w:color w:val="auto"/>
                <w:sz w:val="24"/>
              </w:rPr>
            </w:pPr>
            <w:r>
              <w:rPr>
                <w:bCs/>
                <w:color w:val="auto"/>
                <w:sz w:val="24"/>
              </w:rPr>
              <w:t>运营</w:t>
            </w:r>
          </w:p>
          <w:p>
            <w:pPr>
              <w:adjustRightInd w:val="0"/>
              <w:snapToGrid w:val="0"/>
              <w:jc w:val="center"/>
              <w:rPr>
                <w:bCs/>
                <w:color w:val="auto"/>
                <w:sz w:val="24"/>
              </w:rPr>
            </w:pPr>
            <w:r>
              <w:rPr>
                <w:bCs/>
                <w:color w:val="auto"/>
                <w:sz w:val="24"/>
              </w:rPr>
              <w:t>期环</w:t>
            </w:r>
          </w:p>
          <w:p>
            <w:pPr>
              <w:adjustRightInd w:val="0"/>
              <w:snapToGrid w:val="0"/>
              <w:jc w:val="center"/>
              <w:rPr>
                <w:bCs/>
                <w:color w:val="auto"/>
                <w:sz w:val="24"/>
              </w:rPr>
            </w:pPr>
            <w:r>
              <w:rPr>
                <w:bCs/>
                <w:color w:val="auto"/>
                <w:sz w:val="24"/>
              </w:rPr>
              <w:t>境影</w:t>
            </w:r>
          </w:p>
          <w:p>
            <w:pPr>
              <w:adjustRightInd w:val="0"/>
              <w:snapToGrid w:val="0"/>
              <w:jc w:val="center"/>
              <w:rPr>
                <w:bCs/>
                <w:color w:val="auto"/>
                <w:sz w:val="24"/>
              </w:rPr>
            </w:pPr>
            <w:r>
              <w:rPr>
                <w:bCs/>
                <w:color w:val="auto"/>
                <w:sz w:val="24"/>
              </w:rPr>
              <w:t>响和</w:t>
            </w:r>
          </w:p>
          <w:p>
            <w:pPr>
              <w:adjustRightInd w:val="0"/>
              <w:snapToGrid w:val="0"/>
              <w:jc w:val="center"/>
              <w:rPr>
                <w:bCs/>
                <w:color w:val="auto"/>
                <w:sz w:val="24"/>
              </w:rPr>
            </w:pPr>
            <w:r>
              <w:rPr>
                <w:bCs/>
                <w:color w:val="auto"/>
                <w:sz w:val="24"/>
              </w:rPr>
              <w:t>保护</w:t>
            </w:r>
          </w:p>
          <w:p>
            <w:pPr>
              <w:adjustRightInd w:val="0"/>
              <w:snapToGrid w:val="0"/>
              <w:jc w:val="center"/>
              <w:rPr>
                <w:bCs/>
                <w:color w:val="auto"/>
                <w:sz w:val="24"/>
              </w:rPr>
            </w:pPr>
            <w:r>
              <w:rPr>
                <w:bCs/>
                <w:color w:val="auto"/>
                <w:sz w:val="24"/>
              </w:rPr>
              <w:t>措施</w:t>
            </w:r>
          </w:p>
        </w:tc>
        <w:tc>
          <w:tcPr>
            <w:tcW w:w="8203" w:type="dxa"/>
            <w:vAlign w:val="center"/>
          </w:tcPr>
          <w:p>
            <w:pPr>
              <w:widowControl/>
              <w:spacing w:before="120" w:beforeLines="50" w:line="360" w:lineRule="auto"/>
              <w:ind w:firstLine="482" w:firstLineChars="200"/>
              <w:jc w:val="left"/>
              <w:rPr>
                <w:b/>
                <w:bCs/>
                <w:color w:val="auto"/>
                <w:sz w:val="24"/>
                <w:szCs w:val="32"/>
              </w:rPr>
            </w:pPr>
            <w:r>
              <w:rPr>
                <w:b/>
                <w:bCs/>
                <w:color w:val="auto"/>
                <w:sz w:val="24"/>
                <w:szCs w:val="32"/>
              </w:rPr>
              <w:t>一、废气</w:t>
            </w:r>
          </w:p>
          <w:p>
            <w:pPr>
              <w:pStyle w:val="12"/>
              <w:rPr>
                <w:color w:val="auto"/>
              </w:rPr>
            </w:pPr>
            <w:r>
              <w:rPr>
                <w:rFonts w:hint="eastAsia"/>
                <w:color w:val="auto"/>
              </w:rPr>
              <w:t>本项目废气主要为污水处理站臭气。</w:t>
            </w:r>
          </w:p>
          <w:p>
            <w:pPr>
              <w:pStyle w:val="12"/>
              <w:rPr>
                <w:color w:val="auto"/>
              </w:rPr>
            </w:pPr>
            <w:r>
              <w:rPr>
                <w:color w:val="auto"/>
              </w:rPr>
              <w:t>1</w:t>
            </w:r>
            <w:r>
              <w:rPr>
                <w:rFonts w:hint="eastAsia"/>
                <w:color w:val="auto"/>
              </w:rPr>
              <w:t>、污染源强核算</w:t>
            </w:r>
          </w:p>
          <w:p>
            <w:pPr>
              <w:pStyle w:val="12"/>
              <w:rPr>
                <w:color w:val="auto"/>
              </w:rPr>
            </w:pPr>
            <w:r>
              <w:rPr>
                <w:rFonts w:hint="eastAsia"/>
                <w:color w:val="auto"/>
              </w:rPr>
              <w:t>本项目运营期产生的废气主要为污水处理站恶臭和煎药房异味。</w:t>
            </w:r>
          </w:p>
          <w:p>
            <w:pPr>
              <w:pStyle w:val="12"/>
              <w:rPr>
                <w:color w:val="auto"/>
              </w:rPr>
            </w:pPr>
            <w:r>
              <w:rPr>
                <w:color w:val="auto"/>
              </w:rPr>
              <w:t>（1）</w:t>
            </w:r>
            <w:r>
              <w:rPr>
                <w:rFonts w:hint="eastAsia"/>
                <w:color w:val="auto"/>
              </w:rPr>
              <w:t>煎药异味</w:t>
            </w:r>
          </w:p>
          <w:p>
            <w:pPr>
              <w:pStyle w:val="12"/>
              <w:rPr>
                <w:color w:val="auto"/>
              </w:rPr>
            </w:pPr>
            <w:r>
              <w:rPr>
                <w:rFonts w:hint="eastAsia"/>
                <w:color w:val="auto"/>
              </w:rPr>
              <w:t>煎药机在密闭状态下运行，</w:t>
            </w:r>
            <w:r>
              <w:rPr>
                <w:rFonts w:hint="eastAsia" w:ascii="宋体" w:hAnsi="宋体"/>
                <w:color w:val="auto"/>
              </w:rPr>
              <w:t>中药熬制完成后待其冷却后打开煎药机，进行袋装，装袋过程中仅有少量带有中药异味逸散至煎药房内。煎药房加强通风，煎药废气对周边环境影响较小。</w:t>
            </w:r>
          </w:p>
          <w:p>
            <w:pPr>
              <w:pStyle w:val="12"/>
              <w:rPr>
                <w:color w:val="auto"/>
              </w:rPr>
            </w:pPr>
            <w:r>
              <w:rPr>
                <w:color w:val="auto"/>
              </w:rPr>
              <w:t>（2）</w:t>
            </w:r>
            <w:r>
              <w:rPr>
                <w:rFonts w:hint="eastAsia"/>
                <w:color w:val="auto"/>
              </w:rPr>
              <w:t>污水处理设备恶臭</w:t>
            </w:r>
          </w:p>
          <w:p>
            <w:pPr>
              <w:pStyle w:val="12"/>
              <w:rPr>
                <w:color w:val="auto"/>
              </w:rPr>
            </w:pPr>
            <w:r>
              <w:rPr>
                <w:rFonts w:hint="eastAsia"/>
                <w:color w:val="auto"/>
              </w:rPr>
              <w:t>厂区西南侧设置一套地埋式一体化污水处理设备采用“调节池</w:t>
            </w:r>
            <w:r>
              <w:rPr>
                <w:color w:val="auto"/>
              </w:rPr>
              <w:t>+</w:t>
            </w:r>
            <w:r>
              <w:rPr>
                <w:rFonts w:hint="eastAsia"/>
                <w:color w:val="auto"/>
              </w:rPr>
              <w:t>厌氧</w:t>
            </w:r>
            <w:r>
              <w:rPr>
                <w:color w:val="auto"/>
              </w:rPr>
              <w:t>+</w:t>
            </w:r>
            <w:r>
              <w:rPr>
                <w:rFonts w:hint="eastAsia"/>
                <w:color w:val="auto"/>
              </w:rPr>
              <w:t>好氧</w:t>
            </w:r>
            <w:r>
              <w:rPr>
                <w:color w:val="auto"/>
              </w:rPr>
              <w:t>+MBR+</w:t>
            </w:r>
            <w:r>
              <w:rPr>
                <w:rFonts w:hint="eastAsia"/>
                <w:color w:val="auto"/>
              </w:rPr>
              <w:t>消毒”工艺，集中处理项目产生的医疗废水。在污水处理的过程中调节池、厌氧好氧等过程会散产生恶臭，污染物主要为硫化氢、氨气。本项目新增</w:t>
            </w:r>
            <w:r>
              <w:rPr>
                <w:color w:val="auto"/>
              </w:rPr>
              <w:t>31</w:t>
            </w:r>
            <w:r>
              <w:rPr>
                <w:rFonts w:hint="eastAsia"/>
                <w:color w:val="auto"/>
              </w:rPr>
              <w:t>张住院床位，本项目扩建完成后住院床位共计</w:t>
            </w:r>
            <w:r>
              <w:rPr>
                <w:color w:val="auto"/>
              </w:rPr>
              <w:t>50</w:t>
            </w:r>
            <w:r>
              <w:rPr>
                <w:rFonts w:hint="eastAsia"/>
                <w:color w:val="auto"/>
              </w:rPr>
              <w:t>张。</w:t>
            </w:r>
          </w:p>
          <w:p>
            <w:pPr>
              <w:pStyle w:val="12"/>
              <w:rPr>
                <w:rFonts w:ascii="宋体" w:hAnsi="宋体"/>
                <w:color w:val="auto"/>
              </w:rPr>
            </w:pPr>
            <w:r>
              <w:rPr>
                <w:rFonts w:hint="eastAsia" w:ascii="宋体" w:hAnsi="宋体"/>
                <w:color w:val="auto"/>
              </w:rPr>
              <w:t>根据</w:t>
            </w:r>
            <w:r>
              <w:rPr>
                <w:color w:val="auto"/>
              </w:rPr>
              <w:t>美国EPA对城市污水处理厂恶臭污染物产生情况的研究，每去除1g的BOD</w:t>
            </w:r>
            <w:r>
              <w:rPr>
                <w:color w:val="auto"/>
                <w:vertAlign w:val="subscript"/>
              </w:rPr>
              <w:t>5</w:t>
            </w:r>
            <w:r>
              <w:rPr>
                <w:color w:val="auto"/>
              </w:rPr>
              <w:t>可产生0.0031gNH</w:t>
            </w:r>
            <w:r>
              <w:rPr>
                <w:color w:val="auto"/>
                <w:vertAlign w:val="subscript"/>
              </w:rPr>
              <w:t>3</w:t>
            </w:r>
            <w:r>
              <w:rPr>
                <w:color w:val="auto"/>
              </w:rPr>
              <w:t>和0.00012gH</w:t>
            </w:r>
            <w:r>
              <w:rPr>
                <w:color w:val="auto"/>
                <w:vertAlign w:val="subscript"/>
              </w:rPr>
              <w:t>2</w:t>
            </w:r>
            <w:r>
              <w:rPr>
                <w:color w:val="auto"/>
              </w:rPr>
              <w:t>S。BOD</w:t>
            </w:r>
            <w:r>
              <w:rPr>
                <w:color w:val="auto"/>
                <w:vertAlign w:val="subscript"/>
              </w:rPr>
              <w:t>5</w:t>
            </w:r>
            <w:r>
              <w:rPr>
                <w:color w:val="auto"/>
              </w:rPr>
              <w:t>浓度参考《医院污水处理工程技术规范》（HJ2029-2013）中表1医院污水水质指标参考数据，出水浓度实际为4mg/L，去除率约为93%，因此经一体化污水处理设施处理，去除量约为0.</w:t>
            </w:r>
            <w:r>
              <w:rPr>
                <w:rFonts w:hint="eastAsia"/>
                <w:color w:val="auto"/>
                <w:lang w:val="en-US" w:eastAsia="zh-CN"/>
              </w:rPr>
              <w:t>2176</w:t>
            </w:r>
            <w:r>
              <w:rPr>
                <w:color w:val="auto"/>
              </w:rPr>
              <w:t>t/a。因此NH</w:t>
            </w:r>
            <w:r>
              <w:rPr>
                <w:color w:val="auto"/>
                <w:vertAlign w:val="subscript"/>
              </w:rPr>
              <w:t>3</w:t>
            </w:r>
            <w:r>
              <w:rPr>
                <w:color w:val="auto"/>
              </w:rPr>
              <w:t>产生量为0.</w:t>
            </w:r>
            <w:r>
              <w:rPr>
                <w:rFonts w:hint="eastAsia"/>
                <w:color w:val="auto"/>
                <w:lang w:val="en-US" w:eastAsia="zh-CN"/>
              </w:rPr>
              <w:t>674</w:t>
            </w:r>
            <w:r>
              <w:rPr>
                <w:color w:val="auto"/>
              </w:rPr>
              <w:t xml:space="preserve"> kg/a，H</w:t>
            </w:r>
            <w:r>
              <w:rPr>
                <w:color w:val="auto"/>
                <w:vertAlign w:val="subscript"/>
              </w:rPr>
              <w:t>2</w:t>
            </w:r>
            <w:r>
              <w:rPr>
                <w:color w:val="auto"/>
              </w:rPr>
              <w:t>S产生量为0.0</w:t>
            </w:r>
            <w:r>
              <w:rPr>
                <w:rFonts w:hint="eastAsia"/>
                <w:color w:val="auto"/>
                <w:lang w:val="en-US" w:eastAsia="zh-CN"/>
              </w:rPr>
              <w:t>26</w:t>
            </w:r>
            <w:r>
              <w:rPr>
                <w:color w:val="auto"/>
              </w:rPr>
              <w:t>kg/a。污水处理站年运行时间为8760h，本项目扩建完成后</w:t>
            </w:r>
            <w:r>
              <w:rPr>
                <w:rFonts w:hint="eastAsia"/>
                <w:color w:val="auto"/>
              </w:rPr>
              <w:t>污水处理站</w:t>
            </w:r>
            <w:r>
              <w:rPr>
                <w:color w:val="auto"/>
              </w:rPr>
              <w:t>NH</w:t>
            </w:r>
            <w:r>
              <w:rPr>
                <w:color w:val="auto"/>
                <w:vertAlign w:val="subscript"/>
              </w:rPr>
              <w:t>3</w:t>
            </w:r>
            <w:r>
              <w:rPr>
                <w:color w:val="auto"/>
              </w:rPr>
              <w:t>排放速率为0.</w:t>
            </w:r>
            <w:r>
              <w:rPr>
                <w:rFonts w:hint="eastAsia"/>
                <w:color w:val="auto"/>
              </w:rPr>
              <w:t>0</w:t>
            </w:r>
            <w:r>
              <w:rPr>
                <w:rFonts w:hint="eastAsia"/>
                <w:color w:val="auto"/>
                <w:lang w:val="en-US" w:eastAsia="zh-CN"/>
              </w:rPr>
              <w:t>77</w:t>
            </w:r>
            <w:r>
              <w:rPr>
                <w:color w:val="auto"/>
              </w:rPr>
              <w:t>g/h，H</w:t>
            </w:r>
            <w:r>
              <w:rPr>
                <w:color w:val="auto"/>
                <w:vertAlign w:val="subscript"/>
              </w:rPr>
              <w:t>2</w:t>
            </w:r>
            <w:r>
              <w:rPr>
                <w:color w:val="auto"/>
              </w:rPr>
              <w:t>S排放速率为0.00</w:t>
            </w:r>
            <w:r>
              <w:rPr>
                <w:rFonts w:hint="eastAsia"/>
                <w:color w:val="auto"/>
                <w:lang w:val="en-US" w:eastAsia="zh-CN"/>
              </w:rPr>
              <w:t>3</w:t>
            </w:r>
            <w:r>
              <w:rPr>
                <w:color w:val="auto"/>
              </w:rPr>
              <w:t>g/h。同时类比《西安市第五医院建设项目》的例行监测资料，该医院为综合医院，废水量约为200m</w:t>
            </w:r>
            <w:r>
              <w:rPr>
                <w:color w:val="auto"/>
                <w:vertAlign w:val="superscript"/>
              </w:rPr>
              <w:t>3</w:t>
            </w:r>
            <w:r>
              <w:rPr>
                <w:color w:val="auto"/>
              </w:rPr>
              <w:t>/d、污水处理站位于地下二层，其污水处理站下风向浓度最大值氨气为0.137mg/m</w:t>
            </w:r>
            <w:r>
              <w:rPr>
                <w:color w:val="auto"/>
                <w:vertAlign w:val="superscript"/>
              </w:rPr>
              <w:t>3</w:t>
            </w:r>
            <w:r>
              <w:rPr>
                <w:color w:val="auto"/>
              </w:rPr>
              <w:t>、硫化氢为0.022mg/m</w:t>
            </w:r>
            <w:r>
              <w:rPr>
                <w:color w:val="auto"/>
                <w:vertAlign w:val="superscript"/>
              </w:rPr>
              <w:t>3</w:t>
            </w:r>
            <w:r>
              <w:rPr>
                <w:color w:val="auto"/>
              </w:rPr>
              <w:t>、臭气浓度＜10，</w:t>
            </w:r>
            <w:r>
              <w:rPr>
                <w:rFonts w:hint="eastAsia"/>
                <w:color w:val="auto"/>
                <w:lang w:val="en-US" w:eastAsia="zh-CN"/>
              </w:rPr>
              <w:t>扩建后</w:t>
            </w:r>
            <w:r>
              <w:rPr>
                <w:color w:val="auto"/>
              </w:rPr>
              <w:t>废水量约为</w:t>
            </w:r>
            <w:r>
              <w:rPr>
                <w:rFonts w:hint="eastAsia"/>
                <w:color w:val="auto"/>
                <w:lang w:val="en-US" w:eastAsia="zh-CN"/>
              </w:rPr>
              <w:t>7.84</w:t>
            </w:r>
            <w:r>
              <w:rPr>
                <w:color w:val="auto"/>
              </w:rPr>
              <w:t>m</w:t>
            </w:r>
            <w:r>
              <w:rPr>
                <w:color w:val="auto"/>
                <w:vertAlign w:val="superscript"/>
              </w:rPr>
              <w:t>3</w:t>
            </w:r>
            <w:r>
              <w:rPr>
                <w:color w:val="auto"/>
              </w:rPr>
              <w:t>/d</w:t>
            </w:r>
            <w:r>
              <w:rPr>
                <w:rFonts w:hint="eastAsia"/>
                <w:color w:val="auto"/>
                <w:lang w:eastAsia="zh-CN"/>
              </w:rPr>
              <w:t>（</w:t>
            </w:r>
            <w:r>
              <w:rPr>
                <w:color w:val="auto"/>
              </w:rPr>
              <w:t>本项目</w:t>
            </w:r>
            <w:r>
              <w:rPr>
                <w:rFonts w:hint="eastAsia"/>
                <w:color w:val="auto"/>
                <w:lang w:val="en-US" w:eastAsia="zh-CN"/>
              </w:rPr>
              <w:t>新增</w:t>
            </w:r>
            <w:r>
              <w:rPr>
                <w:color w:val="auto"/>
              </w:rPr>
              <w:t>废水量约为</w:t>
            </w:r>
            <w:r>
              <w:rPr>
                <w:rFonts w:hint="eastAsia"/>
                <w:color w:val="auto"/>
                <w:lang w:val="en-US" w:eastAsia="zh-CN"/>
              </w:rPr>
              <w:t>5.24</w:t>
            </w:r>
            <w:r>
              <w:rPr>
                <w:color w:val="auto"/>
              </w:rPr>
              <w:t>m</w:t>
            </w:r>
            <w:r>
              <w:rPr>
                <w:color w:val="auto"/>
                <w:vertAlign w:val="superscript"/>
              </w:rPr>
              <w:t>3</w:t>
            </w:r>
            <w:r>
              <w:rPr>
                <w:color w:val="auto"/>
              </w:rPr>
              <w:t>/d</w:t>
            </w:r>
            <w:r>
              <w:rPr>
                <w:rFonts w:hint="eastAsia"/>
                <w:color w:val="auto"/>
                <w:lang w:eastAsia="zh-CN"/>
              </w:rPr>
              <w:t>，</w:t>
            </w:r>
            <w:r>
              <w:rPr>
                <w:rFonts w:hint="eastAsia"/>
                <w:color w:val="auto"/>
                <w:lang w:val="en-US" w:eastAsia="zh-CN"/>
              </w:rPr>
              <w:t>现有废水量为2.6</w:t>
            </w:r>
            <w:r>
              <w:rPr>
                <w:color w:val="auto"/>
              </w:rPr>
              <w:t>m</w:t>
            </w:r>
            <w:r>
              <w:rPr>
                <w:color w:val="auto"/>
                <w:vertAlign w:val="superscript"/>
              </w:rPr>
              <w:t>3</w:t>
            </w:r>
            <w:r>
              <w:rPr>
                <w:color w:val="auto"/>
              </w:rPr>
              <w:t>/d</w:t>
            </w:r>
            <w:r>
              <w:rPr>
                <w:rFonts w:hint="eastAsia"/>
                <w:color w:val="auto"/>
                <w:lang w:eastAsia="zh-CN"/>
              </w:rPr>
              <w:t>），</w:t>
            </w:r>
            <w:r>
              <w:rPr>
                <w:color w:val="auto"/>
              </w:rPr>
              <w:t>污水处理站位于地下</w:t>
            </w:r>
            <w:r>
              <w:rPr>
                <w:rFonts w:hint="eastAsia"/>
                <w:color w:val="auto"/>
              </w:rPr>
              <w:t>一</w:t>
            </w:r>
            <w:r>
              <w:rPr>
                <w:color w:val="auto"/>
              </w:rPr>
              <w:t>层，因此浓度可类比。本项目污染源强情况详见表4-1。</w:t>
            </w:r>
          </w:p>
          <w:p>
            <w:pPr>
              <w:pStyle w:val="15"/>
              <w:rPr>
                <w:color w:val="auto"/>
              </w:rPr>
            </w:pPr>
            <w:r>
              <w:rPr>
                <w:rFonts w:hint="eastAsia"/>
                <w:color w:val="auto"/>
              </w:rPr>
              <w:t>表4-1  废气污染物源强一览表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49"/>
              <w:gridCol w:w="557"/>
              <w:gridCol w:w="1018"/>
              <w:gridCol w:w="675"/>
              <w:gridCol w:w="416"/>
              <w:gridCol w:w="534"/>
              <w:gridCol w:w="458"/>
              <w:gridCol w:w="958"/>
              <w:gridCol w:w="648"/>
              <w:gridCol w:w="720"/>
              <w:gridCol w:w="648"/>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0" w:type="dxa"/>
                  <w:vMerge w:val="restart"/>
                  <w:vAlign w:val="center"/>
                </w:tcPr>
                <w:p>
                  <w:pPr>
                    <w:widowControl/>
                    <w:ind w:left="-105" w:leftChars="-50" w:right="-105" w:rightChars="-50"/>
                    <w:jc w:val="center"/>
                    <w:textAlignment w:val="center"/>
                    <w:rPr>
                      <w:color w:val="auto"/>
                      <w:kern w:val="0"/>
                      <w:sz w:val="18"/>
                      <w:szCs w:val="18"/>
                    </w:rPr>
                  </w:pPr>
                  <w:r>
                    <w:rPr>
                      <w:color w:val="auto"/>
                      <w:kern w:val="0"/>
                      <w:sz w:val="18"/>
                      <w:szCs w:val="18"/>
                    </w:rPr>
                    <w:t>产污</w:t>
                  </w:r>
                </w:p>
                <w:p>
                  <w:pPr>
                    <w:widowControl/>
                    <w:ind w:left="-105" w:leftChars="-50" w:right="-105" w:rightChars="-50"/>
                    <w:jc w:val="center"/>
                    <w:textAlignment w:val="center"/>
                    <w:rPr>
                      <w:color w:val="auto"/>
                      <w:sz w:val="18"/>
                      <w:szCs w:val="18"/>
                    </w:rPr>
                  </w:pPr>
                  <w:r>
                    <w:rPr>
                      <w:color w:val="auto"/>
                      <w:kern w:val="0"/>
                      <w:sz w:val="18"/>
                      <w:szCs w:val="18"/>
                    </w:rPr>
                    <w:t>环节</w:t>
                  </w:r>
                </w:p>
              </w:tc>
              <w:tc>
                <w:tcPr>
                  <w:tcW w:w="449" w:type="dxa"/>
                  <w:vMerge w:val="restart"/>
                  <w:vAlign w:val="center"/>
                </w:tcPr>
                <w:p>
                  <w:pPr>
                    <w:widowControl/>
                    <w:ind w:left="-105" w:leftChars="-50" w:right="-105" w:rightChars="-50"/>
                    <w:jc w:val="center"/>
                    <w:textAlignment w:val="center"/>
                    <w:rPr>
                      <w:color w:val="auto"/>
                      <w:sz w:val="18"/>
                      <w:szCs w:val="18"/>
                    </w:rPr>
                  </w:pPr>
                  <w:r>
                    <w:rPr>
                      <w:color w:val="auto"/>
                      <w:kern w:val="0"/>
                      <w:sz w:val="18"/>
                      <w:szCs w:val="18"/>
                    </w:rPr>
                    <w:t>污染物种类</w:t>
                  </w:r>
                </w:p>
              </w:tc>
              <w:tc>
                <w:tcPr>
                  <w:tcW w:w="557" w:type="dxa"/>
                  <w:vMerge w:val="restart"/>
                  <w:vAlign w:val="center"/>
                </w:tcPr>
                <w:p>
                  <w:pPr>
                    <w:widowControl/>
                    <w:ind w:left="-105" w:leftChars="-50" w:right="-105" w:rightChars="-50"/>
                    <w:jc w:val="center"/>
                    <w:textAlignment w:val="center"/>
                    <w:rPr>
                      <w:color w:val="auto"/>
                      <w:sz w:val="18"/>
                      <w:szCs w:val="18"/>
                    </w:rPr>
                  </w:pPr>
                  <w:r>
                    <w:rPr>
                      <w:color w:val="auto"/>
                      <w:kern w:val="0"/>
                      <w:sz w:val="18"/>
                      <w:szCs w:val="18"/>
                    </w:rPr>
                    <w:t>污染物产生量kg/a</w:t>
                  </w:r>
                </w:p>
              </w:tc>
              <w:tc>
                <w:tcPr>
                  <w:tcW w:w="1018" w:type="dxa"/>
                  <w:vMerge w:val="restart"/>
                  <w:vAlign w:val="center"/>
                </w:tcPr>
                <w:p>
                  <w:pPr>
                    <w:widowControl/>
                    <w:ind w:left="-105" w:leftChars="-50" w:right="-105" w:rightChars="-50"/>
                    <w:jc w:val="center"/>
                    <w:textAlignment w:val="center"/>
                    <w:rPr>
                      <w:color w:val="auto"/>
                      <w:kern w:val="0"/>
                      <w:sz w:val="18"/>
                      <w:szCs w:val="18"/>
                    </w:rPr>
                  </w:pPr>
                  <w:r>
                    <w:rPr>
                      <w:color w:val="auto"/>
                      <w:kern w:val="0"/>
                      <w:sz w:val="18"/>
                      <w:szCs w:val="18"/>
                    </w:rPr>
                    <w:t>产生</w:t>
                  </w:r>
                </w:p>
                <w:p>
                  <w:pPr>
                    <w:widowControl/>
                    <w:ind w:left="-105" w:leftChars="-50" w:right="-105" w:rightChars="-50"/>
                    <w:jc w:val="center"/>
                    <w:textAlignment w:val="center"/>
                    <w:rPr>
                      <w:color w:val="auto"/>
                      <w:kern w:val="0"/>
                      <w:sz w:val="18"/>
                      <w:szCs w:val="18"/>
                    </w:rPr>
                  </w:pPr>
                  <w:r>
                    <w:rPr>
                      <w:color w:val="auto"/>
                      <w:kern w:val="0"/>
                      <w:sz w:val="18"/>
                      <w:szCs w:val="18"/>
                    </w:rPr>
                    <w:t>速率</w:t>
                  </w:r>
                </w:p>
                <w:p>
                  <w:pPr>
                    <w:widowControl/>
                    <w:ind w:left="-105" w:leftChars="-50" w:right="-105" w:rightChars="-50"/>
                    <w:jc w:val="center"/>
                    <w:textAlignment w:val="center"/>
                    <w:rPr>
                      <w:color w:val="auto"/>
                      <w:kern w:val="0"/>
                      <w:sz w:val="18"/>
                      <w:szCs w:val="18"/>
                    </w:rPr>
                  </w:pPr>
                  <w:r>
                    <w:rPr>
                      <w:color w:val="auto"/>
                      <w:kern w:val="0"/>
                      <w:sz w:val="18"/>
                      <w:szCs w:val="18"/>
                    </w:rPr>
                    <w:t>kg/h</w:t>
                  </w:r>
                </w:p>
              </w:tc>
              <w:tc>
                <w:tcPr>
                  <w:tcW w:w="675" w:type="dxa"/>
                  <w:vMerge w:val="restart"/>
                  <w:vAlign w:val="center"/>
                </w:tcPr>
                <w:p>
                  <w:pPr>
                    <w:widowControl/>
                    <w:ind w:left="-105" w:leftChars="-50" w:right="-105" w:rightChars="-50"/>
                    <w:jc w:val="center"/>
                    <w:textAlignment w:val="center"/>
                    <w:rPr>
                      <w:color w:val="auto"/>
                      <w:kern w:val="0"/>
                      <w:sz w:val="18"/>
                      <w:szCs w:val="18"/>
                    </w:rPr>
                  </w:pPr>
                  <w:r>
                    <w:rPr>
                      <w:color w:val="auto"/>
                      <w:kern w:val="0"/>
                      <w:sz w:val="18"/>
                      <w:szCs w:val="18"/>
                    </w:rPr>
                    <w:t>产生</w:t>
                  </w:r>
                </w:p>
                <w:p>
                  <w:pPr>
                    <w:widowControl/>
                    <w:ind w:left="-105" w:leftChars="-50" w:right="-105" w:rightChars="-50"/>
                    <w:jc w:val="center"/>
                    <w:textAlignment w:val="center"/>
                    <w:rPr>
                      <w:color w:val="auto"/>
                      <w:kern w:val="0"/>
                      <w:sz w:val="18"/>
                      <w:szCs w:val="18"/>
                    </w:rPr>
                  </w:pPr>
                  <w:r>
                    <w:rPr>
                      <w:color w:val="auto"/>
                      <w:kern w:val="0"/>
                      <w:sz w:val="18"/>
                      <w:szCs w:val="18"/>
                    </w:rPr>
                    <w:t>浓度</w:t>
                  </w:r>
                </w:p>
                <w:p>
                  <w:pPr>
                    <w:widowControl/>
                    <w:ind w:left="-105" w:leftChars="-50" w:right="-105" w:rightChars="-50"/>
                    <w:jc w:val="center"/>
                    <w:textAlignment w:val="center"/>
                    <w:rPr>
                      <w:color w:val="auto"/>
                      <w:sz w:val="18"/>
                      <w:szCs w:val="18"/>
                    </w:rPr>
                  </w:pPr>
                  <w:r>
                    <w:rPr>
                      <w:color w:val="auto"/>
                      <w:kern w:val="0"/>
                      <w:sz w:val="18"/>
                      <w:szCs w:val="18"/>
                    </w:rPr>
                    <w:t>mg/m</w:t>
                  </w:r>
                  <w:r>
                    <w:rPr>
                      <w:color w:val="auto"/>
                      <w:sz w:val="18"/>
                      <w:szCs w:val="18"/>
                      <w:vertAlign w:val="superscript"/>
                    </w:rPr>
                    <w:t>3</w:t>
                  </w:r>
                </w:p>
              </w:tc>
              <w:tc>
                <w:tcPr>
                  <w:tcW w:w="416" w:type="dxa"/>
                  <w:vMerge w:val="restart"/>
                  <w:vAlign w:val="center"/>
                </w:tcPr>
                <w:p>
                  <w:pPr>
                    <w:widowControl/>
                    <w:ind w:left="-105" w:leftChars="-50" w:right="-105" w:rightChars="-50"/>
                    <w:jc w:val="center"/>
                    <w:textAlignment w:val="center"/>
                    <w:rPr>
                      <w:color w:val="auto"/>
                      <w:sz w:val="18"/>
                      <w:szCs w:val="18"/>
                    </w:rPr>
                  </w:pPr>
                  <w:r>
                    <w:rPr>
                      <w:color w:val="auto"/>
                      <w:kern w:val="0"/>
                      <w:sz w:val="18"/>
                      <w:szCs w:val="18"/>
                    </w:rPr>
                    <w:t>排放形式</w:t>
                  </w:r>
                </w:p>
              </w:tc>
              <w:tc>
                <w:tcPr>
                  <w:tcW w:w="534" w:type="dxa"/>
                  <w:vMerge w:val="restart"/>
                  <w:vAlign w:val="center"/>
                </w:tcPr>
                <w:p>
                  <w:pPr>
                    <w:widowControl/>
                    <w:ind w:left="-105" w:leftChars="-50" w:right="-105" w:rightChars="-50"/>
                    <w:jc w:val="center"/>
                    <w:textAlignment w:val="center"/>
                    <w:rPr>
                      <w:color w:val="auto"/>
                      <w:kern w:val="0"/>
                      <w:sz w:val="18"/>
                      <w:szCs w:val="18"/>
                    </w:rPr>
                  </w:pPr>
                  <w:r>
                    <w:rPr>
                      <w:color w:val="auto"/>
                      <w:kern w:val="0"/>
                      <w:sz w:val="18"/>
                      <w:szCs w:val="18"/>
                    </w:rPr>
                    <w:t>治理</w:t>
                  </w:r>
                </w:p>
                <w:p>
                  <w:pPr>
                    <w:widowControl/>
                    <w:ind w:left="-105" w:leftChars="-50" w:right="-105" w:rightChars="-50"/>
                    <w:jc w:val="center"/>
                    <w:textAlignment w:val="center"/>
                    <w:rPr>
                      <w:color w:val="auto"/>
                      <w:kern w:val="0"/>
                      <w:sz w:val="18"/>
                      <w:szCs w:val="18"/>
                    </w:rPr>
                  </w:pPr>
                  <w:r>
                    <w:rPr>
                      <w:color w:val="auto"/>
                      <w:kern w:val="0"/>
                      <w:sz w:val="18"/>
                      <w:szCs w:val="18"/>
                    </w:rPr>
                    <w:t>措施</w:t>
                  </w:r>
                </w:p>
              </w:tc>
              <w:tc>
                <w:tcPr>
                  <w:tcW w:w="458" w:type="dxa"/>
                  <w:vMerge w:val="restart"/>
                  <w:vAlign w:val="center"/>
                </w:tcPr>
                <w:p>
                  <w:pPr>
                    <w:widowControl/>
                    <w:ind w:left="-105" w:leftChars="-50" w:right="-105" w:rightChars="-50"/>
                    <w:jc w:val="center"/>
                    <w:textAlignment w:val="center"/>
                    <w:rPr>
                      <w:color w:val="auto"/>
                      <w:kern w:val="0"/>
                      <w:sz w:val="18"/>
                      <w:szCs w:val="18"/>
                    </w:rPr>
                  </w:pPr>
                  <w:r>
                    <w:rPr>
                      <w:color w:val="auto"/>
                      <w:kern w:val="0"/>
                      <w:sz w:val="18"/>
                      <w:szCs w:val="18"/>
                    </w:rPr>
                    <w:t>排放量</w:t>
                  </w:r>
                </w:p>
                <w:p>
                  <w:pPr>
                    <w:widowControl/>
                    <w:ind w:left="-105" w:leftChars="-50" w:right="-105" w:rightChars="-50"/>
                    <w:jc w:val="center"/>
                    <w:textAlignment w:val="center"/>
                    <w:rPr>
                      <w:color w:val="auto"/>
                      <w:sz w:val="18"/>
                      <w:szCs w:val="18"/>
                    </w:rPr>
                  </w:pPr>
                  <w:r>
                    <w:rPr>
                      <w:color w:val="auto"/>
                      <w:kern w:val="0"/>
                      <w:sz w:val="18"/>
                      <w:szCs w:val="18"/>
                    </w:rPr>
                    <w:t>kg/a</w:t>
                  </w:r>
                </w:p>
              </w:tc>
              <w:tc>
                <w:tcPr>
                  <w:tcW w:w="958" w:type="dxa"/>
                  <w:vMerge w:val="restart"/>
                  <w:vAlign w:val="center"/>
                </w:tcPr>
                <w:p>
                  <w:pPr>
                    <w:widowControl/>
                    <w:ind w:left="-105" w:leftChars="-50" w:right="-105" w:rightChars="-50"/>
                    <w:jc w:val="center"/>
                    <w:textAlignment w:val="center"/>
                    <w:rPr>
                      <w:color w:val="auto"/>
                      <w:kern w:val="0"/>
                      <w:sz w:val="18"/>
                      <w:szCs w:val="18"/>
                    </w:rPr>
                  </w:pPr>
                  <w:r>
                    <w:rPr>
                      <w:color w:val="auto"/>
                      <w:kern w:val="0"/>
                      <w:sz w:val="18"/>
                      <w:szCs w:val="18"/>
                    </w:rPr>
                    <w:t>排放</w:t>
                  </w:r>
                </w:p>
                <w:p>
                  <w:pPr>
                    <w:widowControl/>
                    <w:ind w:left="-105" w:leftChars="-50" w:right="-105" w:rightChars="-50"/>
                    <w:jc w:val="center"/>
                    <w:textAlignment w:val="center"/>
                    <w:rPr>
                      <w:color w:val="auto"/>
                      <w:kern w:val="0"/>
                      <w:sz w:val="18"/>
                      <w:szCs w:val="18"/>
                    </w:rPr>
                  </w:pPr>
                  <w:r>
                    <w:rPr>
                      <w:color w:val="auto"/>
                      <w:kern w:val="0"/>
                      <w:sz w:val="18"/>
                      <w:szCs w:val="18"/>
                    </w:rPr>
                    <w:t>速率</w:t>
                  </w:r>
                </w:p>
                <w:p>
                  <w:pPr>
                    <w:widowControl/>
                    <w:ind w:left="-105" w:leftChars="-50" w:right="-105" w:rightChars="-50"/>
                    <w:jc w:val="center"/>
                    <w:textAlignment w:val="center"/>
                    <w:rPr>
                      <w:color w:val="auto"/>
                      <w:sz w:val="18"/>
                      <w:szCs w:val="18"/>
                    </w:rPr>
                  </w:pPr>
                  <w:r>
                    <w:rPr>
                      <w:color w:val="auto"/>
                      <w:kern w:val="0"/>
                      <w:sz w:val="18"/>
                      <w:szCs w:val="18"/>
                    </w:rPr>
                    <w:t>kg/h</w:t>
                  </w:r>
                </w:p>
              </w:tc>
              <w:tc>
                <w:tcPr>
                  <w:tcW w:w="648" w:type="dxa"/>
                  <w:vMerge w:val="restart"/>
                  <w:vAlign w:val="center"/>
                </w:tcPr>
                <w:p>
                  <w:pPr>
                    <w:widowControl/>
                    <w:ind w:left="-105" w:leftChars="-50" w:right="-105" w:rightChars="-50"/>
                    <w:jc w:val="center"/>
                    <w:textAlignment w:val="center"/>
                    <w:rPr>
                      <w:color w:val="auto"/>
                      <w:kern w:val="0"/>
                      <w:sz w:val="18"/>
                      <w:szCs w:val="18"/>
                    </w:rPr>
                  </w:pPr>
                  <w:r>
                    <w:rPr>
                      <w:color w:val="auto"/>
                      <w:kern w:val="0"/>
                      <w:sz w:val="18"/>
                      <w:szCs w:val="18"/>
                    </w:rPr>
                    <w:t>排放</w:t>
                  </w:r>
                </w:p>
                <w:p>
                  <w:pPr>
                    <w:widowControl/>
                    <w:ind w:left="-105" w:leftChars="-50" w:right="-105" w:rightChars="-50"/>
                    <w:jc w:val="center"/>
                    <w:textAlignment w:val="center"/>
                    <w:rPr>
                      <w:color w:val="auto"/>
                      <w:kern w:val="0"/>
                      <w:sz w:val="18"/>
                      <w:szCs w:val="18"/>
                    </w:rPr>
                  </w:pPr>
                  <w:r>
                    <w:rPr>
                      <w:color w:val="auto"/>
                      <w:kern w:val="0"/>
                      <w:sz w:val="18"/>
                      <w:szCs w:val="18"/>
                    </w:rPr>
                    <w:t>浓度</w:t>
                  </w:r>
                </w:p>
                <w:p>
                  <w:pPr>
                    <w:widowControl/>
                    <w:ind w:left="-105" w:leftChars="-50" w:right="-105" w:rightChars="-50"/>
                    <w:jc w:val="center"/>
                    <w:textAlignment w:val="center"/>
                    <w:rPr>
                      <w:color w:val="auto"/>
                      <w:kern w:val="0"/>
                      <w:sz w:val="18"/>
                      <w:szCs w:val="18"/>
                    </w:rPr>
                  </w:pPr>
                </w:p>
                <w:p>
                  <w:pPr>
                    <w:widowControl/>
                    <w:ind w:left="-105" w:leftChars="-50" w:right="-105" w:rightChars="-50"/>
                    <w:jc w:val="center"/>
                    <w:textAlignment w:val="center"/>
                    <w:rPr>
                      <w:color w:val="auto"/>
                      <w:sz w:val="18"/>
                      <w:szCs w:val="18"/>
                    </w:rPr>
                  </w:pPr>
                  <w:r>
                    <w:rPr>
                      <w:color w:val="auto"/>
                      <w:kern w:val="0"/>
                      <w:sz w:val="18"/>
                      <w:szCs w:val="18"/>
                    </w:rPr>
                    <w:t>mg/m</w:t>
                  </w:r>
                  <w:r>
                    <w:rPr>
                      <w:color w:val="auto"/>
                      <w:sz w:val="18"/>
                      <w:szCs w:val="18"/>
                      <w:vertAlign w:val="superscript"/>
                    </w:rPr>
                    <w:t>3</w:t>
                  </w:r>
                </w:p>
              </w:tc>
              <w:tc>
                <w:tcPr>
                  <w:tcW w:w="1368" w:type="dxa"/>
                  <w:gridSpan w:val="2"/>
                  <w:vAlign w:val="center"/>
                </w:tcPr>
                <w:p>
                  <w:pPr>
                    <w:widowControl/>
                    <w:ind w:left="-105" w:leftChars="-50" w:right="-105" w:rightChars="-50"/>
                    <w:jc w:val="center"/>
                    <w:textAlignment w:val="center"/>
                    <w:rPr>
                      <w:color w:val="auto"/>
                      <w:kern w:val="0"/>
                      <w:sz w:val="18"/>
                      <w:szCs w:val="18"/>
                    </w:rPr>
                  </w:pPr>
                  <w:r>
                    <w:rPr>
                      <w:color w:val="auto"/>
                      <w:kern w:val="0"/>
                      <w:sz w:val="18"/>
                      <w:szCs w:val="18"/>
                    </w:rPr>
                    <w:t>排放标准</w:t>
                  </w:r>
                </w:p>
              </w:tc>
              <w:tc>
                <w:tcPr>
                  <w:tcW w:w="476" w:type="dxa"/>
                  <w:vMerge w:val="restart"/>
                  <w:vAlign w:val="center"/>
                </w:tcPr>
                <w:p>
                  <w:pPr>
                    <w:widowControl/>
                    <w:ind w:left="-105" w:leftChars="-50" w:right="-105" w:rightChars="-50"/>
                    <w:jc w:val="center"/>
                    <w:textAlignment w:val="center"/>
                    <w:rPr>
                      <w:color w:val="auto"/>
                      <w:kern w:val="0"/>
                      <w:sz w:val="18"/>
                      <w:szCs w:val="18"/>
                    </w:rPr>
                  </w:pPr>
                  <w:r>
                    <w:rPr>
                      <w:color w:val="auto"/>
                      <w:kern w:val="0"/>
                      <w:sz w:val="18"/>
                      <w:szCs w:val="18"/>
                    </w:rPr>
                    <w:t>达标</w:t>
                  </w:r>
                </w:p>
                <w:p>
                  <w:pPr>
                    <w:widowControl/>
                    <w:ind w:left="-105" w:leftChars="-50" w:right="-105" w:rightChars="-50"/>
                    <w:jc w:val="center"/>
                    <w:textAlignment w:val="center"/>
                    <w:rPr>
                      <w:color w:val="auto"/>
                      <w:kern w:val="0"/>
                      <w:sz w:val="18"/>
                      <w:szCs w:val="18"/>
                    </w:rPr>
                  </w:pPr>
                  <w:r>
                    <w:rPr>
                      <w:color w:val="auto"/>
                      <w:kern w:val="0"/>
                      <w:sz w:val="18"/>
                      <w:szCs w:val="1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0" w:type="dxa"/>
                  <w:vMerge w:val="continue"/>
                  <w:vAlign w:val="center"/>
                </w:tcPr>
                <w:p>
                  <w:pPr>
                    <w:widowControl/>
                    <w:ind w:left="-105" w:leftChars="-50" w:right="-105" w:rightChars="-50"/>
                    <w:jc w:val="left"/>
                    <w:rPr>
                      <w:color w:val="auto"/>
                      <w:sz w:val="18"/>
                      <w:szCs w:val="18"/>
                    </w:rPr>
                  </w:pPr>
                </w:p>
              </w:tc>
              <w:tc>
                <w:tcPr>
                  <w:tcW w:w="449" w:type="dxa"/>
                  <w:vMerge w:val="continue"/>
                  <w:vAlign w:val="center"/>
                </w:tcPr>
                <w:p>
                  <w:pPr>
                    <w:widowControl/>
                    <w:ind w:left="-105" w:leftChars="-50" w:right="-105" w:rightChars="-50"/>
                    <w:jc w:val="left"/>
                    <w:rPr>
                      <w:color w:val="auto"/>
                      <w:sz w:val="18"/>
                      <w:szCs w:val="18"/>
                    </w:rPr>
                  </w:pPr>
                </w:p>
              </w:tc>
              <w:tc>
                <w:tcPr>
                  <w:tcW w:w="557" w:type="dxa"/>
                  <w:vMerge w:val="continue"/>
                  <w:vAlign w:val="center"/>
                </w:tcPr>
                <w:p>
                  <w:pPr>
                    <w:widowControl/>
                    <w:ind w:left="-105" w:leftChars="-50" w:right="-105" w:rightChars="-50"/>
                    <w:jc w:val="left"/>
                    <w:rPr>
                      <w:color w:val="auto"/>
                      <w:sz w:val="18"/>
                      <w:szCs w:val="18"/>
                    </w:rPr>
                  </w:pPr>
                </w:p>
              </w:tc>
              <w:tc>
                <w:tcPr>
                  <w:tcW w:w="1018" w:type="dxa"/>
                  <w:vMerge w:val="continue"/>
                  <w:vAlign w:val="center"/>
                </w:tcPr>
                <w:p>
                  <w:pPr>
                    <w:widowControl/>
                    <w:ind w:left="-105" w:leftChars="-50" w:right="-105" w:rightChars="-50"/>
                    <w:jc w:val="left"/>
                    <w:rPr>
                      <w:color w:val="auto"/>
                      <w:kern w:val="0"/>
                      <w:sz w:val="18"/>
                      <w:szCs w:val="18"/>
                    </w:rPr>
                  </w:pPr>
                </w:p>
              </w:tc>
              <w:tc>
                <w:tcPr>
                  <w:tcW w:w="675" w:type="dxa"/>
                  <w:vMerge w:val="continue"/>
                  <w:vAlign w:val="center"/>
                </w:tcPr>
                <w:p>
                  <w:pPr>
                    <w:widowControl/>
                    <w:ind w:left="-105" w:leftChars="-50" w:right="-105" w:rightChars="-50"/>
                    <w:jc w:val="left"/>
                    <w:rPr>
                      <w:color w:val="auto"/>
                      <w:sz w:val="18"/>
                      <w:szCs w:val="18"/>
                    </w:rPr>
                  </w:pPr>
                </w:p>
              </w:tc>
              <w:tc>
                <w:tcPr>
                  <w:tcW w:w="416" w:type="dxa"/>
                  <w:vMerge w:val="continue"/>
                  <w:vAlign w:val="center"/>
                </w:tcPr>
                <w:p>
                  <w:pPr>
                    <w:widowControl/>
                    <w:ind w:left="-105" w:leftChars="-50" w:right="-105" w:rightChars="-50"/>
                    <w:jc w:val="left"/>
                    <w:rPr>
                      <w:color w:val="auto"/>
                      <w:sz w:val="18"/>
                      <w:szCs w:val="18"/>
                    </w:rPr>
                  </w:pPr>
                </w:p>
              </w:tc>
              <w:tc>
                <w:tcPr>
                  <w:tcW w:w="534" w:type="dxa"/>
                  <w:vMerge w:val="continue"/>
                  <w:vAlign w:val="center"/>
                </w:tcPr>
                <w:p>
                  <w:pPr>
                    <w:widowControl/>
                    <w:ind w:left="-105" w:leftChars="-50" w:right="-105" w:rightChars="-50"/>
                    <w:jc w:val="left"/>
                    <w:rPr>
                      <w:color w:val="auto"/>
                      <w:kern w:val="0"/>
                      <w:sz w:val="18"/>
                      <w:szCs w:val="18"/>
                    </w:rPr>
                  </w:pPr>
                </w:p>
              </w:tc>
              <w:tc>
                <w:tcPr>
                  <w:tcW w:w="458" w:type="dxa"/>
                  <w:vMerge w:val="continue"/>
                  <w:vAlign w:val="center"/>
                </w:tcPr>
                <w:p>
                  <w:pPr>
                    <w:widowControl/>
                    <w:ind w:left="-105" w:leftChars="-50" w:right="-105" w:rightChars="-50"/>
                    <w:jc w:val="left"/>
                    <w:rPr>
                      <w:color w:val="auto"/>
                      <w:sz w:val="18"/>
                      <w:szCs w:val="18"/>
                    </w:rPr>
                  </w:pPr>
                </w:p>
              </w:tc>
              <w:tc>
                <w:tcPr>
                  <w:tcW w:w="958" w:type="dxa"/>
                  <w:vMerge w:val="continue"/>
                  <w:vAlign w:val="center"/>
                </w:tcPr>
                <w:p>
                  <w:pPr>
                    <w:widowControl/>
                    <w:ind w:left="-105" w:leftChars="-50" w:right="-105" w:rightChars="-50"/>
                    <w:jc w:val="left"/>
                    <w:rPr>
                      <w:color w:val="auto"/>
                      <w:sz w:val="18"/>
                      <w:szCs w:val="18"/>
                    </w:rPr>
                  </w:pPr>
                </w:p>
              </w:tc>
              <w:tc>
                <w:tcPr>
                  <w:tcW w:w="648" w:type="dxa"/>
                  <w:vMerge w:val="continue"/>
                  <w:vAlign w:val="center"/>
                </w:tcPr>
                <w:p>
                  <w:pPr>
                    <w:widowControl/>
                    <w:ind w:left="-105" w:leftChars="-50" w:right="-105" w:rightChars="-50"/>
                    <w:jc w:val="left"/>
                    <w:rPr>
                      <w:color w:val="auto"/>
                      <w:sz w:val="18"/>
                      <w:szCs w:val="18"/>
                    </w:rPr>
                  </w:pPr>
                </w:p>
              </w:tc>
              <w:tc>
                <w:tcPr>
                  <w:tcW w:w="720" w:type="dxa"/>
                  <w:vAlign w:val="center"/>
                </w:tcPr>
                <w:p>
                  <w:pPr>
                    <w:ind w:left="-105" w:leftChars="-50" w:right="-105" w:rightChars="-50"/>
                    <w:jc w:val="center"/>
                    <w:rPr>
                      <w:color w:val="auto"/>
                      <w:sz w:val="18"/>
                      <w:szCs w:val="18"/>
                    </w:rPr>
                  </w:pPr>
                  <w:r>
                    <w:rPr>
                      <w:color w:val="auto"/>
                      <w:sz w:val="18"/>
                      <w:szCs w:val="18"/>
                    </w:rPr>
                    <w:t>标准名称</w:t>
                  </w:r>
                </w:p>
              </w:tc>
              <w:tc>
                <w:tcPr>
                  <w:tcW w:w="648" w:type="dxa"/>
                  <w:vAlign w:val="center"/>
                </w:tcPr>
                <w:p>
                  <w:pPr>
                    <w:ind w:left="-105" w:leftChars="-50" w:right="-105" w:rightChars="-50"/>
                    <w:jc w:val="center"/>
                    <w:rPr>
                      <w:color w:val="auto"/>
                      <w:sz w:val="18"/>
                      <w:szCs w:val="18"/>
                    </w:rPr>
                  </w:pPr>
                  <w:r>
                    <w:rPr>
                      <w:color w:val="auto"/>
                      <w:sz w:val="18"/>
                      <w:szCs w:val="18"/>
                    </w:rPr>
                    <w:t>排放浓度mg/m</w:t>
                  </w:r>
                  <w:r>
                    <w:rPr>
                      <w:color w:val="auto"/>
                      <w:sz w:val="18"/>
                      <w:szCs w:val="18"/>
                      <w:vertAlign w:val="superscript"/>
                    </w:rPr>
                    <w:t>3</w:t>
                  </w:r>
                </w:p>
              </w:tc>
              <w:tc>
                <w:tcPr>
                  <w:tcW w:w="476" w:type="dxa"/>
                  <w:vMerge w:val="continue"/>
                  <w:vAlign w:val="center"/>
                </w:tcPr>
                <w:p>
                  <w:pPr>
                    <w:widowControl/>
                    <w:ind w:left="-105" w:leftChars="-50" w:right="-105" w:rightChars="-50"/>
                    <w:jc w:val="left"/>
                    <w:rPr>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0" w:type="dxa"/>
                  <w:vMerge w:val="restart"/>
                  <w:vAlign w:val="center"/>
                </w:tcPr>
                <w:p>
                  <w:pPr>
                    <w:widowControl/>
                    <w:ind w:left="-105" w:leftChars="-50" w:right="-105" w:rightChars="-50"/>
                    <w:jc w:val="center"/>
                    <w:textAlignment w:val="center"/>
                    <w:rPr>
                      <w:color w:val="auto"/>
                      <w:sz w:val="18"/>
                      <w:szCs w:val="18"/>
                    </w:rPr>
                  </w:pPr>
                  <w:r>
                    <w:rPr>
                      <w:color w:val="auto"/>
                      <w:sz w:val="18"/>
                      <w:szCs w:val="18"/>
                    </w:rPr>
                    <w:t>污水处理站</w:t>
                  </w:r>
                </w:p>
              </w:tc>
              <w:tc>
                <w:tcPr>
                  <w:tcW w:w="449" w:type="dxa"/>
                  <w:vAlign w:val="center"/>
                </w:tcPr>
                <w:p>
                  <w:pPr>
                    <w:widowControl/>
                    <w:ind w:left="-105" w:leftChars="-50" w:right="-105" w:rightChars="-50"/>
                    <w:jc w:val="center"/>
                    <w:textAlignment w:val="center"/>
                    <w:rPr>
                      <w:color w:val="auto"/>
                      <w:sz w:val="18"/>
                      <w:szCs w:val="18"/>
                    </w:rPr>
                  </w:pPr>
                  <w:r>
                    <w:rPr>
                      <w:color w:val="auto"/>
                      <w:sz w:val="18"/>
                      <w:szCs w:val="18"/>
                    </w:rPr>
                    <w:t>NH</w:t>
                  </w:r>
                  <w:r>
                    <w:rPr>
                      <w:color w:val="auto"/>
                      <w:sz w:val="18"/>
                      <w:szCs w:val="18"/>
                      <w:vertAlign w:val="subscript"/>
                    </w:rPr>
                    <w:t>3</w:t>
                  </w:r>
                </w:p>
              </w:tc>
              <w:tc>
                <w:tcPr>
                  <w:tcW w:w="557" w:type="dxa"/>
                  <w:vAlign w:val="center"/>
                </w:tcPr>
                <w:p>
                  <w:pPr>
                    <w:widowControl/>
                    <w:ind w:left="-105" w:leftChars="-50" w:right="-105" w:rightChars="-50"/>
                    <w:jc w:val="center"/>
                    <w:textAlignment w:val="center"/>
                    <w:rPr>
                      <w:rFonts w:hint="default" w:eastAsia="宋体"/>
                      <w:color w:val="auto"/>
                      <w:sz w:val="18"/>
                      <w:szCs w:val="18"/>
                      <w:lang w:val="en-US" w:eastAsia="zh-CN"/>
                    </w:rPr>
                  </w:pPr>
                  <w:r>
                    <w:rPr>
                      <w:rFonts w:hint="eastAsia"/>
                      <w:color w:val="auto"/>
                      <w:sz w:val="18"/>
                      <w:szCs w:val="18"/>
                    </w:rPr>
                    <w:t>0.</w:t>
                  </w:r>
                  <w:r>
                    <w:rPr>
                      <w:rFonts w:hint="eastAsia"/>
                      <w:color w:val="auto"/>
                      <w:sz w:val="18"/>
                      <w:szCs w:val="18"/>
                      <w:lang w:val="en-US" w:eastAsia="zh-CN"/>
                    </w:rPr>
                    <w:t>674</w:t>
                  </w:r>
                </w:p>
              </w:tc>
              <w:tc>
                <w:tcPr>
                  <w:tcW w:w="1018" w:type="dxa"/>
                  <w:vAlign w:val="center"/>
                </w:tcPr>
                <w:p>
                  <w:pPr>
                    <w:widowControl/>
                    <w:ind w:left="-105" w:leftChars="-50" w:right="-105" w:rightChars="-50"/>
                    <w:jc w:val="center"/>
                    <w:textAlignment w:val="center"/>
                    <w:rPr>
                      <w:color w:val="auto"/>
                      <w:sz w:val="18"/>
                      <w:szCs w:val="18"/>
                      <w:vertAlign w:val="superscript"/>
                    </w:rPr>
                  </w:pPr>
                  <w:r>
                    <w:rPr>
                      <w:rFonts w:hint="eastAsia"/>
                      <w:color w:val="auto"/>
                      <w:sz w:val="18"/>
                      <w:szCs w:val="18"/>
                    </w:rPr>
                    <w:t>0.0</w:t>
                  </w:r>
                  <w:r>
                    <w:rPr>
                      <w:rFonts w:hint="eastAsia"/>
                      <w:color w:val="auto"/>
                      <w:sz w:val="18"/>
                      <w:szCs w:val="18"/>
                      <w:lang w:val="en-US" w:eastAsia="zh-CN"/>
                    </w:rPr>
                    <w:t>77</w:t>
                  </w:r>
                  <w:r>
                    <w:rPr>
                      <w:rFonts w:hint="eastAsia"/>
                      <w:color w:val="auto"/>
                      <w:sz w:val="18"/>
                      <w:szCs w:val="18"/>
                    </w:rPr>
                    <w:t>×10</w:t>
                  </w:r>
                  <w:r>
                    <w:rPr>
                      <w:rFonts w:hint="eastAsia"/>
                      <w:color w:val="auto"/>
                      <w:sz w:val="18"/>
                      <w:szCs w:val="18"/>
                      <w:vertAlign w:val="superscript"/>
                    </w:rPr>
                    <w:t>-3</w:t>
                  </w:r>
                </w:p>
              </w:tc>
              <w:tc>
                <w:tcPr>
                  <w:tcW w:w="675" w:type="dxa"/>
                  <w:vAlign w:val="center"/>
                </w:tcPr>
                <w:p>
                  <w:pPr>
                    <w:widowControl/>
                    <w:ind w:left="-105" w:leftChars="-50" w:right="-105" w:rightChars="-50"/>
                    <w:jc w:val="center"/>
                    <w:textAlignment w:val="center"/>
                    <w:rPr>
                      <w:color w:val="auto"/>
                      <w:sz w:val="18"/>
                      <w:szCs w:val="18"/>
                    </w:rPr>
                  </w:pPr>
                  <w:r>
                    <w:rPr>
                      <w:color w:val="auto"/>
                      <w:sz w:val="18"/>
                      <w:szCs w:val="18"/>
                    </w:rPr>
                    <w:t>0.</w:t>
                  </w:r>
                  <w:r>
                    <w:rPr>
                      <w:rFonts w:hint="eastAsia"/>
                      <w:color w:val="auto"/>
                      <w:sz w:val="18"/>
                      <w:szCs w:val="18"/>
                    </w:rPr>
                    <w:t>137</w:t>
                  </w:r>
                </w:p>
              </w:tc>
              <w:tc>
                <w:tcPr>
                  <w:tcW w:w="416" w:type="dxa"/>
                  <w:vMerge w:val="restart"/>
                  <w:vAlign w:val="center"/>
                </w:tcPr>
                <w:p>
                  <w:pPr>
                    <w:widowControl/>
                    <w:ind w:left="-105" w:leftChars="-50" w:right="-105" w:rightChars="-50"/>
                    <w:jc w:val="center"/>
                    <w:textAlignment w:val="center"/>
                    <w:rPr>
                      <w:color w:val="auto"/>
                      <w:sz w:val="18"/>
                      <w:szCs w:val="18"/>
                    </w:rPr>
                  </w:pPr>
                  <w:r>
                    <w:rPr>
                      <w:color w:val="auto"/>
                      <w:sz w:val="18"/>
                      <w:szCs w:val="18"/>
                    </w:rPr>
                    <w:t>无组织</w:t>
                  </w:r>
                </w:p>
              </w:tc>
              <w:tc>
                <w:tcPr>
                  <w:tcW w:w="534" w:type="dxa"/>
                  <w:vMerge w:val="restart"/>
                  <w:vAlign w:val="center"/>
                </w:tcPr>
                <w:p>
                  <w:pPr>
                    <w:widowControl/>
                    <w:ind w:left="-105" w:leftChars="-50" w:right="-105" w:rightChars="-50"/>
                    <w:jc w:val="center"/>
                    <w:textAlignment w:val="center"/>
                    <w:rPr>
                      <w:color w:val="auto"/>
                      <w:sz w:val="18"/>
                      <w:szCs w:val="18"/>
                    </w:rPr>
                  </w:pPr>
                  <w:r>
                    <w:rPr>
                      <w:color w:val="auto"/>
                      <w:sz w:val="18"/>
                      <w:szCs w:val="18"/>
                    </w:rPr>
                    <w:t>位于地下</w:t>
                  </w:r>
                  <w:r>
                    <w:rPr>
                      <w:rFonts w:hint="eastAsia"/>
                      <w:color w:val="auto"/>
                      <w:sz w:val="18"/>
                      <w:szCs w:val="18"/>
                    </w:rPr>
                    <w:t>一</w:t>
                  </w:r>
                  <w:r>
                    <w:rPr>
                      <w:color w:val="auto"/>
                      <w:sz w:val="18"/>
                      <w:szCs w:val="18"/>
                    </w:rPr>
                    <w:t>层，日常喷洒除臭剂</w:t>
                  </w:r>
                </w:p>
              </w:tc>
              <w:tc>
                <w:tcPr>
                  <w:tcW w:w="458" w:type="dxa"/>
                  <w:vAlign w:val="center"/>
                </w:tcPr>
                <w:p>
                  <w:pPr>
                    <w:widowControl/>
                    <w:ind w:left="-105" w:leftChars="-50" w:right="-105" w:rightChars="-50"/>
                    <w:jc w:val="center"/>
                    <w:textAlignment w:val="center"/>
                    <w:rPr>
                      <w:color w:val="auto"/>
                      <w:sz w:val="18"/>
                      <w:szCs w:val="18"/>
                    </w:rPr>
                  </w:pPr>
                  <w:r>
                    <w:rPr>
                      <w:rFonts w:hint="eastAsia"/>
                      <w:color w:val="auto"/>
                      <w:sz w:val="18"/>
                      <w:szCs w:val="18"/>
                    </w:rPr>
                    <w:t>0.</w:t>
                  </w:r>
                  <w:r>
                    <w:rPr>
                      <w:rFonts w:hint="eastAsia"/>
                      <w:color w:val="auto"/>
                      <w:sz w:val="18"/>
                      <w:szCs w:val="18"/>
                      <w:lang w:val="en-US" w:eastAsia="zh-CN"/>
                    </w:rPr>
                    <w:t>674</w:t>
                  </w:r>
                </w:p>
              </w:tc>
              <w:tc>
                <w:tcPr>
                  <w:tcW w:w="958" w:type="dxa"/>
                  <w:vAlign w:val="center"/>
                </w:tcPr>
                <w:p>
                  <w:pPr>
                    <w:widowControl/>
                    <w:ind w:left="-105" w:leftChars="-50" w:right="-105" w:rightChars="-50"/>
                    <w:jc w:val="center"/>
                    <w:textAlignment w:val="center"/>
                    <w:rPr>
                      <w:color w:val="auto"/>
                      <w:sz w:val="18"/>
                      <w:szCs w:val="18"/>
                    </w:rPr>
                  </w:pPr>
                  <w:r>
                    <w:rPr>
                      <w:rFonts w:hint="eastAsia"/>
                      <w:color w:val="auto"/>
                      <w:sz w:val="18"/>
                      <w:szCs w:val="18"/>
                    </w:rPr>
                    <w:t>0.0</w:t>
                  </w:r>
                  <w:r>
                    <w:rPr>
                      <w:rFonts w:hint="eastAsia"/>
                      <w:color w:val="auto"/>
                      <w:sz w:val="18"/>
                      <w:szCs w:val="18"/>
                      <w:lang w:val="en-US" w:eastAsia="zh-CN"/>
                    </w:rPr>
                    <w:t>77</w:t>
                  </w:r>
                  <w:r>
                    <w:rPr>
                      <w:rFonts w:hint="eastAsia"/>
                      <w:color w:val="auto"/>
                      <w:sz w:val="18"/>
                      <w:szCs w:val="18"/>
                    </w:rPr>
                    <w:t>×10</w:t>
                  </w:r>
                  <w:r>
                    <w:rPr>
                      <w:rFonts w:hint="eastAsia"/>
                      <w:color w:val="auto"/>
                      <w:sz w:val="18"/>
                      <w:szCs w:val="18"/>
                      <w:vertAlign w:val="superscript"/>
                    </w:rPr>
                    <w:t>-3</w:t>
                  </w:r>
                </w:p>
              </w:tc>
              <w:tc>
                <w:tcPr>
                  <w:tcW w:w="648" w:type="dxa"/>
                  <w:vAlign w:val="center"/>
                </w:tcPr>
                <w:p>
                  <w:pPr>
                    <w:widowControl/>
                    <w:ind w:left="-105" w:leftChars="-50" w:right="-105" w:rightChars="-50"/>
                    <w:jc w:val="center"/>
                    <w:textAlignment w:val="center"/>
                    <w:rPr>
                      <w:color w:val="auto"/>
                      <w:sz w:val="18"/>
                      <w:szCs w:val="18"/>
                    </w:rPr>
                  </w:pPr>
                  <w:r>
                    <w:rPr>
                      <w:color w:val="auto"/>
                      <w:sz w:val="18"/>
                      <w:szCs w:val="18"/>
                    </w:rPr>
                    <w:t>0.</w:t>
                  </w:r>
                  <w:r>
                    <w:rPr>
                      <w:rFonts w:hint="eastAsia"/>
                      <w:color w:val="auto"/>
                      <w:sz w:val="18"/>
                      <w:szCs w:val="18"/>
                    </w:rPr>
                    <w:t>137</w:t>
                  </w:r>
                </w:p>
              </w:tc>
              <w:tc>
                <w:tcPr>
                  <w:tcW w:w="720" w:type="dxa"/>
                  <w:vMerge w:val="restart"/>
                  <w:vAlign w:val="center"/>
                </w:tcPr>
                <w:p>
                  <w:pPr>
                    <w:widowControl/>
                    <w:wordWrap w:val="0"/>
                    <w:ind w:left="-105" w:leftChars="-50" w:right="-105" w:rightChars="-50"/>
                    <w:jc w:val="center"/>
                    <w:textAlignment w:val="center"/>
                    <w:rPr>
                      <w:color w:val="auto"/>
                      <w:sz w:val="18"/>
                      <w:szCs w:val="18"/>
                    </w:rPr>
                  </w:pPr>
                  <w:r>
                    <w:rPr>
                      <w:color w:val="auto"/>
                      <w:sz w:val="18"/>
                      <w:szCs w:val="18"/>
                    </w:rPr>
                    <w:t>《医疗机构水污染物排放标准》（GB18466-2005）中的表3</w:t>
                  </w:r>
                </w:p>
              </w:tc>
              <w:tc>
                <w:tcPr>
                  <w:tcW w:w="648" w:type="dxa"/>
                  <w:vAlign w:val="center"/>
                </w:tcPr>
                <w:p>
                  <w:pPr>
                    <w:widowControl/>
                    <w:ind w:left="-105" w:leftChars="-50" w:right="-105" w:rightChars="-50"/>
                    <w:jc w:val="center"/>
                    <w:textAlignment w:val="center"/>
                    <w:rPr>
                      <w:color w:val="auto"/>
                      <w:sz w:val="18"/>
                      <w:szCs w:val="18"/>
                    </w:rPr>
                  </w:pPr>
                  <w:r>
                    <w:rPr>
                      <w:color w:val="auto"/>
                      <w:sz w:val="18"/>
                      <w:szCs w:val="18"/>
                    </w:rPr>
                    <w:t>1.0</w:t>
                  </w:r>
                </w:p>
              </w:tc>
              <w:tc>
                <w:tcPr>
                  <w:tcW w:w="476" w:type="dxa"/>
                  <w:vAlign w:val="center"/>
                </w:tcPr>
                <w:p>
                  <w:pPr>
                    <w:widowControl/>
                    <w:ind w:left="-105" w:leftChars="-50" w:right="-105" w:rightChars="-50"/>
                    <w:jc w:val="center"/>
                    <w:textAlignment w:val="center"/>
                    <w:rPr>
                      <w:color w:val="auto"/>
                      <w:sz w:val="18"/>
                      <w:szCs w:val="18"/>
                    </w:rPr>
                  </w:pPr>
                  <w:r>
                    <w:rPr>
                      <w:color w:val="auto"/>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0" w:type="dxa"/>
                  <w:vMerge w:val="continue"/>
                  <w:vAlign w:val="center"/>
                </w:tcPr>
                <w:p>
                  <w:pPr>
                    <w:widowControl/>
                    <w:ind w:left="-105" w:leftChars="-50" w:right="-105" w:rightChars="-50"/>
                    <w:jc w:val="left"/>
                    <w:rPr>
                      <w:color w:val="auto"/>
                      <w:sz w:val="18"/>
                      <w:szCs w:val="18"/>
                    </w:rPr>
                  </w:pPr>
                </w:p>
              </w:tc>
              <w:tc>
                <w:tcPr>
                  <w:tcW w:w="449" w:type="dxa"/>
                  <w:vAlign w:val="center"/>
                </w:tcPr>
                <w:p>
                  <w:pPr>
                    <w:widowControl/>
                    <w:ind w:left="-105" w:leftChars="-50" w:right="-105" w:rightChars="-50"/>
                    <w:jc w:val="center"/>
                    <w:textAlignment w:val="center"/>
                    <w:rPr>
                      <w:color w:val="auto"/>
                      <w:sz w:val="18"/>
                      <w:szCs w:val="18"/>
                    </w:rPr>
                  </w:pPr>
                  <w:r>
                    <w:rPr>
                      <w:color w:val="auto"/>
                      <w:sz w:val="18"/>
                      <w:szCs w:val="18"/>
                    </w:rPr>
                    <w:t>H</w:t>
                  </w:r>
                  <w:r>
                    <w:rPr>
                      <w:color w:val="auto"/>
                      <w:sz w:val="18"/>
                      <w:szCs w:val="18"/>
                      <w:vertAlign w:val="subscript"/>
                    </w:rPr>
                    <w:t>2</w:t>
                  </w:r>
                  <w:r>
                    <w:rPr>
                      <w:color w:val="auto"/>
                      <w:sz w:val="18"/>
                      <w:szCs w:val="18"/>
                    </w:rPr>
                    <w:t>S</w:t>
                  </w:r>
                </w:p>
              </w:tc>
              <w:tc>
                <w:tcPr>
                  <w:tcW w:w="557" w:type="dxa"/>
                  <w:vAlign w:val="center"/>
                </w:tcPr>
                <w:p>
                  <w:pPr>
                    <w:widowControl/>
                    <w:ind w:left="-105" w:leftChars="-50" w:right="-105" w:rightChars="-50"/>
                    <w:jc w:val="center"/>
                    <w:textAlignment w:val="center"/>
                    <w:rPr>
                      <w:rFonts w:hint="default" w:eastAsia="宋体"/>
                      <w:color w:val="auto"/>
                      <w:sz w:val="18"/>
                      <w:szCs w:val="18"/>
                      <w:lang w:val="en-US" w:eastAsia="zh-CN"/>
                    </w:rPr>
                  </w:pPr>
                  <w:r>
                    <w:rPr>
                      <w:color w:val="auto"/>
                      <w:sz w:val="18"/>
                      <w:szCs w:val="18"/>
                    </w:rPr>
                    <w:t>0.0</w:t>
                  </w:r>
                  <w:r>
                    <w:rPr>
                      <w:rFonts w:hint="eastAsia"/>
                      <w:color w:val="auto"/>
                      <w:sz w:val="18"/>
                      <w:szCs w:val="18"/>
                      <w:lang w:val="en-US" w:eastAsia="zh-CN"/>
                    </w:rPr>
                    <w:t>26</w:t>
                  </w:r>
                </w:p>
              </w:tc>
              <w:tc>
                <w:tcPr>
                  <w:tcW w:w="1018" w:type="dxa"/>
                  <w:vAlign w:val="center"/>
                </w:tcPr>
                <w:p>
                  <w:pPr>
                    <w:widowControl/>
                    <w:ind w:left="-105" w:leftChars="-50" w:right="-105" w:rightChars="-50"/>
                    <w:jc w:val="center"/>
                    <w:textAlignment w:val="center"/>
                    <w:rPr>
                      <w:color w:val="auto"/>
                      <w:sz w:val="18"/>
                      <w:szCs w:val="18"/>
                    </w:rPr>
                  </w:pPr>
                  <w:r>
                    <w:rPr>
                      <w:rFonts w:hint="eastAsia"/>
                      <w:color w:val="auto"/>
                      <w:sz w:val="18"/>
                      <w:szCs w:val="18"/>
                    </w:rPr>
                    <w:t>0.003×10</w:t>
                  </w:r>
                  <w:r>
                    <w:rPr>
                      <w:rFonts w:hint="eastAsia"/>
                      <w:color w:val="auto"/>
                      <w:sz w:val="18"/>
                      <w:szCs w:val="18"/>
                      <w:vertAlign w:val="superscript"/>
                    </w:rPr>
                    <w:t>-3</w:t>
                  </w:r>
                </w:p>
              </w:tc>
              <w:tc>
                <w:tcPr>
                  <w:tcW w:w="675" w:type="dxa"/>
                  <w:vAlign w:val="center"/>
                </w:tcPr>
                <w:p>
                  <w:pPr>
                    <w:widowControl/>
                    <w:ind w:left="-105" w:leftChars="-50" w:right="-105" w:rightChars="-50"/>
                    <w:jc w:val="center"/>
                    <w:textAlignment w:val="center"/>
                    <w:rPr>
                      <w:color w:val="auto"/>
                      <w:sz w:val="18"/>
                      <w:szCs w:val="18"/>
                    </w:rPr>
                  </w:pPr>
                  <w:r>
                    <w:rPr>
                      <w:color w:val="auto"/>
                      <w:sz w:val="18"/>
                      <w:szCs w:val="18"/>
                    </w:rPr>
                    <w:t>0.0</w:t>
                  </w:r>
                  <w:r>
                    <w:rPr>
                      <w:rFonts w:hint="eastAsia"/>
                      <w:color w:val="auto"/>
                      <w:sz w:val="18"/>
                      <w:szCs w:val="18"/>
                    </w:rPr>
                    <w:t>22</w:t>
                  </w:r>
                </w:p>
              </w:tc>
              <w:tc>
                <w:tcPr>
                  <w:tcW w:w="416" w:type="dxa"/>
                  <w:vMerge w:val="continue"/>
                  <w:vAlign w:val="center"/>
                </w:tcPr>
                <w:p>
                  <w:pPr>
                    <w:widowControl/>
                    <w:ind w:left="-105" w:leftChars="-50" w:right="-105" w:rightChars="-50"/>
                    <w:jc w:val="left"/>
                    <w:rPr>
                      <w:color w:val="auto"/>
                      <w:sz w:val="18"/>
                      <w:szCs w:val="18"/>
                    </w:rPr>
                  </w:pPr>
                </w:p>
              </w:tc>
              <w:tc>
                <w:tcPr>
                  <w:tcW w:w="534" w:type="dxa"/>
                  <w:vMerge w:val="continue"/>
                  <w:vAlign w:val="center"/>
                </w:tcPr>
                <w:p>
                  <w:pPr>
                    <w:widowControl/>
                    <w:ind w:left="-105" w:leftChars="-50" w:right="-105" w:rightChars="-50"/>
                    <w:jc w:val="left"/>
                    <w:rPr>
                      <w:color w:val="auto"/>
                      <w:sz w:val="18"/>
                      <w:szCs w:val="18"/>
                    </w:rPr>
                  </w:pPr>
                </w:p>
              </w:tc>
              <w:tc>
                <w:tcPr>
                  <w:tcW w:w="458" w:type="dxa"/>
                  <w:vAlign w:val="center"/>
                </w:tcPr>
                <w:p>
                  <w:pPr>
                    <w:widowControl/>
                    <w:ind w:left="-105" w:leftChars="-50" w:right="-105" w:rightChars="-50"/>
                    <w:jc w:val="center"/>
                    <w:textAlignment w:val="center"/>
                    <w:rPr>
                      <w:color w:val="auto"/>
                      <w:sz w:val="18"/>
                      <w:szCs w:val="18"/>
                    </w:rPr>
                  </w:pPr>
                  <w:r>
                    <w:rPr>
                      <w:color w:val="auto"/>
                      <w:sz w:val="18"/>
                      <w:szCs w:val="18"/>
                    </w:rPr>
                    <w:t>0.0</w:t>
                  </w:r>
                  <w:r>
                    <w:rPr>
                      <w:rFonts w:hint="eastAsia"/>
                      <w:color w:val="auto"/>
                      <w:sz w:val="18"/>
                      <w:szCs w:val="18"/>
                      <w:lang w:val="en-US" w:eastAsia="zh-CN"/>
                    </w:rPr>
                    <w:t>26</w:t>
                  </w:r>
                </w:p>
              </w:tc>
              <w:tc>
                <w:tcPr>
                  <w:tcW w:w="958" w:type="dxa"/>
                  <w:vAlign w:val="center"/>
                </w:tcPr>
                <w:p>
                  <w:pPr>
                    <w:widowControl/>
                    <w:ind w:left="-105" w:leftChars="-50" w:right="-105" w:rightChars="-50"/>
                    <w:jc w:val="center"/>
                    <w:textAlignment w:val="center"/>
                    <w:rPr>
                      <w:color w:val="auto"/>
                      <w:sz w:val="18"/>
                      <w:szCs w:val="18"/>
                    </w:rPr>
                  </w:pPr>
                  <w:r>
                    <w:rPr>
                      <w:rFonts w:hint="eastAsia"/>
                      <w:color w:val="auto"/>
                      <w:sz w:val="18"/>
                      <w:szCs w:val="18"/>
                    </w:rPr>
                    <w:t>0.003×10</w:t>
                  </w:r>
                  <w:r>
                    <w:rPr>
                      <w:rFonts w:hint="eastAsia"/>
                      <w:color w:val="auto"/>
                      <w:sz w:val="18"/>
                      <w:szCs w:val="18"/>
                      <w:vertAlign w:val="superscript"/>
                    </w:rPr>
                    <w:t>-3</w:t>
                  </w:r>
                </w:p>
              </w:tc>
              <w:tc>
                <w:tcPr>
                  <w:tcW w:w="648" w:type="dxa"/>
                  <w:vAlign w:val="center"/>
                </w:tcPr>
                <w:p>
                  <w:pPr>
                    <w:widowControl/>
                    <w:ind w:left="-105" w:leftChars="-50" w:right="-105" w:rightChars="-50"/>
                    <w:jc w:val="center"/>
                    <w:textAlignment w:val="center"/>
                    <w:rPr>
                      <w:color w:val="auto"/>
                      <w:sz w:val="18"/>
                      <w:szCs w:val="18"/>
                    </w:rPr>
                  </w:pPr>
                  <w:r>
                    <w:rPr>
                      <w:color w:val="auto"/>
                      <w:sz w:val="18"/>
                      <w:szCs w:val="18"/>
                    </w:rPr>
                    <w:t>0.0</w:t>
                  </w:r>
                  <w:r>
                    <w:rPr>
                      <w:rFonts w:hint="eastAsia"/>
                      <w:color w:val="auto"/>
                      <w:sz w:val="18"/>
                      <w:szCs w:val="18"/>
                    </w:rPr>
                    <w:t>22</w:t>
                  </w:r>
                </w:p>
              </w:tc>
              <w:tc>
                <w:tcPr>
                  <w:tcW w:w="720" w:type="dxa"/>
                  <w:vMerge w:val="continue"/>
                  <w:vAlign w:val="center"/>
                </w:tcPr>
                <w:p>
                  <w:pPr>
                    <w:widowControl/>
                    <w:ind w:left="-105" w:leftChars="-50" w:right="-105" w:rightChars="-50"/>
                    <w:jc w:val="left"/>
                    <w:rPr>
                      <w:color w:val="auto"/>
                      <w:sz w:val="18"/>
                      <w:szCs w:val="18"/>
                    </w:rPr>
                  </w:pPr>
                </w:p>
              </w:tc>
              <w:tc>
                <w:tcPr>
                  <w:tcW w:w="648" w:type="dxa"/>
                  <w:vAlign w:val="center"/>
                </w:tcPr>
                <w:p>
                  <w:pPr>
                    <w:widowControl/>
                    <w:ind w:left="-105" w:leftChars="-50" w:right="-105" w:rightChars="-50"/>
                    <w:jc w:val="center"/>
                    <w:textAlignment w:val="center"/>
                    <w:rPr>
                      <w:color w:val="auto"/>
                      <w:sz w:val="18"/>
                      <w:szCs w:val="18"/>
                    </w:rPr>
                  </w:pPr>
                  <w:r>
                    <w:rPr>
                      <w:color w:val="auto"/>
                      <w:sz w:val="18"/>
                      <w:szCs w:val="18"/>
                    </w:rPr>
                    <w:t>0.03</w:t>
                  </w:r>
                </w:p>
              </w:tc>
              <w:tc>
                <w:tcPr>
                  <w:tcW w:w="476" w:type="dxa"/>
                  <w:vAlign w:val="center"/>
                </w:tcPr>
                <w:p>
                  <w:pPr>
                    <w:widowControl/>
                    <w:ind w:left="-105" w:leftChars="-50" w:right="-105" w:rightChars="-50"/>
                    <w:jc w:val="center"/>
                    <w:textAlignment w:val="center"/>
                    <w:rPr>
                      <w:color w:val="auto"/>
                      <w:sz w:val="18"/>
                      <w:szCs w:val="18"/>
                    </w:rPr>
                  </w:pPr>
                  <w:r>
                    <w:rPr>
                      <w:color w:val="auto"/>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0" w:type="dxa"/>
                  <w:vMerge w:val="continue"/>
                  <w:vAlign w:val="center"/>
                </w:tcPr>
                <w:p>
                  <w:pPr>
                    <w:widowControl/>
                    <w:ind w:left="-105" w:leftChars="-50" w:right="-105" w:rightChars="-50"/>
                    <w:jc w:val="left"/>
                    <w:rPr>
                      <w:color w:val="auto"/>
                      <w:sz w:val="18"/>
                      <w:szCs w:val="18"/>
                    </w:rPr>
                  </w:pPr>
                </w:p>
              </w:tc>
              <w:tc>
                <w:tcPr>
                  <w:tcW w:w="449" w:type="dxa"/>
                  <w:vAlign w:val="center"/>
                </w:tcPr>
                <w:p>
                  <w:pPr>
                    <w:widowControl/>
                    <w:ind w:left="-105" w:leftChars="-50" w:right="-105" w:rightChars="-50"/>
                    <w:jc w:val="center"/>
                    <w:textAlignment w:val="center"/>
                    <w:rPr>
                      <w:color w:val="auto"/>
                      <w:sz w:val="18"/>
                      <w:szCs w:val="18"/>
                    </w:rPr>
                  </w:pPr>
                  <w:r>
                    <w:rPr>
                      <w:color w:val="auto"/>
                      <w:sz w:val="18"/>
                      <w:szCs w:val="18"/>
                    </w:rPr>
                    <w:t>臭气浓度</w:t>
                  </w:r>
                </w:p>
              </w:tc>
              <w:tc>
                <w:tcPr>
                  <w:tcW w:w="557" w:type="dxa"/>
                  <w:vAlign w:val="center"/>
                </w:tcPr>
                <w:p>
                  <w:pPr>
                    <w:widowControl/>
                    <w:ind w:left="-105" w:leftChars="-50" w:right="-105" w:rightChars="-50"/>
                    <w:jc w:val="center"/>
                    <w:textAlignment w:val="center"/>
                    <w:rPr>
                      <w:color w:val="auto"/>
                      <w:sz w:val="18"/>
                      <w:szCs w:val="18"/>
                    </w:rPr>
                  </w:pPr>
                  <w:r>
                    <w:rPr>
                      <w:color w:val="auto"/>
                      <w:sz w:val="18"/>
                      <w:szCs w:val="18"/>
                    </w:rPr>
                    <w:t>/</w:t>
                  </w:r>
                </w:p>
              </w:tc>
              <w:tc>
                <w:tcPr>
                  <w:tcW w:w="1018" w:type="dxa"/>
                  <w:vAlign w:val="center"/>
                </w:tcPr>
                <w:p>
                  <w:pPr>
                    <w:widowControl/>
                    <w:ind w:left="-105" w:leftChars="-50" w:right="-105" w:rightChars="-50"/>
                    <w:jc w:val="center"/>
                    <w:textAlignment w:val="center"/>
                    <w:rPr>
                      <w:color w:val="auto"/>
                      <w:sz w:val="18"/>
                      <w:szCs w:val="18"/>
                    </w:rPr>
                  </w:pPr>
                  <w:r>
                    <w:rPr>
                      <w:color w:val="auto"/>
                      <w:sz w:val="18"/>
                      <w:szCs w:val="18"/>
                    </w:rPr>
                    <w:t>/</w:t>
                  </w:r>
                </w:p>
              </w:tc>
              <w:tc>
                <w:tcPr>
                  <w:tcW w:w="675" w:type="dxa"/>
                  <w:vAlign w:val="center"/>
                </w:tcPr>
                <w:p>
                  <w:pPr>
                    <w:widowControl/>
                    <w:ind w:left="-105" w:leftChars="-50" w:right="-105" w:rightChars="-50"/>
                    <w:jc w:val="center"/>
                    <w:textAlignment w:val="center"/>
                    <w:rPr>
                      <w:color w:val="auto"/>
                      <w:sz w:val="18"/>
                      <w:szCs w:val="18"/>
                    </w:rPr>
                  </w:pPr>
                  <w:r>
                    <w:rPr>
                      <w:color w:val="auto"/>
                      <w:sz w:val="18"/>
                      <w:szCs w:val="18"/>
                    </w:rPr>
                    <w:t>＜10（无量纲）</w:t>
                  </w:r>
                </w:p>
              </w:tc>
              <w:tc>
                <w:tcPr>
                  <w:tcW w:w="416" w:type="dxa"/>
                  <w:vMerge w:val="continue"/>
                  <w:vAlign w:val="center"/>
                </w:tcPr>
                <w:p>
                  <w:pPr>
                    <w:widowControl/>
                    <w:ind w:left="-105" w:leftChars="-50" w:right="-105" w:rightChars="-50"/>
                    <w:jc w:val="left"/>
                    <w:rPr>
                      <w:color w:val="auto"/>
                      <w:sz w:val="18"/>
                      <w:szCs w:val="18"/>
                    </w:rPr>
                  </w:pPr>
                </w:p>
              </w:tc>
              <w:tc>
                <w:tcPr>
                  <w:tcW w:w="534" w:type="dxa"/>
                  <w:vMerge w:val="continue"/>
                  <w:vAlign w:val="center"/>
                </w:tcPr>
                <w:p>
                  <w:pPr>
                    <w:widowControl/>
                    <w:ind w:left="-105" w:leftChars="-50" w:right="-105" w:rightChars="-50"/>
                    <w:jc w:val="left"/>
                    <w:rPr>
                      <w:color w:val="auto"/>
                      <w:sz w:val="18"/>
                      <w:szCs w:val="18"/>
                    </w:rPr>
                  </w:pPr>
                </w:p>
              </w:tc>
              <w:tc>
                <w:tcPr>
                  <w:tcW w:w="458" w:type="dxa"/>
                  <w:vAlign w:val="center"/>
                </w:tcPr>
                <w:p>
                  <w:pPr>
                    <w:widowControl/>
                    <w:ind w:left="-105" w:leftChars="-50" w:right="-105" w:rightChars="-50"/>
                    <w:jc w:val="center"/>
                    <w:textAlignment w:val="center"/>
                    <w:rPr>
                      <w:color w:val="auto"/>
                      <w:sz w:val="18"/>
                      <w:szCs w:val="18"/>
                    </w:rPr>
                  </w:pPr>
                  <w:r>
                    <w:rPr>
                      <w:color w:val="auto"/>
                      <w:sz w:val="18"/>
                      <w:szCs w:val="18"/>
                    </w:rPr>
                    <w:t>/</w:t>
                  </w:r>
                </w:p>
              </w:tc>
              <w:tc>
                <w:tcPr>
                  <w:tcW w:w="958" w:type="dxa"/>
                  <w:vAlign w:val="center"/>
                </w:tcPr>
                <w:p>
                  <w:pPr>
                    <w:widowControl/>
                    <w:ind w:left="-105" w:leftChars="-50" w:right="-105" w:rightChars="-50"/>
                    <w:jc w:val="center"/>
                    <w:textAlignment w:val="center"/>
                    <w:rPr>
                      <w:color w:val="auto"/>
                      <w:sz w:val="18"/>
                      <w:szCs w:val="18"/>
                    </w:rPr>
                  </w:pPr>
                  <w:r>
                    <w:rPr>
                      <w:color w:val="auto"/>
                      <w:sz w:val="18"/>
                      <w:szCs w:val="18"/>
                    </w:rPr>
                    <w:t>/</w:t>
                  </w:r>
                </w:p>
              </w:tc>
              <w:tc>
                <w:tcPr>
                  <w:tcW w:w="648" w:type="dxa"/>
                  <w:vAlign w:val="center"/>
                </w:tcPr>
                <w:p>
                  <w:pPr>
                    <w:widowControl/>
                    <w:ind w:left="-105" w:leftChars="-50" w:right="-105" w:rightChars="-50"/>
                    <w:jc w:val="center"/>
                    <w:textAlignment w:val="center"/>
                    <w:rPr>
                      <w:color w:val="auto"/>
                      <w:sz w:val="18"/>
                      <w:szCs w:val="18"/>
                    </w:rPr>
                  </w:pPr>
                  <w:r>
                    <w:rPr>
                      <w:color w:val="auto"/>
                      <w:sz w:val="18"/>
                      <w:szCs w:val="18"/>
                    </w:rPr>
                    <w:t>＜10（无量纲）</w:t>
                  </w:r>
                </w:p>
              </w:tc>
              <w:tc>
                <w:tcPr>
                  <w:tcW w:w="720" w:type="dxa"/>
                  <w:vMerge w:val="continue"/>
                  <w:vAlign w:val="center"/>
                </w:tcPr>
                <w:p>
                  <w:pPr>
                    <w:widowControl/>
                    <w:ind w:left="-105" w:leftChars="-50" w:right="-105" w:rightChars="-50"/>
                    <w:jc w:val="left"/>
                    <w:rPr>
                      <w:color w:val="auto"/>
                      <w:sz w:val="18"/>
                      <w:szCs w:val="18"/>
                    </w:rPr>
                  </w:pPr>
                </w:p>
              </w:tc>
              <w:tc>
                <w:tcPr>
                  <w:tcW w:w="648" w:type="dxa"/>
                  <w:vAlign w:val="center"/>
                </w:tcPr>
                <w:p>
                  <w:pPr>
                    <w:widowControl/>
                    <w:ind w:left="-105" w:leftChars="-50" w:right="-105" w:rightChars="-50"/>
                    <w:jc w:val="center"/>
                    <w:textAlignment w:val="center"/>
                    <w:rPr>
                      <w:color w:val="auto"/>
                      <w:sz w:val="18"/>
                      <w:szCs w:val="18"/>
                    </w:rPr>
                  </w:pPr>
                  <w:r>
                    <w:rPr>
                      <w:color w:val="auto"/>
                      <w:sz w:val="18"/>
                      <w:szCs w:val="18"/>
                    </w:rPr>
                    <w:t>10</w:t>
                  </w:r>
                </w:p>
              </w:tc>
              <w:tc>
                <w:tcPr>
                  <w:tcW w:w="476" w:type="dxa"/>
                  <w:vAlign w:val="center"/>
                </w:tcPr>
                <w:p>
                  <w:pPr>
                    <w:widowControl/>
                    <w:ind w:left="-105" w:leftChars="-50" w:right="-105" w:rightChars="-50"/>
                    <w:jc w:val="center"/>
                    <w:textAlignment w:val="center"/>
                    <w:rPr>
                      <w:color w:val="auto"/>
                      <w:sz w:val="18"/>
                      <w:szCs w:val="18"/>
                    </w:rPr>
                  </w:pPr>
                  <w:r>
                    <w:rPr>
                      <w:color w:val="auto"/>
                      <w:sz w:val="18"/>
                      <w:szCs w:val="18"/>
                    </w:rPr>
                    <w:t>达标</w:t>
                  </w:r>
                </w:p>
              </w:tc>
            </w:tr>
          </w:tbl>
          <w:p>
            <w:pPr>
              <w:pStyle w:val="12"/>
              <w:spacing w:before="120" w:beforeLines="50"/>
              <w:rPr>
                <w:color w:val="auto"/>
                <w:kern w:val="0"/>
              </w:rPr>
            </w:pPr>
            <w:r>
              <w:rPr>
                <w:rFonts w:hint="eastAsia"/>
                <w:color w:val="auto"/>
              </w:rPr>
              <w:t>2、达标分析及措施可行性</w:t>
            </w:r>
          </w:p>
          <w:p>
            <w:pPr>
              <w:pStyle w:val="12"/>
              <w:rPr>
                <w:color w:val="auto"/>
              </w:rPr>
            </w:pPr>
            <w:r>
              <w:rPr>
                <w:rFonts w:hint="eastAsia"/>
                <w:color w:val="auto"/>
              </w:rPr>
              <w:t>本项目自建的污水处理设施为地下封闭式一体化箱式结构，各构筑物均为密闭结构，且位于地下一层的，日常通过喷洒除臭剂降低臭气对周围环境的影响。在采取上述措施后，根据污染源强核算，污水处理站臭气无组织氨、硫化氢的排放浓度以及臭气浓度可满足《医疗机构水污染物排放标准》（GB18466-2005）中的标准要求，污水处理站臭气可达标排放。因此，措施可行。</w:t>
            </w:r>
          </w:p>
          <w:p>
            <w:pPr>
              <w:pStyle w:val="12"/>
              <w:rPr>
                <w:color w:val="auto"/>
              </w:rPr>
            </w:pPr>
            <w:r>
              <w:rPr>
                <w:rFonts w:hint="eastAsia"/>
                <w:color w:val="auto"/>
              </w:rPr>
              <w:t>3、监测要求</w:t>
            </w:r>
          </w:p>
          <w:p>
            <w:pPr>
              <w:pStyle w:val="12"/>
              <w:rPr>
                <w:color w:val="auto"/>
              </w:rPr>
            </w:pPr>
            <w:r>
              <w:rPr>
                <w:rFonts w:hint="eastAsia"/>
                <w:color w:val="auto"/>
              </w:rPr>
              <w:t>根据《排污许可证申请与核发技术规范 医疗机构》（HJ1105-2020），废气监测要求具体见表4-2。</w:t>
            </w:r>
          </w:p>
          <w:p>
            <w:pPr>
              <w:pStyle w:val="15"/>
              <w:rPr>
                <w:color w:val="auto"/>
              </w:rPr>
            </w:pPr>
            <w:r>
              <w:rPr>
                <w:color w:val="auto"/>
              </w:rPr>
              <w:t>表</w:t>
            </w:r>
            <w:r>
              <w:rPr>
                <w:rFonts w:hint="eastAsia"/>
                <w:color w:val="auto"/>
              </w:rPr>
              <w:t>4-2  废气监测要求</w:t>
            </w:r>
            <w:r>
              <w:rPr>
                <w:color w:val="auto"/>
              </w:rPr>
              <w:t>一览表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593"/>
              <w:gridCol w:w="1584"/>
              <w:gridCol w:w="1201"/>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92" w:type="pct"/>
                  <w:vAlign w:val="center"/>
                </w:tcPr>
                <w:p>
                  <w:pPr>
                    <w:pStyle w:val="11"/>
                    <w:ind w:left="-63" w:leftChars="-30" w:right="-63" w:rightChars="-30"/>
                    <w:rPr>
                      <w:color w:val="auto"/>
                    </w:rPr>
                  </w:pPr>
                  <w:r>
                    <w:rPr>
                      <w:color w:val="auto"/>
                    </w:rPr>
                    <w:t>监测</w:t>
                  </w:r>
                </w:p>
                <w:p>
                  <w:pPr>
                    <w:pStyle w:val="11"/>
                    <w:ind w:left="-63" w:leftChars="-30" w:right="-63" w:rightChars="-30"/>
                    <w:rPr>
                      <w:color w:val="auto"/>
                    </w:rPr>
                  </w:pPr>
                  <w:r>
                    <w:rPr>
                      <w:color w:val="auto"/>
                    </w:rPr>
                    <w:t>类别</w:t>
                  </w:r>
                </w:p>
              </w:tc>
              <w:tc>
                <w:tcPr>
                  <w:tcW w:w="998" w:type="pct"/>
                  <w:vAlign w:val="center"/>
                </w:tcPr>
                <w:p>
                  <w:pPr>
                    <w:pStyle w:val="11"/>
                    <w:ind w:left="-63" w:leftChars="-30" w:right="-63" w:rightChars="-30"/>
                    <w:rPr>
                      <w:color w:val="auto"/>
                    </w:rPr>
                  </w:pPr>
                  <w:r>
                    <w:rPr>
                      <w:color w:val="auto"/>
                    </w:rPr>
                    <w:t>监测点位</w:t>
                  </w:r>
                </w:p>
              </w:tc>
              <w:tc>
                <w:tcPr>
                  <w:tcW w:w="993" w:type="pct"/>
                  <w:vAlign w:val="center"/>
                </w:tcPr>
                <w:p>
                  <w:pPr>
                    <w:pStyle w:val="11"/>
                    <w:ind w:left="-63" w:leftChars="-30" w:right="-63" w:rightChars="-30"/>
                    <w:rPr>
                      <w:color w:val="auto"/>
                    </w:rPr>
                  </w:pPr>
                  <w:r>
                    <w:rPr>
                      <w:color w:val="auto"/>
                    </w:rPr>
                    <w:t>监测指标</w:t>
                  </w:r>
                </w:p>
              </w:tc>
              <w:tc>
                <w:tcPr>
                  <w:tcW w:w="753" w:type="pct"/>
                  <w:vAlign w:val="center"/>
                </w:tcPr>
                <w:p>
                  <w:pPr>
                    <w:pStyle w:val="11"/>
                    <w:ind w:left="-63" w:leftChars="-30" w:right="-63" w:rightChars="-30"/>
                    <w:rPr>
                      <w:color w:val="auto"/>
                    </w:rPr>
                  </w:pPr>
                  <w:r>
                    <w:rPr>
                      <w:color w:val="auto"/>
                    </w:rPr>
                    <w:t>监测频次</w:t>
                  </w:r>
                </w:p>
              </w:tc>
              <w:tc>
                <w:tcPr>
                  <w:tcW w:w="1763" w:type="pct"/>
                  <w:vAlign w:val="center"/>
                </w:tcPr>
                <w:p>
                  <w:pPr>
                    <w:pStyle w:val="11"/>
                    <w:ind w:left="-63" w:leftChars="-30" w:right="-63" w:rightChars="-30"/>
                    <w:rPr>
                      <w:color w:val="auto"/>
                    </w:rPr>
                  </w:pPr>
                  <w:r>
                    <w:rPr>
                      <w:color w:val="auto"/>
                    </w:rPr>
                    <w:t>执行污染物排放标准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2" w:type="pct"/>
                  <w:vAlign w:val="center"/>
                </w:tcPr>
                <w:p>
                  <w:pPr>
                    <w:pStyle w:val="11"/>
                    <w:ind w:left="-63" w:leftChars="-30" w:right="-63" w:rightChars="-30"/>
                    <w:rPr>
                      <w:color w:val="auto"/>
                    </w:rPr>
                  </w:pPr>
                  <w:r>
                    <w:rPr>
                      <w:color w:val="auto"/>
                    </w:rPr>
                    <w:t>无组织废气</w:t>
                  </w:r>
                </w:p>
              </w:tc>
              <w:tc>
                <w:tcPr>
                  <w:tcW w:w="998" w:type="pct"/>
                  <w:vAlign w:val="center"/>
                </w:tcPr>
                <w:p>
                  <w:pPr>
                    <w:pStyle w:val="11"/>
                    <w:ind w:left="-63" w:leftChars="-30" w:right="-63" w:rightChars="-30"/>
                    <w:rPr>
                      <w:color w:val="auto"/>
                    </w:rPr>
                  </w:pPr>
                  <w:r>
                    <w:rPr>
                      <w:color w:val="auto"/>
                    </w:rPr>
                    <w:t>污水处理站上下风向</w:t>
                  </w:r>
                </w:p>
              </w:tc>
              <w:tc>
                <w:tcPr>
                  <w:tcW w:w="993" w:type="pct"/>
                  <w:vAlign w:val="center"/>
                </w:tcPr>
                <w:p>
                  <w:pPr>
                    <w:pStyle w:val="11"/>
                    <w:ind w:left="-63" w:leftChars="-30" w:right="-63" w:rightChars="-30"/>
                    <w:rPr>
                      <w:color w:val="auto"/>
                    </w:rPr>
                  </w:pPr>
                  <w:r>
                    <w:rPr>
                      <w:color w:val="auto"/>
                    </w:rPr>
                    <w:t>NH</w:t>
                  </w:r>
                  <w:r>
                    <w:rPr>
                      <w:color w:val="auto"/>
                      <w:vertAlign w:val="subscript"/>
                    </w:rPr>
                    <w:t>3</w:t>
                  </w:r>
                  <w:r>
                    <w:rPr>
                      <w:color w:val="auto"/>
                    </w:rPr>
                    <w:t>、H</w:t>
                  </w:r>
                  <w:r>
                    <w:rPr>
                      <w:color w:val="auto"/>
                      <w:vertAlign w:val="subscript"/>
                    </w:rPr>
                    <w:t>2</w:t>
                  </w:r>
                  <w:r>
                    <w:rPr>
                      <w:color w:val="auto"/>
                    </w:rPr>
                    <w:t>S、臭气浓度、甲烷</w:t>
                  </w:r>
                </w:p>
              </w:tc>
              <w:tc>
                <w:tcPr>
                  <w:tcW w:w="753" w:type="pct"/>
                  <w:vAlign w:val="center"/>
                </w:tcPr>
                <w:p>
                  <w:pPr>
                    <w:pStyle w:val="11"/>
                    <w:ind w:left="-63" w:leftChars="-30" w:right="-63" w:rightChars="-30"/>
                    <w:rPr>
                      <w:color w:val="auto"/>
                    </w:rPr>
                  </w:pPr>
                  <w:r>
                    <w:rPr>
                      <w:color w:val="auto"/>
                    </w:rPr>
                    <w:t>1次/季度</w:t>
                  </w:r>
                </w:p>
              </w:tc>
              <w:tc>
                <w:tcPr>
                  <w:tcW w:w="1763" w:type="pct"/>
                  <w:vAlign w:val="center"/>
                </w:tcPr>
                <w:p>
                  <w:pPr>
                    <w:pStyle w:val="11"/>
                    <w:ind w:left="-63" w:leftChars="-30" w:right="-63" w:rightChars="-30"/>
                    <w:rPr>
                      <w:color w:val="auto"/>
                    </w:rPr>
                  </w:pPr>
                  <w:r>
                    <w:rPr>
                      <w:color w:val="auto"/>
                      <w:kern w:val="0"/>
                    </w:rPr>
                    <w:t>《医疗机构水污染物排放标准》（GB18466-2005）表3</w:t>
                  </w:r>
                </w:p>
              </w:tc>
            </w:tr>
          </w:tbl>
          <w:p>
            <w:pPr>
              <w:numPr>
                <w:ilvl w:val="0"/>
                <w:numId w:val="1"/>
              </w:numPr>
              <w:adjustRightInd w:val="0"/>
              <w:snapToGrid w:val="0"/>
              <w:spacing w:before="120" w:beforeLines="50" w:line="360" w:lineRule="auto"/>
              <w:ind w:firstLine="482" w:firstLineChars="200"/>
              <w:rPr>
                <w:b/>
                <w:bCs/>
                <w:color w:val="auto"/>
                <w:sz w:val="24"/>
                <w:szCs w:val="32"/>
              </w:rPr>
            </w:pPr>
            <w:r>
              <w:rPr>
                <w:b/>
                <w:bCs/>
                <w:color w:val="auto"/>
                <w:sz w:val="24"/>
                <w:szCs w:val="32"/>
              </w:rPr>
              <w:t>废水</w:t>
            </w:r>
          </w:p>
          <w:p>
            <w:pPr>
              <w:spacing w:line="360" w:lineRule="auto"/>
              <w:ind w:firstLine="480"/>
              <w:jc w:val="left"/>
              <w:rPr>
                <w:color w:val="auto"/>
                <w:sz w:val="24"/>
              </w:rPr>
            </w:pPr>
            <w:bookmarkStart w:id="9" w:name="_Hlk89959548"/>
            <w:r>
              <w:rPr>
                <w:rFonts w:hint="eastAsia"/>
                <w:color w:val="auto"/>
                <w:sz w:val="24"/>
              </w:rPr>
              <w:t>本项目运营期间废水主要医院门诊部、住院部、医务人员（生活污水）产生的废水。</w:t>
            </w:r>
          </w:p>
          <w:p>
            <w:pPr>
              <w:spacing w:line="360" w:lineRule="auto"/>
              <w:ind w:firstLine="480"/>
              <w:jc w:val="left"/>
              <w:rPr>
                <w:color w:val="auto"/>
                <w:sz w:val="24"/>
              </w:rPr>
            </w:pPr>
            <w:r>
              <w:rPr>
                <w:color w:val="auto"/>
                <w:sz w:val="24"/>
              </w:rPr>
              <w:t>1</w:t>
            </w:r>
            <w:r>
              <w:rPr>
                <w:rFonts w:hint="eastAsia"/>
                <w:color w:val="auto"/>
                <w:sz w:val="24"/>
              </w:rPr>
              <w:t>、废水产生环节</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color w:val="auto"/>
              </w:rPr>
            </w:pPr>
            <w:r>
              <w:rPr>
                <w:rFonts w:hint="eastAsia"/>
                <w:color w:val="auto"/>
                <w:sz w:val="24"/>
                <w:lang w:val="en-US" w:eastAsia="zh-CN"/>
              </w:rPr>
              <w:t>本项目</w:t>
            </w:r>
            <w:r>
              <w:rPr>
                <w:rFonts w:hint="eastAsia"/>
                <w:color w:val="auto"/>
                <w:sz w:val="24"/>
              </w:rPr>
              <w:t>医院门诊部、住院部、医务人员排水量分别为</w:t>
            </w:r>
            <w:r>
              <w:rPr>
                <w:color w:val="auto"/>
                <w:sz w:val="24"/>
              </w:rPr>
              <w:t>为</w:t>
            </w:r>
            <w:r>
              <w:rPr>
                <w:rFonts w:hint="eastAsia"/>
                <w:color w:val="auto"/>
                <w:sz w:val="24"/>
              </w:rPr>
              <w:t>1.056</w:t>
            </w:r>
            <w:r>
              <w:rPr>
                <w:rFonts w:hint="default"/>
                <w:color w:val="auto"/>
                <w:sz w:val="24"/>
              </w:rPr>
              <w:t>m</w:t>
            </w:r>
            <w:r>
              <w:rPr>
                <w:rFonts w:hint="default"/>
                <w:color w:val="auto"/>
                <w:sz w:val="24"/>
                <w:vertAlign w:val="superscript"/>
              </w:rPr>
              <w:t>3</w:t>
            </w:r>
            <w:r>
              <w:rPr>
                <w:rFonts w:hint="default"/>
                <w:color w:val="auto"/>
                <w:sz w:val="24"/>
              </w:rPr>
              <w:t>/d</w:t>
            </w:r>
            <w:r>
              <w:rPr>
                <w:rFonts w:hint="eastAsia"/>
                <w:color w:val="auto"/>
                <w:sz w:val="24"/>
              </w:rPr>
              <w:t>（385.4</w:t>
            </w:r>
            <w:r>
              <w:rPr>
                <w:rFonts w:hint="default"/>
                <w:color w:val="auto"/>
                <w:sz w:val="24"/>
              </w:rPr>
              <w:t>m</w:t>
            </w:r>
            <w:r>
              <w:rPr>
                <w:rFonts w:hint="default"/>
                <w:color w:val="auto"/>
                <w:sz w:val="24"/>
                <w:vertAlign w:val="superscript"/>
              </w:rPr>
              <w:t>3</w:t>
            </w:r>
            <w:r>
              <w:rPr>
                <w:rFonts w:hint="default"/>
                <w:color w:val="auto"/>
                <w:sz w:val="24"/>
              </w:rPr>
              <w:t>/a</w:t>
            </w:r>
            <w:r>
              <w:rPr>
                <w:rFonts w:hint="eastAsia"/>
                <w:color w:val="auto"/>
                <w:sz w:val="24"/>
              </w:rPr>
              <w:t>）、3.224</w:t>
            </w:r>
            <w:r>
              <w:rPr>
                <w:rFonts w:hint="default"/>
                <w:color w:val="auto"/>
                <w:sz w:val="24"/>
              </w:rPr>
              <w:t>m</w:t>
            </w:r>
            <w:r>
              <w:rPr>
                <w:rFonts w:hint="default"/>
                <w:color w:val="auto"/>
                <w:sz w:val="24"/>
                <w:vertAlign w:val="superscript"/>
              </w:rPr>
              <w:t>3</w:t>
            </w:r>
            <w:r>
              <w:rPr>
                <w:rFonts w:hint="default"/>
                <w:color w:val="auto"/>
                <w:sz w:val="24"/>
              </w:rPr>
              <w:t>/d</w:t>
            </w:r>
            <w:r>
              <w:rPr>
                <w:rFonts w:hint="eastAsia"/>
                <w:color w:val="auto"/>
                <w:sz w:val="24"/>
              </w:rPr>
              <w:t>（1176.8</w:t>
            </w:r>
            <w:r>
              <w:rPr>
                <w:rFonts w:hint="default"/>
                <w:color w:val="auto"/>
                <w:sz w:val="24"/>
              </w:rPr>
              <w:t>m</w:t>
            </w:r>
            <w:r>
              <w:rPr>
                <w:rFonts w:hint="default"/>
                <w:color w:val="auto"/>
                <w:sz w:val="24"/>
                <w:vertAlign w:val="superscript"/>
              </w:rPr>
              <w:t>3</w:t>
            </w:r>
            <w:r>
              <w:rPr>
                <w:rFonts w:hint="default"/>
                <w:color w:val="auto"/>
                <w:sz w:val="24"/>
              </w:rPr>
              <w:t>/a</w:t>
            </w:r>
            <w:r>
              <w:rPr>
                <w:rFonts w:hint="eastAsia"/>
                <w:color w:val="auto"/>
                <w:sz w:val="24"/>
              </w:rPr>
              <w:t>）、0.96</w:t>
            </w:r>
            <w:r>
              <w:rPr>
                <w:rFonts w:hint="default"/>
                <w:color w:val="auto"/>
                <w:sz w:val="24"/>
              </w:rPr>
              <w:t>m</w:t>
            </w:r>
            <w:r>
              <w:rPr>
                <w:rFonts w:hint="default"/>
                <w:color w:val="auto"/>
                <w:sz w:val="24"/>
                <w:vertAlign w:val="superscript"/>
              </w:rPr>
              <w:t>3</w:t>
            </w:r>
            <w:r>
              <w:rPr>
                <w:rFonts w:hint="default"/>
                <w:color w:val="auto"/>
                <w:sz w:val="24"/>
              </w:rPr>
              <w:t>/d</w:t>
            </w:r>
            <w:r>
              <w:rPr>
                <w:rFonts w:hint="eastAsia"/>
                <w:color w:val="auto"/>
                <w:sz w:val="24"/>
              </w:rPr>
              <w:t>（</w:t>
            </w:r>
            <w:r>
              <w:rPr>
                <w:rFonts w:hint="eastAsia"/>
                <w:color w:val="auto"/>
                <w:sz w:val="24"/>
                <w:lang w:val="en-US" w:eastAsia="zh-CN"/>
              </w:rPr>
              <w:t>350.4</w:t>
            </w:r>
            <w:r>
              <w:rPr>
                <w:rFonts w:hint="default"/>
                <w:color w:val="auto"/>
                <w:sz w:val="24"/>
              </w:rPr>
              <w:t>m</w:t>
            </w:r>
            <w:r>
              <w:rPr>
                <w:rFonts w:hint="default"/>
                <w:color w:val="auto"/>
                <w:sz w:val="24"/>
                <w:vertAlign w:val="superscript"/>
              </w:rPr>
              <w:t>3</w:t>
            </w:r>
            <w:r>
              <w:rPr>
                <w:rFonts w:hint="default"/>
                <w:color w:val="auto"/>
                <w:sz w:val="24"/>
              </w:rPr>
              <w:t>/a</w:t>
            </w:r>
            <w:r>
              <w:rPr>
                <w:rFonts w:hint="eastAsia"/>
                <w:color w:val="auto"/>
                <w:sz w:val="24"/>
              </w:rPr>
              <w:t>）</w:t>
            </w:r>
            <w:r>
              <w:rPr>
                <w:color w:val="auto"/>
                <w:sz w:val="24"/>
              </w:rPr>
              <w:t>，</w:t>
            </w:r>
            <w:r>
              <w:rPr>
                <w:rFonts w:hint="eastAsia"/>
                <w:color w:val="auto"/>
                <w:sz w:val="24"/>
              </w:rPr>
              <w:t>医疗废水（门诊部、住院部废水）与医务人员（生活污水）经一体化污水处理设施处理后依托国色天香化粪池处理后进入市政污水管网，最终进入西安市第九污水处理厂。主要污染物为</w:t>
            </w:r>
            <w:r>
              <w:rPr>
                <w:color w:val="auto"/>
                <w:sz w:val="24"/>
              </w:rPr>
              <w:t>COD</w:t>
            </w:r>
            <w:r>
              <w:rPr>
                <w:rFonts w:hint="eastAsia"/>
                <w:color w:val="auto"/>
                <w:sz w:val="24"/>
              </w:rPr>
              <w:t>、</w:t>
            </w:r>
            <w:r>
              <w:rPr>
                <w:color w:val="auto"/>
                <w:sz w:val="24"/>
              </w:rPr>
              <w:t>BOD</w:t>
            </w:r>
            <w:r>
              <w:rPr>
                <w:color w:val="auto"/>
                <w:sz w:val="24"/>
                <w:vertAlign w:val="subscript"/>
              </w:rPr>
              <w:t>5</w:t>
            </w:r>
            <w:r>
              <w:rPr>
                <w:rFonts w:hint="eastAsia"/>
                <w:color w:val="auto"/>
                <w:sz w:val="24"/>
              </w:rPr>
              <w:t>、氨氮、</w:t>
            </w:r>
            <w:r>
              <w:rPr>
                <w:color w:val="auto"/>
                <w:sz w:val="24"/>
              </w:rPr>
              <w:t>SS</w:t>
            </w:r>
            <w:r>
              <w:rPr>
                <w:rFonts w:hint="eastAsia"/>
                <w:color w:val="auto"/>
                <w:sz w:val="24"/>
              </w:rPr>
              <w:t>、动植物油、</w:t>
            </w:r>
            <w:r>
              <w:rPr>
                <w:color w:val="auto"/>
                <w:sz w:val="24"/>
              </w:rPr>
              <w:t>LAS</w:t>
            </w:r>
            <w:r>
              <w:rPr>
                <w:rFonts w:hint="eastAsia"/>
                <w:color w:val="auto"/>
                <w:sz w:val="24"/>
              </w:rPr>
              <w:t>及粪大肠菌群。</w:t>
            </w:r>
          </w:p>
          <w:p>
            <w:pPr>
              <w:adjustRightInd w:val="0"/>
              <w:snapToGrid w:val="0"/>
              <w:spacing w:line="360" w:lineRule="auto"/>
              <w:ind w:firstLine="480" w:firstLineChars="200"/>
              <w:rPr>
                <w:bCs/>
                <w:color w:val="auto"/>
                <w:szCs w:val="21"/>
              </w:rPr>
            </w:pPr>
            <w:r>
              <w:rPr>
                <w:rFonts w:hint="eastAsia"/>
                <w:bCs/>
                <w:color w:val="auto"/>
                <w:sz w:val="24"/>
              </w:rPr>
              <w:t>本项目综合废水类比现有项目</w:t>
            </w:r>
            <w:r>
              <w:rPr>
                <w:rFonts w:hint="eastAsia" w:ascii="宋体" w:hAnsi="宋体"/>
                <w:bCs/>
                <w:color w:val="auto"/>
                <w:kern w:val="0"/>
                <w:sz w:val="24"/>
              </w:rPr>
              <w:t>例行监测报告《西安长安强森医院有限公司废水监测》</w:t>
            </w:r>
            <w:r>
              <w:rPr>
                <w:rFonts w:hint="eastAsia"/>
                <w:bCs/>
                <w:color w:val="auto"/>
                <w:sz w:val="24"/>
              </w:rPr>
              <w:t>（编号：</w:t>
            </w:r>
            <w:r>
              <w:rPr>
                <w:bCs/>
                <w:color w:val="auto"/>
                <w:sz w:val="24"/>
              </w:rPr>
              <w:t>KYFD-202401-SZ023</w:t>
            </w:r>
            <w:r>
              <w:rPr>
                <w:rFonts w:hint="eastAsia"/>
                <w:bCs/>
                <w:color w:val="auto"/>
                <w:sz w:val="24"/>
              </w:rPr>
              <w:t>）中的废水监测数据（见附件</w:t>
            </w:r>
            <w:r>
              <w:rPr>
                <w:bCs/>
                <w:color w:val="auto"/>
                <w:sz w:val="24"/>
              </w:rPr>
              <w:t>7</w:t>
            </w:r>
            <w:r>
              <w:rPr>
                <w:rFonts w:hint="eastAsia"/>
                <w:bCs/>
                <w:color w:val="auto"/>
                <w:sz w:val="24"/>
              </w:rPr>
              <w:t>），现有项目与本项目工艺流程、产污环节情况及废水处理方法基本相同，因此，具有可类比性。</w:t>
            </w:r>
            <w:r>
              <w:rPr>
                <w:rFonts w:hint="eastAsia" w:ascii="宋体" w:hAnsi="宋体"/>
                <w:bCs/>
                <w:color w:val="auto"/>
                <w:sz w:val="24"/>
              </w:rPr>
              <w:t>本项目废水污染物排放情况见下表。</w:t>
            </w:r>
          </w:p>
          <w:p>
            <w:pPr>
              <w:adjustRightInd w:val="0"/>
              <w:snapToGrid w:val="0"/>
              <w:spacing w:line="360" w:lineRule="auto"/>
              <w:ind w:firstLine="480" w:firstLineChars="200"/>
              <w:rPr>
                <w:color w:val="auto"/>
                <w:sz w:val="24"/>
              </w:rPr>
            </w:pPr>
            <w:r>
              <w:rPr>
                <w:rFonts w:hint="eastAsia"/>
                <w:bCs/>
                <w:color w:val="auto"/>
                <w:sz w:val="24"/>
              </w:rPr>
              <w:t>本项目废水污染物排放情况见下表。</w:t>
            </w:r>
          </w:p>
          <w:p>
            <w:pPr>
              <w:pStyle w:val="15"/>
              <w:rPr>
                <w:color w:val="auto"/>
              </w:rPr>
            </w:pPr>
            <w:r>
              <w:rPr>
                <w:rFonts w:hint="eastAsia"/>
                <w:color w:val="auto"/>
              </w:rPr>
              <w:t>表</w:t>
            </w:r>
            <w:r>
              <w:rPr>
                <w:color w:val="auto"/>
              </w:rPr>
              <w:t>4-</w:t>
            </w:r>
            <w:r>
              <w:rPr>
                <w:rFonts w:hint="eastAsia"/>
                <w:color w:val="auto"/>
              </w:rPr>
              <w:t>3</w:t>
            </w:r>
            <w:r>
              <w:rPr>
                <w:color w:val="auto"/>
              </w:rPr>
              <w:t xml:space="preserve">  </w:t>
            </w:r>
            <w:r>
              <w:rPr>
                <w:rFonts w:hint="eastAsia"/>
                <w:color w:val="auto"/>
              </w:rPr>
              <w:t>废水排放情况一览表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913"/>
              <w:gridCol w:w="1559"/>
              <w:gridCol w:w="1611"/>
              <w:gridCol w:w="1648"/>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10" w:type="pct"/>
                  <w:vAlign w:val="center"/>
                </w:tcPr>
                <w:p>
                  <w:pPr>
                    <w:adjustRightInd w:val="0"/>
                    <w:snapToGrid w:val="0"/>
                    <w:jc w:val="center"/>
                    <w:rPr>
                      <w:color w:val="auto"/>
                      <w:kern w:val="24"/>
                    </w:rPr>
                  </w:pPr>
                  <w:r>
                    <w:rPr>
                      <w:rFonts w:hint="eastAsia"/>
                      <w:color w:val="auto"/>
                      <w:kern w:val="24"/>
                    </w:rPr>
                    <w:t>类别</w:t>
                  </w:r>
                </w:p>
              </w:tc>
              <w:tc>
                <w:tcPr>
                  <w:tcW w:w="572" w:type="pct"/>
                  <w:vAlign w:val="center"/>
                </w:tcPr>
                <w:p>
                  <w:pPr>
                    <w:adjustRightInd w:val="0"/>
                    <w:snapToGrid w:val="0"/>
                    <w:jc w:val="center"/>
                    <w:rPr>
                      <w:rFonts w:hint="default" w:eastAsia="宋体"/>
                      <w:color w:val="auto"/>
                      <w:kern w:val="24"/>
                      <w:vertAlign w:val="baseline"/>
                      <w:lang w:val="en-US" w:eastAsia="zh-CN"/>
                    </w:rPr>
                  </w:pPr>
                  <w:r>
                    <w:rPr>
                      <w:rFonts w:hint="eastAsia"/>
                      <w:color w:val="auto"/>
                      <w:kern w:val="24"/>
                    </w:rPr>
                    <w:t>废水量</w:t>
                  </w:r>
                  <w:r>
                    <w:rPr>
                      <w:rFonts w:hint="eastAsia"/>
                      <w:color w:val="auto"/>
                      <w:kern w:val="24"/>
                      <w:lang w:val="en-US" w:eastAsia="zh-CN"/>
                    </w:rPr>
                    <w:t>m</w:t>
                  </w:r>
                  <w:r>
                    <w:rPr>
                      <w:rFonts w:hint="eastAsia"/>
                      <w:color w:val="auto"/>
                      <w:kern w:val="24"/>
                      <w:vertAlign w:val="superscript"/>
                      <w:lang w:val="en-US" w:eastAsia="zh-CN"/>
                    </w:rPr>
                    <w:t>3</w:t>
                  </w:r>
                  <w:r>
                    <w:rPr>
                      <w:rFonts w:hint="eastAsia"/>
                      <w:color w:val="auto"/>
                      <w:kern w:val="24"/>
                      <w:vertAlign w:val="baseline"/>
                      <w:lang w:val="en-US" w:eastAsia="zh-CN"/>
                    </w:rPr>
                    <w:t>/a</w:t>
                  </w:r>
                </w:p>
              </w:tc>
              <w:tc>
                <w:tcPr>
                  <w:tcW w:w="977" w:type="pct"/>
                  <w:vAlign w:val="center"/>
                </w:tcPr>
                <w:p>
                  <w:pPr>
                    <w:adjustRightInd w:val="0"/>
                    <w:snapToGrid w:val="0"/>
                    <w:jc w:val="center"/>
                    <w:rPr>
                      <w:color w:val="auto"/>
                      <w:kern w:val="24"/>
                    </w:rPr>
                  </w:pPr>
                  <w:r>
                    <w:rPr>
                      <w:rFonts w:hint="eastAsia"/>
                      <w:color w:val="auto"/>
                      <w:kern w:val="24"/>
                    </w:rPr>
                    <w:t>处理措施</w:t>
                  </w:r>
                </w:p>
              </w:tc>
              <w:tc>
                <w:tcPr>
                  <w:tcW w:w="1009" w:type="pct"/>
                  <w:vAlign w:val="center"/>
                </w:tcPr>
                <w:p>
                  <w:pPr>
                    <w:adjustRightInd w:val="0"/>
                    <w:snapToGrid w:val="0"/>
                    <w:jc w:val="center"/>
                    <w:rPr>
                      <w:color w:val="auto"/>
                      <w:kern w:val="24"/>
                    </w:rPr>
                  </w:pPr>
                  <w:r>
                    <w:rPr>
                      <w:rFonts w:hint="eastAsia"/>
                      <w:color w:val="auto"/>
                      <w:kern w:val="24"/>
                    </w:rPr>
                    <w:t>污染物种类</w:t>
                  </w:r>
                </w:p>
              </w:tc>
              <w:tc>
                <w:tcPr>
                  <w:tcW w:w="1032" w:type="pct"/>
                  <w:vAlign w:val="center"/>
                </w:tcPr>
                <w:p>
                  <w:pPr>
                    <w:adjustRightInd w:val="0"/>
                    <w:snapToGrid w:val="0"/>
                    <w:jc w:val="center"/>
                    <w:rPr>
                      <w:color w:val="auto"/>
                      <w:kern w:val="24"/>
                    </w:rPr>
                  </w:pPr>
                  <w:r>
                    <w:rPr>
                      <w:rFonts w:hint="eastAsia"/>
                      <w:color w:val="auto"/>
                      <w:kern w:val="24"/>
                    </w:rPr>
                    <w:t>排放浓度</w:t>
                  </w:r>
                </w:p>
                <w:p>
                  <w:pPr>
                    <w:adjustRightInd w:val="0"/>
                    <w:snapToGrid w:val="0"/>
                    <w:jc w:val="center"/>
                    <w:rPr>
                      <w:color w:val="auto"/>
                      <w:kern w:val="24"/>
                    </w:rPr>
                  </w:pPr>
                  <w:r>
                    <w:rPr>
                      <w:rFonts w:hint="eastAsia"/>
                      <w:color w:val="auto"/>
                      <w:kern w:val="24"/>
                    </w:rPr>
                    <w:t>（</w:t>
                  </w:r>
                  <w:r>
                    <w:rPr>
                      <w:color w:val="auto"/>
                      <w:kern w:val="24"/>
                    </w:rPr>
                    <w:t>mg/L</w:t>
                  </w:r>
                  <w:r>
                    <w:rPr>
                      <w:rFonts w:hint="eastAsia"/>
                      <w:color w:val="auto"/>
                      <w:kern w:val="24"/>
                    </w:rPr>
                    <w:t>）</w:t>
                  </w:r>
                </w:p>
              </w:tc>
              <w:tc>
                <w:tcPr>
                  <w:tcW w:w="896" w:type="pct"/>
                  <w:vAlign w:val="center"/>
                </w:tcPr>
                <w:p>
                  <w:pPr>
                    <w:adjustRightInd w:val="0"/>
                    <w:snapToGrid w:val="0"/>
                    <w:jc w:val="center"/>
                    <w:rPr>
                      <w:color w:val="auto"/>
                      <w:kern w:val="24"/>
                    </w:rPr>
                  </w:pPr>
                  <w:r>
                    <w:rPr>
                      <w:rFonts w:hint="eastAsia"/>
                      <w:color w:val="auto"/>
                      <w:kern w:val="24"/>
                    </w:rPr>
                    <w:t>排放量</w:t>
                  </w:r>
                </w:p>
                <w:p>
                  <w:pPr>
                    <w:adjustRightInd w:val="0"/>
                    <w:snapToGrid w:val="0"/>
                    <w:jc w:val="center"/>
                    <w:rPr>
                      <w:color w:val="auto"/>
                      <w:kern w:val="24"/>
                    </w:rPr>
                  </w:pPr>
                  <w:r>
                    <w:rPr>
                      <w:rFonts w:hint="eastAsia"/>
                      <w:color w:val="auto"/>
                      <w:kern w:val="24"/>
                    </w:rPr>
                    <w:t>（</w:t>
                  </w:r>
                  <w:r>
                    <w:rPr>
                      <w:color w:val="auto"/>
                      <w:kern w:val="24"/>
                    </w:rPr>
                    <w:t>t/a</w:t>
                  </w:r>
                  <w:r>
                    <w:rPr>
                      <w:rFonts w:hint="eastAsia"/>
                      <w:color w:val="auto"/>
                      <w:kern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10" w:type="pct"/>
                  <w:vMerge w:val="restart"/>
                  <w:vAlign w:val="center"/>
                </w:tcPr>
                <w:p>
                  <w:pPr>
                    <w:adjustRightInd w:val="0"/>
                    <w:snapToGrid w:val="0"/>
                    <w:jc w:val="center"/>
                    <w:rPr>
                      <w:color w:val="auto"/>
                      <w:kern w:val="24"/>
                    </w:rPr>
                  </w:pPr>
                  <w:r>
                    <w:rPr>
                      <w:rFonts w:hint="eastAsia"/>
                      <w:color w:val="auto"/>
                      <w:kern w:val="24"/>
                      <w:lang w:val="en-US" w:eastAsia="zh-CN"/>
                    </w:rPr>
                    <w:t>综合</w:t>
                  </w:r>
                  <w:r>
                    <w:rPr>
                      <w:rFonts w:hint="eastAsia"/>
                      <w:color w:val="auto"/>
                      <w:kern w:val="24"/>
                    </w:rPr>
                    <w:t>废水</w:t>
                  </w:r>
                </w:p>
              </w:tc>
              <w:tc>
                <w:tcPr>
                  <w:tcW w:w="572" w:type="pct"/>
                  <w:vMerge w:val="restart"/>
                  <w:vAlign w:val="center"/>
                </w:tcPr>
                <w:p>
                  <w:pPr>
                    <w:adjustRightInd w:val="0"/>
                    <w:snapToGrid w:val="0"/>
                    <w:jc w:val="center"/>
                    <w:rPr>
                      <w:rFonts w:hint="default" w:eastAsia="宋体"/>
                      <w:color w:val="auto"/>
                      <w:kern w:val="24"/>
                      <w:lang w:val="en-US" w:eastAsia="zh-CN"/>
                    </w:rPr>
                  </w:pPr>
                  <w:r>
                    <w:rPr>
                      <w:rFonts w:hint="eastAsia"/>
                      <w:color w:val="auto"/>
                      <w:kern w:val="24"/>
                      <w:lang w:val="en-US" w:eastAsia="zh-CN"/>
                    </w:rPr>
                    <w:t>本项目新增1912.6</w:t>
                  </w:r>
                </w:p>
              </w:tc>
              <w:tc>
                <w:tcPr>
                  <w:tcW w:w="977" w:type="pct"/>
                  <w:vMerge w:val="restart"/>
                  <w:vAlign w:val="center"/>
                </w:tcPr>
                <w:p>
                  <w:pPr>
                    <w:adjustRightInd w:val="0"/>
                    <w:snapToGrid w:val="0"/>
                    <w:jc w:val="center"/>
                    <w:rPr>
                      <w:color w:val="auto"/>
                      <w:kern w:val="24"/>
                    </w:rPr>
                  </w:pPr>
                  <w:r>
                    <w:rPr>
                      <w:rFonts w:hint="eastAsia"/>
                      <w:color w:val="auto"/>
                      <w:kern w:val="24"/>
                    </w:rPr>
                    <w:t>一体化污水处理设施（调节池</w:t>
                  </w:r>
                  <w:r>
                    <w:rPr>
                      <w:color w:val="auto"/>
                      <w:kern w:val="24"/>
                    </w:rPr>
                    <w:t>+</w:t>
                  </w:r>
                  <w:r>
                    <w:rPr>
                      <w:rFonts w:hint="eastAsia"/>
                      <w:color w:val="auto"/>
                      <w:kern w:val="24"/>
                    </w:rPr>
                    <w:t>厌氧</w:t>
                  </w:r>
                  <w:r>
                    <w:rPr>
                      <w:color w:val="auto"/>
                      <w:kern w:val="24"/>
                    </w:rPr>
                    <w:t>+</w:t>
                  </w:r>
                  <w:r>
                    <w:rPr>
                      <w:rFonts w:hint="eastAsia"/>
                      <w:color w:val="auto"/>
                      <w:kern w:val="24"/>
                    </w:rPr>
                    <w:t>好氧</w:t>
                  </w:r>
                  <w:r>
                    <w:rPr>
                      <w:color w:val="auto"/>
                      <w:kern w:val="24"/>
                    </w:rPr>
                    <w:t>+MBR+</w:t>
                  </w:r>
                  <w:r>
                    <w:rPr>
                      <w:rFonts w:hint="eastAsia"/>
                      <w:color w:val="auto"/>
                      <w:kern w:val="24"/>
                    </w:rPr>
                    <w:t>紫外灯消毒）</w:t>
                  </w:r>
                </w:p>
              </w:tc>
              <w:tc>
                <w:tcPr>
                  <w:tcW w:w="1009" w:type="pct"/>
                  <w:vAlign w:val="center"/>
                </w:tcPr>
                <w:p>
                  <w:pPr>
                    <w:adjustRightInd w:val="0"/>
                    <w:snapToGrid w:val="0"/>
                    <w:jc w:val="center"/>
                    <w:rPr>
                      <w:color w:val="auto"/>
                      <w:kern w:val="24"/>
                    </w:rPr>
                  </w:pPr>
                  <w:r>
                    <w:rPr>
                      <w:color w:val="auto"/>
                      <w:kern w:val="24"/>
                    </w:rPr>
                    <w:t>pH</w:t>
                  </w:r>
                  <w:r>
                    <w:rPr>
                      <w:rFonts w:hint="eastAsia"/>
                      <w:color w:val="auto"/>
                      <w:kern w:val="24"/>
                    </w:rPr>
                    <w:t>（无量纲）</w:t>
                  </w:r>
                </w:p>
              </w:tc>
              <w:tc>
                <w:tcPr>
                  <w:tcW w:w="1032" w:type="pct"/>
                  <w:vAlign w:val="center"/>
                </w:tcPr>
                <w:p>
                  <w:pPr>
                    <w:adjustRightInd w:val="0"/>
                    <w:snapToGrid w:val="0"/>
                    <w:jc w:val="center"/>
                    <w:rPr>
                      <w:color w:val="auto"/>
                      <w:kern w:val="24"/>
                    </w:rPr>
                  </w:pPr>
                  <w:r>
                    <w:rPr>
                      <w:color w:val="auto"/>
                      <w:kern w:val="24"/>
                    </w:rPr>
                    <w:t>6.8</w:t>
                  </w:r>
                  <w:r>
                    <w:rPr>
                      <w:rFonts w:hint="eastAsia"/>
                      <w:color w:val="auto"/>
                      <w:kern w:val="24"/>
                    </w:rPr>
                    <w:t>（</w:t>
                  </w:r>
                  <w:r>
                    <w:rPr>
                      <w:color w:val="auto"/>
                      <w:kern w:val="24"/>
                    </w:rPr>
                    <w:t>12.6</w:t>
                  </w:r>
                  <w:r>
                    <w:rPr>
                      <w:rFonts w:hint="eastAsia"/>
                      <w:color w:val="auto"/>
                      <w:kern w:val="24"/>
                    </w:rPr>
                    <w:t>℃）</w:t>
                  </w:r>
                </w:p>
              </w:tc>
              <w:tc>
                <w:tcPr>
                  <w:tcW w:w="896" w:type="pct"/>
                  <w:vAlign w:val="center"/>
                </w:tcPr>
                <w:p>
                  <w:pPr>
                    <w:adjustRightInd w:val="0"/>
                    <w:snapToGrid w:val="0"/>
                    <w:jc w:val="center"/>
                    <w:rPr>
                      <w:color w:val="auto"/>
                      <w:kern w:val="24"/>
                    </w:rPr>
                  </w:pPr>
                  <w:r>
                    <w:rPr>
                      <w:color w:val="auto"/>
                      <w:kern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10" w:type="pct"/>
                  <w:vMerge w:val="continue"/>
                  <w:vAlign w:val="center"/>
                </w:tcPr>
                <w:p>
                  <w:pPr>
                    <w:adjustRightInd w:val="0"/>
                    <w:snapToGrid w:val="0"/>
                    <w:jc w:val="center"/>
                    <w:rPr>
                      <w:color w:val="auto"/>
                      <w:kern w:val="24"/>
                    </w:rPr>
                  </w:pPr>
                </w:p>
              </w:tc>
              <w:tc>
                <w:tcPr>
                  <w:tcW w:w="572" w:type="pct"/>
                  <w:vMerge w:val="continue"/>
                  <w:vAlign w:val="center"/>
                </w:tcPr>
                <w:p>
                  <w:pPr>
                    <w:adjustRightInd w:val="0"/>
                    <w:snapToGrid w:val="0"/>
                    <w:jc w:val="center"/>
                    <w:rPr>
                      <w:color w:val="auto"/>
                      <w:kern w:val="24"/>
                    </w:rPr>
                  </w:pPr>
                </w:p>
              </w:tc>
              <w:tc>
                <w:tcPr>
                  <w:tcW w:w="977" w:type="pct"/>
                  <w:vMerge w:val="continue"/>
                  <w:vAlign w:val="center"/>
                </w:tcPr>
                <w:p>
                  <w:pPr>
                    <w:adjustRightInd w:val="0"/>
                    <w:snapToGrid w:val="0"/>
                    <w:jc w:val="center"/>
                    <w:rPr>
                      <w:color w:val="auto"/>
                      <w:kern w:val="24"/>
                    </w:rPr>
                  </w:pPr>
                </w:p>
              </w:tc>
              <w:tc>
                <w:tcPr>
                  <w:tcW w:w="1009" w:type="pct"/>
                  <w:vAlign w:val="center"/>
                </w:tcPr>
                <w:p>
                  <w:pPr>
                    <w:adjustRightInd w:val="0"/>
                    <w:snapToGrid w:val="0"/>
                    <w:jc w:val="center"/>
                    <w:rPr>
                      <w:color w:val="auto"/>
                      <w:kern w:val="24"/>
                    </w:rPr>
                  </w:pPr>
                  <w:r>
                    <w:rPr>
                      <w:color w:val="auto"/>
                      <w:kern w:val="24"/>
                    </w:rPr>
                    <w:t>COD</w:t>
                  </w:r>
                </w:p>
              </w:tc>
              <w:tc>
                <w:tcPr>
                  <w:tcW w:w="1032" w:type="pct"/>
                  <w:vAlign w:val="center"/>
                </w:tcPr>
                <w:p>
                  <w:pPr>
                    <w:adjustRightInd w:val="0"/>
                    <w:snapToGrid w:val="0"/>
                    <w:jc w:val="center"/>
                    <w:rPr>
                      <w:color w:val="auto"/>
                      <w:kern w:val="24"/>
                    </w:rPr>
                  </w:pPr>
                  <w:r>
                    <w:rPr>
                      <w:color w:val="auto"/>
                      <w:kern w:val="24"/>
                    </w:rPr>
                    <w:t>21</w:t>
                  </w:r>
                </w:p>
              </w:tc>
              <w:tc>
                <w:tcPr>
                  <w:tcW w:w="1431" w:type="dxa"/>
                  <w:vAlign w:val="center"/>
                </w:tcPr>
                <w:p>
                  <w:pPr>
                    <w:adjustRightInd w:val="0"/>
                    <w:snapToGrid w:val="0"/>
                    <w:jc w:val="center"/>
                    <w:rPr>
                      <w:rFonts w:hint="eastAsia"/>
                      <w:color w:val="auto"/>
                      <w:kern w:val="24"/>
                    </w:rPr>
                  </w:pPr>
                  <w:r>
                    <w:rPr>
                      <w:rFonts w:hint="eastAsia"/>
                      <w:color w:val="auto"/>
                      <w:kern w:val="24"/>
                      <w:lang w:val="en-US" w:eastAsia="zh-CN"/>
                    </w:rPr>
                    <w:t>0.0402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10" w:type="pct"/>
                  <w:vMerge w:val="continue"/>
                  <w:vAlign w:val="center"/>
                </w:tcPr>
                <w:p>
                  <w:pPr>
                    <w:adjustRightInd w:val="0"/>
                    <w:snapToGrid w:val="0"/>
                    <w:jc w:val="center"/>
                    <w:rPr>
                      <w:color w:val="auto"/>
                      <w:kern w:val="24"/>
                    </w:rPr>
                  </w:pPr>
                </w:p>
              </w:tc>
              <w:tc>
                <w:tcPr>
                  <w:tcW w:w="572" w:type="pct"/>
                  <w:vMerge w:val="continue"/>
                  <w:vAlign w:val="center"/>
                </w:tcPr>
                <w:p>
                  <w:pPr>
                    <w:adjustRightInd w:val="0"/>
                    <w:snapToGrid w:val="0"/>
                    <w:jc w:val="center"/>
                    <w:rPr>
                      <w:color w:val="auto"/>
                      <w:kern w:val="24"/>
                    </w:rPr>
                  </w:pPr>
                </w:p>
              </w:tc>
              <w:tc>
                <w:tcPr>
                  <w:tcW w:w="977" w:type="pct"/>
                  <w:vMerge w:val="continue"/>
                  <w:vAlign w:val="center"/>
                </w:tcPr>
                <w:p>
                  <w:pPr>
                    <w:adjustRightInd w:val="0"/>
                    <w:snapToGrid w:val="0"/>
                    <w:jc w:val="center"/>
                    <w:rPr>
                      <w:color w:val="auto"/>
                      <w:kern w:val="24"/>
                    </w:rPr>
                  </w:pPr>
                </w:p>
              </w:tc>
              <w:tc>
                <w:tcPr>
                  <w:tcW w:w="1009" w:type="pct"/>
                  <w:vAlign w:val="center"/>
                </w:tcPr>
                <w:p>
                  <w:pPr>
                    <w:adjustRightInd w:val="0"/>
                    <w:snapToGrid w:val="0"/>
                    <w:jc w:val="center"/>
                    <w:rPr>
                      <w:color w:val="auto"/>
                      <w:kern w:val="24"/>
                    </w:rPr>
                  </w:pPr>
                  <w:r>
                    <w:rPr>
                      <w:color w:val="auto"/>
                      <w:kern w:val="24"/>
                    </w:rPr>
                    <w:t>BOD</w:t>
                  </w:r>
                  <w:r>
                    <w:rPr>
                      <w:color w:val="auto"/>
                      <w:kern w:val="24"/>
                      <w:vertAlign w:val="subscript"/>
                    </w:rPr>
                    <w:t>5</w:t>
                  </w:r>
                </w:p>
              </w:tc>
              <w:tc>
                <w:tcPr>
                  <w:tcW w:w="1032" w:type="pct"/>
                  <w:vAlign w:val="center"/>
                </w:tcPr>
                <w:p>
                  <w:pPr>
                    <w:adjustRightInd w:val="0"/>
                    <w:snapToGrid w:val="0"/>
                    <w:jc w:val="center"/>
                    <w:rPr>
                      <w:color w:val="auto"/>
                      <w:kern w:val="24"/>
                    </w:rPr>
                  </w:pPr>
                  <w:r>
                    <w:rPr>
                      <w:color w:val="auto"/>
                      <w:kern w:val="24"/>
                    </w:rPr>
                    <w:t>4.0</w:t>
                  </w:r>
                </w:p>
              </w:tc>
              <w:tc>
                <w:tcPr>
                  <w:tcW w:w="1431" w:type="dxa"/>
                  <w:vAlign w:val="center"/>
                </w:tcPr>
                <w:p>
                  <w:pPr>
                    <w:adjustRightInd w:val="0"/>
                    <w:snapToGrid w:val="0"/>
                    <w:jc w:val="center"/>
                    <w:rPr>
                      <w:rFonts w:hint="eastAsia"/>
                      <w:color w:val="auto"/>
                      <w:kern w:val="24"/>
                    </w:rPr>
                  </w:pPr>
                  <w:r>
                    <w:rPr>
                      <w:rFonts w:hint="eastAsia"/>
                      <w:color w:val="auto"/>
                      <w:kern w:val="24"/>
                      <w:lang w:val="en-US" w:eastAsia="zh-CN"/>
                    </w:rPr>
                    <w:t>0.0077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10" w:type="pct"/>
                  <w:vMerge w:val="continue"/>
                  <w:vAlign w:val="center"/>
                </w:tcPr>
                <w:p>
                  <w:pPr>
                    <w:adjustRightInd w:val="0"/>
                    <w:snapToGrid w:val="0"/>
                    <w:jc w:val="center"/>
                    <w:rPr>
                      <w:color w:val="auto"/>
                      <w:kern w:val="24"/>
                    </w:rPr>
                  </w:pPr>
                </w:p>
              </w:tc>
              <w:tc>
                <w:tcPr>
                  <w:tcW w:w="572" w:type="pct"/>
                  <w:vMerge w:val="continue"/>
                  <w:vAlign w:val="center"/>
                </w:tcPr>
                <w:p>
                  <w:pPr>
                    <w:adjustRightInd w:val="0"/>
                    <w:snapToGrid w:val="0"/>
                    <w:jc w:val="center"/>
                    <w:rPr>
                      <w:rFonts w:hint="default" w:eastAsia="宋体"/>
                      <w:color w:val="auto"/>
                      <w:kern w:val="24"/>
                      <w:lang w:val="en-US" w:eastAsia="zh-CN"/>
                    </w:rPr>
                  </w:pPr>
                </w:p>
              </w:tc>
              <w:tc>
                <w:tcPr>
                  <w:tcW w:w="977" w:type="pct"/>
                  <w:vMerge w:val="continue"/>
                  <w:vAlign w:val="center"/>
                </w:tcPr>
                <w:p>
                  <w:pPr>
                    <w:adjustRightInd w:val="0"/>
                    <w:snapToGrid w:val="0"/>
                    <w:jc w:val="center"/>
                    <w:rPr>
                      <w:color w:val="auto"/>
                      <w:kern w:val="24"/>
                    </w:rPr>
                  </w:pPr>
                </w:p>
              </w:tc>
              <w:tc>
                <w:tcPr>
                  <w:tcW w:w="1009" w:type="pct"/>
                  <w:vAlign w:val="center"/>
                </w:tcPr>
                <w:p>
                  <w:pPr>
                    <w:adjustRightInd w:val="0"/>
                    <w:snapToGrid w:val="0"/>
                    <w:jc w:val="center"/>
                    <w:rPr>
                      <w:color w:val="auto"/>
                      <w:kern w:val="24"/>
                    </w:rPr>
                  </w:pPr>
                  <w:r>
                    <w:rPr>
                      <w:color w:val="auto"/>
                      <w:kern w:val="24"/>
                    </w:rPr>
                    <w:t>SS</w:t>
                  </w:r>
                </w:p>
              </w:tc>
              <w:tc>
                <w:tcPr>
                  <w:tcW w:w="1032" w:type="pct"/>
                  <w:vAlign w:val="center"/>
                </w:tcPr>
                <w:p>
                  <w:pPr>
                    <w:adjustRightInd w:val="0"/>
                    <w:snapToGrid w:val="0"/>
                    <w:jc w:val="center"/>
                    <w:rPr>
                      <w:color w:val="auto"/>
                      <w:kern w:val="24"/>
                    </w:rPr>
                  </w:pPr>
                  <w:r>
                    <w:rPr>
                      <w:color w:val="auto"/>
                      <w:kern w:val="24"/>
                    </w:rPr>
                    <w:t>10</w:t>
                  </w:r>
                </w:p>
              </w:tc>
              <w:tc>
                <w:tcPr>
                  <w:tcW w:w="1431" w:type="dxa"/>
                  <w:vAlign w:val="center"/>
                </w:tcPr>
                <w:p>
                  <w:pPr>
                    <w:adjustRightInd w:val="0"/>
                    <w:snapToGrid w:val="0"/>
                    <w:jc w:val="center"/>
                    <w:rPr>
                      <w:rFonts w:hint="eastAsia"/>
                      <w:color w:val="auto"/>
                      <w:kern w:val="24"/>
                    </w:rPr>
                  </w:pPr>
                  <w:r>
                    <w:rPr>
                      <w:rFonts w:hint="eastAsia"/>
                      <w:color w:val="auto"/>
                      <w:kern w:val="24"/>
                      <w:lang w:val="en-US" w:eastAsia="zh-CN"/>
                    </w:rPr>
                    <w:t>0.0191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10" w:type="pct"/>
                  <w:vMerge w:val="continue"/>
                  <w:vAlign w:val="center"/>
                </w:tcPr>
                <w:p>
                  <w:pPr>
                    <w:adjustRightInd w:val="0"/>
                    <w:snapToGrid w:val="0"/>
                    <w:jc w:val="center"/>
                    <w:rPr>
                      <w:color w:val="auto"/>
                      <w:kern w:val="24"/>
                    </w:rPr>
                  </w:pPr>
                </w:p>
              </w:tc>
              <w:tc>
                <w:tcPr>
                  <w:tcW w:w="572" w:type="pct"/>
                  <w:vMerge w:val="continue"/>
                  <w:vAlign w:val="center"/>
                </w:tcPr>
                <w:p>
                  <w:pPr>
                    <w:adjustRightInd w:val="0"/>
                    <w:snapToGrid w:val="0"/>
                    <w:jc w:val="center"/>
                    <w:rPr>
                      <w:color w:val="auto"/>
                      <w:kern w:val="24"/>
                    </w:rPr>
                  </w:pPr>
                </w:p>
              </w:tc>
              <w:tc>
                <w:tcPr>
                  <w:tcW w:w="977" w:type="pct"/>
                  <w:vMerge w:val="continue"/>
                  <w:vAlign w:val="center"/>
                </w:tcPr>
                <w:p>
                  <w:pPr>
                    <w:adjustRightInd w:val="0"/>
                    <w:snapToGrid w:val="0"/>
                    <w:jc w:val="center"/>
                    <w:rPr>
                      <w:color w:val="auto"/>
                      <w:kern w:val="24"/>
                    </w:rPr>
                  </w:pPr>
                </w:p>
              </w:tc>
              <w:tc>
                <w:tcPr>
                  <w:tcW w:w="1009" w:type="pct"/>
                  <w:vAlign w:val="center"/>
                </w:tcPr>
                <w:p>
                  <w:pPr>
                    <w:adjustRightInd w:val="0"/>
                    <w:snapToGrid w:val="0"/>
                    <w:jc w:val="center"/>
                    <w:rPr>
                      <w:color w:val="auto"/>
                      <w:kern w:val="24"/>
                    </w:rPr>
                  </w:pPr>
                  <w:r>
                    <w:rPr>
                      <w:color w:val="auto"/>
                      <w:kern w:val="24"/>
                    </w:rPr>
                    <w:t>NH</w:t>
                  </w:r>
                  <w:r>
                    <w:rPr>
                      <w:color w:val="auto"/>
                      <w:kern w:val="24"/>
                      <w:vertAlign w:val="subscript"/>
                    </w:rPr>
                    <w:t>3</w:t>
                  </w:r>
                  <w:r>
                    <w:rPr>
                      <w:color w:val="auto"/>
                      <w:kern w:val="24"/>
                    </w:rPr>
                    <w:t>-N</w:t>
                  </w:r>
                </w:p>
              </w:tc>
              <w:tc>
                <w:tcPr>
                  <w:tcW w:w="1032" w:type="pct"/>
                  <w:vAlign w:val="center"/>
                </w:tcPr>
                <w:p>
                  <w:pPr>
                    <w:adjustRightInd w:val="0"/>
                    <w:snapToGrid w:val="0"/>
                    <w:jc w:val="center"/>
                    <w:rPr>
                      <w:color w:val="auto"/>
                      <w:kern w:val="24"/>
                    </w:rPr>
                  </w:pPr>
                  <w:r>
                    <w:rPr>
                      <w:color w:val="auto"/>
                      <w:kern w:val="24"/>
                    </w:rPr>
                    <w:t>0.680</w:t>
                  </w:r>
                </w:p>
              </w:tc>
              <w:tc>
                <w:tcPr>
                  <w:tcW w:w="1431" w:type="dxa"/>
                  <w:vAlign w:val="center"/>
                </w:tcPr>
                <w:p>
                  <w:pPr>
                    <w:adjustRightInd w:val="0"/>
                    <w:snapToGrid w:val="0"/>
                    <w:jc w:val="center"/>
                    <w:rPr>
                      <w:rFonts w:hint="default"/>
                      <w:color w:val="auto"/>
                      <w:kern w:val="24"/>
                      <w:lang w:val="en-US"/>
                    </w:rPr>
                  </w:pPr>
                  <w:r>
                    <w:rPr>
                      <w:rFonts w:hint="eastAsia"/>
                      <w:color w:val="auto"/>
                      <w:kern w:val="24"/>
                      <w:lang w:val="en-US" w:eastAsia="zh-CN"/>
                    </w:rPr>
                    <w:t>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10" w:type="pct"/>
                  <w:vMerge w:val="continue"/>
                  <w:vAlign w:val="center"/>
                </w:tcPr>
                <w:p>
                  <w:pPr>
                    <w:adjustRightInd w:val="0"/>
                    <w:snapToGrid w:val="0"/>
                    <w:jc w:val="center"/>
                    <w:rPr>
                      <w:color w:val="auto"/>
                      <w:kern w:val="24"/>
                    </w:rPr>
                  </w:pPr>
                </w:p>
              </w:tc>
              <w:tc>
                <w:tcPr>
                  <w:tcW w:w="572" w:type="pct"/>
                  <w:vMerge w:val="continue"/>
                  <w:vAlign w:val="center"/>
                </w:tcPr>
                <w:p>
                  <w:pPr>
                    <w:adjustRightInd w:val="0"/>
                    <w:snapToGrid w:val="0"/>
                    <w:jc w:val="center"/>
                    <w:rPr>
                      <w:color w:val="auto"/>
                      <w:kern w:val="24"/>
                    </w:rPr>
                  </w:pPr>
                </w:p>
              </w:tc>
              <w:tc>
                <w:tcPr>
                  <w:tcW w:w="977" w:type="pct"/>
                  <w:vMerge w:val="continue"/>
                  <w:vAlign w:val="center"/>
                </w:tcPr>
                <w:p>
                  <w:pPr>
                    <w:adjustRightInd w:val="0"/>
                    <w:snapToGrid w:val="0"/>
                    <w:jc w:val="center"/>
                    <w:rPr>
                      <w:color w:val="auto"/>
                      <w:kern w:val="24"/>
                    </w:rPr>
                  </w:pPr>
                </w:p>
              </w:tc>
              <w:tc>
                <w:tcPr>
                  <w:tcW w:w="1009" w:type="pct"/>
                  <w:vAlign w:val="center"/>
                </w:tcPr>
                <w:p>
                  <w:pPr>
                    <w:adjustRightInd w:val="0"/>
                    <w:snapToGrid w:val="0"/>
                    <w:jc w:val="center"/>
                    <w:rPr>
                      <w:color w:val="auto"/>
                      <w:kern w:val="24"/>
                    </w:rPr>
                  </w:pPr>
                  <w:r>
                    <w:rPr>
                      <w:rFonts w:hint="eastAsia"/>
                      <w:color w:val="auto"/>
                      <w:kern w:val="24"/>
                    </w:rPr>
                    <w:t>阴离子表面活性剂</w:t>
                  </w:r>
                </w:p>
              </w:tc>
              <w:tc>
                <w:tcPr>
                  <w:tcW w:w="1032" w:type="pct"/>
                  <w:vAlign w:val="center"/>
                </w:tcPr>
                <w:p>
                  <w:pPr>
                    <w:adjustRightInd w:val="0"/>
                    <w:snapToGrid w:val="0"/>
                    <w:jc w:val="center"/>
                    <w:rPr>
                      <w:color w:val="auto"/>
                      <w:kern w:val="24"/>
                    </w:rPr>
                  </w:pPr>
                  <w:r>
                    <w:rPr>
                      <w:color w:val="auto"/>
                      <w:kern w:val="24"/>
                    </w:rPr>
                    <w:t>ND</w:t>
                  </w:r>
                  <w:r>
                    <w:rPr>
                      <w:rFonts w:hint="eastAsia"/>
                      <w:color w:val="auto"/>
                      <w:kern w:val="24"/>
                    </w:rPr>
                    <w:t>（</w:t>
                  </w:r>
                  <w:r>
                    <w:rPr>
                      <w:color w:val="auto"/>
                      <w:kern w:val="24"/>
                    </w:rPr>
                    <w:t>0.05</w:t>
                  </w:r>
                  <w:r>
                    <w:rPr>
                      <w:rFonts w:hint="eastAsia"/>
                      <w:color w:val="auto"/>
                      <w:kern w:val="24"/>
                    </w:rPr>
                    <w:t>）</w:t>
                  </w:r>
                </w:p>
              </w:tc>
              <w:tc>
                <w:tcPr>
                  <w:tcW w:w="896" w:type="pct"/>
                  <w:vAlign w:val="center"/>
                </w:tcPr>
                <w:p>
                  <w:pPr>
                    <w:adjustRightInd w:val="0"/>
                    <w:snapToGrid w:val="0"/>
                    <w:jc w:val="center"/>
                    <w:rPr>
                      <w:rFonts w:hint="eastAsia"/>
                      <w:color w:val="auto"/>
                      <w:kern w:val="24"/>
                    </w:rPr>
                  </w:pPr>
                  <w:r>
                    <w:rPr>
                      <w:rFonts w:hint="eastAsia"/>
                      <w:color w:val="auto"/>
                      <w:kern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10" w:type="pct"/>
                  <w:vMerge w:val="continue"/>
                  <w:vAlign w:val="center"/>
                </w:tcPr>
                <w:p>
                  <w:pPr>
                    <w:adjustRightInd w:val="0"/>
                    <w:snapToGrid w:val="0"/>
                    <w:jc w:val="center"/>
                    <w:rPr>
                      <w:color w:val="auto"/>
                      <w:kern w:val="24"/>
                    </w:rPr>
                  </w:pPr>
                </w:p>
              </w:tc>
              <w:tc>
                <w:tcPr>
                  <w:tcW w:w="572" w:type="pct"/>
                  <w:vMerge w:val="continue"/>
                  <w:vAlign w:val="center"/>
                </w:tcPr>
                <w:p>
                  <w:pPr>
                    <w:adjustRightInd w:val="0"/>
                    <w:snapToGrid w:val="0"/>
                    <w:jc w:val="center"/>
                    <w:rPr>
                      <w:color w:val="auto"/>
                      <w:kern w:val="24"/>
                    </w:rPr>
                  </w:pPr>
                </w:p>
              </w:tc>
              <w:tc>
                <w:tcPr>
                  <w:tcW w:w="977" w:type="pct"/>
                  <w:vMerge w:val="continue"/>
                  <w:vAlign w:val="center"/>
                </w:tcPr>
                <w:p>
                  <w:pPr>
                    <w:adjustRightInd w:val="0"/>
                    <w:snapToGrid w:val="0"/>
                    <w:jc w:val="center"/>
                    <w:rPr>
                      <w:color w:val="auto"/>
                      <w:kern w:val="24"/>
                    </w:rPr>
                  </w:pPr>
                </w:p>
              </w:tc>
              <w:tc>
                <w:tcPr>
                  <w:tcW w:w="1009" w:type="pct"/>
                  <w:vAlign w:val="center"/>
                </w:tcPr>
                <w:p>
                  <w:pPr>
                    <w:adjustRightInd w:val="0"/>
                    <w:snapToGrid w:val="0"/>
                    <w:jc w:val="center"/>
                    <w:rPr>
                      <w:color w:val="auto"/>
                      <w:kern w:val="24"/>
                    </w:rPr>
                  </w:pPr>
                  <w:r>
                    <w:rPr>
                      <w:rFonts w:hint="eastAsia"/>
                      <w:color w:val="auto"/>
                      <w:kern w:val="24"/>
                    </w:rPr>
                    <w:t>石油类</w:t>
                  </w:r>
                </w:p>
              </w:tc>
              <w:tc>
                <w:tcPr>
                  <w:tcW w:w="1032" w:type="pct"/>
                  <w:vAlign w:val="center"/>
                </w:tcPr>
                <w:p>
                  <w:pPr>
                    <w:adjustRightInd w:val="0"/>
                    <w:snapToGrid w:val="0"/>
                    <w:jc w:val="center"/>
                    <w:rPr>
                      <w:color w:val="auto"/>
                      <w:kern w:val="24"/>
                    </w:rPr>
                  </w:pPr>
                  <w:r>
                    <w:rPr>
                      <w:color w:val="auto"/>
                      <w:kern w:val="24"/>
                    </w:rPr>
                    <w:t>0.14</w:t>
                  </w:r>
                </w:p>
              </w:tc>
              <w:tc>
                <w:tcPr>
                  <w:tcW w:w="896" w:type="pct"/>
                  <w:vAlign w:val="center"/>
                </w:tcPr>
                <w:p>
                  <w:pPr>
                    <w:adjustRightInd w:val="0"/>
                    <w:snapToGrid w:val="0"/>
                    <w:jc w:val="center"/>
                    <w:rPr>
                      <w:rFonts w:hint="eastAsia" w:eastAsia="宋体"/>
                      <w:color w:val="auto"/>
                      <w:kern w:val="24"/>
                      <w:lang w:eastAsia="zh-CN"/>
                    </w:rPr>
                  </w:pPr>
                  <w:r>
                    <w:rPr>
                      <w:rFonts w:hint="eastAsia"/>
                      <w:color w:val="auto"/>
                      <w:kern w:val="24"/>
                    </w:rPr>
                    <w:t>0.000</w:t>
                  </w:r>
                  <w:r>
                    <w:rPr>
                      <w:rFonts w:hint="eastAsia"/>
                      <w:color w:val="auto"/>
                      <w:kern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10" w:type="pct"/>
                  <w:vMerge w:val="continue"/>
                  <w:vAlign w:val="center"/>
                </w:tcPr>
                <w:p>
                  <w:pPr>
                    <w:adjustRightInd w:val="0"/>
                    <w:snapToGrid w:val="0"/>
                    <w:jc w:val="center"/>
                    <w:rPr>
                      <w:color w:val="auto"/>
                      <w:kern w:val="24"/>
                    </w:rPr>
                  </w:pPr>
                </w:p>
              </w:tc>
              <w:tc>
                <w:tcPr>
                  <w:tcW w:w="572" w:type="pct"/>
                  <w:vMerge w:val="continue"/>
                  <w:vAlign w:val="center"/>
                </w:tcPr>
                <w:p>
                  <w:pPr>
                    <w:adjustRightInd w:val="0"/>
                    <w:snapToGrid w:val="0"/>
                    <w:jc w:val="center"/>
                    <w:rPr>
                      <w:color w:val="auto"/>
                      <w:kern w:val="24"/>
                    </w:rPr>
                  </w:pPr>
                </w:p>
              </w:tc>
              <w:tc>
                <w:tcPr>
                  <w:tcW w:w="977" w:type="pct"/>
                  <w:vMerge w:val="continue"/>
                  <w:vAlign w:val="center"/>
                </w:tcPr>
                <w:p>
                  <w:pPr>
                    <w:adjustRightInd w:val="0"/>
                    <w:snapToGrid w:val="0"/>
                    <w:jc w:val="center"/>
                    <w:rPr>
                      <w:color w:val="auto"/>
                      <w:kern w:val="24"/>
                    </w:rPr>
                  </w:pPr>
                </w:p>
              </w:tc>
              <w:tc>
                <w:tcPr>
                  <w:tcW w:w="1009" w:type="pct"/>
                  <w:vAlign w:val="center"/>
                </w:tcPr>
                <w:p>
                  <w:pPr>
                    <w:adjustRightInd w:val="0"/>
                    <w:snapToGrid w:val="0"/>
                    <w:jc w:val="center"/>
                    <w:rPr>
                      <w:color w:val="auto"/>
                      <w:kern w:val="24"/>
                    </w:rPr>
                  </w:pPr>
                  <w:r>
                    <w:rPr>
                      <w:rFonts w:hint="eastAsia"/>
                      <w:color w:val="auto"/>
                      <w:kern w:val="24"/>
                    </w:rPr>
                    <w:t>粪大肠菌群</w:t>
                  </w:r>
                </w:p>
              </w:tc>
              <w:tc>
                <w:tcPr>
                  <w:tcW w:w="1032" w:type="pct"/>
                  <w:vAlign w:val="center"/>
                </w:tcPr>
                <w:p>
                  <w:pPr>
                    <w:adjustRightInd w:val="0"/>
                    <w:snapToGrid w:val="0"/>
                    <w:jc w:val="center"/>
                    <w:rPr>
                      <w:color w:val="auto"/>
                      <w:kern w:val="24"/>
                    </w:rPr>
                  </w:pPr>
                  <w:r>
                    <w:rPr>
                      <w:rFonts w:hint="eastAsia"/>
                      <w:color w:val="auto"/>
                      <w:kern w:val="24"/>
                    </w:rPr>
                    <w:t>未检出</w:t>
                  </w:r>
                </w:p>
              </w:tc>
              <w:tc>
                <w:tcPr>
                  <w:tcW w:w="896" w:type="pct"/>
                  <w:vAlign w:val="center"/>
                </w:tcPr>
                <w:p>
                  <w:pPr>
                    <w:adjustRightInd w:val="0"/>
                    <w:snapToGrid w:val="0"/>
                    <w:jc w:val="center"/>
                    <w:rPr>
                      <w:color w:val="auto"/>
                      <w:kern w:val="24"/>
                    </w:rPr>
                  </w:pPr>
                  <w:r>
                    <w:rPr>
                      <w:color w:val="auto"/>
                      <w:kern w:val="24"/>
                    </w:rPr>
                    <w:t>/</w:t>
                  </w:r>
                </w:p>
              </w:tc>
            </w:tr>
          </w:tbl>
          <w:p>
            <w:pPr>
              <w:spacing w:before="120" w:beforeLines="50" w:line="360" w:lineRule="auto"/>
              <w:ind w:firstLine="480" w:firstLineChars="200"/>
              <w:rPr>
                <w:bCs/>
                <w:color w:val="auto"/>
                <w:sz w:val="24"/>
              </w:rPr>
            </w:pPr>
            <w:r>
              <w:rPr>
                <w:bCs/>
                <w:color w:val="auto"/>
                <w:sz w:val="24"/>
              </w:rPr>
              <w:t>2</w:t>
            </w:r>
            <w:r>
              <w:rPr>
                <w:rFonts w:hint="eastAsia"/>
                <w:bCs/>
                <w:color w:val="auto"/>
                <w:sz w:val="24"/>
              </w:rPr>
              <w:t>、达标排放分析</w:t>
            </w:r>
          </w:p>
          <w:p>
            <w:pPr>
              <w:adjustRightInd w:val="0"/>
              <w:snapToGrid w:val="0"/>
              <w:spacing w:line="360" w:lineRule="auto"/>
              <w:ind w:firstLine="480" w:firstLineChars="200"/>
              <w:rPr>
                <w:bCs/>
                <w:color w:val="auto"/>
                <w:sz w:val="24"/>
              </w:rPr>
            </w:pPr>
            <w:r>
              <w:rPr>
                <w:rFonts w:hint="eastAsia"/>
                <w:bCs/>
                <w:color w:val="auto"/>
                <w:sz w:val="24"/>
              </w:rPr>
              <w:t>医疗废水（门诊部、住院部废水）与医务人员（生活污水）经一体化污水处理设施处理后进入国色天香化粪池，后市政污水管网最终进入西安市第九污水处理厂。根据以上分析，项目医疗废水一体化污水处理设施出口满足</w:t>
            </w:r>
            <w:r>
              <w:rPr>
                <w:rFonts w:hint="eastAsia" w:ascii="宋体" w:hAnsi="宋体"/>
                <w:bCs/>
                <w:color w:val="auto"/>
                <w:sz w:val="24"/>
              </w:rPr>
              <w:t>《医疗机构水污染物排放标准》（</w:t>
            </w:r>
            <w:r>
              <w:rPr>
                <w:bCs/>
                <w:color w:val="auto"/>
                <w:sz w:val="24"/>
              </w:rPr>
              <w:t>GB18466-2005</w:t>
            </w:r>
            <w:r>
              <w:rPr>
                <w:rFonts w:hint="eastAsia" w:ascii="宋体" w:hAnsi="宋体"/>
                <w:bCs/>
                <w:color w:val="auto"/>
                <w:sz w:val="24"/>
              </w:rPr>
              <w:t>）表</w:t>
            </w:r>
            <w:r>
              <w:rPr>
                <w:bCs/>
                <w:color w:val="auto"/>
                <w:sz w:val="24"/>
              </w:rPr>
              <w:t>2</w:t>
            </w:r>
            <w:r>
              <w:rPr>
                <w:rFonts w:hint="eastAsia" w:ascii="宋体" w:hAnsi="宋体"/>
                <w:bCs/>
                <w:color w:val="auto"/>
                <w:sz w:val="24"/>
              </w:rPr>
              <w:t>综合医疗机构和其他医疗机构水污染物排放限值（日均值）预处理标准，氨氮参照执行《污水排入城镇下水道水质标准》（</w:t>
            </w:r>
            <w:r>
              <w:rPr>
                <w:bCs/>
                <w:color w:val="auto"/>
                <w:sz w:val="24"/>
              </w:rPr>
              <w:t>GB/T31962-2015</w:t>
            </w:r>
            <w:r>
              <w:rPr>
                <w:rFonts w:hint="eastAsia" w:ascii="宋体" w:hAnsi="宋体"/>
                <w:bCs/>
                <w:color w:val="auto"/>
                <w:sz w:val="24"/>
              </w:rPr>
              <w:t>）</w:t>
            </w:r>
            <w:r>
              <w:rPr>
                <w:bCs/>
                <w:color w:val="auto"/>
                <w:sz w:val="24"/>
              </w:rPr>
              <w:t>B</w:t>
            </w:r>
            <w:r>
              <w:rPr>
                <w:rFonts w:hint="eastAsia" w:ascii="宋体" w:hAnsi="宋体"/>
                <w:bCs/>
                <w:color w:val="auto"/>
                <w:sz w:val="24"/>
              </w:rPr>
              <w:t>级标准。</w:t>
            </w:r>
          </w:p>
          <w:p>
            <w:pPr>
              <w:spacing w:line="360" w:lineRule="auto"/>
              <w:ind w:firstLine="480" w:firstLineChars="200"/>
              <w:rPr>
                <w:bCs/>
                <w:color w:val="auto"/>
                <w:sz w:val="24"/>
              </w:rPr>
            </w:pPr>
            <w:r>
              <w:rPr>
                <w:bCs/>
                <w:color w:val="auto"/>
                <w:sz w:val="24"/>
              </w:rPr>
              <w:t>3</w:t>
            </w:r>
            <w:r>
              <w:rPr>
                <w:rFonts w:hint="eastAsia"/>
                <w:bCs/>
                <w:color w:val="auto"/>
                <w:sz w:val="24"/>
              </w:rPr>
              <w:t>、</w:t>
            </w:r>
            <w:r>
              <w:rPr>
                <w:rFonts w:hint="eastAsia"/>
                <w:color w:val="auto"/>
                <w:sz w:val="24"/>
              </w:rPr>
              <w:t>依托可行性分析</w:t>
            </w:r>
          </w:p>
          <w:p>
            <w:pPr>
              <w:adjustRightInd w:val="0"/>
              <w:snapToGrid w:val="0"/>
              <w:spacing w:line="360" w:lineRule="auto"/>
              <w:ind w:firstLine="480" w:firstLineChars="200"/>
              <w:rPr>
                <w:bCs/>
                <w:color w:val="auto"/>
                <w:sz w:val="24"/>
              </w:rPr>
            </w:pPr>
            <w:r>
              <w:rPr>
                <w:rFonts w:hint="eastAsia"/>
                <w:bCs/>
                <w:color w:val="auto"/>
                <w:sz w:val="24"/>
                <w:lang w:val="en-US" w:eastAsia="zh-CN"/>
              </w:rPr>
              <w:t>现有项目排水量为2.6</w:t>
            </w:r>
            <w:r>
              <w:rPr>
                <w:bCs/>
                <w:color w:val="auto"/>
                <w:sz w:val="24"/>
              </w:rPr>
              <w:t>m</w:t>
            </w:r>
            <w:r>
              <w:rPr>
                <w:bCs/>
                <w:color w:val="auto"/>
                <w:sz w:val="24"/>
                <w:vertAlign w:val="superscript"/>
              </w:rPr>
              <w:t>3</w:t>
            </w:r>
            <w:r>
              <w:rPr>
                <w:bCs/>
                <w:color w:val="auto"/>
                <w:sz w:val="24"/>
              </w:rPr>
              <w:t>/d</w:t>
            </w:r>
            <w:r>
              <w:rPr>
                <w:rFonts w:hint="eastAsia"/>
                <w:bCs/>
                <w:color w:val="auto"/>
                <w:sz w:val="24"/>
                <w:lang w:eastAsia="zh-CN"/>
              </w:rPr>
              <w:t>，</w:t>
            </w:r>
            <w:r>
              <w:rPr>
                <w:rFonts w:hint="eastAsia"/>
                <w:bCs/>
                <w:color w:val="auto"/>
                <w:sz w:val="24"/>
              </w:rPr>
              <w:t>现有污水处理站设计处理能力为10m</w:t>
            </w:r>
            <w:r>
              <w:rPr>
                <w:rFonts w:hint="eastAsia"/>
                <w:bCs/>
                <w:color w:val="auto"/>
                <w:sz w:val="24"/>
                <w:vertAlign w:val="superscript"/>
              </w:rPr>
              <w:t>3</w:t>
            </w:r>
            <w:r>
              <w:rPr>
                <w:rFonts w:hint="eastAsia"/>
                <w:bCs/>
                <w:color w:val="auto"/>
                <w:sz w:val="24"/>
              </w:rPr>
              <w:t>/d，</w:t>
            </w:r>
            <w:r>
              <w:rPr>
                <w:rFonts w:hint="eastAsia"/>
                <w:bCs/>
                <w:color w:val="auto"/>
                <w:sz w:val="24"/>
                <w:lang w:val="en-US" w:eastAsia="zh-CN"/>
              </w:rPr>
              <w:t>剩余处理能力为7.4</w:t>
            </w:r>
            <w:r>
              <w:rPr>
                <w:bCs/>
                <w:color w:val="auto"/>
                <w:sz w:val="24"/>
              </w:rPr>
              <w:t>m</w:t>
            </w:r>
            <w:r>
              <w:rPr>
                <w:bCs/>
                <w:color w:val="auto"/>
                <w:sz w:val="24"/>
                <w:vertAlign w:val="superscript"/>
              </w:rPr>
              <w:t>3</w:t>
            </w:r>
            <w:r>
              <w:rPr>
                <w:bCs/>
                <w:color w:val="auto"/>
                <w:sz w:val="24"/>
              </w:rPr>
              <w:t>/d</w:t>
            </w:r>
            <w:r>
              <w:rPr>
                <w:rFonts w:hint="eastAsia"/>
                <w:bCs/>
                <w:color w:val="auto"/>
                <w:sz w:val="24"/>
                <w:lang w:eastAsia="zh-CN"/>
              </w:rPr>
              <w:t>，</w:t>
            </w:r>
            <w:r>
              <w:rPr>
                <w:rFonts w:hint="eastAsia"/>
                <w:bCs/>
                <w:color w:val="auto"/>
                <w:sz w:val="24"/>
              </w:rPr>
              <w:t>本项目</w:t>
            </w:r>
            <w:r>
              <w:rPr>
                <w:rFonts w:hint="eastAsia"/>
                <w:bCs/>
                <w:color w:val="auto"/>
                <w:sz w:val="24"/>
                <w:lang w:val="en-US" w:eastAsia="zh-CN"/>
              </w:rPr>
              <w:t>新增</w:t>
            </w:r>
            <w:r>
              <w:rPr>
                <w:rFonts w:hint="eastAsia"/>
                <w:bCs/>
                <w:color w:val="auto"/>
                <w:sz w:val="24"/>
              </w:rPr>
              <w:t>排水量日最大值为</w:t>
            </w:r>
            <w:r>
              <w:rPr>
                <w:rFonts w:hint="eastAsia"/>
                <w:bCs/>
                <w:color w:val="auto"/>
                <w:sz w:val="24"/>
                <w:lang w:val="en-US" w:eastAsia="zh-CN"/>
              </w:rPr>
              <w:t>5.24</w:t>
            </w:r>
            <w:r>
              <w:rPr>
                <w:bCs/>
                <w:color w:val="auto"/>
                <w:sz w:val="24"/>
              </w:rPr>
              <w:t>m</w:t>
            </w:r>
            <w:r>
              <w:rPr>
                <w:bCs/>
                <w:color w:val="auto"/>
                <w:sz w:val="24"/>
                <w:vertAlign w:val="superscript"/>
              </w:rPr>
              <w:t>3</w:t>
            </w:r>
            <w:r>
              <w:rPr>
                <w:bCs/>
                <w:color w:val="auto"/>
                <w:sz w:val="24"/>
              </w:rPr>
              <w:t>/d</w:t>
            </w:r>
            <w:r>
              <w:rPr>
                <w:rFonts w:hint="eastAsia"/>
                <w:bCs/>
                <w:color w:val="auto"/>
                <w:sz w:val="24"/>
              </w:rPr>
              <w:t>，</w:t>
            </w:r>
            <w:r>
              <w:rPr>
                <w:bCs/>
                <w:color w:val="auto"/>
                <w:sz w:val="24"/>
              </w:rPr>
              <w:t>可以满足</w:t>
            </w:r>
            <w:r>
              <w:rPr>
                <w:rFonts w:hint="eastAsia"/>
                <w:bCs/>
                <w:color w:val="auto"/>
                <w:sz w:val="24"/>
                <w:lang w:val="en-US" w:eastAsia="zh-CN"/>
              </w:rPr>
              <w:t>本</w:t>
            </w:r>
            <w:r>
              <w:rPr>
                <w:bCs/>
                <w:color w:val="auto"/>
                <w:sz w:val="24"/>
              </w:rPr>
              <w:t>项目废水的处理。</w:t>
            </w:r>
            <w:r>
              <w:rPr>
                <w:rFonts w:hint="eastAsia"/>
                <w:bCs/>
                <w:color w:val="auto"/>
                <w:sz w:val="24"/>
              </w:rPr>
              <w:t>根据现场了解，项目依托已建成</w:t>
            </w:r>
            <w:r>
              <w:rPr>
                <w:rFonts w:hint="eastAsia" w:ascii="宋体" w:hAnsi="宋体"/>
                <w:bCs/>
                <w:color w:val="auto"/>
                <w:sz w:val="24"/>
              </w:rPr>
              <w:t>国色天香化粪池</w:t>
            </w:r>
            <w:r>
              <w:rPr>
                <w:bCs/>
                <w:color w:val="auto"/>
                <w:sz w:val="24"/>
              </w:rPr>
              <w:t>150m</w:t>
            </w:r>
            <w:r>
              <w:rPr>
                <w:bCs/>
                <w:color w:val="auto"/>
                <w:sz w:val="24"/>
                <w:vertAlign w:val="superscript"/>
              </w:rPr>
              <w:t>3</w:t>
            </w:r>
            <w:r>
              <w:rPr>
                <w:rFonts w:hint="eastAsia"/>
                <w:bCs/>
                <w:color w:val="auto"/>
                <w:sz w:val="24"/>
              </w:rPr>
              <w:t>，现已使用</w:t>
            </w:r>
            <w:r>
              <w:rPr>
                <w:bCs/>
                <w:color w:val="auto"/>
                <w:sz w:val="24"/>
              </w:rPr>
              <w:t>120m</w:t>
            </w:r>
            <w:r>
              <w:rPr>
                <w:bCs/>
                <w:color w:val="auto"/>
                <w:sz w:val="24"/>
                <w:vertAlign w:val="superscript"/>
              </w:rPr>
              <w:t>3</w:t>
            </w:r>
            <w:r>
              <w:rPr>
                <w:rFonts w:hint="eastAsia"/>
                <w:bCs/>
                <w:color w:val="auto"/>
                <w:sz w:val="24"/>
              </w:rPr>
              <w:t>，化粪池可以满足本项目废水的接纳处理。项目综合废水经国色天香化粪池处理后</w:t>
            </w:r>
            <w:r>
              <w:rPr>
                <w:rFonts w:hint="eastAsia" w:ascii="宋体" w:hAnsi="宋体"/>
                <w:bCs/>
                <w:color w:val="auto"/>
                <w:sz w:val="24"/>
              </w:rPr>
              <w:t>排入市政污水管网，最终进入西安市第九污水处理厂。</w:t>
            </w:r>
          </w:p>
          <w:p>
            <w:pPr>
              <w:spacing w:line="360" w:lineRule="auto"/>
              <w:ind w:firstLine="480" w:firstLineChars="200"/>
              <w:rPr>
                <w:color w:val="auto"/>
                <w:sz w:val="24"/>
              </w:rPr>
            </w:pPr>
            <w:r>
              <w:rPr>
                <w:color w:val="auto"/>
                <w:sz w:val="24"/>
              </w:rPr>
              <w:t>4</w:t>
            </w:r>
            <w:r>
              <w:rPr>
                <w:rFonts w:hint="eastAsia"/>
                <w:color w:val="auto"/>
                <w:sz w:val="24"/>
              </w:rPr>
              <w:t>、污水处理厂依托可行性分析</w:t>
            </w:r>
          </w:p>
          <w:p>
            <w:pPr>
              <w:spacing w:line="360" w:lineRule="auto"/>
              <w:ind w:firstLine="480" w:firstLineChars="200"/>
              <w:rPr>
                <w:color w:val="auto"/>
                <w:sz w:val="24"/>
                <w:shd w:val="clear" w:color="auto" w:fill="FFFFFF"/>
              </w:rPr>
            </w:pPr>
            <w:r>
              <w:rPr>
                <w:rFonts w:hint="eastAsia"/>
                <w:color w:val="auto"/>
                <w:sz w:val="24"/>
              </w:rPr>
              <w:t>西安市第九（长安区）污水处理厂位于西安市长安区西部大道，</w:t>
            </w:r>
            <w:r>
              <w:rPr>
                <w:rFonts w:hint="eastAsia"/>
                <w:color w:val="auto"/>
                <w:sz w:val="24"/>
                <w:shd w:val="clear" w:color="auto" w:fill="FFFFFF"/>
              </w:rPr>
              <w:t>一期工程设计处理规模</w:t>
            </w:r>
            <w:r>
              <w:rPr>
                <w:color w:val="auto"/>
                <w:sz w:val="24"/>
                <w:shd w:val="clear" w:color="auto" w:fill="FFFFFF"/>
              </w:rPr>
              <w:t>5</w:t>
            </w:r>
            <w:r>
              <w:rPr>
                <w:rFonts w:hint="eastAsia"/>
                <w:color w:val="auto"/>
                <w:sz w:val="24"/>
                <w:shd w:val="clear" w:color="auto" w:fill="FFFFFF"/>
              </w:rPr>
              <w:t>万</w:t>
            </w:r>
            <w:r>
              <w:rPr>
                <w:color w:val="auto"/>
                <w:sz w:val="24"/>
                <w:shd w:val="clear" w:color="auto" w:fill="FFFFFF"/>
              </w:rPr>
              <w:t>m</w:t>
            </w:r>
            <w:r>
              <w:rPr>
                <w:color w:val="auto"/>
                <w:sz w:val="24"/>
                <w:shd w:val="clear" w:color="auto" w:fill="FFFFFF"/>
                <w:vertAlign w:val="superscript"/>
              </w:rPr>
              <w:t>3</w:t>
            </w:r>
            <w:r>
              <w:rPr>
                <w:color w:val="auto"/>
                <w:sz w:val="24"/>
                <w:shd w:val="clear" w:color="auto" w:fill="FFFFFF"/>
              </w:rPr>
              <w:t>/d</w:t>
            </w:r>
            <w:r>
              <w:rPr>
                <w:rFonts w:hint="eastAsia"/>
                <w:color w:val="auto"/>
                <w:sz w:val="24"/>
                <w:shd w:val="clear" w:color="auto" w:fill="FFFFFF"/>
              </w:rPr>
              <w:t>，于</w:t>
            </w:r>
            <w:r>
              <w:rPr>
                <w:color w:val="auto"/>
                <w:sz w:val="24"/>
                <w:shd w:val="clear" w:color="auto" w:fill="FFFFFF"/>
              </w:rPr>
              <w:t>2008</w:t>
            </w:r>
            <w:r>
              <w:rPr>
                <w:rFonts w:hint="eastAsia"/>
                <w:color w:val="auto"/>
                <w:sz w:val="24"/>
                <w:shd w:val="clear" w:color="auto" w:fill="FFFFFF"/>
              </w:rPr>
              <w:t>年</w:t>
            </w:r>
            <w:r>
              <w:rPr>
                <w:color w:val="auto"/>
                <w:sz w:val="24"/>
                <w:shd w:val="clear" w:color="auto" w:fill="FFFFFF"/>
              </w:rPr>
              <w:t>11</w:t>
            </w:r>
            <w:r>
              <w:rPr>
                <w:rFonts w:hint="eastAsia"/>
                <w:color w:val="auto"/>
                <w:sz w:val="24"/>
                <w:shd w:val="clear" w:color="auto" w:fill="FFFFFF"/>
              </w:rPr>
              <w:t>月底建成，</w:t>
            </w:r>
            <w:r>
              <w:rPr>
                <w:color w:val="auto"/>
                <w:sz w:val="24"/>
                <w:shd w:val="clear" w:color="auto" w:fill="FFFFFF"/>
              </w:rPr>
              <w:t>2009</w:t>
            </w:r>
            <w:r>
              <w:rPr>
                <w:rFonts w:hint="eastAsia"/>
                <w:color w:val="auto"/>
                <w:sz w:val="24"/>
                <w:shd w:val="clear" w:color="auto" w:fill="FFFFFF"/>
              </w:rPr>
              <w:t>年</w:t>
            </w:r>
            <w:r>
              <w:rPr>
                <w:color w:val="auto"/>
                <w:sz w:val="24"/>
                <w:shd w:val="clear" w:color="auto" w:fill="FFFFFF"/>
              </w:rPr>
              <w:t>6</w:t>
            </w:r>
            <w:r>
              <w:rPr>
                <w:rFonts w:hint="eastAsia"/>
                <w:color w:val="auto"/>
                <w:sz w:val="24"/>
                <w:shd w:val="clear" w:color="auto" w:fill="FFFFFF"/>
              </w:rPr>
              <w:t>月进入商业运营，工艺采用改良型卡鲁塞尔氧化沟处理工艺（厌氧</w:t>
            </w:r>
            <w:r>
              <w:rPr>
                <w:color w:val="auto"/>
                <w:sz w:val="24"/>
                <w:shd w:val="clear" w:color="auto" w:fill="FFFFFF"/>
              </w:rPr>
              <w:t>/</w:t>
            </w:r>
            <w:r>
              <w:rPr>
                <w:rFonts w:hint="eastAsia"/>
                <w:color w:val="auto"/>
                <w:sz w:val="24"/>
                <w:shd w:val="clear" w:color="auto" w:fill="FFFFFF"/>
              </w:rPr>
              <w:t>缺氧</w:t>
            </w:r>
            <w:r>
              <w:rPr>
                <w:color w:val="auto"/>
                <w:sz w:val="24"/>
                <w:shd w:val="clear" w:color="auto" w:fill="FFFFFF"/>
              </w:rPr>
              <w:t>/</w:t>
            </w:r>
            <w:r>
              <w:rPr>
                <w:rFonts w:hint="eastAsia"/>
                <w:color w:val="auto"/>
                <w:sz w:val="24"/>
                <w:shd w:val="clear" w:color="auto" w:fill="FFFFFF"/>
              </w:rPr>
              <w:t>好氧），处理后的水质达到</w:t>
            </w:r>
            <w:r>
              <w:rPr>
                <w:color w:val="auto"/>
                <w:sz w:val="24"/>
                <w:shd w:val="clear" w:color="auto" w:fill="FFFFFF"/>
              </w:rPr>
              <w:t>GB18918-2002</w:t>
            </w:r>
            <w:r>
              <w:rPr>
                <w:rFonts w:hint="eastAsia"/>
                <w:color w:val="auto"/>
                <w:sz w:val="24"/>
                <w:shd w:val="clear" w:color="auto" w:fill="FFFFFF"/>
              </w:rPr>
              <w:t>《城镇污水处理厂污染物排放标准》中的一级</w:t>
            </w:r>
            <w:r>
              <w:rPr>
                <w:color w:val="auto"/>
                <w:sz w:val="24"/>
                <w:shd w:val="clear" w:color="auto" w:fill="FFFFFF"/>
              </w:rPr>
              <w:t>B</w:t>
            </w:r>
            <w:r>
              <w:rPr>
                <w:rFonts w:hint="eastAsia"/>
                <w:color w:val="auto"/>
                <w:sz w:val="24"/>
                <w:shd w:val="clear" w:color="auto" w:fill="FFFFFF"/>
              </w:rPr>
              <w:t>标准；二期（</w:t>
            </w:r>
            <w:r>
              <w:rPr>
                <w:color w:val="auto"/>
                <w:sz w:val="24"/>
                <w:shd w:val="clear" w:color="auto" w:fill="FFFFFF"/>
              </w:rPr>
              <w:t>5</w:t>
            </w:r>
            <w:r>
              <w:rPr>
                <w:rFonts w:hint="eastAsia"/>
                <w:color w:val="auto"/>
                <w:sz w:val="24"/>
                <w:shd w:val="clear" w:color="auto" w:fill="FFFFFF"/>
              </w:rPr>
              <w:t>万</w:t>
            </w:r>
            <w:r>
              <w:rPr>
                <w:color w:val="auto"/>
                <w:sz w:val="24"/>
                <w:shd w:val="clear" w:color="auto" w:fill="FFFFFF"/>
              </w:rPr>
              <w:t>m</w:t>
            </w:r>
            <w:r>
              <w:rPr>
                <w:color w:val="auto"/>
                <w:sz w:val="24"/>
                <w:shd w:val="clear" w:color="auto" w:fill="FFFFFF"/>
                <w:vertAlign w:val="superscript"/>
              </w:rPr>
              <w:t>3</w:t>
            </w:r>
            <w:r>
              <w:rPr>
                <w:color w:val="auto"/>
                <w:sz w:val="24"/>
                <w:shd w:val="clear" w:color="auto" w:fill="FFFFFF"/>
              </w:rPr>
              <w:t>/d</w:t>
            </w:r>
            <w:r>
              <w:rPr>
                <w:rFonts w:hint="eastAsia"/>
                <w:color w:val="auto"/>
                <w:sz w:val="24"/>
                <w:shd w:val="clear" w:color="auto" w:fill="FFFFFF"/>
              </w:rPr>
              <w:t>）及提标改造工程于</w:t>
            </w:r>
            <w:r>
              <w:rPr>
                <w:color w:val="auto"/>
                <w:sz w:val="24"/>
                <w:shd w:val="clear" w:color="auto" w:fill="FFFFFF"/>
              </w:rPr>
              <w:t>2012</w:t>
            </w:r>
            <w:r>
              <w:rPr>
                <w:rFonts w:hint="eastAsia"/>
                <w:color w:val="auto"/>
                <w:sz w:val="24"/>
                <w:shd w:val="clear" w:color="auto" w:fill="FFFFFF"/>
              </w:rPr>
              <w:t>年底建成，</w:t>
            </w:r>
            <w:r>
              <w:rPr>
                <w:color w:val="auto"/>
                <w:sz w:val="24"/>
                <w:shd w:val="clear" w:color="auto" w:fill="FFFFFF"/>
              </w:rPr>
              <w:t>2013</w:t>
            </w:r>
            <w:r>
              <w:rPr>
                <w:rFonts w:hint="eastAsia"/>
                <w:color w:val="auto"/>
                <w:sz w:val="24"/>
                <w:shd w:val="clear" w:color="auto" w:fill="FFFFFF"/>
              </w:rPr>
              <w:t>年</w:t>
            </w:r>
            <w:r>
              <w:rPr>
                <w:color w:val="auto"/>
                <w:sz w:val="24"/>
                <w:shd w:val="clear" w:color="auto" w:fill="FFFFFF"/>
              </w:rPr>
              <w:t>2</w:t>
            </w:r>
            <w:r>
              <w:rPr>
                <w:rFonts w:hint="eastAsia"/>
                <w:color w:val="auto"/>
                <w:sz w:val="24"/>
                <w:shd w:val="clear" w:color="auto" w:fill="FFFFFF"/>
              </w:rPr>
              <w:t>月进入试运行；建成后污水厂总规模达到</w:t>
            </w:r>
            <w:r>
              <w:rPr>
                <w:color w:val="auto"/>
                <w:sz w:val="24"/>
                <w:shd w:val="clear" w:color="auto" w:fill="FFFFFF"/>
              </w:rPr>
              <w:t>10</w:t>
            </w:r>
            <w:r>
              <w:rPr>
                <w:rFonts w:hint="eastAsia"/>
                <w:color w:val="auto"/>
                <w:sz w:val="24"/>
                <w:shd w:val="clear" w:color="auto" w:fill="FFFFFF"/>
              </w:rPr>
              <w:t>万</w:t>
            </w:r>
            <w:r>
              <w:rPr>
                <w:color w:val="auto"/>
                <w:sz w:val="24"/>
                <w:shd w:val="clear" w:color="auto" w:fill="FFFFFF"/>
              </w:rPr>
              <w:t>m</w:t>
            </w:r>
            <w:r>
              <w:rPr>
                <w:color w:val="auto"/>
                <w:sz w:val="24"/>
                <w:shd w:val="clear" w:color="auto" w:fill="FFFFFF"/>
                <w:vertAlign w:val="superscript"/>
              </w:rPr>
              <w:t>3</w:t>
            </w:r>
            <w:r>
              <w:rPr>
                <w:color w:val="auto"/>
                <w:sz w:val="24"/>
                <w:shd w:val="clear" w:color="auto" w:fill="FFFFFF"/>
              </w:rPr>
              <w:t>/d</w:t>
            </w:r>
            <w:r>
              <w:rPr>
                <w:rFonts w:hint="eastAsia"/>
                <w:color w:val="auto"/>
                <w:sz w:val="24"/>
                <w:shd w:val="clear" w:color="auto" w:fill="FFFFFF"/>
              </w:rPr>
              <w:t>，污水处理采用改良型卡鲁赛尔氧化沟</w:t>
            </w:r>
            <w:r>
              <w:rPr>
                <w:color w:val="auto"/>
                <w:sz w:val="24"/>
                <w:shd w:val="clear" w:color="auto" w:fill="FFFFFF"/>
              </w:rPr>
              <w:t>+</w:t>
            </w:r>
            <w:r>
              <w:rPr>
                <w:rFonts w:hint="eastAsia"/>
                <w:color w:val="auto"/>
                <w:sz w:val="24"/>
                <w:shd w:val="clear" w:color="auto" w:fill="FFFFFF"/>
              </w:rPr>
              <w:t>纤维转盘滤池处理工艺，消毒处理采用次氯酸钠消毒工艺，剩余污泥通过一体化带式压滤机处理成泥饼，由区政府指定地点全处理，臭气收集至生物除臭滤池进行处理，达到除臭的作用。污水经粗格栅、提升泵房、细格栅、旋流沉砂池将污水中的较大污染物质去除，然后在氧化沟中进一步完成有机物的去除，二沉池出水经二次提升泵房提升后，经纤维转盘滤池等处理后，出水经次氯酸钠消毒后排入皂河，处理后的水质达到《城镇污水处理厂污染物排放标准》（</w:t>
            </w:r>
            <w:r>
              <w:rPr>
                <w:color w:val="auto"/>
                <w:sz w:val="24"/>
                <w:shd w:val="clear" w:color="auto" w:fill="FFFFFF"/>
              </w:rPr>
              <w:t>GB18918-2002</w:t>
            </w:r>
            <w:r>
              <w:rPr>
                <w:rFonts w:hint="eastAsia"/>
                <w:color w:val="auto"/>
                <w:sz w:val="24"/>
                <w:shd w:val="clear" w:color="auto" w:fill="FFFFFF"/>
              </w:rPr>
              <w:t>）中的一级</w:t>
            </w:r>
            <w:r>
              <w:rPr>
                <w:color w:val="auto"/>
                <w:sz w:val="24"/>
                <w:shd w:val="clear" w:color="auto" w:fill="FFFFFF"/>
              </w:rPr>
              <w:t>A</w:t>
            </w:r>
            <w:r>
              <w:rPr>
                <w:rFonts w:hint="eastAsia"/>
                <w:color w:val="auto"/>
                <w:sz w:val="24"/>
                <w:shd w:val="clear" w:color="auto" w:fill="FFFFFF"/>
              </w:rPr>
              <w:t>标准；污泥处理处置采用带式污泥浓缩脱水一体机脱水后外运工艺。三期设计处理规模</w:t>
            </w:r>
            <w:r>
              <w:rPr>
                <w:color w:val="auto"/>
                <w:sz w:val="24"/>
                <w:shd w:val="clear" w:color="auto" w:fill="FFFFFF"/>
              </w:rPr>
              <w:t>10</w:t>
            </w:r>
            <w:r>
              <w:rPr>
                <w:rFonts w:hint="eastAsia"/>
                <w:color w:val="auto"/>
                <w:sz w:val="24"/>
                <w:shd w:val="clear" w:color="auto" w:fill="FFFFFF"/>
              </w:rPr>
              <w:t>万</w:t>
            </w:r>
            <w:r>
              <w:rPr>
                <w:color w:val="auto"/>
                <w:sz w:val="24"/>
                <w:shd w:val="clear" w:color="auto" w:fill="FFFFFF"/>
              </w:rPr>
              <w:t>m</w:t>
            </w:r>
            <w:r>
              <w:rPr>
                <w:color w:val="auto"/>
                <w:sz w:val="24"/>
                <w:shd w:val="clear" w:color="auto" w:fill="FFFFFF"/>
                <w:vertAlign w:val="superscript"/>
              </w:rPr>
              <w:t>3</w:t>
            </w:r>
            <w:r>
              <w:rPr>
                <w:color w:val="auto"/>
                <w:sz w:val="24"/>
                <w:shd w:val="clear" w:color="auto" w:fill="FFFFFF"/>
              </w:rPr>
              <w:t>/d</w:t>
            </w:r>
            <w:r>
              <w:rPr>
                <w:rFonts w:hint="eastAsia"/>
                <w:color w:val="auto"/>
                <w:sz w:val="24"/>
                <w:shd w:val="clear" w:color="auto" w:fill="FFFFFF"/>
              </w:rPr>
              <w:t>，分两期建设，前期、后期处理规模均为</w:t>
            </w:r>
            <w:r>
              <w:rPr>
                <w:color w:val="auto"/>
                <w:sz w:val="24"/>
                <w:shd w:val="clear" w:color="auto" w:fill="FFFFFF"/>
              </w:rPr>
              <w:t>5</w:t>
            </w:r>
            <w:r>
              <w:rPr>
                <w:rFonts w:hint="eastAsia"/>
                <w:color w:val="auto"/>
                <w:sz w:val="24"/>
                <w:shd w:val="clear" w:color="auto" w:fill="FFFFFF"/>
              </w:rPr>
              <w:t>万</w:t>
            </w:r>
            <w:r>
              <w:rPr>
                <w:color w:val="auto"/>
                <w:sz w:val="24"/>
                <w:shd w:val="clear" w:color="auto" w:fill="FFFFFF"/>
              </w:rPr>
              <w:t>m</w:t>
            </w:r>
            <w:r>
              <w:rPr>
                <w:color w:val="auto"/>
                <w:sz w:val="24"/>
                <w:shd w:val="clear" w:color="auto" w:fill="FFFFFF"/>
                <w:vertAlign w:val="superscript"/>
              </w:rPr>
              <w:t>3</w:t>
            </w:r>
            <w:r>
              <w:rPr>
                <w:color w:val="auto"/>
                <w:sz w:val="24"/>
                <w:shd w:val="clear" w:color="auto" w:fill="FFFFFF"/>
              </w:rPr>
              <w:t>/d</w:t>
            </w:r>
            <w:r>
              <w:rPr>
                <w:rFonts w:hint="eastAsia"/>
                <w:color w:val="auto"/>
                <w:sz w:val="24"/>
                <w:shd w:val="clear" w:color="auto" w:fill="FFFFFF"/>
              </w:rPr>
              <w:t>，污水采用“</w:t>
            </w:r>
            <w:r>
              <w:rPr>
                <w:color w:val="auto"/>
                <w:sz w:val="24"/>
                <w:shd w:val="clear" w:color="auto" w:fill="FFFFFF"/>
              </w:rPr>
              <w:t>A</w:t>
            </w:r>
            <w:r>
              <w:rPr>
                <w:color w:val="auto"/>
                <w:sz w:val="24"/>
                <w:shd w:val="clear" w:color="auto" w:fill="FFFFFF"/>
                <w:vertAlign w:val="superscript"/>
              </w:rPr>
              <w:t>2</w:t>
            </w:r>
            <w:r>
              <w:rPr>
                <w:color w:val="auto"/>
                <w:sz w:val="24"/>
                <w:shd w:val="clear" w:color="auto" w:fill="FFFFFF"/>
              </w:rPr>
              <w:t>O+V</w:t>
            </w:r>
            <w:r>
              <w:rPr>
                <w:rFonts w:hint="eastAsia"/>
                <w:color w:val="auto"/>
                <w:sz w:val="24"/>
                <w:shd w:val="clear" w:color="auto" w:fill="FFFFFF"/>
              </w:rPr>
              <w:t>型滤</w:t>
            </w:r>
            <w:r>
              <w:rPr>
                <w:rFonts w:hint="eastAsia" w:asciiTheme="minorEastAsia" w:hAnsiTheme="minorEastAsia" w:eastAsiaTheme="minorEastAsia"/>
                <w:color w:val="auto"/>
                <w:sz w:val="24"/>
                <w:shd w:val="clear" w:color="auto" w:fill="FFFFFF"/>
              </w:rPr>
              <w:t>池</w:t>
            </w:r>
            <w:r>
              <w:rPr>
                <w:rFonts w:hint="eastAsia"/>
                <w:color w:val="auto"/>
                <w:sz w:val="24"/>
                <w:shd w:val="clear" w:color="auto" w:fill="FFFFFF"/>
              </w:rPr>
              <w:t>”处理工艺，出水水质达到</w:t>
            </w:r>
            <w:r>
              <w:rPr>
                <w:color w:val="auto"/>
                <w:sz w:val="24"/>
                <w:shd w:val="clear" w:color="auto" w:fill="FFFFFF"/>
              </w:rPr>
              <w:t>GB18918-2002</w:t>
            </w:r>
            <w:r>
              <w:rPr>
                <w:rFonts w:hint="eastAsia"/>
                <w:color w:val="auto"/>
                <w:sz w:val="24"/>
                <w:shd w:val="clear" w:color="auto" w:fill="FFFFFF"/>
              </w:rPr>
              <w:t>中的一级</w:t>
            </w:r>
            <w:r>
              <w:rPr>
                <w:color w:val="auto"/>
                <w:sz w:val="24"/>
                <w:shd w:val="clear" w:color="auto" w:fill="FFFFFF"/>
              </w:rPr>
              <w:t>A</w:t>
            </w:r>
            <w:r>
              <w:rPr>
                <w:rFonts w:hint="eastAsia"/>
                <w:color w:val="auto"/>
                <w:sz w:val="24"/>
                <w:shd w:val="clear" w:color="auto" w:fill="FFFFFF"/>
              </w:rPr>
              <w:t>标准及《城市污水再生利用</w:t>
            </w:r>
            <w:r>
              <w:rPr>
                <w:color w:val="auto"/>
                <w:sz w:val="24"/>
                <w:shd w:val="clear" w:color="auto" w:fill="FFFFFF"/>
              </w:rPr>
              <w:t xml:space="preserve"> </w:t>
            </w:r>
            <w:r>
              <w:rPr>
                <w:rFonts w:hint="eastAsia"/>
                <w:color w:val="auto"/>
                <w:sz w:val="24"/>
                <w:shd w:val="clear" w:color="auto" w:fill="FFFFFF"/>
              </w:rPr>
              <w:t>城市杂用水水质》（</w:t>
            </w:r>
            <w:r>
              <w:rPr>
                <w:color w:val="auto"/>
                <w:sz w:val="24"/>
                <w:shd w:val="clear" w:color="auto" w:fill="FFFFFF"/>
              </w:rPr>
              <w:t>GB/T 9920-2002</w:t>
            </w:r>
            <w:r>
              <w:rPr>
                <w:rFonts w:hint="eastAsia"/>
                <w:color w:val="auto"/>
                <w:sz w:val="24"/>
                <w:shd w:val="clear" w:color="auto" w:fill="FFFFFF"/>
              </w:rPr>
              <w:t>）要求，处理废水</w:t>
            </w:r>
            <w:r>
              <w:rPr>
                <w:color w:val="auto"/>
                <w:sz w:val="24"/>
                <w:shd w:val="clear" w:color="auto" w:fill="FFFFFF"/>
              </w:rPr>
              <w:t>60%</w:t>
            </w:r>
            <w:r>
              <w:rPr>
                <w:rFonts w:hint="eastAsia"/>
                <w:color w:val="auto"/>
                <w:sz w:val="24"/>
                <w:shd w:val="clear" w:color="auto" w:fill="FFFFFF"/>
              </w:rPr>
              <w:t>作为中水回用接至各用户，</w:t>
            </w:r>
            <w:r>
              <w:rPr>
                <w:color w:val="auto"/>
                <w:sz w:val="24"/>
                <w:shd w:val="clear" w:color="auto" w:fill="FFFFFF"/>
              </w:rPr>
              <w:t>40%</w:t>
            </w:r>
            <w:r>
              <w:rPr>
                <w:rFonts w:hint="eastAsia"/>
                <w:color w:val="auto"/>
                <w:sz w:val="24"/>
                <w:shd w:val="clear" w:color="auto" w:fill="FFFFFF"/>
              </w:rPr>
              <w:t>作为河流补充水排入皂河。</w:t>
            </w:r>
          </w:p>
          <w:p>
            <w:pPr>
              <w:spacing w:line="360" w:lineRule="auto"/>
              <w:ind w:firstLine="480" w:firstLineChars="200"/>
              <w:rPr>
                <w:color w:val="auto"/>
                <w:spacing w:val="-4"/>
                <w:sz w:val="24"/>
              </w:rPr>
            </w:pPr>
            <w:r>
              <w:rPr>
                <w:rFonts w:hint="eastAsia"/>
                <w:color w:val="auto"/>
                <w:sz w:val="24"/>
              </w:rPr>
              <w:t>本项目日排污水量占污水处理厂处理规模份额较小，本项目处于该污水处理厂收水范围内，因此本项目依托该污水处理厂可行</w:t>
            </w:r>
            <w:r>
              <w:rPr>
                <w:rFonts w:hint="eastAsia"/>
                <w:color w:val="auto"/>
                <w:spacing w:val="-4"/>
                <w:sz w:val="24"/>
              </w:rPr>
              <w:t>。</w:t>
            </w:r>
          </w:p>
          <w:p>
            <w:pPr>
              <w:spacing w:line="360" w:lineRule="auto"/>
              <w:ind w:firstLine="480" w:firstLineChars="200"/>
              <w:rPr>
                <w:bCs/>
                <w:color w:val="auto"/>
                <w:sz w:val="24"/>
              </w:rPr>
            </w:pPr>
            <w:r>
              <w:rPr>
                <w:rFonts w:hint="eastAsia"/>
                <w:bCs/>
                <w:color w:val="auto"/>
                <w:sz w:val="24"/>
              </w:rPr>
              <w:t>5、废水排放口基本情况</w:t>
            </w:r>
          </w:p>
          <w:p>
            <w:pPr>
              <w:spacing w:line="360" w:lineRule="auto"/>
              <w:ind w:firstLine="480" w:firstLineChars="200"/>
              <w:rPr>
                <w:color w:val="auto"/>
                <w:sz w:val="24"/>
              </w:rPr>
            </w:pPr>
            <w:r>
              <w:rPr>
                <w:rFonts w:hint="eastAsia"/>
                <w:color w:val="auto"/>
                <w:sz w:val="24"/>
              </w:rPr>
              <w:t>废水排放口基本情况见表</w:t>
            </w:r>
            <w:r>
              <w:rPr>
                <w:color w:val="auto"/>
                <w:sz w:val="24"/>
              </w:rPr>
              <w:t>4-</w:t>
            </w:r>
            <w:r>
              <w:rPr>
                <w:rFonts w:hint="eastAsia"/>
                <w:color w:val="auto"/>
                <w:sz w:val="24"/>
              </w:rPr>
              <w:t>4。</w:t>
            </w:r>
          </w:p>
          <w:p>
            <w:pPr>
              <w:adjustRightInd w:val="0"/>
              <w:snapToGrid w:val="0"/>
              <w:spacing w:line="312" w:lineRule="auto"/>
              <w:ind w:firstLine="420"/>
              <w:jc w:val="center"/>
              <w:rPr>
                <w:rFonts w:eastAsia="黑体"/>
                <w:color w:val="auto"/>
                <w:kern w:val="24"/>
                <w:szCs w:val="21"/>
              </w:rPr>
            </w:pPr>
            <w:r>
              <w:rPr>
                <w:rFonts w:hint="eastAsia" w:eastAsia="黑体"/>
                <w:color w:val="auto"/>
                <w:kern w:val="24"/>
                <w:szCs w:val="21"/>
              </w:rPr>
              <w:t>表</w:t>
            </w:r>
            <w:r>
              <w:rPr>
                <w:rFonts w:eastAsia="黑体"/>
                <w:color w:val="auto"/>
                <w:kern w:val="24"/>
                <w:szCs w:val="21"/>
              </w:rPr>
              <w:t>4-</w:t>
            </w:r>
            <w:r>
              <w:rPr>
                <w:rFonts w:hint="eastAsia" w:eastAsia="黑体"/>
                <w:color w:val="auto"/>
                <w:kern w:val="24"/>
                <w:szCs w:val="21"/>
              </w:rPr>
              <w:t>4</w:t>
            </w:r>
            <w:r>
              <w:rPr>
                <w:rFonts w:eastAsia="黑体"/>
                <w:color w:val="auto"/>
                <w:kern w:val="24"/>
                <w:szCs w:val="21"/>
              </w:rPr>
              <w:t xml:space="preserve">  </w:t>
            </w:r>
            <w:r>
              <w:rPr>
                <w:rFonts w:hint="eastAsia" w:eastAsia="黑体"/>
                <w:color w:val="auto"/>
                <w:kern w:val="24"/>
                <w:szCs w:val="21"/>
              </w:rPr>
              <w:t>废水类别、污染物及污染治理设施信息表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395"/>
              <w:gridCol w:w="687"/>
              <w:gridCol w:w="518"/>
              <w:gridCol w:w="996"/>
              <w:gridCol w:w="687"/>
              <w:gridCol w:w="687"/>
              <w:gridCol w:w="712"/>
              <w:gridCol w:w="688"/>
              <w:gridCol w:w="833"/>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44" w:type="pct"/>
                  <w:vMerge w:val="restart"/>
                  <w:vAlign w:val="center"/>
                </w:tcPr>
                <w:p>
                  <w:pPr>
                    <w:ind w:left="-105" w:leftChars="-50" w:right="-105" w:rightChars="-50"/>
                    <w:jc w:val="center"/>
                    <w:rPr>
                      <w:color w:val="auto"/>
                    </w:rPr>
                  </w:pPr>
                  <w:r>
                    <w:rPr>
                      <w:rFonts w:hint="eastAsia"/>
                      <w:color w:val="auto"/>
                    </w:rPr>
                    <w:t>序号</w:t>
                  </w:r>
                </w:p>
              </w:tc>
              <w:tc>
                <w:tcPr>
                  <w:tcW w:w="248" w:type="pct"/>
                  <w:vMerge w:val="restart"/>
                  <w:tcBorders>
                    <w:left w:val="nil"/>
                  </w:tcBorders>
                  <w:vAlign w:val="center"/>
                </w:tcPr>
                <w:p>
                  <w:pPr>
                    <w:ind w:left="-105" w:leftChars="-50" w:right="-105" w:rightChars="-50"/>
                    <w:jc w:val="center"/>
                    <w:rPr>
                      <w:color w:val="auto"/>
                    </w:rPr>
                  </w:pPr>
                  <w:r>
                    <w:rPr>
                      <w:rFonts w:hint="eastAsia"/>
                      <w:color w:val="auto"/>
                    </w:rPr>
                    <w:t>废水类别</w:t>
                  </w:r>
                </w:p>
              </w:tc>
              <w:tc>
                <w:tcPr>
                  <w:tcW w:w="431" w:type="pct"/>
                  <w:vMerge w:val="restart"/>
                  <w:tcBorders>
                    <w:left w:val="nil"/>
                  </w:tcBorders>
                  <w:vAlign w:val="center"/>
                </w:tcPr>
                <w:p>
                  <w:pPr>
                    <w:ind w:left="-105" w:leftChars="-50" w:right="-105" w:rightChars="-50"/>
                    <w:jc w:val="center"/>
                    <w:rPr>
                      <w:color w:val="auto"/>
                    </w:rPr>
                  </w:pPr>
                  <w:r>
                    <w:rPr>
                      <w:rFonts w:hint="eastAsia"/>
                      <w:color w:val="auto"/>
                    </w:rPr>
                    <w:t>污染物种类</w:t>
                  </w:r>
                </w:p>
              </w:tc>
              <w:tc>
                <w:tcPr>
                  <w:tcW w:w="325" w:type="pct"/>
                  <w:vMerge w:val="restart"/>
                  <w:tcBorders>
                    <w:left w:val="nil"/>
                  </w:tcBorders>
                  <w:vAlign w:val="center"/>
                </w:tcPr>
                <w:p>
                  <w:pPr>
                    <w:ind w:left="-105" w:leftChars="-50" w:right="-105" w:rightChars="-50"/>
                    <w:jc w:val="center"/>
                    <w:rPr>
                      <w:color w:val="auto"/>
                    </w:rPr>
                  </w:pPr>
                  <w:r>
                    <w:rPr>
                      <w:rFonts w:hint="eastAsia"/>
                      <w:color w:val="auto"/>
                    </w:rPr>
                    <w:t>排放去向</w:t>
                  </w:r>
                </w:p>
              </w:tc>
              <w:tc>
                <w:tcPr>
                  <w:tcW w:w="624" w:type="pct"/>
                  <w:vMerge w:val="restart"/>
                  <w:tcBorders>
                    <w:left w:val="nil"/>
                  </w:tcBorders>
                  <w:vAlign w:val="center"/>
                </w:tcPr>
                <w:p>
                  <w:pPr>
                    <w:ind w:left="-105" w:leftChars="-50" w:right="-105" w:rightChars="-50"/>
                    <w:jc w:val="center"/>
                    <w:rPr>
                      <w:color w:val="auto"/>
                    </w:rPr>
                  </w:pPr>
                  <w:r>
                    <w:rPr>
                      <w:rFonts w:hint="eastAsia"/>
                      <w:color w:val="auto"/>
                    </w:rPr>
                    <w:t>排放规律</w:t>
                  </w:r>
                </w:p>
              </w:tc>
              <w:tc>
                <w:tcPr>
                  <w:tcW w:w="1308" w:type="pct"/>
                  <w:gridSpan w:val="3"/>
                  <w:tcBorders>
                    <w:left w:val="nil"/>
                  </w:tcBorders>
                  <w:vAlign w:val="center"/>
                </w:tcPr>
                <w:p>
                  <w:pPr>
                    <w:ind w:left="-105" w:leftChars="-50" w:right="-105" w:rightChars="-50"/>
                    <w:jc w:val="center"/>
                    <w:rPr>
                      <w:color w:val="auto"/>
                    </w:rPr>
                  </w:pPr>
                  <w:r>
                    <w:rPr>
                      <w:rFonts w:hint="eastAsia"/>
                      <w:color w:val="auto"/>
                    </w:rPr>
                    <w:t>污染治理设施</w:t>
                  </w:r>
                </w:p>
              </w:tc>
              <w:tc>
                <w:tcPr>
                  <w:tcW w:w="431" w:type="pct"/>
                  <w:vMerge w:val="restart"/>
                  <w:tcBorders>
                    <w:left w:val="nil"/>
                  </w:tcBorders>
                  <w:vAlign w:val="center"/>
                </w:tcPr>
                <w:p>
                  <w:pPr>
                    <w:ind w:left="-105" w:leftChars="-50" w:right="-105" w:rightChars="-50"/>
                    <w:jc w:val="center"/>
                    <w:rPr>
                      <w:color w:val="auto"/>
                    </w:rPr>
                  </w:pPr>
                  <w:r>
                    <w:rPr>
                      <w:rFonts w:hint="eastAsia"/>
                      <w:color w:val="auto"/>
                    </w:rPr>
                    <w:t>排放口编号</w:t>
                  </w:r>
                </w:p>
              </w:tc>
              <w:tc>
                <w:tcPr>
                  <w:tcW w:w="521" w:type="pct"/>
                  <w:vMerge w:val="restart"/>
                  <w:tcBorders>
                    <w:left w:val="nil"/>
                  </w:tcBorders>
                  <w:vAlign w:val="center"/>
                </w:tcPr>
                <w:p>
                  <w:pPr>
                    <w:ind w:left="-105" w:leftChars="-50" w:right="-105" w:rightChars="-50"/>
                    <w:jc w:val="center"/>
                    <w:rPr>
                      <w:color w:val="auto"/>
                    </w:rPr>
                  </w:pPr>
                  <w:r>
                    <w:rPr>
                      <w:rFonts w:hint="eastAsia"/>
                      <w:color w:val="auto"/>
                    </w:rPr>
                    <w:t>排放口设置是否符合要求</w:t>
                  </w:r>
                </w:p>
              </w:tc>
              <w:tc>
                <w:tcPr>
                  <w:tcW w:w="963" w:type="pct"/>
                  <w:vMerge w:val="restart"/>
                  <w:tcBorders>
                    <w:left w:val="nil"/>
                  </w:tcBorders>
                  <w:vAlign w:val="center"/>
                </w:tcPr>
                <w:p>
                  <w:pPr>
                    <w:ind w:left="-105" w:leftChars="-50" w:right="-105" w:rightChars="-50"/>
                    <w:jc w:val="center"/>
                    <w:rPr>
                      <w:color w:val="auto"/>
                    </w:rPr>
                  </w:pPr>
                  <w:r>
                    <w:rPr>
                      <w:rFonts w:hint="eastAsia"/>
                      <w:color w:val="auto"/>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 w:type="pct"/>
                  <w:vMerge w:val="continue"/>
                  <w:vAlign w:val="center"/>
                </w:tcPr>
                <w:p>
                  <w:pPr>
                    <w:widowControl/>
                    <w:jc w:val="center"/>
                    <w:rPr>
                      <w:color w:val="auto"/>
                      <w:szCs w:val="21"/>
                    </w:rPr>
                  </w:pPr>
                </w:p>
              </w:tc>
              <w:tc>
                <w:tcPr>
                  <w:tcW w:w="248" w:type="pct"/>
                  <w:vMerge w:val="continue"/>
                  <w:tcBorders>
                    <w:left w:val="nil"/>
                  </w:tcBorders>
                  <w:vAlign w:val="center"/>
                </w:tcPr>
                <w:p>
                  <w:pPr>
                    <w:widowControl/>
                    <w:jc w:val="center"/>
                    <w:rPr>
                      <w:color w:val="auto"/>
                      <w:szCs w:val="21"/>
                    </w:rPr>
                  </w:pPr>
                </w:p>
              </w:tc>
              <w:tc>
                <w:tcPr>
                  <w:tcW w:w="431" w:type="pct"/>
                  <w:vMerge w:val="continue"/>
                  <w:tcBorders>
                    <w:left w:val="nil"/>
                  </w:tcBorders>
                  <w:vAlign w:val="center"/>
                </w:tcPr>
                <w:p>
                  <w:pPr>
                    <w:widowControl/>
                    <w:jc w:val="center"/>
                    <w:rPr>
                      <w:color w:val="auto"/>
                      <w:szCs w:val="21"/>
                    </w:rPr>
                  </w:pPr>
                </w:p>
              </w:tc>
              <w:tc>
                <w:tcPr>
                  <w:tcW w:w="325" w:type="pct"/>
                  <w:vMerge w:val="continue"/>
                  <w:tcBorders>
                    <w:left w:val="nil"/>
                  </w:tcBorders>
                  <w:vAlign w:val="center"/>
                </w:tcPr>
                <w:p>
                  <w:pPr>
                    <w:widowControl/>
                    <w:jc w:val="center"/>
                    <w:rPr>
                      <w:color w:val="auto"/>
                      <w:szCs w:val="21"/>
                    </w:rPr>
                  </w:pPr>
                </w:p>
              </w:tc>
              <w:tc>
                <w:tcPr>
                  <w:tcW w:w="624" w:type="pct"/>
                  <w:vMerge w:val="continue"/>
                  <w:tcBorders>
                    <w:left w:val="nil"/>
                  </w:tcBorders>
                  <w:vAlign w:val="center"/>
                </w:tcPr>
                <w:p>
                  <w:pPr>
                    <w:widowControl/>
                    <w:jc w:val="center"/>
                    <w:rPr>
                      <w:color w:val="auto"/>
                      <w:szCs w:val="21"/>
                    </w:rPr>
                  </w:pPr>
                </w:p>
              </w:tc>
              <w:tc>
                <w:tcPr>
                  <w:tcW w:w="431" w:type="pct"/>
                  <w:tcBorders>
                    <w:left w:val="nil"/>
                  </w:tcBorders>
                  <w:vAlign w:val="center"/>
                </w:tcPr>
                <w:p>
                  <w:pPr>
                    <w:ind w:left="-105" w:leftChars="-50" w:right="-105" w:rightChars="-50"/>
                    <w:jc w:val="center"/>
                    <w:rPr>
                      <w:color w:val="auto"/>
                    </w:rPr>
                  </w:pPr>
                  <w:r>
                    <w:rPr>
                      <w:rFonts w:hint="eastAsia"/>
                      <w:color w:val="auto"/>
                    </w:rPr>
                    <w:t>污染治理设施编号</w:t>
                  </w:r>
                </w:p>
              </w:tc>
              <w:tc>
                <w:tcPr>
                  <w:tcW w:w="431" w:type="pct"/>
                  <w:tcBorders>
                    <w:left w:val="nil"/>
                  </w:tcBorders>
                  <w:vAlign w:val="center"/>
                </w:tcPr>
                <w:p>
                  <w:pPr>
                    <w:ind w:left="-105" w:leftChars="-50" w:right="-105" w:rightChars="-50"/>
                    <w:jc w:val="center"/>
                    <w:rPr>
                      <w:color w:val="auto"/>
                    </w:rPr>
                  </w:pPr>
                  <w:r>
                    <w:rPr>
                      <w:rFonts w:hint="eastAsia"/>
                      <w:color w:val="auto"/>
                    </w:rPr>
                    <w:t>污染治理设施名称</w:t>
                  </w:r>
                </w:p>
              </w:tc>
              <w:tc>
                <w:tcPr>
                  <w:tcW w:w="445" w:type="pct"/>
                  <w:tcBorders>
                    <w:left w:val="nil"/>
                  </w:tcBorders>
                  <w:vAlign w:val="center"/>
                </w:tcPr>
                <w:p>
                  <w:pPr>
                    <w:ind w:left="-105" w:leftChars="-50" w:right="-105" w:rightChars="-50"/>
                    <w:jc w:val="center"/>
                    <w:rPr>
                      <w:color w:val="auto"/>
                    </w:rPr>
                  </w:pPr>
                  <w:r>
                    <w:rPr>
                      <w:rFonts w:hint="eastAsia"/>
                      <w:color w:val="auto"/>
                    </w:rPr>
                    <w:t>污染治理设施工艺</w:t>
                  </w:r>
                </w:p>
              </w:tc>
              <w:tc>
                <w:tcPr>
                  <w:tcW w:w="431" w:type="pct"/>
                  <w:vMerge w:val="continue"/>
                  <w:tcBorders>
                    <w:left w:val="nil"/>
                  </w:tcBorders>
                  <w:vAlign w:val="center"/>
                </w:tcPr>
                <w:p>
                  <w:pPr>
                    <w:widowControl/>
                    <w:jc w:val="center"/>
                    <w:rPr>
                      <w:color w:val="auto"/>
                      <w:szCs w:val="21"/>
                    </w:rPr>
                  </w:pPr>
                </w:p>
              </w:tc>
              <w:tc>
                <w:tcPr>
                  <w:tcW w:w="521" w:type="pct"/>
                  <w:vMerge w:val="continue"/>
                  <w:tcBorders>
                    <w:left w:val="nil"/>
                  </w:tcBorders>
                  <w:vAlign w:val="center"/>
                </w:tcPr>
                <w:p>
                  <w:pPr>
                    <w:widowControl/>
                    <w:jc w:val="center"/>
                    <w:rPr>
                      <w:color w:val="auto"/>
                      <w:szCs w:val="21"/>
                    </w:rPr>
                  </w:pPr>
                </w:p>
              </w:tc>
              <w:tc>
                <w:tcPr>
                  <w:tcW w:w="963" w:type="pct"/>
                  <w:vMerge w:val="continue"/>
                  <w:tcBorders>
                    <w:left w:val="nil"/>
                  </w:tcBorders>
                  <w:vAlign w:val="center"/>
                </w:tcPr>
                <w:p>
                  <w:pPr>
                    <w:widowControl/>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 w:type="pct"/>
                  <w:vAlign w:val="center"/>
                </w:tcPr>
                <w:p>
                  <w:pPr>
                    <w:ind w:left="-105" w:leftChars="-50" w:right="-105" w:rightChars="-50"/>
                    <w:jc w:val="center"/>
                    <w:rPr>
                      <w:color w:val="auto"/>
                    </w:rPr>
                  </w:pPr>
                  <w:r>
                    <w:rPr>
                      <w:color w:val="auto"/>
                    </w:rPr>
                    <w:t>1</w:t>
                  </w:r>
                </w:p>
              </w:tc>
              <w:tc>
                <w:tcPr>
                  <w:tcW w:w="248" w:type="pct"/>
                  <w:tcBorders>
                    <w:left w:val="nil"/>
                  </w:tcBorders>
                  <w:vAlign w:val="center"/>
                </w:tcPr>
                <w:p>
                  <w:pPr>
                    <w:ind w:left="-105" w:leftChars="-50" w:right="-105" w:rightChars="-50"/>
                    <w:jc w:val="center"/>
                    <w:rPr>
                      <w:color w:val="auto"/>
                    </w:rPr>
                  </w:pPr>
                  <w:r>
                    <w:rPr>
                      <w:rFonts w:hint="eastAsia"/>
                      <w:color w:val="auto"/>
                    </w:rPr>
                    <w:t>综合废水</w:t>
                  </w:r>
                </w:p>
              </w:tc>
              <w:tc>
                <w:tcPr>
                  <w:tcW w:w="431" w:type="pct"/>
                  <w:tcBorders>
                    <w:left w:val="nil"/>
                  </w:tcBorders>
                  <w:vAlign w:val="center"/>
                </w:tcPr>
                <w:p>
                  <w:pPr>
                    <w:ind w:left="-105" w:leftChars="-50" w:right="-105" w:rightChars="-50"/>
                    <w:jc w:val="center"/>
                    <w:rPr>
                      <w:color w:val="auto"/>
                    </w:rPr>
                  </w:pPr>
                  <w:r>
                    <w:rPr>
                      <w:color w:val="auto"/>
                    </w:rPr>
                    <w:t>COD</w:t>
                  </w:r>
                  <w:r>
                    <w:rPr>
                      <w:rFonts w:hint="eastAsia"/>
                      <w:color w:val="auto"/>
                    </w:rPr>
                    <w:t>、</w:t>
                  </w:r>
                  <w:r>
                    <w:rPr>
                      <w:color w:val="auto"/>
                    </w:rPr>
                    <w:t>BOD</w:t>
                  </w:r>
                  <w:r>
                    <w:rPr>
                      <w:rFonts w:hint="eastAsia"/>
                      <w:color w:val="auto"/>
                    </w:rPr>
                    <w:t>、</w:t>
                  </w:r>
                  <w:r>
                    <w:rPr>
                      <w:color w:val="auto"/>
                    </w:rPr>
                    <w:t>SS</w:t>
                  </w:r>
                  <w:r>
                    <w:rPr>
                      <w:rFonts w:hint="eastAsia"/>
                      <w:color w:val="auto"/>
                    </w:rPr>
                    <w:t>、氨氮、阴离子表面活性剂、石油类、动植物油</w:t>
                  </w:r>
                </w:p>
              </w:tc>
              <w:tc>
                <w:tcPr>
                  <w:tcW w:w="325" w:type="pct"/>
                  <w:tcBorders>
                    <w:left w:val="nil"/>
                  </w:tcBorders>
                  <w:vAlign w:val="center"/>
                </w:tcPr>
                <w:p>
                  <w:pPr>
                    <w:ind w:left="-105" w:leftChars="-50" w:right="-105" w:rightChars="-50"/>
                    <w:jc w:val="center"/>
                    <w:rPr>
                      <w:color w:val="auto"/>
                    </w:rPr>
                  </w:pPr>
                  <w:r>
                    <w:rPr>
                      <w:rFonts w:hint="eastAsia"/>
                      <w:color w:val="auto"/>
                      <w:szCs w:val="21"/>
                    </w:rPr>
                    <w:t>最终</w:t>
                  </w:r>
                  <w:r>
                    <w:rPr>
                      <w:rFonts w:hint="eastAsia"/>
                      <w:color w:val="auto"/>
                    </w:rPr>
                    <w:t>进入城镇污水处理厂</w:t>
                  </w:r>
                </w:p>
              </w:tc>
              <w:tc>
                <w:tcPr>
                  <w:tcW w:w="624" w:type="pct"/>
                  <w:tcBorders>
                    <w:left w:val="nil"/>
                  </w:tcBorders>
                  <w:vAlign w:val="center"/>
                </w:tcPr>
                <w:p>
                  <w:pPr>
                    <w:ind w:left="-105" w:leftChars="-50" w:right="-105" w:rightChars="-50"/>
                    <w:jc w:val="center"/>
                    <w:rPr>
                      <w:color w:val="auto"/>
                    </w:rPr>
                  </w:pPr>
                  <w:r>
                    <w:rPr>
                      <w:rFonts w:hint="eastAsia"/>
                      <w:color w:val="auto"/>
                    </w:rPr>
                    <w:t>间断排放，排放期间流量不稳定且无规律，但不属于冲击型排放</w:t>
                  </w:r>
                </w:p>
              </w:tc>
              <w:tc>
                <w:tcPr>
                  <w:tcW w:w="431" w:type="pct"/>
                  <w:tcBorders>
                    <w:left w:val="nil"/>
                  </w:tcBorders>
                  <w:vAlign w:val="center"/>
                </w:tcPr>
                <w:p>
                  <w:pPr>
                    <w:ind w:left="-105" w:leftChars="-50" w:right="-105" w:rightChars="-50"/>
                    <w:jc w:val="center"/>
                    <w:rPr>
                      <w:color w:val="auto"/>
                    </w:rPr>
                  </w:pPr>
                  <w:r>
                    <w:rPr>
                      <w:color w:val="auto"/>
                    </w:rPr>
                    <w:t>TW001</w:t>
                  </w:r>
                </w:p>
              </w:tc>
              <w:tc>
                <w:tcPr>
                  <w:tcW w:w="431" w:type="pct"/>
                  <w:tcBorders>
                    <w:left w:val="nil"/>
                  </w:tcBorders>
                  <w:vAlign w:val="center"/>
                </w:tcPr>
                <w:p>
                  <w:pPr>
                    <w:ind w:left="-105" w:leftChars="-50" w:right="-105" w:rightChars="-50"/>
                    <w:jc w:val="center"/>
                    <w:rPr>
                      <w:color w:val="auto"/>
                    </w:rPr>
                  </w:pPr>
                  <w:r>
                    <w:rPr>
                      <w:rFonts w:hint="eastAsia"/>
                      <w:color w:val="auto"/>
                    </w:rPr>
                    <w:t>一体化污水处理设施</w:t>
                  </w:r>
                </w:p>
              </w:tc>
              <w:tc>
                <w:tcPr>
                  <w:tcW w:w="445" w:type="pct"/>
                  <w:tcBorders>
                    <w:left w:val="nil"/>
                  </w:tcBorders>
                  <w:vAlign w:val="center"/>
                </w:tcPr>
                <w:p>
                  <w:pPr>
                    <w:ind w:left="-105" w:leftChars="-50" w:right="-105" w:rightChars="-50"/>
                    <w:jc w:val="center"/>
                    <w:rPr>
                      <w:color w:val="auto"/>
                    </w:rPr>
                  </w:pPr>
                  <w:r>
                    <w:rPr>
                      <w:rFonts w:hint="eastAsia"/>
                      <w:color w:val="auto"/>
                    </w:rPr>
                    <w:t>调节池</w:t>
                  </w:r>
                  <w:r>
                    <w:rPr>
                      <w:color w:val="auto"/>
                    </w:rPr>
                    <w:t>+</w:t>
                  </w:r>
                  <w:r>
                    <w:rPr>
                      <w:rFonts w:hint="eastAsia"/>
                      <w:color w:val="auto"/>
                    </w:rPr>
                    <w:t>厌氧</w:t>
                  </w:r>
                  <w:r>
                    <w:rPr>
                      <w:color w:val="auto"/>
                    </w:rPr>
                    <w:t>+</w:t>
                  </w:r>
                  <w:r>
                    <w:rPr>
                      <w:rFonts w:hint="eastAsia"/>
                      <w:color w:val="auto"/>
                    </w:rPr>
                    <w:t>好氧</w:t>
                  </w:r>
                  <w:r>
                    <w:rPr>
                      <w:color w:val="auto"/>
                    </w:rPr>
                    <w:t>+MBR+</w:t>
                  </w:r>
                  <w:r>
                    <w:rPr>
                      <w:rFonts w:hint="eastAsia"/>
                      <w:color w:val="auto"/>
                    </w:rPr>
                    <w:t>消毒</w:t>
                  </w:r>
                </w:p>
              </w:tc>
              <w:tc>
                <w:tcPr>
                  <w:tcW w:w="431" w:type="pct"/>
                  <w:tcBorders>
                    <w:left w:val="nil"/>
                  </w:tcBorders>
                  <w:vAlign w:val="center"/>
                </w:tcPr>
                <w:p>
                  <w:pPr>
                    <w:ind w:left="-105" w:leftChars="-50" w:right="-105" w:rightChars="-50"/>
                    <w:jc w:val="center"/>
                    <w:rPr>
                      <w:color w:val="auto"/>
                    </w:rPr>
                  </w:pPr>
                  <w:r>
                    <w:rPr>
                      <w:color w:val="auto"/>
                    </w:rPr>
                    <w:t>DW001</w:t>
                  </w:r>
                </w:p>
              </w:tc>
              <w:tc>
                <w:tcPr>
                  <w:tcW w:w="521" w:type="pct"/>
                  <w:tcBorders>
                    <w:left w:val="nil"/>
                  </w:tcBorders>
                  <w:vAlign w:val="center"/>
                </w:tcPr>
                <w:p>
                  <w:pPr>
                    <w:ind w:left="-105" w:leftChars="-50" w:right="-105" w:rightChars="-50"/>
                    <w:jc w:val="left"/>
                    <w:rPr>
                      <w:rFonts w:asciiTheme="majorEastAsia" w:hAnsiTheme="majorEastAsia" w:eastAsiaTheme="majorEastAsia"/>
                      <w:color w:val="auto"/>
                    </w:rPr>
                  </w:pPr>
                  <w:r>
                    <w:rPr>
                      <w:rFonts w:ascii="Segoe UI Symbol" w:hAnsi="Segoe UI Symbol" w:cs="Segoe UI Symbol" w:eastAsiaTheme="majorEastAsia"/>
                      <w:color w:val="auto"/>
                    </w:rPr>
                    <w:t>☑</w:t>
                  </w:r>
                  <w:r>
                    <w:rPr>
                      <w:rFonts w:hint="eastAsia" w:asciiTheme="majorEastAsia" w:hAnsiTheme="majorEastAsia" w:eastAsiaTheme="majorEastAsia"/>
                      <w:color w:val="auto"/>
                    </w:rPr>
                    <w:t>是</w:t>
                  </w:r>
                </w:p>
                <w:p>
                  <w:pPr>
                    <w:ind w:left="-105" w:leftChars="-50" w:right="-105" w:rightChars="-50"/>
                    <w:jc w:val="left"/>
                    <w:rPr>
                      <w:rFonts w:asciiTheme="majorEastAsia" w:hAnsiTheme="majorEastAsia" w:eastAsiaTheme="majorEastAsia"/>
                      <w:color w:val="auto"/>
                    </w:rPr>
                  </w:pPr>
                  <w:r>
                    <w:rPr>
                      <w:rFonts w:asciiTheme="majorEastAsia" w:hAnsiTheme="majorEastAsia" w:eastAsiaTheme="majorEastAsia"/>
                      <w:color w:val="auto"/>
                      <w:sz w:val="20"/>
                      <w:szCs w:val="20"/>
                    </w:rPr>
                    <w:t>□</w:t>
                  </w:r>
                  <w:r>
                    <w:rPr>
                      <w:rFonts w:hint="eastAsia" w:asciiTheme="majorEastAsia" w:hAnsiTheme="majorEastAsia" w:eastAsiaTheme="majorEastAsia"/>
                      <w:color w:val="auto"/>
                    </w:rPr>
                    <w:t>否</w:t>
                  </w:r>
                </w:p>
              </w:tc>
              <w:tc>
                <w:tcPr>
                  <w:tcW w:w="963" w:type="pct"/>
                  <w:tcBorders>
                    <w:left w:val="nil"/>
                  </w:tcBorders>
                  <w:vAlign w:val="center"/>
                </w:tcPr>
                <w:p>
                  <w:pPr>
                    <w:ind w:left="-105" w:leftChars="-50" w:right="-105" w:rightChars="-50"/>
                    <w:jc w:val="left"/>
                    <w:rPr>
                      <w:rFonts w:asciiTheme="majorEastAsia" w:hAnsiTheme="majorEastAsia" w:eastAsiaTheme="majorEastAsia"/>
                      <w:color w:val="auto"/>
                      <w:sz w:val="20"/>
                      <w:szCs w:val="20"/>
                    </w:rPr>
                  </w:pPr>
                  <w:r>
                    <w:rPr>
                      <w:rFonts w:ascii="Segoe UI Symbol" w:hAnsi="Segoe UI Symbol" w:cs="Segoe UI Symbol" w:eastAsiaTheme="majorEastAsia"/>
                      <w:color w:val="auto"/>
                    </w:rPr>
                    <w:t>☑</w:t>
                  </w:r>
                  <w:r>
                    <w:rPr>
                      <w:rFonts w:hint="eastAsia" w:asciiTheme="majorEastAsia" w:hAnsiTheme="majorEastAsia" w:eastAsiaTheme="majorEastAsia"/>
                      <w:color w:val="auto"/>
                      <w:sz w:val="20"/>
                      <w:szCs w:val="20"/>
                    </w:rPr>
                    <w:t>企业总排</w:t>
                  </w:r>
                </w:p>
                <w:p>
                  <w:pPr>
                    <w:ind w:left="-105" w:leftChars="-50" w:right="-105" w:rightChars="-50"/>
                    <w:jc w:val="left"/>
                    <w:rPr>
                      <w:rFonts w:asciiTheme="majorEastAsia" w:hAnsiTheme="majorEastAsia" w:eastAsiaTheme="majorEastAsia"/>
                      <w:color w:val="auto"/>
                      <w:sz w:val="20"/>
                      <w:szCs w:val="20"/>
                    </w:rPr>
                  </w:pPr>
                  <w:r>
                    <w:rPr>
                      <w:rFonts w:asciiTheme="majorEastAsia" w:hAnsiTheme="majorEastAsia" w:eastAsiaTheme="majorEastAsia"/>
                      <w:color w:val="auto"/>
                      <w:sz w:val="20"/>
                      <w:szCs w:val="20"/>
                    </w:rPr>
                    <w:t>□</w:t>
                  </w:r>
                  <w:r>
                    <w:rPr>
                      <w:rFonts w:hint="eastAsia" w:asciiTheme="majorEastAsia" w:hAnsiTheme="majorEastAsia" w:eastAsiaTheme="majorEastAsia"/>
                      <w:color w:val="auto"/>
                      <w:sz w:val="20"/>
                      <w:szCs w:val="20"/>
                    </w:rPr>
                    <w:t>雨水排放</w:t>
                  </w:r>
                </w:p>
                <w:p>
                  <w:pPr>
                    <w:ind w:left="-105" w:leftChars="-50" w:right="-105" w:rightChars="-50"/>
                    <w:jc w:val="left"/>
                    <w:rPr>
                      <w:rFonts w:asciiTheme="majorEastAsia" w:hAnsiTheme="majorEastAsia" w:eastAsiaTheme="majorEastAsia"/>
                      <w:color w:val="auto"/>
                      <w:sz w:val="20"/>
                      <w:szCs w:val="20"/>
                    </w:rPr>
                  </w:pPr>
                  <w:r>
                    <w:rPr>
                      <w:rFonts w:asciiTheme="majorEastAsia" w:hAnsiTheme="majorEastAsia" w:eastAsiaTheme="majorEastAsia"/>
                      <w:color w:val="auto"/>
                      <w:sz w:val="20"/>
                      <w:szCs w:val="20"/>
                    </w:rPr>
                    <w:t>□</w:t>
                  </w:r>
                  <w:r>
                    <w:rPr>
                      <w:rFonts w:hint="eastAsia" w:asciiTheme="majorEastAsia" w:hAnsiTheme="majorEastAsia" w:eastAsiaTheme="majorEastAsia"/>
                      <w:color w:val="auto"/>
                      <w:sz w:val="20"/>
                      <w:szCs w:val="20"/>
                    </w:rPr>
                    <w:t>清净下水排放</w:t>
                  </w:r>
                </w:p>
                <w:p>
                  <w:pPr>
                    <w:ind w:left="-105" w:leftChars="-50" w:right="-105" w:rightChars="-50"/>
                    <w:jc w:val="left"/>
                    <w:rPr>
                      <w:rFonts w:asciiTheme="majorEastAsia" w:hAnsiTheme="majorEastAsia" w:eastAsiaTheme="majorEastAsia"/>
                      <w:color w:val="auto"/>
                      <w:sz w:val="20"/>
                      <w:szCs w:val="20"/>
                    </w:rPr>
                  </w:pPr>
                  <w:r>
                    <w:rPr>
                      <w:rFonts w:asciiTheme="majorEastAsia" w:hAnsiTheme="majorEastAsia" w:eastAsiaTheme="majorEastAsia"/>
                      <w:color w:val="auto"/>
                      <w:sz w:val="20"/>
                      <w:szCs w:val="20"/>
                    </w:rPr>
                    <w:t>□</w:t>
                  </w:r>
                  <w:r>
                    <w:rPr>
                      <w:rFonts w:hint="eastAsia" w:asciiTheme="majorEastAsia" w:hAnsiTheme="majorEastAsia" w:eastAsiaTheme="majorEastAsia"/>
                      <w:color w:val="auto"/>
                      <w:sz w:val="20"/>
                      <w:szCs w:val="20"/>
                    </w:rPr>
                    <w:t>温排水排放</w:t>
                  </w:r>
                </w:p>
                <w:p>
                  <w:pPr>
                    <w:ind w:left="-105" w:leftChars="-50" w:right="-105" w:rightChars="-50"/>
                    <w:jc w:val="left"/>
                    <w:rPr>
                      <w:rFonts w:asciiTheme="majorEastAsia" w:hAnsiTheme="majorEastAsia" w:eastAsiaTheme="majorEastAsia"/>
                      <w:color w:val="auto"/>
                    </w:rPr>
                  </w:pPr>
                  <w:r>
                    <w:rPr>
                      <w:rFonts w:asciiTheme="majorEastAsia" w:hAnsiTheme="majorEastAsia" w:eastAsiaTheme="majorEastAsia"/>
                      <w:color w:val="auto"/>
                      <w:sz w:val="20"/>
                      <w:szCs w:val="20"/>
                    </w:rPr>
                    <w:t>□</w:t>
                  </w:r>
                  <w:r>
                    <w:rPr>
                      <w:rFonts w:hint="eastAsia" w:asciiTheme="majorEastAsia" w:hAnsiTheme="majorEastAsia" w:eastAsiaTheme="majorEastAsia"/>
                      <w:color w:val="auto"/>
                      <w:sz w:val="20"/>
                      <w:szCs w:val="20"/>
                    </w:rPr>
                    <w:t>车间或车间处理设施排放</w:t>
                  </w:r>
                </w:p>
              </w:tc>
            </w:tr>
          </w:tbl>
          <w:p>
            <w:pPr>
              <w:spacing w:before="120" w:beforeLines="50" w:line="360" w:lineRule="auto"/>
              <w:ind w:firstLine="480" w:firstLineChars="200"/>
              <w:rPr>
                <w:bCs/>
                <w:color w:val="auto"/>
                <w:sz w:val="24"/>
              </w:rPr>
            </w:pPr>
            <w:r>
              <w:rPr>
                <w:rFonts w:hint="eastAsia"/>
                <w:bCs/>
                <w:color w:val="auto"/>
                <w:sz w:val="24"/>
              </w:rPr>
              <w:t>6、废水监测计划</w:t>
            </w:r>
          </w:p>
          <w:p>
            <w:pPr>
              <w:adjustRightInd w:val="0"/>
              <w:snapToGrid w:val="0"/>
              <w:spacing w:line="360" w:lineRule="auto"/>
              <w:ind w:firstLine="480" w:firstLineChars="200"/>
              <w:rPr>
                <w:b/>
                <w:bCs/>
                <w:color w:val="auto"/>
                <w:sz w:val="24"/>
                <w:szCs w:val="21"/>
              </w:rPr>
            </w:pPr>
            <w:r>
              <w:rPr>
                <w:rFonts w:hint="eastAsia"/>
                <w:bCs/>
                <w:color w:val="auto"/>
                <w:sz w:val="24"/>
              </w:rPr>
              <w:t>根据《排污许可证申请与核发技术规范</w:t>
            </w:r>
            <w:r>
              <w:rPr>
                <w:bCs/>
                <w:color w:val="auto"/>
                <w:sz w:val="24"/>
              </w:rPr>
              <w:t xml:space="preserve"> </w:t>
            </w:r>
            <w:r>
              <w:rPr>
                <w:rFonts w:hint="eastAsia"/>
                <w:bCs/>
                <w:color w:val="auto"/>
                <w:sz w:val="24"/>
              </w:rPr>
              <w:t>医疗机构》（</w:t>
            </w:r>
            <w:r>
              <w:rPr>
                <w:bCs/>
                <w:color w:val="auto"/>
                <w:sz w:val="24"/>
              </w:rPr>
              <w:t>HJ1105-2020</w:t>
            </w:r>
            <w:r>
              <w:rPr>
                <w:rFonts w:hint="eastAsia"/>
                <w:bCs/>
                <w:color w:val="auto"/>
                <w:sz w:val="24"/>
              </w:rPr>
              <w:t>），项目废水监测要求见表</w:t>
            </w:r>
            <w:r>
              <w:rPr>
                <w:bCs/>
                <w:color w:val="auto"/>
                <w:sz w:val="24"/>
              </w:rPr>
              <w:t>4-</w:t>
            </w:r>
            <w:r>
              <w:rPr>
                <w:rFonts w:hint="eastAsia"/>
                <w:bCs/>
                <w:color w:val="auto"/>
                <w:sz w:val="24"/>
              </w:rPr>
              <w:t>5。</w:t>
            </w:r>
          </w:p>
          <w:p>
            <w:pPr>
              <w:adjustRightInd w:val="0"/>
              <w:snapToGrid w:val="0"/>
              <w:spacing w:line="312" w:lineRule="auto"/>
              <w:ind w:firstLine="420"/>
              <w:jc w:val="center"/>
              <w:rPr>
                <w:rFonts w:eastAsia="黑体"/>
                <w:color w:val="auto"/>
                <w:kern w:val="24"/>
                <w:szCs w:val="21"/>
              </w:rPr>
            </w:pPr>
            <w:r>
              <w:rPr>
                <w:rFonts w:hint="eastAsia" w:eastAsia="黑体"/>
                <w:color w:val="auto"/>
                <w:kern w:val="24"/>
                <w:szCs w:val="21"/>
              </w:rPr>
              <w:t>表</w:t>
            </w:r>
            <w:r>
              <w:rPr>
                <w:rFonts w:eastAsia="黑体"/>
                <w:color w:val="auto"/>
                <w:kern w:val="24"/>
                <w:szCs w:val="21"/>
              </w:rPr>
              <w:t>4-</w:t>
            </w:r>
            <w:r>
              <w:rPr>
                <w:rFonts w:hint="eastAsia" w:eastAsia="黑体"/>
                <w:color w:val="auto"/>
                <w:kern w:val="24"/>
                <w:szCs w:val="21"/>
              </w:rPr>
              <w:t>5</w:t>
            </w:r>
            <w:r>
              <w:rPr>
                <w:rFonts w:eastAsia="黑体"/>
                <w:color w:val="auto"/>
                <w:kern w:val="24"/>
                <w:szCs w:val="21"/>
              </w:rPr>
              <w:t xml:space="preserve">  </w:t>
            </w:r>
            <w:r>
              <w:rPr>
                <w:rFonts w:hint="eastAsia" w:eastAsia="黑体"/>
                <w:color w:val="auto"/>
                <w:kern w:val="24"/>
                <w:szCs w:val="21"/>
              </w:rPr>
              <w:t>运营期废水监测计划表</w:t>
            </w:r>
          </w:p>
          <w:tbl>
            <w:tblPr>
              <w:tblStyle w:val="6"/>
              <w:tblW w:w="4988"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3"/>
              <w:gridCol w:w="2099"/>
              <w:gridCol w:w="721"/>
              <w:gridCol w:w="1273"/>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466" w:type="pct"/>
                  <w:vAlign w:val="center"/>
                </w:tcPr>
                <w:p>
                  <w:pPr>
                    <w:widowControl/>
                    <w:adjustRightInd w:val="0"/>
                    <w:snapToGrid w:val="0"/>
                    <w:jc w:val="center"/>
                    <w:rPr>
                      <w:color w:val="auto"/>
                      <w:kern w:val="0"/>
                    </w:rPr>
                  </w:pPr>
                  <w:r>
                    <w:rPr>
                      <w:rFonts w:hint="eastAsia"/>
                      <w:color w:val="auto"/>
                      <w:kern w:val="0"/>
                    </w:rPr>
                    <w:t>污染源名称</w:t>
                  </w:r>
                </w:p>
              </w:tc>
              <w:tc>
                <w:tcPr>
                  <w:tcW w:w="1318" w:type="pct"/>
                  <w:vAlign w:val="center"/>
                </w:tcPr>
                <w:p>
                  <w:pPr>
                    <w:widowControl/>
                    <w:adjustRightInd w:val="0"/>
                    <w:snapToGrid w:val="0"/>
                    <w:jc w:val="center"/>
                    <w:rPr>
                      <w:color w:val="auto"/>
                      <w:kern w:val="0"/>
                    </w:rPr>
                  </w:pPr>
                  <w:r>
                    <w:rPr>
                      <w:rFonts w:hint="eastAsia"/>
                      <w:color w:val="auto"/>
                      <w:kern w:val="0"/>
                    </w:rPr>
                    <w:t>监测项目</w:t>
                  </w:r>
                </w:p>
              </w:tc>
              <w:tc>
                <w:tcPr>
                  <w:tcW w:w="452" w:type="pct"/>
                  <w:vAlign w:val="center"/>
                </w:tcPr>
                <w:p>
                  <w:pPr>
                    <w:widowControl/>
                    <w:adjustRightInd w:val="0"/>
                    <w:snapToGrid w:val="0"/>
                    <w:jc w:val="center"/>
                    <w:rPr>
                      <w:color w:val="auto"/>
                      <w:kern w:val="0"/>
                    </w:rPr>
                  </w:pPr>
                  <w:r>
                    <w:rPr>
                      <w:rFonts w:hint="eastAsia"/>
                      <w:color w:val="auto"/>
                      <w:kern w:val="0"/>
                    </w:rPr>
                    <w:t>监测点位置</w:t>
                  </w:r>
                </w:p>
              </w:tc>
              <w:tc>
                <w:tcPr>
                  <w:tcW w:w="799" w:type="pct"/>
                  <w:vAlign w:val="center"/>
                </w:tcPr>
                <w:p>
                  <w:pPr>
                    <w:widowControl/>
                    <w:adjustRightInd w:val="0"/>
                    <w:snapToGrid w:val="0"/>
                    <w:jc w:val="center"/>
                    <w:rPr>
                      <w:color w:val="auto"/>
                      <w:kern w:val="0"/>
                    </w:rPr>
                  </w:pPr>
                  <w:r>
                    <w:rPr>
                      <w:rFonts w:hint="eastAsia"/>
                      <w:color w:val="auto"/>
                      <w:kern w:val="0"/>
                    </w:rPr>
                    <w:t>监测频次</w:t>
                  </w:r>
                </w:p>
              </w:tc>
              <w:tc>
                <w:tcPr>
                  <w:tcW w:w="1961" w:type="pct"/>
                  <w:vAlign w:val="center"/>
                </w:tcPr>
                <w:p>
                  <w:pPr>
                    <w:widowControl/>
                    <w:jc w:val="center"/>
                    <w:rPr>
                      <w:color w:val="auto"/>
                      <w:kern w:val="0"/>
                      <w:szCs w:val="21"/>
                    </w:rPr>
                  </w:pPr>
                  <w:r>
                    <w:rPr>
                      <w:rFonts w:hint="eastAsia" w:ascii="宋体" w:hAnsi="宋体"/>
                      <w:color w:val="auto"/>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trPr>
              <w:tc>
                <w:tcPr>
                  <w:tcW w:w="466" w:type="pct"/>
                  <w:vMerge w:val="restart"/>
                  <w:vAlign w:val="center"/>
                </w:tcPr>
                <w:p>
                  <w:pPr>
                    <w:widowControl/>
                    <w:adjustRightInd w:val="0"/>
                    <w:snapToGrid w:val="0"/>
                    <w:jc w:val="center"/>
                    <w:rPr>
                      <w:color w:val="auto"/>
                      <w:kern w:val="0"/>
                    </w:rPr>
                  </w:pPr>
                  <w:r>
                    <w:rPr>
                      <w:rFonts w:hint="eastAsia"/>
                      <w:color w:val="auto"/>
                      <w:kern w:val="0"/>
                    </w:rPr>
                    <w:t>综合</w:t>
                  </w:r>
                </w:p>
                <w:p>
                  <w:pPr>
                    <w:adjustRightInd w:val="0"/>
                    <w:snapToGrid w:val="0"/>
                    <w:jc w:val="center"/>
                    <w:rPr>
                      <w:color w:val="auto"/>
                      <w:kern w:val="0"/>
                    </w:rPr>
                  </w:pPr>
                  <w:r>
                    <w:rPr>
                      <w:rFonts w:hint="eastAsia"/>
                      <w:color w:val="auto"/>
                      <w:kern w:val="0"/>
                    </w:rPr>
                    <w:t>废水</w:t>
                  </w:r>
                </w:p>
              </w:tc>
              <w:tc>
                <w:tcPr>
                  <w:tcW w:w="1318" w:type="pct"/>
                  <w:vAlign w:val="center"/>
                </w:tcPr>
                <w:p>
                  <w:pPr>
                    <w:widowControl/>
                    <w:adjustRightInd w:val="0"/>
                    <w:snapToGrid w:val="0"/>
                    <w:jc w:val="center"/>
                    <w:rPr>
                      <w:color w:val="auto"/>
                      <w:kern w:val="0"/>
                    </w:rPr>
                  </w:pPr>
                  <w:r>
                    <w:rPr>
                      <w:rFonts w:ascii="宋体" w:hAnsi="宋体"/>
                      <w:color w:val="auto"/>
                    </w:rPr>
                    <w:t>pH</w:t>
                  </w:r>
                </w:p>
              </w:tc>
              <w:tc>
                <w:tcPr>
                  <w:tcW w:w="452" w:type="pct"/>
                  <w:vMerge w:val="restart"/>
                  <w:vAlign w:val="center"/>
                </w:tcPr>
                <w:p>
                  <w:pPr>
                    <w:widowControl/>
                    <w:adjustRightInd w:val="0"/>
                    <w:snapToGrid w:val="0"/>
                    <w:jc w:val="center"/>
                    <w:rPr>
                      <w:color w:val="auto"/>
                      <w:kern w:val="0"/>
                    </w:rPr>
                  </w:pPr>
                  <w:r>
                    <w:rPr>
                      <w:rFonts w:hint="eastAsia"/>
                      <w:color w:val="auto"/>
                      <w:kern w:val="0"/>
                    </w:rPr>
                    <w:t>污水处理设施出口设置</w:t>
                  </w:r>
                  <w:r>
                    <w:rPr>
                      <w:color w:val="auto"/>
                      <w:kern w:val="0"/>
                    </w:rPr>
                    <w:t>1</w:t>
                  </w:r>
                  <w:r>
                    <w:rPr>
                      <w:rFonts w:hint="eastAsia"/>
                      <w:color w:val="auto"/>
                      <w:kern w:val="0"/>
                    </w:rPr>
                    <w:t>个</w:t>
                  </w:r>
                </w:p>
              </w:tc>
              <w:tc>
                <w:tcPr>
                  <w:tcW w:w="799" w:type="pct"/>
                  <w:vAlign w:val="center"/>
                </w:tcPr>
                <w:p>
                  <w:pPr>
                    <w:widowControl/>
                    <w:adjustRightInd w:val="0"/>
                    <w:snapToGrid w:val="0"/>
                    <w:jc w:val="center"/>
                    <w:rPr>
                      <w:color w:val="auto"/>
                      <w:kern w:val="0"/>
                    </w:rPr>
                  </w:pPr>
                  <w:r>
                    <w:rPr>
                      <w:rFonts w:hint="eastAsia" w:ascii="宋体" w:hAnsi="宋体"/>
                      <w:color w:val="auto"/>
                      <w:lang w:val="en-US" w:eastAsia="zh-CN"/>
                    </w:rPr>
                    <w:t>1</w:t>
                  </w:r>
                  <w:r>
                    <w:rPr>
                      <w:rFonts w:hint="eastAsia" w:ascii="宋体" w:hAnsi="宋体"/>
                      <w:color w:val="auto"/>
                    </w:rPr>
                    <w:t>次</w:t>
                  </w:r>
                  <w:r>
                    <w:rPr>
                      <w:color w:val="auto"/>
                    </w:rPr>
                    <w:t>/12</w:t>
                  </w:r>
                  <w:r>
                    <w:rPr>
                      <w:rFonts w:hint="eastAsia" w:ascii="宋体" w:hAnsi="宋体"/>
                      <w:color w:val="auto"/>
                    </w:rPr>
                    <w:t>小时</w:t>
                  </w:r>
                </w:p>
              </w:tc>
              <w:tc>
                <w:tcPr>
                  <w:tcW w:w="1961" w:type="pct"/>
                  <w:vMerge w:val="restart"/>
                  <w:vAlign w:val="center"/>
                </w:tcPr>
                <w:p>
                  <w:pPr>
                    <w:widowControl/>
                    <w:adjustRightInd w:val="0"/>
                    <w:snapToGrid w:val="0"/>
                    <w:rPr>
                      <w:color w:val="auto"/>
                      <w:kern w:val="0"/>
                    </w:rPr>
                  </w:pPr>
                  <w:r>
                    <w:rPr>
                      <w:rFonts w:hint="eastAsia" w:ascii="宋体" w:hAnsi="宋体"/>
                      <w:color w:val="auto"/>
                    </w:rPr>
                    <w:t>《医疗机构水污染物排放标准》（</w:t>
                  </w:r>
                  <w:r>
                    <w:rPr>
                      <w:color w:val="auto"/>
                    </w:rPr>
                    <w:t>GB18466-2005</w:t>
                  </w:r>
                  <w:r>
                    <w:rPr>
                      <w:rFonts w:hint="eastAsia" w:ascii="宋体" w:hAnsi="宋体"/>
                      <w:color w:val="auto"/>
                    </w:rPr>
                    <w:t>）表</w:t>
                  </w:r>
                  <w:r>
                    <w:rPr>
                      <w:color w:val="auto"/>
                    </w:rPr>
                    <w:t>2</w:t>
                  </w:r>
                  <w:r>
                    <w:rPr>
                      <w:rFonts w:hint="eastAsia" w:ascii="宋体" w:hAnsi="宋体"/>
                      <w:color w:val="auto"/>
                    </w:rPr>
                    <w:t>综合医疗机构和其他医疗机构水污染物排放限值（日均值）预处理标准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trPr>
              <w:tc>
                <w:tcPr>
                  <w:tcW w:w="466" w:type="pct"/>
                  <w:vMerge w:val="continue"/>
                  <w:vAlign w:val="center"/>
                </w:tcPr>
                <w:p>
                  <w:pPr>
                    <w:widowControl/>
                    <w:adjustRightInd w:val="0"/>
                    <w:snapToGrid w:val="0"/>
                    <w:jc w:val="center"/>
                    <w:rPr>
                      <w:color w:val="auto"/>
                      <w:kern w:val="0"/>
                    </w:rPr>
                  </w:pPr>
                </w:p>
              </w:tc>
              <w:tc>
                <w:tcPr>
                  <w:tcW w:w="1318" w:type="pct"/>
                  <w:vAlign w:val="center"/>
                </w:tcPr>
                <w:p>
                  <w:pPr>
                    <w:widowControl/>
                    <w:adjustRightInd w:val="0"/>
                    <w:snapToGrid w:val="0"/>
                    <w:jc w:val="center"/>
                    <w:rPr>
                      <w:color w:val="auto"/>
                      <w:kern w:val="0"/>
                    </w:rPr>
                  </w:pPr>
                  <w:r>
                    <w:rPr>
                      <w:rFonts w:hint="eastAsia" w:ascii="宋体" w:hAnsi="宋体"/>
                      <w:color w:val="auto"/>
                    </w:rPr>
                    <w:t>化学需氧量、悬浮物</w:t>
                  </w:r>
                </w:p>
              </w:tc>
              <w:tc>
                <w:tcPr>
                  <w:tcW w:w="452" w:type="pct"/>
                  <w:vMerge w:val="continue"/>
                  <w:vAlign w:val="center"/>
                </w:tcPr>
                <w:p>
                  <w:pPr>
                    <w:widowControl/>
                    <w:adjustRightInd w:val="0"/>
                    <w:snapToGrid w:val="0"/>
                    <w:jc w:val="center"/>
                    <w:rPr>
                      <w:color w:val="auto"/>
                      <w:kern w:val="0"/>
                    </w:rPr>
                  </w:pPr>
                </w:p>
              </w:tc>
              <w:tc>
                <w:tcPr>
                  <w:tcW w:w="799" w:type="pct"/>
                  <w:vAlign w:val="center"/>
                </w:tcPr>
                <w:p>
                  <w:pPr>
                    <w:widowControl/>
                    <w:adjustRightInd w:val="0"/>
                    <w:snapToGrid w:val="0"/>
                    <w:jc w:val="center"/>
                    <w:rPr>
                      <w:color w:val="auto"/>
                      <w:kern w:val="0"/>
                    </w:rPr>
                  </w:pPr>
                  <w:r>
                    <w:rPr>
                      <w:rFonts w:ascii="宋体" w:hAnsi="宋体"/>
                      <w:color w:val="auto"/>
                    </w:rPr>
                    <w:t>1</w:t>
                  </w:r>
                  <w:r>
                    <w:rPr>
                      <w:rFonts w:hint="eastAsia" w:ascii="宋体" w:hAnsi="宋体"/>
                      <w:color w:val="auto"/>
                    </w:rPr>
                    <w:t>次</w:t>
                  </w:r>
                  <w:r>
                    <w:rPr>
                      <w:color w:val="auto"/>
                    </w:rPr>
                    <w:t>/</w:t>
                  </w:r>
                  <w:r>
                    <w:rPr>
                      <w:rFonts w:hint="eastAsia" w:ascii="宋体" w:hAnsi="宋体"/>
                      <w:color w:val="auto"/>
                    </w:rPr>
                    <w:t>周</w:t>
                  </w:r>
                </w:p>
              </w:tc>
              <w:tc>
                <w:tcPr>
                  <w:tcW w:w="1961" w:type="pct"/>
                  <w:vMerge w:val="continue"/>
                  <w:vAlign w:val="center"/>
                </w:tcPr>
                <w:p>
                  <w:pPr>
                    <w:widowControl/>
                    <w:adjustRightInd w:val="0"/>
                    <w:snapToGrid w:val="0"/>
                    <w:rPr>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trPr>
              <w:tc>
                <w:tcPr>
                  <w:tcW w:w="466" w:type="pct"/>
                  <w:vMerge w:val="continue"/>
                  <w:vAlign w:val="center"/>
                </w:tcPr>
                <w:p>
                  <w:pPr>
                    <w:widowControl/>
                    <w:adjustRightInd w:val="0"/>
                    <w:snapToGrid w:val="0"/>
                    <w:jc w:val="center"/>
                    <w:rPr>
                      <w:color w:val="auto"/>
                      <w:kern w:val="0"/>
                    </w:rPr>
                  </w:pPr>
                </w:p>
              </w:tc>
              <w:tc>
                <w:tcPr>
                  <w:tcW w:w="1318" w:type="pct"/>
                  <w:vAlign w:val="center"/>
                </w:tcPr>
                <w:p>
                  <w:pPr>
                    <w:widowControl/>
                    <w:adjustRightInd w:val="0"/>
                    <w:snapToGrid w:val="0"/>
                    <w:jc w:val="center"/>
                    <w:rPr>
                      <w:rFonts w:hint="eastAsia" w:eastAsia="宋体"/>
                      <w:color w:val="auto"/>
                      <w:kern w:val="0"/>
                      <w:lang w:val="en-US" w:eastAsia="zh-CN"/>
                    </w:rPr>
                  </w:pPr>
                  <w:r>
                    <w:rPr>
                      <w:rFonts w:hint="eastAsia" w:ascii="宋体" w:hAnsi="宋体"/>
                      <w:color w:val="auto"/>
                    </w:rPr>
                    <w:t>粪大肠菌群</w:t>
                  </w:r>
                  <w:r>
                    <w:rPr>
                      <w:rFonts w:hint="eastAsia" w:ascii="宋体" w:hAnsi="宋体"/>
                      <w:color w:val="auto"/>
                      <w:lang w:val="en-US" w:eastAsia="zh-CN"/>
                    </w:rPr>
                    <w:t>数</w:t>
                  </w:r>
                </w:p>
              </w:tc>
              <w:tc>
                <w:tcPr>
                  <w:tcW w:w="452" w:type="pct"/>
                  <w:vMerge w:val="continue"/>
                  <w:vAlign w:val="center"/>
                </w:tcPr>
                <w:p>
                  <w:pPr>
                    <w:widowControl/>
                    <w:adjustRightInd w:val="0"/>
                    <w:snapToGrid w:val="0"/>
                    <w:jc w:val="center"/>
                    <w:rPr>
                      <w:color w:val="auto"/>
                      <w:kern w:val="0"/>
                    </w:rPr>
                  </w:pPr>
                </w:p>
              </w:tc>
              <w:tc>
                <w:tcPr>
                  <w:tcW w:w="799" w:type="pct"/>
                  <w:vAlign w:val="center"/>
                </w:tcPr>
                <w:p>
                  <w:pPr>
                    <w:widowControl/>
                    <w:adjustRightInd w:val="0"/>
                    <w:snapToGrid w:val="0"/>
                    <w:jc w:val="center"/>
                    <w:rPr>
                      <w:color w:val="auto"/>
                      <w:kern w:val="0"/>
                    </w:rPr>
                  </w:pPr>
                  <w:r>
                    <w:rPr>
                      <w:rFonts w:ascii="宋体" w:hAnsi="宋体"/>
                      <w:color w:val="auto"/>
                    </w:rPr>
                    <w:t>1</w:t>
                  </w:r>
                  <w:r>
                    <w:rPr>
                      <w:rFonts w:hint="eastAsia" w:ascii="宋体" w:hAnsi="宋体"/>
                      <w:color w:val="auto"/>
                    </w:rPr>
                    <w:t>次</w:t>
                  </w:r>
                  <w:r>
                    <w:rPr>
                      <w:color w:val="auto"/>
                    </w:rPr>
                    <w:t>/</w:t>
                  </w:r>
                  <w:r>
                    <w:rPr>
                      <w:rFonts w:hint="eastAsia" w:ascii="宋体" w:hAnsi="宋体"/>
                      <w:color w:val="auto"/>
                    </w:rPr>
                    <w:t>月</w:t>
                  </w:r>
                </w:p>
              </w:tc>
              <w:tc>
                <w:tcPr>
                  <w:tcW w:w="1961" w:type="pct"/>
                  <w:vMerge w:val="continue"/>
                  <w:vAlign w:val="center"/>
                </w:tcPr>
                <w:p>
                  <w:pPr>
                    <w:widowControl/>
                    <w:adjustRightInd w:val="0"/>
                    <w:snapToGrid w:val="0"/>
                    <w:rPr>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trPr>
              <w:tc>
                <w:tcPr>
                  <w:tcW w:w="466" w:type="pct"/>
                  <w:vMerge w:val="continue"/>
                  <w:vAlign w:val="center"/>
                </w:tcPr>
                <w:p>
                  <w:pPr>
                    <w:widowControl/>
                    <w:adjustRightInd w:val="0"/>
                    <w:snapToGrid w:val="0"/>
                    <w:jc w:val="center"/>
                    <w:rPr>
                      <w:color w:val="auto"/>
                      <w:kern w:val="0"/>
                    </w:rPr>
                  </w:pPr>
                </w:p>
              </w:tc>
              <w:tc>
                <w:tcPr>
                  <w:tcW w:w="1318" w:type="pct"/>
                  <w:vAlign w:val="center"/>
                </w:tcPr>
                <w:p>
                  <w:pPr>
                    <w:widowControl/>
                    <w:adjustRightInd w:val="0"/>
                    <w:snapToGrid w:val="0"/>
                    <w:jc w:val="center"/>
                    <w:rPr>
                      <w:rFonts w:hint="default"/>
                      <w:color w:val="auto"/>
                      <w:lang w:val="en-US" w:eastAsia="zh-CN"/>
                    </w:rPr>
                  </w:pPr>
                  <w:r>
                    <w:rPr>
                      <w:rFonts w:hint="eastAsia" w:ascii="宋体" w:hAnsi="宋体"/>
                      <w:color w:val="auto"/>
                    </w:rPr>
                    <w:t>五日生化需氧、石油类</w:t>
                  </w:r>
                  <w:r>
                    <w:rPr>
                      <w:rFonts w:hint="eastAsia"/>
                      <w:color w:val="auto"/>
                      <w:lang w:eastAsia="zh-CN"/>
                    </w:rPr>
                    <w:t>、</w:t>
                  </w:r>
                  <w:r>
                    <w:rPr>
                      <w:rFonts w:hint="eastAsia"/>
                      <w:color w:val="auto"/>
                      <w:lang w:val="en-US" w:eastAsia="zh-CN"/>
                    </w:rPr>
                    <w:t>挥发酚、阴离子表面活性剂、总氰化物、</w:t>
                  </w:r>
                </w:p>
              </w:tc>
              <w:tc>
                <w:tcPr>
                  <w:tcW w:w="452" w:type="pct"/>
                  <w:vMerge w:val="continue"/>
                  <w:vAlign w:val="center"/>
                </w:tcPr>
                <w:p>
                  <w:pPr>
                    <w:widowControl/>
                    <w:adjustRightInd w:val="0"/>
                    <w:snapToGrid w:val="0"/>
                    <w:jc w:val="center"/>
                    <w:rPr>
                      <w:color w:val="auto"/>
                      <w:kern w:val="0"/>
                    </w:rPr>
                  </w:pPr>
                </w:p>
              </w:tc>
              <w:tc>
                <w:tcPr>
                  <w:tcW w:w="799" w:type="pct"/>
                  <w:vAlign w:val="center"/>
                </w:tcPr>
                <w:p>
                  <w:pPr>
                    <w:widowControl/>
                    <w:adjustRightInd w:val="0"/>
                    <w:snapToGrid w:val="0"/>
                    <w:jc w:val="center"/>
                    <w:rPr>
                      <w:color w:val="auto"/>
                      <w:kern w:val="0"/>
                    </w:rPr>
                  </w:pPr>
                  <w:r>
                    <w:rPr>
                      <w:rFonts w:ascii="宋体" w:hAnsi="宋体"/>
                      <w:color w:val="auto"/>
                    </w:rPr>
                    <w:t>1</w:t>
                  </w:r>
                  <w:r>
                    <w:rPr>
                      <w:rFonts w:hint="eastAsia" w:ascii="宋体" w:hAnsi="宋体"/>
                      <w:color w:val="auto"/>
                    </w:rPr>
                    <w:t>次</w:t>
                  </w:r>
                  <w:r>
                    <w:rPr>
                      <w:color w:val="auto"/>
                    </w:rPr>
                    <w:t>/</w:t>
                  </w:r>
                  <w:r>
                    <w:rPr>
                      <w:rFonts w:hint="eastAsia" w:ascii="宋体" w:hAnsi="宋体"/>
                      <w:color w:val="auto"/>
                    </w:rPr>
                    <w:t>季度</w:t>
                  </w:r>
                </w:p>
              </w:tc>
              <w:tc>
                <w:tcPr>
                  <w:tcW w:w="1961" w:type="pct"/>
                  <w:vMerge w:val="continue"/>
                  <w:vAlign w:val="center"/>
                </w:tcPr>
                <w:p>
                  <w:pPr>
                    <w:widowControl/>
                    <w:adjustRightInd w:val="0"/>
                    <w:snapToGrid w:val="0"/>
                    <w:rPr>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trPr>
              <w:tc>
                <w:tcPr>
                  <w:tcW w:w="466" w:type="pct"/>
                  <w:vMerge w:val="continue"/>
                  <w:vAlign w:val="center"/>
                </w:tcPr>
                <w:p>
                  <w:pPr>
                    <w:widowControl/>
                    <w:adjustRightInd w:val="0"/>
                    <w:snapToGrid w:val="0"/>
                    <w:jc w:val="center"/>
                    <w:rPr>
                      <w:color w:val="auto"/>
                      <w:kern w:val="0"/>
                    </w:rPr>
                  </w:pPr>
                </w:p>
              </w:tc>
              <w:tc>
                <w:tcPr>
                  <w:tcW w:w="1318" w:type="pct"/>
                  <w:vAlign w:val="center"/>
                </w:tcPr>
                <w:p>
                  <w:pPr>
                    <w:widowControl/>
                    <w:adjustRightInd w:val="0"/>
                    <w:snapToGrid w:val="0"/>
                    <w:jc w:val="center"/>
                    <w:rPr>
                      <w:color w:val="auto"/>
                      <w:kern w:val="0"/>
                    </w:rPr>
                  </w:pPr>
                  <w:r>
                    <w:rPr>
                      <w:rFonts w:hint="eastAsia" w:ascii="宋体" w:hAnsi="宋体"/>
                      <w:color w:val="auto"/>
                      <w:highlight w:val="none"/>
                    </w:rPr>
                    <w:t>氨氮</w:t>
                  </w:r>
                </w:p>
              </w:tc>
              <w:tc>
                <w:tcPr>
                  <w:tcW w:w="452" w:type="pct"/>
                  <w:vMerge w:val="continue"/>
                  <w:vAlign w:val="center"/>
                </w:tcPr>
                <w:p>
                  <w:pPr>
                    <w:widowControl/>
                    <w:adjustRightInd w:val="0"/>
                    <w:snapToGrid w:val="0"/>
                    <w:jc w:val="center"/>
                    <w:rPr>
                      <w:color w:val="auto"/>
                      <w:kern w:val="0"/>
                    </w:rPr>
                  </w:pPr>
                </w:p>
              </w:tc>
              <w:tc>
                <w:tcPr>
                  <w:tcW w:w="799" w:type="pct"/>
                  <w:vAlign w:val="center"/>
                </w:tcPr>
                <w:p>
                  <w:pPr>
                    <w:widowControl/>
                    <w:adjustRightInd w:val="0"/>
                    <w:snapToGrid w:val="0"/>
                    <w:jc w:val="center"/>
                    <w:rPr>
                      <w:color w:val="auto"/>
                      <w:kern w:val="0"/>
                      <w:highlight w:val="none"/>
                    </w:rPr>
                  </w:pPr>
                  <w:r>
                    <w:rPr>
                      <w:rFonts w:ascii="宋体" w:hAnsi="宋体"/>
                      <w:color w:val="auto"/>
                      <w:highlight w:val="none"/>
                    </w:rPr>
                    <w:t>1</w:t>
                  </w:r>
                  <w:r>
                    <w:rPr>
                      <w:rFonts w:hint="eastAsia" w:ascii="宋体" w:hAnsi="宋体"/>
                      <w:color w:val="auto"/>
                      <w:highlight w:val="none"/>
                    </w:rPr>
                    <w:t>次</w:t>
                  </w:r>
                  <w:r>
                    <w:rPr>
                      <w:color w:val="auto"/>
                      <w:highlight w:val="none"/>
                    </w:rPr>
                    <w:t>/</w:t>
                  </w:r>
                  <w:r>
                    <w:rPr>
                      <w:rFonts w:hint="eastAsia" w:ascii="宋体" w:hAnsi="宋体"/>
                      <w:color w:val="auto"/>
                      <w:highlight w:val="none"/>
                    </w:rPr>
                    <w:t>季度</w:t>
                  </w:r>
                </w:p>
              </w:tc>
              <w:tc>
                <w:tcPr>
                  <w:tcW w:w="1961" w:type="pct"/>
                  <w:vAlign w:val="center"/>
                </w:tcPr>
                <w:p>
                  <w:pPr>
                    <w:widowControl/>
                    <w:adjustRightInd w:val="0"/>
                    <w:snapToGrid w:val="0"/>
                    <w:rPr>
                      <w:color w:val="auto"/>
                      <w:kern w:val="0"/>
                    </w:rPr>
                  </w:pPr>
                  <w:r>
                    <w:rPr>
                      <w:rFonts w:hint="eastAsia" w:ascii="宋体" w:hAnsi="宋体"/>
                      <w:color w:val="auto"/>
                    </w:rPr>
                    <w:t>参照执行《污水排入城镇下水道水质标准》（</w:t>
                  </w:r>
                  <w:r>
                    <w:rPr>
                      <w:color w:val="auto"/>
                    </w:rPr>
                    <w:t>GB/T31962-2015</w:t>
                  </w:r>
                  <w:r>
                    <w:rPr>
                      <w:rFonts w:hint="eastAsia" w:ascii="宋体" w:hAnsi="宋体"/>
                      <w:color w:val="auto"/>
                    </w:rPr>
                    <w:t>）</w:t>
                  </w:r>
                  <w:r>
                    <w:rPr>
                      <w:color w:val="auto"/>
                    </w:rPr>
                    <w:t>B</w:t>
                  </w:r>
                  <w:r>
                    <w:rPr>
                      <w:rFonts w:hint="eastAsia" w:ascii="宋体" w:hAnsi="宋体"/>
                      <w:color w:val="auto"/>
                    </w:rPr>
                    <w:t>级标准。</w:t>
                  </w:r>
                </w:p>
              </w:tc>
            </w:tr>
            <w:bookmarkEnd w:id="9"/>
          </w:tbl>
          <w:p>
            <w:pPr>
              <w:adjustRightInd w:val="0"/>
              <w:snapToGrid w:val="0"/>
              <w:spacing w:before="120" w:beforeLines="50" w:line="360" w:lineRule="auto"/>
              <w:ind w:firstLine="482" w:firstLineChars="200"/>
              <w:rPr>
                <w:b/>
                <w:bCs/>
                <w:color w:val="auto"/>
                <w:sz w:val="24"/>
                <w:szCs w:val="32"/>
              </w:rPr>
            </w:pPr>
            <w:r>
              <w:rPr>
                <w:b/>
                <w:bCs/>
                <w:color w:val="auto"/>
                <w:sz w:val="24"/>
                <w:szCs w:val="32"/>
              </w:rPr>
              <w:t>三、噪声</w:t>
            </w:r>
          </w:p>
          <w:p>
            <w:pPr>
              <w:spacing w:line="360" w:lineRule="auto"/>
              <w:ind w:firstLine="480"/>
              <w:jc w:val="left"/>
              <w:rPr>
                <w:color w:val="auto"/>
                <w:sz w:val="24"/>
              </w:rPr>
            </w:pPr>
            <w:r>
              <w:rPr>
                <w:color w:val="auto"/>
                <w:sz w:val="24"/>
              </w:rPr>
              <w:t>1、噪声源强及降噪措施</w:t>
            </w:r>
          </w:p>
          <w:p>
            <w:pPr>
              <w:pStyle w:val="12"/>
              <w:rPr>
                <w:color w:val="auto"/>
              </w:rPr>
            </w:pPr>
            <w:r>
              <w:rPr>
                <w:color w:val="auto"/>
              </w:rPr>
              <w:t>本</w:t>
            </w:r>
            <w:r>
              <w:rPr>
                <w:rFonts w:hint="eastAsia"/>
                <w:color w:val="auto"/>
              </w:rPr>
              <w:t>项目噪声主要为</w:t>
            </w:r>
            <w:r>
              <w:rPr>
                <w:rFonts w:ascii="宋体" w:hAnsi="宋体" w:eastAsia="宋体" w:cs="宋体"/>
                <w:color w:val="auto"/>
                <w:sz w:val="24"/>
                <w:szCs w:val="24"/>
              </w:rPr>
              <w:t>门诊、大厅人声喧哗</w:t>
            </w:r>
            <w:r>
              <w:rPr>
                <w:rFonts w:hint="eastAsia" w:ascii="宋体" w:hAnsi="宋体" w:cs="宋体"/>
                <w:color w:val="auto"/>
                <w:sz w:val="24"/>
                <w:szCs w:val="24"/>
                <w:lang w:val="en-US" w:eastAsia="zh-CN"/>
              </w:rPr>
              <w:t>等</w:t>
            </w:r>
            <w:r>
              <w:rPr>
                <w:rFonts w:ascii="宋体" w:hAnsi="宋体" w:eastAsia="宋体" w:cs="宋体"/>
                <w:color w:val="auto"/>
                <w:sz w:val="24"/>
                <w:szCs w:val="24"/>
              </w:rPr>
              <w:t>社会噪声，</w:t>
            </w:r>
            <w:r>
              <w:rPr>
                <w:color w:val="auto"/>
              </w:rPr>
              <w:t>根据《污染源源强核算技术指南 准则》（HJ884-2018）、《环境噪声与振动控制工程技术导则》（HJ2034-2013）并类比同类项目，本项目主要噪声源见</w:t>
            </w:r>
            <w:r>
              <w:rPr>
                <w:rFonts w:hint="eastAsia"/>
                <w:color w:val="auto"/>
              </w:rPr>
              <w:t>下</w:t>
            </w:r>
            <w:r>
              <w:rPr>
                <w:color w:val="auto"/>
              </w:rPr>
              <w:t>表。</w:t>
            </w:r>
          </w:p>
          <w:p>
            <w:pPr>
              <w:pStyle w:val="15"/>
              <w:ind w:firstLine="420"/>
              <w:rPr>
                <w:color w:val="auto"/>
              </w:rPr>
            </w:pPr>
            <w:r>
              <w:rPr>
                <w:color w:val="auto"/>
              </w:rPr>
              <w:t>表4</w:t>
            </w:r>
            <w:r>
              <w:rPr>
                <w:rFonts w:hint="eastAsia"/>
                <w:color w:val="auto"/>
              </w:rPr>
              <w:t>-6</w:t>
            </w:r>
            <w:r>
              <w:rPr>
                <w:color w:val="auto"/>
              </w:rPr>
              <w:t xml:space="preserve">  工业企业噪声源强调查清单（室内声源）</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2"/>
              <w:gridCol w:w="1734"/>
              <w:gridCol w:w="204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2" w:type="dxa"/>
                  <w:vAlign w:val="center"/>
                </w:tcPr>
                <w:p>
                  <w:pPr>
                    <w:pStyle w:val="11"/>
                    <w:rPr>
                      <w:color w:val="auto"/>
                    </w:rPr>
                  </w:pPr>
                  <w:r>
                    <w:rPr>
                      <w:color w:val="auto"/>
                    </w:rPr>
                    <w:t>名称</w:t>
                  </w:r>
                </w:p>
              </w:tc>
              <w:tc>
                <w:tcPr>
                  <w:tcW w:w="1734" w:type="dxa"/>
                  <w:vAlign w:val="center"/>
                </w:tcPr>
                <w:p>
                  <w:pPr>
                    <w:pStyle w:val="11"/>
                    <w:rPr>
                      <w:color w:val="auto"/>
                    </w:rPr>
                  </w:pPr>
                  <w:r>
                    <w:rPr>
                      <w:color w:val="auto"/>
                    </w:rPr>
                    <w:t>噪声强度</w:t>
                  </w:r>
                </w:p>
                <w:p>
                  <w:pPr>
                    <w:pStyle w:val="11"/>
                    <w:rPr>
                      <w:color w:val="auto"/>
                    </w:rPr>
                  </w:pPr>
                  <w:r>
                    <w:rPr>
                      <w:color w:val="auto"/>
                    </w:rPr>
                    <w:t>dB（A）</w:t>
                  </w:r>
                </w:p>
              </w:tc>
              <w:tc>
                <w:tcPr>
                  <w:tcW w:w="2041" w:type="dxa"/>
                  <w:vAlign w:val="center"/>
                </w:tcPr>
                <w:p>
                  <w:pPr>
                    <w:pStyle w:val="11"/>
                    <w:rPr>
                      <w:color w:val="auto"/>
                    </w:rPr>
                  </w:pPr>
                  <w:r>
                    <w:rPr>
                      <w:color w:val="auto"/>
                    </w:rPr>
                    <w:t>降噪措施及效果</w:t>
                  </w:r>
                </w:p>
              </w:tc>
              <w:tc>
                <w:tcPr>
                  <w:tcW w:w="1575" w:type="dxa"/>
                  <w:vAlign w:val="center"/>
                </w:tcPr>
                <w:p>
                  <w:pPr>
                    <w:pStyle w:val="11"/>
                    <w:rPr>
                      <w:color w:val="auto"/>
                    </w:rPr>
                  </w:pPr>
                  <w:r>
                    <w:rPr>
                      <w:color w:val="auto"/>
                    </w:rPr>
                    <w:t>排放强度</w:t>
                  </w:r>
                </w:p>
                <w:p>
                  <w:pPr>
                    <w:pStyle w:val="11"/>
                    <w:rPr>
                      <w:color w:val="auto"/>
                    </w:rPr>
                  </w:pPr>
                  <w:r>
                    <w:rPr>
                      <w:color w:val="auto"/>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622" w:type="dxa"/>
                  <w:vAlign w:val="center"/>
                </w:tcPr>
                <w:p>
                  <w:pPr>
                    <w:pStyle w:val="11"/>
                    <w:rPr>
                      <w:color w:val="auto"/>
                    </w:rPr>
                  </w:pPr>
                  <w:r>
                    <w:rPr>
                      <w:color w:val="auto"/>
                    </w:rPr>
                    <w:t>社会噪声</w:t>
                  </w:r>
                </w:p>
                <w:p>
                  <w:pPr>
                    <w:pStyle w:val="11"/>
                    <w:rPr>
                      <w:rFonts w:hint="eastAsia"/>
                      <w:color w:val="auto"/>
                      <w:lang w:eastAsia="zh-CN"/>
                    </w:rPr>
                  </w:pPr>
                  <w:r>
                    <w:rPr>
                      <w:rFonts w:hint="eastAsia"/>
                      <w:color w:val="auto"/>
                      <w:lang w:eastAsia="zh-CN"/>
                    </w:rPr>
                    <w:t>（</w:t>
                  </w:r>
                  <w:r>
                    <w:rPr>
                      <w:color w:val="auto"/>
                    </w:rPr>
                    <w:t>门诊、大厅人声喧哗</w:t>
                  </w:r>
                  <w:r>
                    <w:rPr>
                      <w:rFonts w:hint="eastAsia"/>
                      <w:color w:val="auto"/>
                      <w:lang w:eastAsia="zh-CN"/>
                    </w:rPr>
                    <w:t>）</w:t>
                  </w:r>
                </w:p>
              </w:tc>
              <w:tc>
                <w:tcPr>
                  <w:tcW w:w="1734" w:type="dxa"/>
                  <w:vAlign w:val="center"/>
                </w:tcPr>
                <w:p>
                  <w:pPr>
                    <w:pStyle w:val="11"/>
                    <w:rPr>
                      <w:color w:val="auto"/>
                    </w:rPr>
                  </w:pPr>
                  <w:r>
                    <w:rPr>
                      <w:color w:val="auto"/>
                    </w:rPr>
                    <w:t>55～65</w:t>
                  </w:r>
                </w:p>
              </w:tc>
              <w:tc>
                <w:tcPr>
                  <w:tcW w:w="2041" w:type="dxa"/>
                  <w:vAlign w:val="center"/>
                </w:tcPr>
                <w:p>
                  <w:pPr>
                    <w:pStyle w:val="11"/>
                    <w:rPr>
                      <w:color w:val="auto"/>
                    </w:rPr>
                  </w:pPr>
                  <w:r>
                    <w:rPr>
                      <w:rFonts w:hint="eastAsia"/>
                      <w:color w:val="auto"/>
                      <w:lang w:val="en-US" w:eastAsia="zh-CN"/>
                    </w:rPr>
                    <w:t>厂房隔声，</w:t>
                  </w:r>
                  <w:r>
                    <w:rPr>
                      <w:color w:val="auto"/>
                    </w:rPr>
                    <w:t xml:space="preserve">降噪效果可达 </w:t>
                  </w:r>
                  <w:r>
                    <w:rPr>
                      <w:rFonts w:hint="eastAsia"/>
                      <w:color w:val="auto"/>
                      <w:lang w:val="en-US" w:eastAsia="zh-CN"/>
                    </w:rPr>
                    <w:t>20</w:t>
                  </w:r>
                  <w:r>
                    <w:rPr>
                      <w:color w:val="auto"/>
                    </w:rPr>
                    <w:t>dB（A）</w:t>
                  </w:r>
                </w:p>
              </w:tc>
              <w:tc>
                <w:tcPr>
                  <w:tcW w:w="1575" w:type="dxa"/>
                  <w:vAlign w:val="center"/>
                </w:tcPr>
                <w:p>
                  <w:pPr>
                    <w:pStyle w:val="11"/>
                    <w:rPr>
                      <w:color w:val="auto"/>
                    </w:rPr>
                  </w:pPr>
                  <w:r>
                    <w:rPr>
                      <w:rFonts w:hint="eastAsia"/>
                      <w:color w:val="auto"/>
                      <w:lang w:val="en-US" w:eastAsia="zh-CN"/>
                    </w:rPr>
                    <w:t>35-45</w:t>
                  </w:r>
                </w:p>
              </w:tc>
            </w:tr>
          </w:tbl>
          <w:p>
            <w:pPr>
              <w:pStyle w:val="12"/>
              <w:spacing w:before="120" w:beforeLines="50"/>
              <w:rPr>
                <w:color w:val="auto"/>
              </w:rPr>
            </w:pPr>
            <w:r>
              <w:rPr>
                <w:color w:val="auto"/>
              </w:rPr>
              <w:t>2、项目噪声环境影响</w:t>
            </w:r>
          </w:p>
          <w:p>
            <w:pPr>
              <w:pStyle w:val="12"/>
              <w:rPr>
                <w:color w:val="auto"/>
              </w:rPr>
            </w:pPr>
            <w:r>
              <w:rPr>
                <w:color w:val="auto"/>
              </w:rPr>
              <w:t>本项目</w:t>
            </w:r>
            <w:r>
              <w:rPr>
                <w:rFonts w:hint="eastAsia"/>
                <w:color w:val="auto"/>
              </w:rPr>
              <w:t>噪声变动主要为新增员工及病人</w:t>
            </w:r>
            <w:r>
              <w:rPr>
                <w:rFonts w:hint="eastAsia"/>
                <w:color w:val="auto"/>
                <w:lang w:val="en-US" w:eastAsia="zh-CN"/>
              </w:rPr>
              <w:t>活动</w:t>
            </w:r>
            <w:r>
              <w:rPr>
                <w:rFonts w:hint="eastAsia"/>
                <w:color w:val="auto"/>
              </w:rPr>
              <w:t>的社会活动噪声，影响较小。根据2024年4月30日的监测报告可知，</w:t>
            </w:r>
            <w:r>
              <w:rPr>
                <w:color w:val="auto"/>
              </w:rPr>
              <w:t>项目噪声</w:t>
            </w:r>
            <w:r>
              <w:rPr>
                <w:rFonts w:hint="eastAsia"/>
                <w:color w:val="auto"/>
              </w:rPr>
              <w:t>监测</w:t>
            </w:r>
            <w:r>
              <w:rPr>
                <w:color w:val="auto"/>
              </w:rPr>
              <w:t>结果见表4-</w:t>
            </w:r>
            <w:r>
              <w:rPr>
                <w:rFonts w:hint="eastAsia"/>
                <w:color w:val="auto"/>
              </w:rPr>
              <w:t>6</w:t>
            </w:r>
            <w:r>
              <w:rPr>
                <w:color w:val="auto"/>
              </w:rPr>
              <w:t>。</w:t>
            </w:r>
          </w:p>
          <w:p>
            <w:pPr>
              <w:pStyle w:val="15"/>
              <w:ind w:firstLine="420"/>
              <w:jc w:val="right"/>
              <w:rPr>
                <w:color w:val="auto"/>
              </w:rPr>
            </w:pPr>
            <w:r>
              <w:rPr>
                <w:rFonts w:hint="eastAsia"/>
                <w:color w:val="auto"/>
              </w:rPr>
              <w:t>表</w:t>
            </w:r>
            <w:r>
              <w:rPr>
                <w:color w:val="auto"/>
              </w:rPr>
              <w:t>4-</w:t>
            </w:r>
            <w:r>
              <w:rPr>
                <w:rFonts w:hint="eastAsia"/>
                <w:color w:val="auto"/>
              </w:rPr>
              <w:t>7</w:t>
            </w:r>
            <w:r>
              <w:rPr>
                <w:color w:val="auto"/>
              </w:rPr>
              <w:t xml:space="preserve">  噪声</w:t>
            </w:r>
            <w:r>
              <w:rPr>
                <w:rFonts w:hint="eastAsia"/>
                <w:color w:val="auto"/>
              </w:rPr>
              <w:t>监测</w:t>
            </w:r>
            <w:r>
              <w:rPr>
                <w:color w:val="auto"/>
              </w:rPr>
              <w:t>结果</w:t>
            </w:r>
            <w:r>
              <w:rPr>
                <w:rFonts w:hint="eastAsia"/>
                <w:color w:val="auto"/>
              </w:rPr>
              <w:t xml:space="preserve">                </w:t>
            </w:r>
            <w:r>
              <w:rPr>
                <w:color w:val="auto"/>
              </w:rPr>
              <w:t xml:space="preserve"> 单位：dB（A）</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7"/>
              <w:gridCol w:w="1701"/>
              <w:gridCol w:w="994"/>
              <w:gridCol w:w="992"/>
              <w:gridCol w:w="850"/>
              <w:gridCol w:w="992"/>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37" w:type="pct"/>
                  <w:vMerge w:val="restart"/>
                  <w:tcBorders>
                    <w:top w:val="single" w:color="auto" w:sz="4" w:space="0"/>
                    <w:left w:val="single" w:color="auto" w:sz="4" w:space="0"/>
                    <w:right w:val="single" w:color="auto" w:sz="4" w:space="0"/>
                    <w:tl2br w:val="nil"/>
                  </w:tcBorders>
                  <w:vAlign w:val="center"/>
                </w:tcPr>
                <w:p>
                  <w:pPr>
                    <w:jc w:val="center"/>
                    <w:rPr>
                      <w:color w:val="auto"/>
                    </w:rPr>
                  </w:pPr>
                  <w:r>
                    <w:rPr>
                      <w:rFonts w:hint="eastAsia"/>
                      <w:color w:val="auto"/>
                    </w:rPr>
                    <w:t>监测</w:t>
                  </w:r>
                  <w:r>
                    <w:rPr>
                      <w:color w:val="auto"/>
                    </w:rPr>
                    <w:t>时间</w:t>
                  </w:r>
                </w:p>
              </w:tc>
              <w:tc>
                <w:tcPr>
                  <w:tcW w:w="1066" w:type="pct"/>
                  <w:vMerge w:val="restart"/>
                  <w:tcBorders>
                    <w:top w:val="single" w:color="auto" w:sz="4" w:space="0"/>
                    <w:left w:val="single" w:color="auto" w:sz="4" w:space="0"/>
                    <w:right w:val="single" w:color="auto" w:sz="4" w:space="0"/>
                    <w:tl2br w:val="nil"/>
                  </w:tcBorders>
                  <w:vAlign w:val="center"/>
                </w:tcPr>
                <w:p>
                  <w:pPr>
                    <w:jc w:val="center"/>
                    <w:rPr>
                      <w:color w:val="auto"/>
                    </w:rPr>
                  </w:pPr>
                  <w:r>
                    <w:rPr>
                      <w:color w:val="auto"/>
                    </w:rPr>
                    <w:t>位置</w:t>
                  </w:r>
                </w:p>
              </w:tc>
              <w:tc>
                <w:tcPr>
                  <w:tcW w:w="1245" w:type="pct"/>
                  <w:gridSpan w:val="2"/>
                  <w:tcBorders>
                    <w:top w:val="single" w:color="auto" w:sz="4" w:space="0"/>
                    <w:left w:val="nil"/>
                    <w:bottom w:val="single" w:color="auto" w:sz="4" w:space="0"/>
                    <w:right w:val="single" w:color="auto" w:sz="4" w:space="0"/>
                  </w:tcBorders>
                  <w:vAlign w:val="center"/>
                </w:tcPr>
                <w:p>
                  <w:pPr>
                    <w:jc w:val="center"/>
                    <w:rPr>
                      <w:color w:val="auto"/>
                    </w:rPr>
                  </w:pPr>
                  <w:r>
                    <w:rPr>
                      <w:color w:val="auto"/>
                    </w:rPr>
                    <w:t>昼间</w:t>
                  </w:r>
                </w:p>
              </w:tc>
              <w:tc>
                <w:tcPr>
                  <w:tcW w:w="1155" w:type="pct"/>
                  <w:gridSpan w:val="2"/>
                  <w:tcBorders>
                    <w:top w:val="single" w:color="auto" w:sz="4" w:space="0"/>
                    <w:left w:val="nil"/>
                    <w:bottom w:val="single" w:color="auto" w:sz="4" w:space="0"/>
                    <w:right w:val="single" w:color="auto" w:sz="4" w:space="0"/>
                  </w:tcBorders>
                  <w:vAlign w:val="center"/>
                </w:tcPr>
                <w:p>
                  <w:pPr>
                    <w:jc w:val="center"/>
                    <w:rPr>
                      <w:color w:val="auto"/>
                    </w:rPr>
                  </w:pPr>
                  <w:r>
                    <w:rPr>
                      <w:color w:val="auto"/>
                    </w:rPr>
                    <w:t>夜间</w:t>
                  </w:r>
                </w:p>
              </w:tc>
              <w:tc>
                <w:tcPr>
                  <w:tcW w:w="897" w:type="pct"/>
                  <w:vMerge w:val="restart"/>
                  <w:tcBorders>
                    <w:top w:val="single" w:color="auto" w:sz="4" w:space="0"/>
                    <w:left w:val="nil"/>
                    <w:right w:val="single" w:color="auto" w:sz="4" w:space="0"/>
                  </w:tcBorders>
                  <w:vAlign w:val="center"/>
                </w:tcPr>
                <w:p>
                  <w:pPr>
                    <w:jc w:val="center"/>
                    <w:rPr>
                      <w:color w:val="auto"/>
                    </w:rPr>
                  </w:pPr>
                  <w:r>
                    <w:rPr>
                      <w:color w:val="auto"/>
                    </w:rPr>
                    <w:t>达标性判定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37" w:type="pct"/>
                  <w:vMerge w:val="continue"/>
                  <w:tcBorders>
                    <w:left w:val="single" w:color="auto" w:sz="4" w:space="0"/>
                    <w:bottom w:val="single" w:color="auto" w:sz="4" w:space="0"/>
                    <w:right w:val="single" w:color="auto" w:sz="4" w:space="0"/>
                    <w:tl2br w:val="nil"/>
                  </w:tcBorders>
                  <w:vAlign w:val="center"/>
                </w:tcPr>
                <w:p>
                  <w:pPr>
                    <w:spacing w:before="120"/>
                    <w:jc w:val="center"/>
                    <w:rPr>
                      <w:color w:val="auto"/>
                      <w:szCs w:val="21"/>
                    </w:rPr>
                  </w:pPr>
                </w:p>
              </w:tc>
              <w:tc>
                <w:tcPr>
                  <w:tcW w:w="1066" w:type="pct"/>
                  <w:vMerge w:val="continue"/>
                  <w:tcBorders>
                    <w:left w:val="single" w:color="auto" w:sz="4" w:space="0"/>
                    <w:bottom w:val="single" w:color="auto" w:sz="4" w:space="0"/>
                    <w:right w:val="single" w:color="auto" w:sz="4" w:space="0"/>
                    <w:tl2br w:val="nil"/>
                  </w:tcBorders>
                  <w:vAlign w:val="center"/>
                </w:tcPr>
                <w:p>
                  <w:pPr>
                    <w:spacing w:before="120"/>
                    <w:jc w:val="center"/>
                    <w:rPr>
                      <w:color w:val="auto"/>
                      <w:szCs w:val="21"/>
                    </w:rPr>
                  </w:pPr>
                </w:p>
              </w:tc>
              <w:tc>
                <w:tcPr>
                  <w:tcW w:w="623" w:type="pct"/>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监测结果</w:t>
                  </w:r>
                </w:p>
              </w:tc>
              <w:tc>
                <w:tcPr>
                  <w:tcW w:w="622" w:type="pct"/>
                  <w:tcBorders>
                    <w:top w:val="single" w:color="auto" w:sz="4" w:space="0"/>
                    <w:left w:val="nil"/>
                    <w:bottom w:val="single" w:color="auto" w:sz="4" w:space="0"/>
                    <w:right w:val="single" w:color="auto" w:sz="4" w:space="0"/>
                  </w:tcBorders>
                  <w:vAlign w:val="center"/>
                </w:tcPr>
                <w:p>
                  <w:pPr>
                    <w:jc w:val="center"/>
                    <w:rPr>
                      <w:color w:val="auto"/>
                    </w:rPr>
                  </w:pPr>
                  <w:r>
                    <w:rPr>
                      <w:color w:val="auto"/>
                    </w:rPr>
                    <w:t>标准值</w:t>
                  </w:r>
                </w:p>
              </w:tc>
              <w:tc>
                <w:tcPr>
                  <w:tcW w:w="533" w:type="pct"/>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监测结果</w:t>
                  </w:r>
                </w:p>
              </w:tc>
              <w:tc>
                <w:tcPr>
                  <w:tcW w:w="622" w:type="pct"/>
                  <w:tcBorders>
                    <w:top w:val="single" w:color="auto" w:sz="4" w:space="0"/>
                    <w:left w:val="nil"/>
                    <w:bottom w:val="single" w:color="auto" w:sz="4" w:space="0"/>
                    <w:right w:val="single" w:color="auto" w:sz="4" w:space="0"/>
                  </w:tcBorders>
                  <w:vAlign w:val="center"/>
                </w:tcPr>
                <w:p>
                  <w:pPr>
                    <w:jc w:val="center"/>
                    <w:rPr>
                      <w:color w:val="auto"/>
                    </w:rPr>
                  </w:pPr>
                  <w:r>
                    <w:rPr>
                      <w:color w:val="auto"/>
                    </w:rPr>
                    <w:t>标准值</w:t>
                  </w:r>
                </w:p>
              </w:tc>
              <w:tc>
                <w:tcPr>
                  <w:tcW w:w="897" w:type="pct"/>
                  <w:vMerge w:val="continue"/>
                  <w:tcBorders>
                    <w:left w:val="nil"/>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37" w:type="pct"/>
                  <w:vMerge w:val="restart"/>
                  <w:tcBorders>
                    <w:top w:val="single" w:color="auto" w:sz="4" w:space="0"/>
                    <w:left w:val="single" w:color="auto" w:sz="4" w:space="0"/>
                    <w:right w:val="single" w:color="auto" w:sz="4" w:space="0"/>
                  </w:tcBorders>
                  <w:vAlign w:val="center"/>
                </w:tcPr>
                <w:p>
                  <w:pPr>
                    <w:jc w:val="center"/>
                    <w:rPr>
                      <w:color w:val="auto"/>
                    </w:rPr>
                  </w:pPr>
                  <w:r>
                    <w:rPr>
                      <w:rFonts w:hint="eastAsia"/>
                      <w:color w:val="auto"/>
                    </w:rPr>
                    <w:t>04</w:t>
                  </w:r>
                  <w:r>
                    <w:rPr>
                      <w:rFonts w:hint="eastAsia" w:ascii="宋体" w:hAnsi="宋体"/>
                      <w:color w:val="auto"/>
                    </w:rPr>
                    <w:t>月</w:t>
                  </w:r>
                  <w:r>
                    <w:rPr>
                      <w:rFonts w:hint="eastAsia"/>
                      <w:color w:val="auto"/>
                    </w:rPr>
                    <w:t>27</w:t>
                  </w:r>
                  <w:r>
                    <w:rPr>
                      <w:rFonts w:hint="eastAsia" w:ascii="宋体" w:hAnsi="宋体"/>
                      <w:color w:val="auto"/>
                    </w:rPr>
                    <w:t>日</w:t>
                  </w:r>
                  <w:r>
                    <w:rPr>
                      <w:rFonts w:hint="eastAsia"/>
                      <w:color w:val="auto"/>
                    </w:rPr>
                    <w:t>-28</w:t>
                  </w:r>
                  <w:r>
                    <w:rPr>
                      <w:rFonts w:hint="eastAsia" w:ascii="宋体" w:hAnsi="宋体"/>
                      <w:color w:val="auto"/>
                    </w:rPr>
                    <w:t>日</w:t>
                  </w:r>
                </w:p>
              </w:tc>
              <w:tc>
                <w:tcPr>
                  <w:tcW w:w="1066"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厂界西侧1</w:t>
                  </w:r>
                  <w:r>
                    <w:rPr>
                      <w:color w:val="auto"/>
                      <w:vertAlign w:val="superscript"/>
                    </w:rPr>
                    <w:t>#</w:t>
                  </w:r>
                </w:p>
              </w:tc>
              <w:tc>
                <w:tcPr>
                  <w:tcW w:w="994" w:type="dxa"/>
                  <w:tcBorders>
                    <w:top w:val="single" w:color="auto" w:sz="4" w:space="0"/>
                    <w:left w:val="nil"/>
                    <w:bottom w:val="single" w:color="auto" w:sz="4" w:space="0"/>
                    <w:right w:val="single" w:color="auto" w:sz="4" w:space="0"/>
                  </w:tcBorders>
                  <w:vAlign w:val="center"/>
                </w:tcPr>
                <w:p>
                  <w:pPr>
                    <w:snapToGrid w:val="0"/>
                    <w:jc w:val="center"/>
                    <w:rPr>
                      <w:color w:val="auto"/>
                    </w:rPr>
                  </w:pPr>
                  <w:r>
                    <w:rPr>
                      <w:rFonts w:hint="eastAsia"/>
                      <w:color w:val="auto"/>
                      <w:lang w:eastAsia="zh-CN"/>
                    </w:rPr>
                    <w:t>5</w:t>
                  </w:r>
                  <w:r>
                    <w:rPr>
                      <w:rFonts w:hint="eastAsia"/>
                      <w:color w:val="auto"/>
                      <w:lang w:val="en-US" w:eastAsia="zh-CN"/>
                    </w:rPr>
                    <w:t>2</w:t>
                  </w:r>
                </w:p>
              </w:tc>
              <w:tc>
                <w:tcPr>
                  <w:tcW w:w="992" w:type="dxa"/>
                  <w:tcBorders>
                    <w:top w:val="nil"/>
                    <w:left w:val="nil"/>
                    <w:bottom w:val="single" w:color="auto" w:sz="4" w:space="0"/>
                    <w:right w:val="single" w:color="auto" w:sz="4" w:space="0"/>
                  </w:tcBorders>
                  <w:vAlign w:val="center"/>
                </w:tcPr>
                <w:p>
                  <w:pPr>
                    <w:jc w:val="center"/>
                    <w:rPr>
                      <w:color w:val="auto"/>
                    </w:rPr>
                  </w:pPr>
                  <w:r>
                    <w:rPr>
                      <w:rFonts w:hint="eastAsia"/>
                      <w:color w:val="auto"/>
                    </w:rPr>
                    <w:t>55</w:t>
                  </w:r>
                </w:p>
              </w:tc>
              <w:tc>
                <w:tcPr>
                  <w:tcW w:w="850" w:type="dxa"/>
                  <w:tcBorders>
                    <w:top w:val="single" w:color="auto" w:sz="4" w:space="0"/>
                    <w:left w:val="nil"/>
                    <w:bottom w:val="single" w:color="auto" w:sz="4" w:space="0"/>
                    <w:right w:val="single" w:color="auto" w:sz="4" w:space="0"/>
                  </w:tcBorders>
                  <w:vAlign w:val="center"/>
                </w:tcPr>
                <w:p>
                  <w:pPr>
                    <w:snapToGrid w:val="0"/>
                    <w:jc w:val="center"/>
                    <w:rPr>
                      <w:color w:val="auto"/>
                    </w:rPr>
                  </w:pPr>
                  <w:r>
                    <w:rPr>
                      <w:rFonts w:hint="eastAsia"/>
                      <w:color w:val="auto"/>
                      <w:lang w:val="en-US" w:eastAsia="zh-CN"/>
                    </w:rPr>
                    <w:t>42</w:t>
                  </w:r>
                </w:p>
              </w:tc>
              <w:tc>
                <w:tcPr>
                  <w:tcW w:w="992" w:type="dxa"/>
                  <w:tcBorders>
                    <w:top w:val="nil"/>
                    <w:left w:val="nil"/>
                    <w:bottom w:val="single" w:color="auto" w:sz="4" w:space="0"/>
                    <w:right w:val="single" w:color="auto" w:sz="4" w:space="0"/>
                  </w:tcBorders>
                  <w:vAlign w:val="center"/>
                </w:tcPr>
                <w:p>
                  <w:pPr>
                    <w:jc w:val="center"/>
                    <w:rPr>
                      <w:color w:val="auto"/>
                    </w:rPr>
                  </w:pPr>
                  <w:r>
                    <w:rPr>
                      <w:rFonts w:hint="eastAsia"/>
                      <w:color w:val="auto"/>
                    </w:rPr>
                    <w:t>45</w:t>
                  </w:r>
                </w:p>
              </w:tc>
              <w:tc>
                <w:tcPr>
                  <w:tcW w:w="897" w:type="pct"/>
                  <w:tcBorders>
                    <w:top w:val="nil"/>
                    <w:left w:val="nil"/>
                    <w:bottom w:val="single" w:color="auto" w:sz="4" w:space="0"/>
                    <w:right w:val="single" w:color="auto" w:sz="4" w:space="0"/>
                  </w:tcBorders>
                  <w:vAlign w:val="center"/>
                </w:tcPr>
                <w:p>
                  <w:pPr>
                    <w:jc w:val="center"/>
                    <w:rPr>
                      <w:color w:val="auto"/>
                    </w:rPr>
                  </w:pPr>
                  <w:r>
                    <w:rPr>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37" w:type="pct"/>
                  <w:vMerge w:val="continue"/>
                  <w:tcBorders>
                    <w:left w:val="single" w:color="auto" w:sz="4" w:space="0"/>
                    <w:right w:val="single" w:color="auto" w:sz="4" w:space="0"/>
                  </w:tcBorders>
                  <w:vAlign w:val="center"/>
                </w:tcPr>
                <w:p>
                  <w:pPr>
                    <w:jc w:val="center"/>
                    <w:rPr>
                      <w:color w:val="auto"/>
                    </w:rPr>
                  </w:pPr>
                </w:p>
              </w:tc>
              <w:tc>
                <w:tcPr>
                  <w:tcW w:w="1066" w:type="pct"/>
                  <w:tcBorders>
                    <w:top w:val="single" w:color="auto" w:sz="4" w:space="0"/>
                    <w:left w:val="single" w:color="auto" w:sz="4" w:space="0"/>
                    <w:bottom w:val="single" w:color="auto" w:sz="4" w:space="0"/>
                    <w:right w:val="single" w:color="auto" w:sz="4" w:space="0"/>
                    <w:tl2br w:val="nil"/>
                  </w:tcBorders>
                  <w:vAlign w:val="center"/>
                </w:tcPr>
                <w:p>
                  <w:pPr>
                    <w:jc w:val="center"/>
                    <w:rPr>
                      <w:color w:val="auto"/>
                    </w:rPr>
                  </w:pPr>
                  <w:r>
                    <w:rPr>
                      <w:rFonts w:hint="eastAsia"/>
                      <w:color w:val="auto"/>
                    </w:rPr>
                    <w:t>厂界北侧2</w:t>
                  </w:r>
                  <w:r>
                    <w:rPr>
                      <w:color w:val="auto"/>
                      <w:vertAlign w:val="superscript"/>
                    </w:rPr>
                    <w:t>#</w:t>
                  </w:r>
                </w:p>
              </w:tc>
              <w:tc>
                <w:tcPr>
                  <w:tcW w:w="994" w:type="dxa"/>
                  <w:tcBorders>
                    <w:top w:val="single" w:color="auto" w:sz="4" w:space="0"/>
                    <w:left w:val="nil"/>
                    <w:bottom w:val="single" w:color="auto" w:sz="4" w:space="0"/>
                    <w:right w:val="single" w:color="auto" w:sz="4" w:space="0"/>
                  </w:tcBorders>
                  <w:vAlign w:val="center"/>
                </w:tcPr>
                <w:p>
                  <w:pPr>
                    <w:snapToGrid w:val="0"/>
                    <w:jc w:val="center"/>
                    <w:rPr>
                      <w:color w:val="auto"/>
                    </w:rPr>
                  </w:pPr>
                  <w:r>
                    <w:rPr>
                      <w:rFonts w:hint="default"/>
                      <w:color w:val="auto"/>
                      <w:lang w:val="en-US"/>
                    </w:rPr>
                    <w:t>5</w:t>
                  </w:r>
                  <w:r>
                    <w:rPr>
                      <w:rFonts w:hint="eastAsia"/>
                      <w:color w:val="auto"/>
                      <w:lang w:val="en-US" w:eastAsia="zh-CN"/>
                    </w:rPr>
                    <w:t>3</w:t>
                  </w:r>
                </w:p>
              </w:tc>
              <w:tc>
                <w:tcPr>
                  <w:tcW w:w="992" w:type="dxa"/>
                  <w:tcBorders>
                    <w:top w:val="single" w:color="auto" w:sz="4" w:space="0"/>
                    <w:left w:val="nil"/>
                    <w:bottom w:val="single" w:color="auto" w:sz="4" w:space="0"/>
                    <w:right w:val="single" w:color="auto" w:sz="4" w:space="0"/>
                  </w:tcBorders>
                  <w:vAlign w:val="center"/>
                </w:tcPr>
                <w:p>
                  <w:pPr>
                    <w:jc w:val="center"/>
                    <w:rPr>
                      <w:color w:val="auto"/>
                    </w:rPr>
                  </w:pPr>
                  <w:r>
                    <w:rPr>
                      <w:color w:val="auto"/>
                    </w:rPr>
                    <w:t>55</w:t>
                  </w:r>
                </w:p>
              </w:tc>
              <w:tc>
                <w:tcPr>
                  <w:tcW w:w="850" w:type="dxa"/>
                  <w:tcBorders>
                    <w:top w:val="single" w:color="auto" w:sz="4" w:space="0"/>
                    <w:left w:val="nil"/>
                    <w:bottom w:val="single" w:color="auto" w:sz="4" w:space="0"/>
                    <w:right w:val="single" w:color="auto" w:sz="4" w:space="0"/>
                  </w:tcBorders>
                  <w:vAlign w:val="center"/>
                </w:tcPr>
                <w:p>
                  <w:pPr>
                    <w:snapToGrid w:val="0"/>
                    <w:jc w:val="center"/>
                    <w:rPr>
                      <w:color w:val="auto"/>
                    </w:rPr>
                  </w:pPr>
                  <w:r>
                    <w:rPr>
                      <w:rFonts w:hint="eastAsia"/>
                      <w:color w:val="auto"/>
                      <w:lang w:val="en-US" w:eastAsia="zh-CN"/>
                    </w:rPr>
                    <w:t>43</w:t>
                  </w:r>
                </w:p>
              </w:tc>
              <w:tc>
                <w:tcPr>
                  <w:tcW w:w="992" w:type="dxa"/>
                  <w:tcBorders>
                    <w:top w:val="single" w:color="auto" w:sz="4" w:space="0"/>
                    <w:left w:val="nil"/>
                    <w:bottom w:val="single" w:color="auto" w:sz="4" w:space="0"/>
                    <w:right w:val="single" w:color="auto" w:sz="4" w:space="0"/>
                  </w:tcBorders>
                  <w:vAlign w:val="center"/>
                </w:tcPr>
                <w:p>
                  <w:pPr>
                    <w:jc w:val="center"/>
                    <w:rPr>
                      <w:color w:val="auto"/>
                    </w:rPr>
                  </w:pPr>
                  <w:r>
                    <w:rPr>
                      <w:color w:val="auto"/>
                    </w:rPr>
                    <w:t>45</w:t>
                  </w:r>
                </w:p>
              </w:tc>
              <w:tc>
                <w:tcPr>
                  <w:tcW w:w="897" w:type="pct"/>
                  <w:tcBorders>
                    <w:top w:val="single" w:color="auto" w:sz="4" w:space="0"/>
                    <w:left w:val="nil"/>
                    <w:bottom w:val="single" w:color="auto" w:sz="4" w:space="0"/>
                    <w:right w:val="single" w:color="auto" w:sz="4" w:space="0"/>
                  </w:tcBorders>
                  <w:vAlign w:val="center"/>
                </w:tcPr>
                <w:p>
                  <w:pPr>
                    <w:jc w:val="center"/>
                    <w:rPr>
                      <w:color w:val="auto"/>
                    </w:rPr>
                  </w:pPr>
                  <w:r>
                    <w:rPr>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37" w:type="pct"/>
                  <w:vMerge w:val="continue"/>
                  <w:tcBorders>
                    <w:left w:val="single" w:color="auto" w:sz="4" w:space="0"/>
                    <w:right w:val="single" w:color="auto" w:sz="4" w:space="0"/>
                  </w:tcBorders>
                  <w:vAlign w:val="center"/>
                </w:tcPr>
                <w:p>
                  <w:pPr>
                    <w:jc w:val="center"/>
                    <w:rPr>
                      <w:color w:val="auto"/>
                    </w:rPr>
                  </w:pPr>
                </w:p>
              </w:tc>
              <w:tc>
                <w:tcPr>
                  <w:tcW w:w="1066"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厂界东侧3</w:t>
                  </w:r>
                  <w:r>
                    <w:rPr>
                      <w:color w:val="auto"/>
                      <w:vertAlign w:val="superscript"/>
                    </w:rPr>
                    <w:t>#</w:t>
                  </w:r>
                </w:p>
              </w:tc>
              <w:tc>
                <w:tcPr>
                  <w:tcW w:w="994" w:type="dxa"/>
                  <w:tcBorders>
                    <w:top w:val="single" w:color="auto" w:sz="4" w:space="0"/>
                    <w:left w:val="nil"/>
                    <w:bottom w:val="single" w:color="auto" w:sz="4" w:space="0"/>
                    <w:right w:val="single" w:color="auto" w:sz="4" w:space="0"/>
                  </w:tcBorders>
                  <w:vAlign w:val="center"/>
                </w:tcPr>
                <w:p>
                  <w:pPr>
                    <w:snapToGrid w:val="0"/>
                    <w:jc w:val="center"/>
                    <w:rPr>
                      <w:color w:val="auto"/>
                    </w:rPr>
                  </w:pPr>
                  <w:r>
                    <w:rPr>
                      <w:rFonts w:hint="eastAsia"/>
                      <w:color w:val="auto"/>
                    </w:rPr>
                    <w:t>58</w:t>
                  </w:r>
                </w:p>
              </w:tc>
              <w:tc>
                <w:tcPr>
                  <w:tcW w:w="992" w:type="dxa"/>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70</w:t>
                  </w:r>
                </w:p>
              </w:tc>
              <w:tc>
                <w:tcPr>
                  <w:tcW w:w="850" w:type="dxa"/>
                  <w:tcBorders>
                    <w:top w:val="single" w:color="auto" w:sz="4" w:space="0"/>
                    <w:left w:val="nil"/>
                    <w:bottom w:val="single" w:color="auto" w:sz="4" w:space="0"/>
                    <w:right w:val="single" w:color="auto" w:sz="4" w:space="0"/>
                  </w:tcBorders>
                  <w:vAlign w:val="center"/>
                </w:tcPr>
                <w:p>
                  <w:pPr>
                    <w:snapToGrid w:val="0"/>
                    <w:jc w:val="center"/>
                    <w:rPr>
                      <w:color w:val="auto"/>
                    </w:rPr>
                  </w:pPr>
                  <w:r>
                    <w:rPr>
                      <w:rFonts w:hint="eastAsia"/>
                      <w:color w:val="auto"/>
                    </w:rPr>
                    <w:t>48</w:t>
                  </w:r>
                </w:p>
              </w:tc>
              <w:tc>
                <w:tcPr>
                  <w:tcW w:w="992" w:type="dxa"/>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55</w:t>
                  </w:r>
                </w:p>
              </w:tc>
              <w:tc>
                <w:tcPr>
                  <w:tcW w:w="897" w:type="pct"/>
                  <w:tcBorders>
                    <w:top w:val="single" w:color="auto" w:sz="4" w:space="0"/>
                    <w:left w:val="nil"/>
                    <w:bottom w:val="single" w:color="auto" w:sz="4" w:space="0"/>
                    <w:right w:val="single" w:color="auto" w:sz="4" w:space="0"/>
                  </w:tcBorders>
                  <w:vAlign w:val="center"/>
                </w:tcPr>
                <w:p>
                  <w:pPr>
                    <w:jc w:val="center"/>
                    <w:rPr>
                      <w:color w:val="auto"/>
                    </w:rPr>
                  </w:pPr>
                  <w:r>
                    <w:rPr>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37" w:type="pct"/>
                  <w:vMerge w:val="continue"/>
                  <w:tcBorders>
                    <w:left w:val="single" w:color="auto" w:sz="4" w:space="0"/>
                    <w:right w:val="single" w:color="auto" w:sz="4" w:space="0"/>
                  </w:tcBorders>
                  <w:vAlign w:val="center"/>
                </w:tcPr>
                <w:p>
                  <w:pPr>
                    <w:jc w:val="center"/>
                    <w:rPr>
                      <w:color w:val="auto"/>
                    </w:rPr>
                  </w:pPr>
                </w:p>
              </w:tc>
              <w:tc>
                <w:tcPr>
                  <w:tcW w:w="1066"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厂界南侧4</w:t>
                  </w:r>
                  <w:r>
                    <w:rPr>
                      <w:color w:val="auto"/>
                      <w:vertAlign w:val="superscript"/>
                    </w:rPr>
                    <w:t>#</w:t>
                  </w:r>
                </w:p>
              </w:tc>
              <w:tc>
                <w:tcPr>
                  <w:tcW w:w="994" w:type="dxa"/>
                  <w:tcBorders>
                    <w:top w:val="single" w:color="auto" w:sz="4" w:space="0"/>
                    <w:left w:val="nil"/>
                    <w:bottom w:val="single" w:color="auto" w:sz="4" w:space="0"/>
                    <w:right w:val="single" w:color="auto" w:sz="4" w:space="0"/>
                  </w:tcBorders>
                  <w:vAlign w:val="center"/>
                </w:tcPr>
                <w:p>
                  <w:pPr>
                    <w:snapToGrid w:val="0"/>
                    <w:jc w:val="center"/>
                    <w:rPr>
                      <w:color w:val="auto"/>
                    </w:rPr>
                  </w:pPr>
                  <w:r>
                    <w:rPr>
                      <w:rFonts w:hint="eastAsia"/>
                      <w:color w:val="auto"/>
                      <w:lang w:val="en-US" w:eastAsia="zh-CN"/>
                    </w:rPr>
                    <w:t>52</w:t>
                  </w:r>
                </w:p>
              </w:tc>
              <w:tc>
                <w:tcPr>
                  <w:tcW w:w="992" w:type="dxa"/>
                  <w:tcBorders>
                    <w:top w:val="single" w:color="auto" w:sz="4" w:space="0"/>
                    <w:left w:val="nil"/>
                    <w:bottom w:val="single" w:color="auto" w:sz="4" w:space="0"/>
                    <w:right w:val="single" w:color="auto" w:sz="4" w:space="0"/>
                  </w:tcBorders>
                  <w:vAlign w:val="center"/>
                </w:tcPr>
                <w:p>
                  <w:pPr>
                    <w:jc w:val="center"/>
                    <w:rPr>
                      <w:color w:val="auto"/>
                    </w:rPr>
                  </w:pPr>
                  <w:r>
                    <w:rPr>
                      <w:color w:val="auto"/>
                    </w:rPr>
                    <w:t>55</w:t>
                  </w:r>
                </w:p>
              </w:tc>
              <w:tc>
                <w:tcPr>
                  <w:tcW w:w="850" w:type="dxa"/>
                  <w:tcBorders>
                    <w:top w:val="single" w:color="auto" w:sz="4" w:space="0"/>
                    <w:left w:val="nil"/>
                    <w:bottom w:val="single" w:color="auto" w:sz="4" w:space="0"/>
                    <w:right w:val="single" w:color="auto" w:sz="4" w:space="0"/>
                  </w:tcBorders>
                  <w:vAlign w:val="center"/>
                </w:tcPr>
                <w:p>
                  <w:pPr>
                    <w:snapToGrid w:val="0"/>
                    <w:jc w:val="center"/>
                    <w:rPr>
                      <w:color w:val="auto"/>
                    </w:rPr>
                  </w:pPr>
                  <w:r>
                    <w:rPr>
                      <w:rFonts w:hint="eastAsia"/>
                      <w:color w:val="auto"/>
                    </w:rPr>
                    <w:t>4</w:t>
                  </w:r>
                  <w:r>
                    <w:rPr>
                      <w:rFonts w:hint="eastAsia"/>
                      <w:color w:val="auto"/>
                      <w:lang w:val="en-US" w:eastAsia="zh-CN"/>
                    </w:rPr>
                    <w:t>2</w:t>
                  </w:r>
                </w:p>
              </w:tc>
              <w:tc>
                <w:tcPr>
                  <w:tcW w:w="992" w:type="dxa"/>
                  <w:tcBorders>
                    <w:top w:val="single" w:color="auto" w:sz="4" w:space="0"/>
                    <w:left w:val="nil"/>
                    <w:bottom w:val="single" w:color="auto" w:sz="4" w:space="0"/>
                    <w:right w:val="single" w:color="auto" w:sz="4" w:space="0"/>
                  </w:tcBorders>
                  <w:vAlign w:val="center"/>
                </w:tcPr>
                <w:p>
                  <w:pPr>
                    <w:jc w:val="center"/>
                    <w:rPr>
                      <w:color w:val="auto"/>
                    </w:rPr>
                  </w:pPr>
                  <w:r>
                    <w:rPr>
                      <w:color w:val="auto"/>
                    </w:rPr>
                    <w:t>45</w:t>
                  </w:r>
                </w:p>
              </w:tc>
              <w:tc>
                <w:tcPr>
                  <w:tcW w:w="897" w:type="pct"/>
                  <w:tcBorders>
                    <w:top w:val="single" w:color="auto" w:sz="4" w:space="0"/>
                    <w:left w:val="nil"/>
                    <w:bottom w:val="single" w:color="auto" w:sz="4" w:space="0"/>
                    <w:right w:val="single" w:color="auto" w:sz="4" w:space="0"/>
                  </w:tcBorders>
                  <w:vAlign w:val="center"/>
                </w:tcPr>
                <w:p>
                  <w:pPr>
                    <w:jc w:val="center"/>
                    <w:rPr>
                      <w:color w:val="auto"/>
                    </w:rPr>
                  </w:pPr>
                  <w:r>
                    <w:rPr>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37" w:type="pct"/>
                  <w:vMerge w:val="continue"/>
                  <w:tcBorders>
                    <w:left w:val="single" w:color="auto" w:sz="4" w:space="0"/>
                    <w:bottom w:val="single" w:color="auto" w:sz="4" w:space="0"/>
                    <w:right w:val="single" w:color="auto" w:sz="4" w:space="0"/>
                  </w:tcBorders>
                  <w:vAlign w:val="center"/>
                </w:tcPr>
                <w:p>
                  <w:pPr>
                    <w:jc w:val="center"/>
                    <w:rPr>
                      <w:rFonts w:ascii="宋体" w:hAnsi="宋体"/>
                      <w:color w:val="auto"/>
                    </w:rPr>
                  </w:pPr>
                </w:p>
              </w:tc>
              <w:tc>
                <w:tcPr>
                  <w:tcW w:w="1066"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宋体" w:hAnsi="宋体"/>
                      <w:color w:val="auto"/>
                    </w:rPr>
                    <w:t>国色天香1期</w:t>
                  </w:r>
                  <w:r>
                    <w:rPr>
                      <w:rFonts w:hint="eastAsia"/>
                      <w:color w:val="auto"/>
                    </w:rPr>
                    <w:t>5</w:t>
                  </w:r>
                  <w:r>
                    <w:rPr>
                      <w:color w:val="auto"/>
                      <w:vertAlign w:val="superscript"/>
                    </w:rPr>
                    <w:t>#</w:t>
                  </w:r>
                </w:p>
              </w:tc>
              <w:tc>
                <w:tcPr>
                  <w:tcW w:w="994" w:type="dxa"/>
                  <w:tcBorders>
                    <w:top w:val="single" w:color="auto" w:sz="4" w:space="0"/>
                    <w:left w:val="nil"/>
                    <w:bottom w:val="single" w:color="auto" w:sz="4" w:space="0"/>
                    <w:right w:val="single" w:color="auto" w:sz="4" w:space="0"/>
                  </w:tcBorders>
                  <w:vAlign w:val="center"/>
                </w:tcPr>
                <w:p>
                  <w:pPr>
                    <w:snapToGrid w:val="0"/>
                    <w:jc w:val="center"/>
                    <w:rPr>
                      <w:color w:val="auto"/>
                    </w:rPr>
                  </w:pPr>
                  <w:r>
                    <w:rPr>
                      <w:rFonts w:hint="eastAsia"/>
                      <w:color w:val="auto"/>
                      <w:lang w:val="en-US" w:eastAsia="zh-CN"/>
                    </w:rPr>
                    <w:t>51</w:t>
                  </w:r>
                </w:p>
              </w:tc>
              <w:tc>
                <w:tcPr>
                  <w:tcW w:w="992" w:type="dxa"/>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55</w:t>
                  </w:r>
                </w:p>
              </w:tc>
              <w:tc>
                <w:tcPr>
                  <w:tcW w:w="850" w:type="dxa"/>
                  <w:tcBorders>
                    <w:top w:val="single" w:color="auto" w:sz="4" w:space="0"/>
                    <w:left w:val="nil"/>
                    <w:bottom w:val="single" w:color="auto" w:sz="4" w:space="0"/>
                    <w:right w:val="single" w:color="auto" w:sz="4" w:space="0"/>
                  </w:tcBorders>
                  <w:vAlign w:val="center"/>
                </w:tcPr>
                <w:p>
                  <w:pPr>
                    <w:snapToGrid w:val="0"/>
                    <w:jc w:val="center"/>
                    <w:rPr>
                      <w:color w:val="auto"/>
                    </w:rPr>
                  </w:pPr>
                  <w:r>
                    <w:rPr>
                      <w:rFonts w:hint="eastAsia"/>
                      <w:color w:val="auto"/>
                    </w:rPr>
                    <w:t>4</w:t>
                  </w:r>
                  <w:r>
                    <w:rPr>
                      <w:rFonts w:hint="eastAsia"/>
                      <w:color w:val="auto"/>
                      <w:lang w:val="en-US" w:eastAsia="zh-CN"/>
                    </w:rPr>
                    <w:t>1</w:t>
                  </w:r>
                </w:p>
              </w:tc>
              <w:tc>
                <w:tcPr>
                  <w:tcW w:w="992" w:type="dxa"/>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45</w:t>
                  </w:r>
                </w:p>
              </w:tc>
              <w:tc>
                <w:tcPr>
                  <w:tcW w:w="897" w:type="pct"/>
                  <w:tcBorders>
                    <w:top w:val="single" w:color="auto" w:sz="4" w:space="0"/>
                    <w:left w:val="nil"/>
                    <w:bottom w:val="single" w:color="auto" w:sz="4" w:space="0"/>
                    <w:right w:val="single" w:color="auto" w:sz="4" w:space="0"/>
                  </w:tcBorders>
                  <w:vAlign w:val="center"/>
                </w:tcPr>
                <w:p>
                  <w:pPr>
                    <w:jc w:val="center"/>
                    <w:rPr>
                      <w:color w:val="auto"/>
                    </w:rPr>
                  </w:pPr>
                  <w:r>
                    <w:rPr>
                      <w:color w:val="auto"/>
                    </w:rPr>
                    <w:t>达标</w:t>
                  </w:r>
                </w:p>
              </w:tc>
            </w:tr>
          </w:tbl>
          <w:p>
            <w:pPr>
              <w:spacing w:before="120" w:beforeLines="50" w:line="360" w:lineRule="auto"/>
              <w:ind w:firstLine="480" w:firstLineChars="200"/>
              <w:rPr>
                <w:color w:val="auto"/>
                <w:sz w:val="24"/>
              </w:rPr>
            </w:pPr>
            <w:r>
              <w:rPr>
                <w:color w:val="auto"/>
                <w:sz w:val="24"/>
                <w:lang w:val="zh-CN"/>
              </w:rPr>
              <w:t>由表</w:t>
            </w:r>
            <w:r>
              <w:rPr>
                <w:color w:val="auto"/>
                <w:sz w:val="24"/>
              </w:rPr>
              <w:t>4-</w:t>
            </w:r>
            <w:r>
              <w:rPr>
                <w:rFonts w:hint="eastAsia"/>
                <w:color w:val="auto"/>
                <w:sz w:val="24"/>
              </w:rPr>
              <w:t>6</w:t>
            </w:r>
            <w:r>
              <w:rPr>
                <w:color w:val="auto"/>
                <w:sz w:val="24"/>
                <w:lang w:val="zh-CN"/>
              </w:rPr>
              <w:t>可知，</w:t>
            </w:r>
            <w:r>
              <w:rPr>
                <w:color w:val="auto"/>
                <w:sz w:val="24"/>
              </w:rPr>
              <w:t>项目</w:t>
            </w:r>
            <w:r>
              <w:rPr>
                <w:rFonts w:hint="eastAsia" w:ascii="宋体" w:hAnsi="宋体"/>
                <w:color w:val="auto"/>
                <w:sz w:val="24"/>
              </w:rPr>
              <w:t>北、西、南</w:t>
            </w:r>
            <w:r>
              <w:rPr>
                <w:rFonts w:ascii="宋体" w:hAnsi="宋体"/>
                <w:color w:val="auto"/>
                <w:sz w:val="24"/>
              </w:rPr>
              <w:t>厂界</w:t>
            </w:r>
            <w:r>
              <w:rPr>
                <w:color w:val="auto"/>
                <w:sz w:val="24"/>
              </w:rPr>
              <w:t>噪声昼间贡献值</w:t>
            </w:r>
            <w:r>
              <w:rPr>
                <w:rFonts w:hint="eastAsia" w:ascii="宋体" w:hAnsi="宋体"/>
                <w:color w:val="auto"/>
                <w:sz w:val="24"/>
              </w:rPr>
              <w:t>满足</w:t>
            </w:r>
            <w:r>
              <w:rPr>
                <w:rFonts w:ascii="宋体" w:hAnsi="宋体"/>
                <w:color w:val="auto"/>
                <w:sz w:val="24"/>
              </w:rPr>
              <w:t>《工业企业厂界环境噪声排放标准》（</w:t>
            </w:r>
            <w:r>
              <w:rPr>
                <w:color w:val="auto"/>
                <w:sz w:val="24"/>
              </w:rPr>
              <w:t>GB12348-2008</w:t>
            </w:r>
            <w:r>
              <w:rPr>
                <w:rFonts w:ascii="宋体" w:hAnsi="宋体"/>
                <w:color w:val="auto"/>
                <w:sz w:val="24"/>
              </w:rPr>
              <w:t>）中</w:t>
            </w:r>
            <w:r>
              <w:rPr>
                <w:rFonts w:hint="eastAsia"/>
                <w:color w:val="auto"/>
                <w:sz w:val="24"/>
              </w:rPr>
              <w:t>1</w:t>
            </w:r>
            <w:r>
              <w:rPr>
                <w:rFonts w:ascii="宋体" w:hAnsi="宋体"/>
                <w:color w:val="auto"/>
                <w:sz w:val="24"/>
              </w:rPr>
              <w:t>类标准</w:t>
            </w:r>
            <w:r>
              <w:rPr>
                <w:rFonts w:hint="eastAsia" w:ascii="宋体" w:hAnsi="宋体"/>
                <w:color w:val="auto"/>
                <w:sz w:val="24"/>
              </w:rPr>
              <w:t>，东</w:t>
            </w:r>
            <w:r>
              <w:rPr>
                <w:rFonts w:ascii="宋体" w:hAnsi="宋体"/>
                <w:color w:val="auto"/>
                <w:sz w:val="24"/>
              </w:rPr>
              <w:t>厂界</w:t>
            </w:r>
            <w:r>
              <w:rPr>
                <w:rFonts w:hint="eastAsia" w:ascii="宋体" w:hAnsi="宋体"/>
                <w:color w:val="auto"/>
                <w:sz w:val="24"/>
              </w:rPr>
              <w:t>满足</w:t>
            </w:r>
            <w:r>
              <w:rPr>
                <w:rFonts w:ascii="宋体" w:hAnsi="宋体"/>
                <w:color w:val="auto"/>
                <w:sz w:val="24"/>
              </w:rPr>
              <w:t>《工业企业厂界环境噪声排放标准》（</w:t>
            </w:r>
            <w:r>
              <w:rPr>
                <w:color w:val="auto"/>
                <w:sz w:val="24"/>
              </w:rPr>
              <w:t>GB12348-2008</w:t>
            </w:r>
            <w:r>
              <w:rPr>
                <w:rFonts w:ascii="宋体" w:hAnsi="宋体"/>
                <w:color w:val="auto"/>
                <w:sz w:val="24"/>
              </w:rPr>
              <w:t>）中</w:t>
            </w:r>
            <w:r>
              <w:rPr>
                <w:rFonts w:hint="eastAsia"/>
                <w:color w:val="auto"/>
                <w:sz w:val="24"/>
              </w:rPr>
              <w:t>4</w:t>
            </w:r>
            <w:r>
              <w:rPr>
                <w:rFonts w:ascii="宋体" w:hAnsi="宋体"/>
                <w:color w:val="auto"/>
                <w:sz w:val="24"/>
              </w:rPr>
              <w:t>类标准要求</w:t>
            </w:r>
            <w:r>
              <w:rPr>
                <w:rFonts w:hint="eastAsia" w:ascii="宋体" w:hAnsi="宋体"/>
                <w:color w:val="auto"/>
                <w:sz w:val="24"/>
              </w:rPr>
              <w:t>；</w:t>
            </w:r>
            <w:r>
              <w:rPr>
                <w:color w:val="auto"/>
                <w:sz w:val="24"/>
              </w:rPr>
              <w:t>敏感点</w:t>
            </w:r>
            <w:r>
              <w:rPr>
                <w:rFonts w:hint="eastAsia" w:ascii="宋体" w:hAnsi="宋体"/>
                <w:color w:val="auto"/>
                <w:sz w:val="24"/>
              </w:rPr>
              <w:t>国色天香1期间</w:t>
            </w:r>
            <w:r>
              <w:rPr>
                <w:color w:val="auto"/>
                <w:sz w:val="24"/>
              </w:rPr>
              <w:t>噪声</w:t>
            </w:r>
            <w:r>
              <w:rPr>
                <w:rFonts w:hint="eastAsia"/>
                <w:color w:val="auto"/>
                <w:sz w:val="24"/>
              </w:rPr>
              <w:t>值</w:t>
            </w:r>
            <w:r>
              <w:rPr>
                <w:color w:val="auto"/>
                <w:sz w:val="24"/>
              </w:rPr>
              <w:t>满足《声环境质量标准》（GB3096-2008）中</w:t>
            </w:r>
            <w:r>
              <w:rPr>
                <w:rFonts w:hint="eastAsia"/>
                <w:color w:val="auto"/>
                <w:sz w:val="24"/>
              </w:rPr>
              <w:t>1</w:t>
            </w:r>
            <w:r>
              <w:rPr>
                <w:color w:val="auto"/>
                <w:sz w:val="24"/>
              </w:rPr>
              <w:t>类区标</w:t>
            </w:r>
            <w:r>
              <w:rPr>
                <w:rFonts w:hint="eastAsia"/>
                <w:color w:val="auto"/>
                <w:sz w:val="24"/>
              </w:rPr>
              <w:t>准。</w:t>
            </w:r>
          </w:p>
          <w:p>
            <w:pPr>
              <w:pStyle w:val="12"/>
              <w:rPr>
                <w:color w:val="auto"/>
              </w:rPr>
            </w:pPr>
            <w:r>
              <w:rPr>
                <w:rFonts w:hint="eastAsia"/>
                <w:color w:val="auto"/>
              </w:rPr>
              <w:t>3</w:t>
            </w:r>
            <w:r>
              <w:rPr>
                <w:color w:val="auto"/>
              </w:rPr>
              <w:t>、噪声控制措施及可行性分析</w:t>
            </w:r>
          </w:p>
          <w:p>
            <w:pPr>
              <w:pStyle w:val="12"/>
              <w:rPr>
                <w:color w:val="auto"/>
              </w:rPr>
            </w:pPr>
            <w:r>
              <w:rPr>
                <w:color w:val="auto"/>
              </w:rPr>
              <w:t>为进一步减小项目营运期的生产噪声对周边环境的影响，确保厂界噪声达标排放，采取以下防治措施：</w:t>
            </w:r>
          </w:p>
          <w:p>
            <w:pPr>
              <w:pStyle w:val="12"/>
              <w:rPr>
                <w:color w:val="auto"/>
              </w:rPr>
            </w:pPr>
            <w:r>
              <w:rPr>
                <w:rFonts w:hint="eastAsia" w:ascii="宋体" w:hAnsi="宋体" w:cs="宋体"/>
                <w:color w:val="auto"/>
              </w:rPr>
              <w:t>①</w:t>
            </w:r>
            <w:r>
              <w:rPr>
                <w:color w:val="auto"/>
              </w:rPr>
              <w:t>加强设备的保养和维护，对生产设备定期检查与维护，使设备随时处于良好的运行状态，避免偶发强噪声产生。</w:t>
            </w:r>
          </w:p>
          <w:p>
            <w:pPr>
              <w:pStyle w:val="12"/>
              <w:rPr>
                <w:color w:val="auto"/>
              </w:rPr>
            </w:pPr>
            <w:r>
              <w:rPr>
                <w:rFonts w:hint="eastAsia" w:ascii="宋体" w:hAnsi="宋体" w:cs="宋体"/>
                <w:color w:val="auto"/>
              </w:rPr>
              <w:t>②</w:t>
            </w:r>
            <w:r>
              <w:rPr>
                <w:color w:val="auto"/>
              </w:rPr>
              <w:t>对设备采取减振措施，对高噪声设备安装降噪减振设施。</w:t>
            </w:r>
          </w:p>
          <w:p>
            <w:pPr>
              <w:pStyle w:val="12"/>
              <w:rPr>
                <w:color w:val="auto"/>
              </w:rPr>
            </w:pPr>
            <w:r>
              <w:rPr>
                <w:rFonts w:hint="eastAsia" w:ascii="宋体" w:hAnsi="宋体" w:cs="宋体"/>
                <w:color w:val="auto"/>
              </w:rPr>
              <w:t>③</w:t>
            </w:r>
            <w:r>
              <w:rPr>
                <w:color w:val="auto"/>
              </w:rPr>
              <w:t>进出医院人员需严格遵守医院的规章制度，禁止在院内大声喧哗。</w:t>
            </w:r>
          </w:p>
          <w:p>
            <w:pPr>
              <w:spacing w:line="360" w:lineRule="auto"/>
              <w:ind w:firstLine="480"/>
              <w:jc w:val="left"/>
              <w:rPr>
                <w:color w:val="auto"/>
                <w:sz w:val="24"/>
              </w:rPr>
            </w:pPr>
            <w:r>
              <w:rPr>
                <w:rFonts w:hint="eastAsia"/>
                <w:color w:val="auto"/>
                <w:sz w:val="24"/>
              </w:rPr>
              <w:t>4</w:t>
            </w:r>
            <w:r>
              <w:rPr>
                <w:color w:val="auto"/>
                <w:sz w:val="24"/>
              </w:rPr>
              <w:t>、噪声监测计划</w:t>
            </w:r>
          </w:p>
          <w:p>
            <w:pPr>
              <w:spacing w:line="360" w:lineRule="auto"/>
              <w:ind w:firstLine="480"/>
              <w:jc w:val="left"/>
              <w:rPr>
                <w:b/>
                <w:bCs/>
                <w:color w:val="auto"/>
                <w:sz w:val="24"/>
              </w:rPr>
            </w:pPr>
            <w:r>
              <w:rPr>
                <w:color w:val="auto"/>
                <w:sz w:val="24"/>
              </w:rPr>
              <w:t>根据《排污单位自行监测技术指南 总则》（HJ819-2017），项目噪声监测计划见下表：</w:t>
            </w:r>
          </w:p>
          <w:p>
            <w:pPr>
              <w:pStyle w:val="15"/>
              <w:ind w:firstLine="420"/>
              <w:rPr>
                <w:color w:val="auto"/>
              </w:rPr>
            </w:pPr>
            <w:r>
              <w:rPr>
                <w:color w:val="auto"/>
              </w:rPr>
              <w:t>表4-</w:t>
            </w:r>
            <w:r>
              <w:rPr>
                <w:rFonts w:hint="eastAsia"/>
                <w:color w:val="auto"/>
              </w:rPr>
              <w:t>8</w:t>
            </w:r>
            <w:r>
              <w:rPr>
                <w:color w:val="auto"/>
              </w:rPr>
              <w:t xml:space="preserve">  项目运营期噪声监测计划表</w:t>
            </w:r>
          </w:p>
          <w:tbl>
            <w:tblPr>
              <w:tblStyle w:val="6"/>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116"/>
              <w:gridCol w:w="1980"/>
              <w:gridCol w:w="1128"/>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63" w:type="pct"/>
                  <w:vAlign w:val="center"/>
                </w:tcPr>
                <w:p>
                  <w:pPr>
                    <w:jc w:val="center"/>
                    <w:rPr>
                      <w:bCs/>
                      <w:color w:val="auto"/>
                      <w:szCs w:val="21"/>
                    </w:rPr>
                  </w:pPr>
                  <w:r>
                    <w:rPr>
                      <w:bCs/>
                      <w:color w:val="auto"/>
                      <w:szCs w:val="21"/>
                      <w:lang w:bidi="ar"/>
                    </w:rPr>
                    <w:t>类别</w:t>
                  </w:r>
                </w:p>
              </w:tc>
              <w:tc>
                <w:tcPr>
                  <w:tcW w:w="700" w:type="pct"/>
                  <w:vAlign w:val="center"/>
                </w:tcPr>
                <w:p>
                  <w:pPr>
                    <w:jc w:val="center"/>
                    <w:rPr>
                      <w:bCs/>
                      <w:color w:val="auto"/>
                      <w:szCs w:val="21"/>
                    </w:rPr>
                  </w:pPr>
                  <w:r>
                    <w:rPr>
                      <w:bCs/>
                      <w:color w:val="auto"/>
                      <w:szCs w:val="21"/>
                      <w:lang w:bidi="ar"/>
                    </w:rPr>
                    <w:t>监测项目</w:t>
                  </w:r>
                </w:p>
              </w:tc>
              <w:tc>
                <w:tcPr>
                  <w:tcW w:w="1242" w:type="pct"/>
                  <w:vAlign w:val="center"/>
                </w:tcPr>
                <w:p>
                  <w:pPr>
                    <w:jc w:val="center"/>
                    <w:rPr>
                      <w:bCs/>
                      <w:color w:val="auto"/>
                      <w:szCs w:val="21"/>
                    </w:rPr>
                  </w:pPr>
                  <w:r>
                    <w:rPr>
                      <w:bCs/>
                      <w:color w:val="auto"/>
                      <w:szCs w:val="21"/>
                      <w:lang w:bidi="ar"/>
                    </w:rPr>
                    <w:t>监测点位置</w:t>
                  </w:r>
                </w:p>
              </w:tc>
              <w:tc>
                <w:tcPr>
                  <w:tcW w:w="707" w:type="pct"/>
                  <w:vAlign w:val="center"/>
                </w:tcPr>
                <w:p>
                  <w:pPr>
                    <w:jc w:val="center"/>
                    <w:rPr>
                      <w:bCs/>
                      <w:color w:val="auto"/>
                      <w:szCs w:val="21"/>
                    </w:rPr>
                  </w:pPr>
                  <w:r>
                    <w:rPr>
                      <w:bCs/>
                      <w:color w:val="auto"/>
                      <w:szCs w:val="21"/>
                      <w:lang w:bidi="ar"/>
                    </w:rPr>
                    <w:t>监测频率</w:t>
                  </w:r>
                </w:p>
              </w:tc>
              <w:tc>
                <w:tcPr>
                  <w:tcW w:w="1885" w:type="pct"/>
                  <w:vAlign w:val="center"/>
                </w:tcPr>
                <w:p>
                  <w:pPr>
                    <w:jc w:val="center"/>
                    <w:rPr>
                      <w:bCs/>
                      <w:color w:val="auto"/>
                      <w:szCs w:val="21"/>
                    </w:rPr>
                  </w:pPr>
                  <w:r>
                    <w:rPr>
                      <w:bCs/>
                      <w:color w:val="auto"/>
                      <w:szCs w:val="21"/>
                      <w:lang w:bidi="ar"/>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3" w:type="pct"/>
                  <w:vMerge w:val="restart"/>
                  <w:vAlign w:val="center"/>
                </w:tcPr>
                <w:p>
                  <w:pPr>
                    <w:jc w:val="center"/>
                    <w:rPr>
                      <w:color w:val="auto"/>
                      <w:szCs w:val="21"/>
                      <w:lang w:bidi="ar"/>
                    </w:rPr>
                  </w:pPr>
                  <w:r>
                    <w:rPr>
                      <w:color w:val="auto"/>
                      <w:szCs w:val="21"/>
                      <w:lang w:bidi="ar"/>
                    </w:rPr>
                    <w:t>噪声</w:t>
                  </w:r>
                </w:p>
              </w:tc>
              <w:tc>
                <w:tcPr>
                  <w:tcW w:w="700" w:type="pct"/>
                  <w:vAlign w:val="center"/>
                </w:tcPr>
                <w:p>
                  <w:pPr>
                    <w:jc w:val="center"/>
                    <w:rPr>
                      <w:color w:val="auto"/>
                      <w:szCs w:val="21"/>
                      <w:lang w:bidi="ar"/>
                    </w:rPr>
                  </w:pPr>
                  <w:r>
                    <w:rPr>
                      <w:color w:val="auto"/>
                      <w:szCs w:val="21"/>
                      <w:lang w:bidi="ar"/>
                    </w:rPr>
                    <w:t>Leq（A）</w:t>
                  </w:r>
                </w:p>
              </w:tc>
              <w:tc>
                <w:tcPr>
                  <w:tcW w:w="1242" w:type="pct"/>
                  <w:vAlign w:val="center"/>
                </w:tcPr>
                <w:p>
                  <w:pPr>
                    <w:jc w:val="center"/>
                    <w:rPr>
                      <w:color w:val="auto"/>
                      <w:szCs w:val="21"/>
                      <w:lang w:bidi="ar"/>
                    </w:rPr>
                  </w:pPr>
                  <w:r>
                    <w:rPr>
                      <w:color w:val="auto"/>
                      <w:szCs w:val="21"/>
                      <w:lang w:bidi="ar"/>
                    </w:rPr>
                    <w:t>厂界四周外1m</w:t>
                  </w:r>
                </w:p>
              </w:tc>
              <w:tc>
                <w:tcPr>
                  <w:tcW w:w="707" w:type="pct"/>
                  <w:vAlign w:val="center"/>
                </w:tcPr>
                <w:p>
                  <w:pPr>
                    <w:jc w:val="center"/>
                    <w:rPr>
                      <w:bCs/>
                      <w:color w:val="auto"/>
                      <w:szCs w:val="21"/>
                      <w:lang w:bidi="ar"/>
                    </w:rPr>
                  </w:pPr>
                  <w:r>
                    <w:rPr>
                      <w:color w:val="auto"/>
                      <w:szCs w:val="21"/>
                      <w:lang w:bidi="ar"/>
                    </w:rPr>
                    <w:t>1次</w:t>
                  </w:r>
                  <w:r>
                    <w:rPr>
                      <w:rFonts w:hint="eastAsia"/>
                      <w:color w:val="auto"/>
                      <w:szCs w:val="21"/>
                      <w:lang w:val="en-US" w:eastAsia="zh-CN" w:bidi="ar"/>
                    </w:rPr>
                    <w:t>/</w:t>
                  </w:r>
                  <w:r>
                    <w:rPr>
                      <w:color w:val="auto"/>
                      <w:szCs w:val="21"/>
                      <w:lang w:bidi="ar"/>
                    </w:rPr>
                    <w:t>季度</w:t>
                  </w:r>
                </w:p>
              </w:tc>
              <w:tc>
                <w:tcPr>
                  <w:tcW w:w="1885" w:type="pct"/>
                  <w:vAlign w:val="center"/>
                </w:tcPr>
                <w:p>
                  <w:pPr>
                    <w:jc w:val="center"/>
                    <w:rPr>
                      <w:color w:val="auto"/>
                      <w:szCs w:val="21"/>
                      <w:lang w:bidi="ar"/>
                    </w:rPr>
                  </w:pPr>
                  <w:r>
                    <w:rPr>
                      <w:color w:val="auto"/>
                      <w:szCs w:val="21"/>
                      <w:lang w:bidi="ar"/>
                    </w:rPr>
                    <w:t>《工业企业厂界环境噪声排放标准》（GB12348-2008）中</w:t>
                  </w:r>
                  <w:r>
                    <w:rPr>
                      <w:rFonts w:hint="eastAsia"/>
                      <w:color w:val="auto"/>
                      <w:szCs w:val="21"/>
                      <w:lang w:bidi="ar"/>
                    </w:rPr>
                    <w:t>1</w:t>
                  </w:r>
                  <w:r>
                    <w:rPr>
                      <w:color w:val="auto"/>
                      <w:szCs w:val="21"/>
                      <w:lang w:bidi="ar"/>
                    </w:rPr>
                    <w:t>类</w:t>
                  </w:r>
                  <w:r>
                    <w:rPr>
                      <w:rFonts w:hint="eastAsia"/>
                      <w:color w:val="auto"/>
                      <w:szCs w:val="21"/>
                      <w:lang w:bidi="ar"/>
                    </w:rPr>
                    <w:t>及4类</w:t>
                  </w:r>
                  <w:r>
                    <w:rPr>
                      <w:color w:val="auto"/>
                      <w:szCs w:val="21"/>
                      <w:lang w:bidi="ar"/>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3" w:type="pct"/>
                  <w:vMerge w:val="continue"/>
                  <w:vAlign w:val="center"/>
                </w:tcPr>
                <w:p>
                  <w:pPr>
                    <w:jc w:val="center"/>
                    <w:rPr>
                      <w:rFonts w:hint="eastAsia" w:eastAsia="宋体"/>
                      <w:color w:val="auto"/>
                      <w:szCs w:val="21"/>
                      <w:lang w:val="en-US" w:eastAsia="zh-CN" w:bidi="ar"/>
                    </w:rPr>
                  </w:pPr>
                </w:p>
              </w:tc>
              <w:tc>
                <w:tcPr>
                  <w:tcW w:w="700" w:type="pct"/>
                  <w:vAlign w:val="center"/>
                </w:tcPr>
                <w:p>
                  <w:pPr>
                    <w:jc w:val="center"/>
                    <w:rPr>
                      <w:color w:val="auto"/>
                      <w:szCs w:val="21"/>
                      <w:lang w:bidi="ar"/>
                    </w:rPr>
                  </w:pPr>
                  <w:r>
                    <w:rPr>
                      <w:color w:val="auto"/>
                      <w:szCs w:val="21"/>
                      <w:lang w:bidi="ar"/>
                    </w:rPr>
                    <w:t>Leq（A）</w:t>
                  </w:r>
                </w:p>
              </w:tc>
              <w:tc>
                <w:tcPr>
                  <w:tcW w:w="1242" w:type="pct"/>
                  <w:vAlign w:val="center"/>
                </w:tcPr>
                <w:p>
                  <w:pPr>
                    <w:jc w:val="center"/>
                    <w:rPr>
                      <w:rFonts w:hint="eastAsia" w:eastAsia="宋体"/>
                      <w:color w:val="auto"/>
                      <w:szCs w:val="21"/>
                      <w:lang w:val="en-US" w:eastAsia="zh-CN" w:bidi="ar"/>
                    </w:rPr>
                  </w:pPr>
                  <w:r>
                    <w:rPr>
                      <w:rFonts w:hint="eastAsia"/>
                      <w:color w:val="auto"/>
                      <w:szCs w:val="21"/>
                      <w:lang w:val="en-US" w:eastAsia="zh-CN" w:bidi="ar"/>
                    </w:rPr>
                    <w:t>国色天香</w:t>
                  </w:r>
                  <w:r>
                    <w:rPr>
                      <w:rFonts w:hint="eastAsia" w:ascii="宋体" w:hAnsi="宋体"/>
                      <w:color w:val="auto"/>
                    </w:rPr>
                    <w:t>1期</w:t>
                  </w:r>
                  <w:r>
                    <w:rPr>
                      <w:rFonts w:hint="eastAsia" w:ascii="宋体" w:hAnsi="宋体"/>
                      <w:color w:val="auto"/>
                      <w:lang w:val="en-US" w:eastAsia="zh-CN"/>
                    </w:rPr>
                    <w:t>东侧</w:t>
                  </w:r>
                  <w:r>
                    <w:rPr>
                      <w:color w:val="auto"/>
                      <w:szCs w:val="21"/>
                      <w:lang w:bidi="ar"/>
                    </w:rPr>
                    <w:t>1m</w:t>
                  </w:r>
                </w:p>
              </w:tc>
              <w:tc>
                <w:tcPr>
                  <w:tcW w:w="707" w:type="pct"/>
                  <w:vAlign w:val="center"/>
                </w:tcPr>
                <w:p>
                  <w:pPr>
                    <w:jc w:val="center"/>
                    <w:rPr>
                      <w:color w:val="auto"/>
                      <w:szCs w:val="21"/>
                      <w:lang w:bidi="ar"/>
                    </w:rPr>
                  </w:pPr>
                  <w:r>
                    <w:rPr>
                      <w:color w:val="auto"/>
                      <w:szCs w:val="21"/>
                      <w:lang w:bidi="ar"/>
                    </w:rPr>
                    <w:t>1次</w:t>
                  </w:r>
                  <w:r>
                    <w:rPr>
                      <w:rFonts w:hint="eastAsia"/>
                      <w:color w:val="auto"/>
                      <w:szCs w:val="21"/>
                      <w:lang w:val="en-US" w:eastAsia="zh-CN" w:bidi="ar"/>
                    </w:rPr>
                    <w:t>/</w:t>
                  </w:r>
                  <w:r>
                    <w:rPr>
                      <w:color w:val="auto"/>
                      <w:szCs w:val="21"/>
                      <w:lang w:bidi="ar"/>
                    </w:rPr>
                    <w:t>季度</w:t>
                  </w:r>
                </w:p>
              </w:tc>
              <w:tc>
                <w:tcPr>
                  <w:tcW w:w="1885" w:type="pct"/>
                  <w:vAlign w:val="center"/>
                </w:tcPr>
                <w:p>
                  <w:pPr>
                    <w:jc w:val="center"/>
                    <w:rPr>
                      <w:color w:val="auto"/>
                      <w:szCs w:val="21"/>
                      <w:lang w:bidi="ar"/>
                    </w:rPr>
                  </w:pPr>
                  <w:r>
                    <w:rPr>
                      <w:color w:val="auto"/>
                      <w:szCs w:val="21"/>
                      <w:lang w:bidi="ar"/>
                    </w:rPr>
                    <w:t>《声环境质量标准》（GB3096-2008）中</w:t>
                  </w:r>
                  <w:r>
                    <w:rPr>
                      <w:rFonts w:hint="eastAsia"/>
                      <w:color w:val="auto"/>
                      <w:szCs w:val="21"/>
                      <w:lang w:bidi="ar"/>
                    </w:rPr>
                    <w:t>1</w:t>
                  </w:r>
                  <w:r>
                    <w:rPr>
                      <w:color w:val="auto"/>
                      <w:szCs w:val="21"/>
                      <w:lang w:bidi="ar"/>
                    </w:rPr>
                    <w:t>类区标</w:t>
                  </w:r>
                  <w:r>
                    <w:rPr>
                      <w:rFonts w:hint="eastAsia"/>
                      <w:color w:val="auto"/>
                      <w:szCs w:val="21"/>
                      <w:lang w:bidi="ar"/>
                    </w:rPr>
                    <w:t>准</w:t>
                  </w:r>
                </w:p>
              </w:tc>
            </w:tr>
          </w:tbl>
          <w:p>
            <w:pPr>
              <w:adjustRightInd w:val="0"/>
              <w:snapToGrid w:val="0"/>
              <w:spacing w:before="120" w:beforeLines="50" w:line="360" w:lineRule="auto"/>
              <w:ind w:firstLine="482" w:firstLineChars="200"/>
              <w:rPr>
                <w:b/>
                <w:bCs/>
                <w:color w:val="auto"/>
                <w:sz w:val="24"/>
              </w:rPr>
            </w:pPr>
            <w:r>
              <w:rPr>
                <w:b/>
                <w:bCs/>
                <w:color w:val="auto"/>
                <w:sz w:val="24"/>
              </w:rPr>
              <w:t>四、固体废物</w:t>
            </w:r>
          </w:p>
          <w:p>
            <w:pPr>
              <w:spacing w:line="360" w:lineRule="auto"/>
              <w:ind w:firstLine="480"/>
              <w:jc w:val="left"/>
              <w:rPr>
                <w:color w:val="auto"/>
                <w:sz w:val="24"/>
              </w:rPr>
            </w:pPr>
            <w:r>
              <w:rPr>
                <w:color w:val="auto"/>
                <w:sz w:val="24"/>
              </w:rPr>
              <w:t>1、固体废物产生及处置情况</w:t>
            </w:r>
          </w:p>
          <w:p>
            <w:pPr>
              <w:spacing w:line="360" w:lineRule="auto"/>
              <w:ind w:firstLine="480"/>
              <w:rPr>
                <w:color w:val="auto"/>
                <w:kern w:val="0"/>
                <w:sz w:val="24"/>
              </w:rPr>
            </w:pPr>
            <w:r>
              <w:rPr>
                <w:color w:val="auto"/>
                <w:kern w:val="0"/>
                <w:sz w:val="24"/>
              </w:rPr>
              <w:t>本项目运营过程中产生的固体废物包括生活垃圾</w:t>
            </w:r>
            <w:r>
              <w:rPr>
                <w:rFonts w:hint="eastAsia"/>
                <w:color w:val="auto"/>
                <w:kern w:val="0"/>
                <w:sz w:val="24"/>
              </w:rPr>
              <w:t>、</w:t>
            </w:r>
            <w:r>
              <w:rPr>
                <w:color w:val="auto"/>
                <w:sz w:val="24"/>
              </w:rPr>
              <w:t>一般固废</w:t>
            </w:r>
            <w:r>
              <w:rPr>
                <w:color w:val="auto"/>
                <w:kern w:val="0"/>
                <w:sz w:val="24"/>
              </w:rPr>
              <w:t>和</w:t>
            </w:r>
            <w:r>
              <w:rPr>
                <w:color w:val="auto"/>
                <w:sz w:val="24"/>
              </w:rPr>
              <w:t>危险废物</w:t>
            </w:r>
            <w:r>
              <w:rPr>
                <w:color w:val="auto"/>
                <w:kern w:val="0"/>
                <w:sz w:val="24"/>
              </w:rPr>
              <w:t>。</w:t>
            </w:r>
          </w:p>
          <w:p>
            <w:pPr>
              <w:spacing w:line="360" w:lineRule="auto"/>
              <w:ind w:firstLine="480" w:firstLineChars="200"/>
              <w:rPr>
                <w:color w:val="auto"/>
                <w:kern w:val="0"/>
                <w:sz w:val="24"/>
              </w:rPr>
            </w:pPr>
            <w:r>
              <w:rPr>
                <w:color w:val="auto"/>
                <w:kern w:val="0"/>
                <w:sz w:val="24"/>
              </w:rPr>
              <w:t>（1）生活垃圾</w:t>
            </w:r>
          </w:p>
          <w:p>
            <w:pPr>
              <w:pStyle w:val="12"/>
              <w:rPr>
                <w:color w:val="auto"/>
              </w:rPr>
            </w:pPr>
            <w:r>
              <w:rPr>
                <w:color w:val="auto"/>
              </w:rPr>
              <w:t>生活垃圾包括职工生活垃圾和住院人员生活垃圾等，根据《社会区域类环境影响评价》（中国环境科学出版社）等资料，员工生活垃圾按0.5kg/（人·d）计，新增职工10人</w:t>
            </w:r>
            <w:r>
              <w:rPr>
                <w:rFonts w:hint="eastAsia"/>
                <w:color w:val="auto"/>
              </w:rPr>
              <w:t>，</w:t>
            </w:r>
            <w:r>
              <w:rPr>
                <w:color w:val="auto"/>
              </w:rPr>
              <w:t>则</w:t>
            </w:r>
            <w:r>
              <w:rPr>
                <w:rFonts w:hint="eastAsia"/>
                <w:color w:val="auto"/>
              </w:rPr>
              <w:t>本项目新增</w:t>
            </w:r>
            <w:r>
              <w:rPr>
                <w:color w:val="auto"/>
              </w:rPr>
              <w:t>产生量为5kg/d，</w:t>
            </w:r>
            <w:r>
              <w:rPr>
                <w:rFonts w:hint="eastAsia"/>
                <w:color w:val="auto"/>
              </w:rPr>
              <w:t>1.825</w:t>
            </w:r>
            <w:r>
              <w:rPr>
                <w:color w:val="auto"/>
              </w:rPr>
              <w:t>t/a。项目</w:t>
            </w:r>
            <w:r>
              <w:rPr>
                <w:rFonts w:hint="eastAsia"/>
                <w:color w:val="auto"/>
              </w:rPr>
              <w:t>新增</w:t>
            </w:r>
            <w:r>
              <w:rPr>
                <w:color w:val="auto"/>
              </w:rPr>
              <w:t>设置床位</w:t>
            </w:r>
            <w:r>
              <w:rPr>
                <w:rFonts w:hint="eastAsia"/>
                <w:color w:val="auto"/>
              </w:rPr>
              <w:t>3</w:t>
            </w:r>
            <w:r>
              <w:rPr>
                <w:color w:val="auto"/>
              </w:rPr>
              <w:t>1张，住院病人生活垃圾按1kg/床·d计算，</w:t>
            </w:r>
            <w:r>
              <w:rPr>
                <w:rFonts w:hint="eastAsia"/>
                <w:color w:val="auto"/>
              </w:rPr>
              <w:t>新增</w:t>
            </w:r>
            <w:r>
              <w:rPr>
                <w:color w:val="auto"/>
              </w:rPr>
              <w:t>产生量为</w:t>
            </w:r>
            <w:r>
              <w:rPr>
                <w:rFonts w:hint="eastAsia"/>
                <w:color w:val="auto"/>
              </w:rPr>
              <w:t>11.315</w:t>
            </w:r>
            <w:r>
              <w:rPr>
                <w:color w:val="auto"/>
              </w:rPr>
              <w:t>t/a；门诊病人每天人数</w:t>
            </w:r>
            <w:r>
              <w:rPr>
                <w:rFonts w:hint="eastAsia"/>
                <w:color w:val="auto"/>
              </w:rPr>
              <w:t>新增1</w:t>
            </w:r>
            <w:r>
              <w:rPr>
                <w:rFonts w:hint="eastAsia"/>
                <w:color w:val="auto"/>
                <w:lang w:val="en-US" w:eastAsia="zh-CN"/>
              </w:rPr>
              <w:t>2</w:t>
            </w:r>
            <w:r>
              <w:rPr>
                <w:rFonts w:hint="eastAsia"/>
                <w:color w:val="auto"/>
              </w:rPr>
              <w:t>0</w:t>
            </w:r>
            <w:r>
              <w:rPr>
                <w:color w:val="auto"/>
              </w:rPr>
              <w:t>人，生活垃圾按0.1kg/d人计算，门诊病人生活垃圾</w:t>
            </w:r>
            <w:r>
              <w:rPr>
                <w:rFonts w:hint="eastAsia"/>
                <w:color w:val="auto"/>
              </w:rPr>
              <w:t>新增</w:t>
            </w:r>
            <w:r>
              <w:rPr>
                <w:color w:val="auto"/>
              </w:rPr>
              <w:t>产生量为</w:t>
            </w:r>
            <w:r>
              <w:rPr>
                <w:rFonts w:hint="eastAsia"/>
                <w:color w:val="auto"/>
                <w:lang w:val="en-US" w:eastAsia="zh-CN"/>
              </w:rPr>
              <w:t>4.38</w:t>
            </w:r>
            <w:r>
              <w:rPr>
                <w:color w:val="auto"/>
              </w:rPr>
              <w:t>t/a</w:t>
            </w:r>
            <w:r>
              <w:rPr>
                <w:rFonts w:hint="eastAsia"/>
                <w:color w:val="auto"/>
              </w:rPr>
              <w:t>。</w:t>
            </w:r>
          </w:p>
          <w:p>
            <w:pPr>
              <w:pStyle w:val="12"/>
              <w:rPr>
                <w:color w:val="auto"/>
              </w:rPr>
            </w:pPr>
            <w:r>
              <w:rPr>
                <w:color w:val="auto"/>
              </w:rPr>
              <w:t>项目在</w:t>
            </w:r>
            <w:r>
              <w:rPr>
                <w:rFonts w:hint="eastAsia"/>
                <w:color w:val="auto"/>
              </w:rPr>
              <w:t>医院内</w:t>
            </w:r>
            <w:r>
              <w:rPr>
                <w:color w:val="auto"/>
              </w:rPr>
              <w:t>设垃圾收集桶，</w:t>
            </w:r>
            <w:r>
              <w:rPr>
                <w:rFonts w:hint="eastAsia"/>
                <w:color w:val="auto"/>
              </w:rPr>
              <w:t>分类</w:t>
            </w:r>
            <w:r>
              <w:rPr>
                <w:color w:val="auto"/>
              </w:rPr>
              <w:t>收集后由环卫部门清运处置。</w:t>
            </w:r>
          </w:p>
          <w:p>
            <w:pPr>
              <w:pStyle w:val="12"/>
              <w:rPr>
                <w:color w:val="auto"/>
              </w:rPr>
            </w:pPr>
            <w:r>
              <w:rPr>
                <w:color w:val="auto"/>
              </w:rPr>
              <w:t>（2）一般固废</w:t>
            </w:r>
          </w:p>
          <w:p>
            <w:pPr>
              <w:pStyle w:val="12"/>
              <w:rPr>
                <w:color w:val="auto"/>
              </w:rPr>
            </w:pPr>
            <w:r>
              <w:rPr>
                <w:color w:val="auto"/>
              </w:rPr>
              <w:t>项目运营过程产生的一般固体废物主要为</w:t>
            </w:r>
            <w:r>
              <w:rPr>
                <w:rFonts w:hint="eastAsia"/>
                <w:color w:val="auto"/>
              </w:rPr>
              <w:t>废输液瓶（袋）、废包装材料、中药渣。</w:t>
            </w:r>
          </w:p>
          <w:p>
            <w:pPr>
              <w:pStyle w:val="12"/>
              <w:rPr>
                <w:color w:val="auto"/>
              </w:rPr>
            </w:pPr>
            <w:r>
              <w:rPr>
                <w:rFonts w:hint="eastAsia"/>
                <w:color w:val="auto"/>
              </w:rPr>
              <w:t>①废输液瓶（袋）</w:t>
            </w:r>
          </w:p>
          <w:p>
            <w:pPr>
              <w:pStyle w:val="12"/>
              <w:rPr>
                <w:color w:val="auto"/>
              </w:rPr>
            </w:pPr>
            <w:r>
              <w:rPr>
                <w:rFonts w:hint="eastAsia"/>
                <w:color w:val="auto"/>
                <w:kern w:val="0"/>
              </w:rPr>
              <w:t>根据《关于明确医疗废物分类有关问题的通知》（卫办医发〔2005〕292 号）的</w:t>
            </w:r>
            <w:r>
              <w:rPr>
                <w:rFonts w:hint="eastAsia"/>
                <w:color w:val="auto"/>
              </w:rPr>
              <w:t>要求：使用后的各种玻璃（一次性塑料）输液瓶（袋），未被病人血液、体液、排泄物污染的，不属于医疗废物，不必按照医疗废物进行管理。根据建设单位提供资料，本项目新增的各种无污染（一次性塑料）输液瓶（袋）约1.8t/a，按照《医疗机构废弃物综合治理工作方案》（国卫医发〔2020〕3 号）要求，交由回收资质单位处置。</w:t>
            </w:r>
          </w:p>
          <w:p>
            <w:pPr>
              <w:pStyle w:val="12"/>
              <w:rPr>
                <w:color w:val="auto"/>
              </w:rPr>
            </w:pPr>
            <w:r>
              <w:rPr>
                <w:rFonts w:hint="eastAsia"/>
                <w:color w:val="auto"/>
              </w:rPr>
              <w:t>②中药残渣</w:t>
            </w:r>
          </w:p>
          <w:p>
            <w:pPr>
              <w:pStyle w:val="12"/>
              <w:rPr>
                <w:color w:val="auto"/>
              </w:rPr>
            </w:pPr>
            <w:r>
              <w:rPr>
                <w:color w:val="auto"/>
              </w:rPr>
              <w:t>中药</w:t>
            </w:r>
            <w:r>
              <w:rPr>
                <w:rFonts w:hint="eastAsia"/>
                <w:color w:val="auto"/>
              </w:rPr>
              <w:t>材</w:t>
            </w:r>
            <w:r>
              <w:rPr>
                <w:color w:val="auto"/>
              </w:rPr>
              <w:t>经煎药机后产生的中药渣，不具有直接或者间接感染性，基本上也不具有毒性，中药渣不属于危险废物亦不属于医疗废物，可归属于生活垃圾处置。根据建设单位提供，年产量约0.</w:t>
            </w:r>
            <w:r>
              <w:rPr>
                <w:rFonts w:hint="eastAsia"/>
                <w:color w:val="auto"/>
              </w:rPr>
              <w:t>2</w:t>
            </w:r>
            <w:r>
              <w:rPr>
                <w:color w:val="auto"/>
              </w:rPr>
              <w:t>t/a，中药残渣集中收集、装袋后，做为生活垃圾与原项目中药残渣一起</w:t>
            </w:r>
            <w:r>
              <w:rPr>
                <w:rFonts w:hint="eastAsia"/>
                <w:color w:val="auto"/>
              </w:rPr>
              <w:t>交</w:t>
            </w:r>
            <w:r>
              <w:rPr>
                <w:color w:val="auto"/>
              </w:rPr>
              <w:t>由</w:t>
            </w:r>
            <w:r>
              <w:rPr>
                <w:rFonts w:hint="eastAsia"/>
                <w:color w:val="auto"/>
              </w:rPr>
              <w:t>环卫部门处置</w:t>
            </w:r>
            <w:r>
              <w:rPr>
                <w:color w:val="auto"/>
              </w:rPr>
              <w:t>。</w:t>
            </w:r>
          </w:p>
          <w:p>
            <w:pPr>
              <w:pStyle w:val="12"/>
              <w:rPr>
                <w:color w:val="auto"/>
              </w:rPr>
            </w:pPr>
            <w:r>
              <w:rPr>
                <w:rFonts w:hint="eastAsia"/>
                <w:color w:val="auto"/>
              </w:rPr>
              <w:t>（3）危险废物</w:t>
            </w:r>
          </w:p>
          <w:p>
            <w:pPr>
              <w:pStyle w:val="12"/>
              <w:rPr>
                <w:color w:val="auto"/>
              </w:rPr>
            </w:pPr>
            <w:r>
              <w:rPr>
                <w:rFonts w:hint="eastAsia"/>
                <w:color w:val="auto"/>
              </w:rPr>
              <w:t>①医疗废物</w:t>
            </w:r>
          </w:p>
          <w:p>
            <w:pPr>
              <w:pStyle w:val="12"/>
              <w:rPr>
                <w:rFonts w:ascii="宋体" w:hAnsi="宋体"/>
                <w:color w:val="auto"/>
                <w:kern w:val="0"/>
              </w:rPr>
            </w:pPr>
            <w:r>
              <w:rPr>
                <w:color w:val="auto"/>
              </w:rPr>
              <w:t>根据《国家危险废物名录（2021年版）》，本项目产生的危险废物主要包括医院医疗废物（HW01）和废药物、药品（HW01）。医院医疗废物（HW01）主要包括医院的医疗服务中产生的医疗废物：</w:t>
            </w:r>
            <w:r>
              <w:rPr>
                <w:rFonts w:hint="eastAsia"/>
                <w:color w:val="auto"/>
              </w:rPr>
              <w:t>1）</w:t>
            </w:r>
            <w:r>
              <w:rPr>
                <w:color w:val="auto"/>
              </w:rPr>
              <w:t>感染性废物：携带病原微生物具有引发感染性疾病传播危险的医疗废物，如被病人血液、体液、排泄物污染的物品，使用后的一次性使用医疗用品等；</w:t>
            </w:r>
            <w:r>
              <w:rPr>
                <w:rFonts w:hint="eastAsia"/>
                <w:color w:val="auto"/>
              </w:rPr>
              <w:t>2）</w:t>
            </w:r>
            <w:r>
              <w:rPr>
                <w:color w:val="auto"/>
              </w:rPr>
              <w:t>损伤性废物：能够刺伤或者割伤人体的废弃的医用锐器；</w:t>
            </w:r>
            <w:r>
              <w:rPr>
                <w:rFonts w:hint="eastAsia"/>
                <w:color w:val="auto"/>
              </w:rPr>
              <w:t>3）</w:t>
            </w:r>
            <w:r>
              <w:rPr>
                <w:color w:val="auto"/>
              </w:rPr>
              <w:t>药物性废物：过期、淘汰、变质或者被污染的废弃的药品；废药物及药品（HW01）主要包括医院积压或报废的药品（物）等</w:t>
            </w:r>
            <w:r>
              <w:rPr>
                <w:rFonts w:hint="eastAsia"/>
                <w:color w:val="auto"/>
              </w:rPr>
              <w:t>；4）</w:t>
            </w:r>
            <w:r>
              <w:rPr>
                <w:rFonts w:hint="eastAsia" w:ascii="宋体" w:hAnsi="宋体"/>
                <w:color w:val="auto"/>
                <w:kern w:val="0"/>
              </w:rPr>
              <w:t>化学性废物：具有毒性、腐蚀性、易燃性、反应性的废弃的化学物品。</w:t>
            </w:r>
          </w:p>
          <w:p>
            <w:pPr>
              <w:pStyle w:val="12"/>
              <w:rPr>
                <w:color w:val="auto"/>
              </w:rPr>
            </w:pPr>
            <w:r>
              <w:rPr>
                <w:rFonts w:hint="eastAsia"/>
                <w:color w:val="auto"/>
              </w:rPr>
              <w:t>门诊处患者产生的医疗废物按每人每天0.2kg计算，则门诊处患者医疗废物产生量约为</w:t>
            </w:r>
            <w:r>
              <w:rPr>
                <w:rFonts w:hint="eastAsia"/>
                <w:color w:val="auto"/>
                <w:lang w:val="en-US" w:eastAsia="zh-CN"/>
              </w:rPr>
              <w:t>8.76</w:t>
            </w:r>
            <w:r>
              <w:rPr>
                <w:rFonts w:hint="eastAsia"/>
                <w:color w:val="auto"/>
              </w:rPr>
              <w:t xml:space="preserve"> t/a；住院部患者产生的医疗废物按每人每天0.5kg计算，住院部患者医疗废物产生量约为5.657t/a。则本项目医疗废物年产量约为</w:t>
            </w:r>
            <w:r>
              <w:rPr>
                <w:rFonts w:hint="eastAsia"/>
                <w:color w:val="auto"/>
                <w:lang w:val="en-US" w:eastAsia="zh-CN"/>
              </w:rPr>
              <w:t>14.417</w:t>
            </w:r>
            <w:r>
              <w:rPr>
                <w:rFonts w:hint="eastAsia"/>
                <w:color w:val="auto"/>
              </w:rPr>
              <w:t>t/a。</w:t>
            </w:r>
          </w:p>
          <w:p>
            <w:pPr>
              <w:pStyle w:val="12"/>
              <w:rPr>
                <w:color w:val="auto"/>
              </w:rPr>
            </w:pPr>
            <w:r>
              <w:rPr>
                <w:rFonts w:hint="eastAsia"/>
                <w:color w:val="auto"/>
              </w:rPr>
              <w:t>②污泥</w:t>
            </w:r>
          </w:p>
          <w:p>
            <w:pPr>
              <w:pStyle w:val="12"/>
              <w:rPr>
                <w:color w:val="auto"/>
              </w:rPr>
            </w:pPr>
            <w:r>
              <w:rPr>
                <w:color w:val="auto"/>
              </w:rPr>
              <w:t>水处理污泥</w:t>
            </w:r>
            <w:r>
              <w:rPr>
                <w:rFonts w:hint="eastAsia"/>
                <w:color w:val="auto"/>
              </w:rPr>
              <w:t>产生量参照《医院污水处理技术指南》表6</w:t>
            </w:r>
            <w:r>
              <w:rPr>
                <w:color w:val="auto"/>
              </w:rPr>
              <w:t>-1</w:t>
            </w:r>
            <w:r>
              <w:rPr>
                <w:rFonts w:hint="eastAsia"/>
                <w:color w:val="auto"/>
              </w:rPr>
              <w:t>污泥量平均值-混凝沉淀来计算，总固体按最大7</w:t>
            </w:r>
            <w:r>
              <w:rPr>
                <w:color w:val="auto"/>
              </w:rPr>
              <w:t>5</w:t>
            </w:r>
            <w:r>
              <w:rPr>
                <w:rFonts w:hint="eastAsia"/>
                <w:color w:val="auto"/>
              </w:rPr>
              <w:t>（g</w:t>
            </w:r>
            <w:r>
              <w:rPr>
                <w:color w:val="auto"/>
              </w:rPr>
              <w:t>/</w:t>
            </w:r>
            <w:r>
              <w:rPr>
                <w:rFonts w:hint="eastAsia"/>
                <w:color w:val="auto"/>
              </w:rPr>
              <w:t>人</w:t>
            </w:r>
            <w:r>
              <w:rPr>
                <w:color w:val="auto"/>
              </w:rPr>
              <w:t>·</w:t>
            </w:r>
            <w:r>
              <w:rPr>
                <w:rFonts w:hint="eastAsia"/>
                <w:color w:val="auto"/>
              </w:rPr>
              <w:t>d）、31张床位、医护人员10人计算，则</w:t>
            </w:r>
            <w:r>
              <w:rPr>
                <w:color w:val="auto"/>
              </w:rPr>
              <w:t>污水处理</w:t>
            </w:r>
            <w:r>
              <w:rPr>
                <w:rFonts w:hint="eastAsia"/>
                <w:color w:val="auto"/>
              </w:rPr>
              <w:t>污泥新增产生量为1.122t</w:t>
            </w:r>
            <w:r>
              <w:rPr>
                <w:color w:val="auto"/>
              </w:rPr>
              <w:t>/a</w:t>
            </w:r>
            <w:r>
              <w:rPr>
                <w:rFonts w:hint="eastAsia"/>
                <w:color w:val="auto"/>
              </w:rPr>
              <w:t>。</w:t>
            </w:r>
          </w:p>
          <w:p>
            <w:pPr>
              <w:pStyle w:val="12"/>
              <w:rPr>
                <w:color w:val="auto"/>
              </w:rPr>
            </w:pPr>
            <w:r>
              <w:rPr>
                <w:color w:val="auto"/>
              </w:rPr>
              <w:t>根据《医疗机构水污染物排放标准》（GB18466-2005）4.3 污泥控制与处置：“栅渣、化粪池和污水处理站污泥属危险废物，应按危险废物进行处理和处置”，因此</w:t>
            </w:r>
            <w:r>
              <w:rPr>
                <w:rFonts w:hint="eastAsia"/>
                <w:color w:val="auto"/>
              </w:rPr>
              <w:t>一体化污水处理设施</w:t>
            </w:r>
            <w:r>
              <w:rPr>
                <w:color w:val="auto"/>
              </w:rPr>
              <w:t>污泥均属于危险废物，危险废物代码为HW01 841-001-01。</w:t>
            </w:r>
          </w:p>
          <w:p>
            <w:pPr>
              <w:pStyle w:val="12"/>
              <w:rPr>
                <w:color w:val="auto"/>
              </w:rPr>
            </w:pPr>
            <w:r>
              <w:rPr>
                <w:rFonts w:hint="eastAsia"/>
                <w:color w:val="auto"/>
              </w:rPr>
              <w:t>③</w:t>
            </w:r>
            <w:r>
              <w:rPr>
                <w:rFonts w:hint="eastAsia" w:ascii="宋体" w:hAnsi="宋体"/>
                <w:color w:val="auto"/>
              </w:rPr>
              <w:t>废</w:t>
            </w:r>
            <w:r>
              <w:rPr>
                <w:rFonts w:hint="eastAsia"/>
                <w:color w:val="auto"/>
              </w:rPr>
              <w:t>UV灯管</w:t>
            </w:r>
          </w:p>
          <w:p>
            <w:pPr>
              <w:pStyle w:val="12"/>
              <w:rPr>
                <w:color w:val="auto"/>
              </w:rPr>
            </w:pPr>
            <w:r>
              <w:rPr>
                <w:rFonts w:hint="eastAsia"/>
                <w:color w:val="auto"/>
              </w:rPr>
              <w:t>根据相关资料，废</w:t>
            </w:r>
            <w:r>
              <w:rPr>
                <w:color w:val="auto"/>
              </w:rPr>
              <w:t>UV</w:t>
            </w:r>
            <w:r>
              <w:rPr>
                <w:rFonts w:hint="eastAsia"/>
                <w:color w:val="auto"/>
              </w:rPr>
              <w:t>灯管产生量</w:t>
            </w:r>
            <w:r>
              <w:rPr>
                <w:color w:val="auto"/>
              </w:rPr>
              <w:t>0.</w:t>
            </w:r>
            <w:r>
              <w:rPr>
                <w:rFonts w:hint="eastAsia"/>
                <w:color w:val="auto"/>
                <w:lang w:val="en-US" w:eastAsia="zh-CN"/>
              </w:rPr>
              <w:t>05</w:t>
            </w:r>
            <w:r>
              <w:rPr>
                <w:color w:val="auto"/>
              </w:rPr>
              <w:t>t/</w:t>
            </w:r>
            <w:r>
              <w:rPr>
                <w:rFonts w:hint="eastAsia"/>
                <w:color w:val="auto"/>
              </w:rPr>
              <w:t>a，根据灯管的设计使用寿命更换（一般不超过4</w:t>
            </w:r>
            <w:r>
              <w:rPr>
                <w:color w:val="auto"/>
              </w:rPr>
              <w:t>800</w:t>
            </w:r>
            <w:r>
              <w:rPr>
                <w:rFonts w:hint="eastAsia"/>
                <w:color w:val="auto"/>
              </w:rPr>
              <w:t>h）。废</w:t>
            </w:r>
            <w:r>
              <w:rPr>
                <w:color w:val="auto"/>
              </w:rPr>
              <w:t>UV</w:t>
            </w:r>
            <w:r>
              <w:rPr>
                <w:rFonts w:hint="eastAsia"/>
                <w:color w:val="auto"/>
              </w:rPr>
              <w:t>灯管属于危险废物，委托有危险废物处置资质的单位处置。</w:t>
            </w:r>
          </w:p>
          <w:p>
            <w:pPr>
              <w:pStyle w:val="15"/>
              <w:rPr>
                <w:color w:val="auto"/>
              </w:rPr>
            </w:pPr>
            <w:r>
              <w:rPr>
                <w:color w:val="auto"/>
              </w:rPr>
              <w:t>表4-</w:t>
            </w:r>
            <w:r>
              <w:rPr>
                <w:rFonts w:hint="eastAsia"/>
                <w:color w:val="auto"/>
              </w:rPr>
              <w:t>9</w:t>
            </w:r>
            <w:r>
              <w:rPr>
                <w:color w:val="auto"/>
              </w:rPr>
              <w:t xml:space="preserve">  项目固体废物利用处置方式一览表</w:t>
            </w:r>
          </w:p>
          <w:tbl>
            <w:tblPr>
              <w:tblStyle w:val="7"/>
              <w:tblW w:w="7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
              <w:gridCol w:w="975"/>
              <w:gridCol w:w="992"/>
              <w:gridCol w:w="567"/>
              <w:gridCol w:w="1134"/>
              <w:gridCol w:w="709"/>
              <w:gridCol w:w="708"/>
              <w:gridCol w:w="851"/>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327" w:type="dxa"/>
                  <w:vAlign w:val="center"/>
                </w:tcPr>
                <w:p>
                  <w:pPr>
                    <w:wordWrap w:val="0"/>
                    <w:adjustRightInd w:val="0"/>
                    <w:snapToGrid w:val="0"/>
                    <w:ind w:left="-105" w:leftChars="-50" w:right="-105" w:rightChars="-50"/>
                    <w:jc w:val="center"/>
                    <w:rPr>
                      <w:color w:val="auto"/>
                      <w:spacing w:val="-1"/>
                      <w:kern w:val="0"/>
                      <w:sz w:val="20"/>
                      <w:szCs w:val="20"/>
                    </w:rPr>
                  </w:pPr>
                  <w:r>
                    <w:rPr>
                      <w:color w:val="auto"/>
                      <w:spacing w:val="-1"/>
                      <w:kern w:val="0"/>
                      <w:sz w:val="20"/>
                      <w:szCs w:val="20"/>
                    </w:rPr>
                    <w:t>序号</w:t>
                  </w:r>
                </w:p>
              </w:tc>
              <w:tc>
                <w:tcPr>
                  <w:tcW w:w="975" w:type="dxa"/>
                  <w:vAlign w:val="center"/>
                </w:tcPr>
                <w:p>
                  <w:pPr>
                    <w:wordWrap w:val="0"/>
                    <w:adjustRightInd w:val="0"/>
                    <w:snapToGrid w:val="0"/>
                    <w:ind w:left="-105" w:leftChars="-50" w:right="-105" w:rightChars="-50"/>
                    <w:jc w:val="center"/>
                    <w:rPr>
                      <w:color w:val="auto"/>
                      <w:spacing w:val="-1"/>
                      <w:kern w:val="0"/>
                      <w:sz w:val="20"/>
                      <w:szCs w:val="20"/>
                    </w:rPr>
                  </w:pPr>
                  <w:r>
                    <w:rPr>
                      <w:color w:val="auto"/>
                      <w:spacing w:val="-1"/>
                      <w:kern w:val="0"/>
                      <w:sz w:val="20"/>
                      <w:szCs w:val="20"/>
                    </w:rPr>
                    <w:t>固体废物名称</w:t>
                  </w:r>
                </w:p>
              </w:tc>
              <w:tc>
                <w:tcPr>
                  <w:tcW w:w="992" w:type="dxa"/>
                  <w:vAlign w:val="center"/>
                </w:tcPr>
                <w:p>
                  <w:pPr>
                    <w:wordWrap w:val="0"/>
                    <w:adjustRightInd w:val="0"/>
                    <w:snapToGrid w:val="0"/>
                    <w:ind w:left="-105" w:leftChars="-50" w:right="-105" w:rightChars="-50"/>
                    <w:jc w:val="center"/>
                    <w:rPr>
                      <w:color w:val="auto"/>
                      <w:spacing w:val="-1"/>
                      <w:kern w:val="0"/>
                      <w:sz w:val="20"/>
                      <w:szCs w:val="20"/>
                    </w:rPr>
                  </w:pPr>
                  <w:r>
                    <w:rPr>
                      <w:color w:val="auto"/>
                      <w:spacing w:val="-1"/>
                      <w:kern w:val="0"/>
                      <w:sz w:val="20"/>
                      <w:szCs w:val="20"/>
                    </w:rPr>
                    <w:t>产生</w:t>
                  </w:r>
                </w:p>
                <w:p>
                  <w:pPr>
                    <w:wordWrap w:val="0"/>
                    <w:adjustRightInd w:val="0"/>
                    <w:snapToGrid w:val="0"/>
                    <w:ind w:left="-105" w:leftChars="-50" w:right="-105" w:rightChars="-50"/>
                    <w:jc w:val="center"/>
                    <w:rPr>
                      <w:color w:val="auto"/>
                      <w:spacing w:val="-1"/>
                      <w:kern w:val="0"/>
                      <w:sz w:val="20"/>
                      <w:szCs w:val="20"/>
                    </w:rPr>
                  </w:pPr>
                  <w:r>
                    <w:rPr>
                      <w:color w:val="auto"/>
                      <w:spacing w:val="-1"/>
                      <w:kern w:val="0"/>
                      <w:sz w:val="20"/>
                      <w:szCs w:val="20"/>
                    </w:rPr>
                    <w:t>环节</w:t>
                  </w:r>
                </w:p>
              </w:tc>
              <w:tc>
                <w:tcPr>
                  <w:tcW w:w="567" w:type="dxa"/>
                  <w:vAlign w:val="center"/>
                </w:tcPr>
                <w:p>
                  <w:pPr>
                    <w:wordWrap w:val="0"/>
                    <w:adjustRightInd w:val="0"/>
                    <w:snapToGrid w:val="0"/>
                    <w:ind w:left="-105" w:leftChars="-50" w:right="-105" w:rightChars="-50"/>
                    <w:jc w:val="center"/>
                    <w:rPr>
                      <w:color w:val="auto"/>
                      <w:spacing w:val="-1"/>
                      <w:kern w:val="0"/>
                      <w:sz w:val="20"/>
                      <w:szCs w:val="20"/>
                    </w:rPr>
                  </w:pPr>
                  <w:r>
                    <w:rPr>
                      <w:color w:val="auto"/>
                      <w:spacing w:val="-1"/>
                      <w:kern w:val="0"/>
                      <w:sz w:val="20"/>
                      <w:szCs w:val="20"/>
                    </w:rPr>
                    <w:t>固废</w:t>
                  </w:r>
                </w:p>
                <w:p>
                  <w:pPr>
                    <w:wordWrap w:val="0"/>
                    <w:adjustRightInd w:val="0"/>
                    <w:snapToGrid w:val="0"/>
                    <w:ind w:left="-105" w:leftChars="-50" w:right="-105" w:rightChars="-50"/>
                    <w:jc w:val="center"/>
                    <w:rPr>
                      <w:color w:val="auto"/>
                      <w:spacing w:val="-1"/>
                      <w:kern w:val="0"/>
                      <w:sz w:val="20"/>
                      <w:szCs w:val="20"/>
                    </w:rPr>
                  </w:pPr>
                  <w:r>
                    <w:rPr>
                      <w:color w:val="auto"/>
                      <w:spacing w:val="-1"/>
                      <w:kern w:val="0"/>
                      <w:sz w:val="20"/>
                      <w:szCs w:val="20"/>
                    </w:rPr>
                    <w:t>属性</w:t>
                  </w:r>
                </w:p>
              </w:tc>
              <w:tc>
                <w:tcPr>
                  <w:tcW w:w="1134"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废物类别</w:t>
                  </w:r>
                </w:p>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及代码</w:t>
                  </w:r>
                </w:p>
              </w:tc>
              <w:tc>
                <w:tcPr>
                  <w:tcW w:w="709" w:type="dxa"/>
                  <w:vAlign w:val="center"/>
                </w:tcPr>
                <w:p>
                  <w:pPr>
                    <w:wordWrap w:val="0"/>
                    <w:adjustRightInd w:val="0"/>
                    <w:snapToGrid w:val="0"/>
                    <w:ind w:left="-105" w:leftChars="-50" w:right="-105" w:rightChars="-50"/>
                    <w:jc w:val="center"/>
                    <w:rPr>
                      <w:color w:val="auto"/>
                      <w:spacing w:val="-1"/>
                      <w:kern w:val="0"/>
                      <w:sz w:val="20"/>
                      <w:szCs w:val="20"/>
                    </w:rPr>
                  </w:pPr>
                  <w:r>
                    <w:rPr>
                      <w:color w:val="auto"/>
                      <w:spacing w:val="-1"/>
                      <w:kern w:val="0"/>
                      <w:sz w:val="20"/>
                      <w:szCs w:val="20"/>
                    </w:rPr>
                    <w:t>危险</w:t>
                  </w:r>
                </w:p>
                <w:p>
                  <w:pPr>
                    <w:wordWrap w:val="0"/>
                    <w:adjustRightInd w:val="0"/>
                    <w:snapToGrid w:val="0"/>
                    <w:ind w:left="-105" w:leftChars="-50" w:right="-105" w:rightChars="-50"/>
                    <w:jc w:val="center"/>
                    <w:rPr>
                      <w:color w:val="auto"/>
                      <w:spacing w:val="-1"/>
                      <w:kern w:val="0"/>
                      <w:sz w:val="20"/>
                      <w:szCs w:val="20"/>
                    </w:rPr>
                  </w:pPr>
                  <w:r>
                    <w:rPr>
                      <w:color w:val="auto"/>
                      <w:spacing w:val="-1"/>
                      <w:kern w:val="0"/>
                      <w:sz w:val="20"/>
                      <w:szCs w:val="20"/>
                    </w:rPr>
                    <w:t>特性</w:t>
                  </w:r>
                </w:p>
              </w:tc>
              <w:tc>
                <w:tcPr>
                  <w:tcW w:w="708" w:type="dxa"/>
                  <w:vAlign w:val="center"/>
                </w:tcPr>
                <w:p>
                  <w:pPr>
                    <w:wordWrap w:val="0"/>
                    <w:adjustRightInd w:val="0"/>
                    <w:snapToGrid w:val="0"/>
                    <w:ind w:left="-105" w:leftChars="-50" w:right="-105" w:rightChars="-50"/>
                    <w:jc w:val="center"/>
                    <w:rPr>
                      <w:color w:val="auto"/>
                      <w:spacing w:val="-1"/>
                      <w:kern w:val="0"/>
                      <w:sz w:val="20"/>
                      <w:szCs w:val="20"/>
                    </w:rPr>
                  </w:pPr>
                  <w:r>
                    <w:rPr>
                      <w:color w:val="auto"/>
                      <w:spacing w:val="-1"/>
                      <w:kern w:val="0"/>
                      <w:sz w:val="20"/>
                      <w:szCs w:val="20"/>
                    </w:rPr>
                    <w:t>物理</w:t>
                  </w:r>
                </w:p>
                <w:p>
                  <w:pPr>
                    <w:wordWrap w:val="0"/>
                    <w:adjustRightInd w:val="0"/>
                    <w:snapToGrid w:val="0"/>
                    <w:ind w:left="-105" w:leftChars="-50" w:right="-105" w:rightChars="-50"/>
                    <w:jc w:val="center"/>
                    <w:rPr>
                      <w:color w:val="auto"/>
                      <w:spacing w:val="-1"/>
                      <w:kern w:val="0"/>
                      <w:sz w:val="20"/>
                      <w:szCs w:val="20"/>
                    </w:rPr>
                  </w:pPr>
                  <w:r>
                    <w:rPr>
                      <w:color w:val="auto"/>
                      <w:spacing w:val="-1"/>
                      <w:kern w:val="0"/>
                      <w:sz w:val="20"/>
                      <w:szCs w:val="20"/>
                    </w:rPr>
                    <w:t>性状</w:t>
                  </w:r>
                </w:p>
              </w:tc>
              <w:tc>
                <w:tcPr>
                  <w:tcW w:w="851" w:type="dxa"/>
                  <w:vAlign w:val="center"/>
                </w:tcPr>
                <w:p>
                  <w:pPr>
                    <w:wordWrap w:val="0"/>
                    <w:adjustRightInd w:val="0"/>
                    <w:snapToGrid w:val="0"/>
                    <w:ind w:left="-105" w:leftChars="-50" w:right="-105" w:rightChars="-50"/>
                    <w:jc w:val="center"/>
                    <w:rPr>
                      <w:color w:val="auto"/>
                      <w:spacing w:val="-1"/>
                      <w:kern w:val="0"/>
                      <w:sz w:val="20"/>
                      <w:szCs w:val="20"/>
                    </w:rPr>
                  </w:pPr>
                  <w:r>
                    <w:rPr>
                      <w:color w:val="auto"/>
                      <w:spacing w:val="-1"/>
                      <w:kern w:val="0"/>
                      <w:sz w:val="20"/>
                      <w:szCs w:val="20"/>
                    </w:rPr>
                    <w:t>产生量</w:t>
                  </w:r>
                </w:p>
              </w:tc>
              <w:tc>
                <w:tcPr>
                  <w:tcW w:w="1714" w:type="dxa"/>
                  <w:vAlign w:val="center"/>
                </w:tcPr>
                <w:p>
                  <w:pPr>
                    <w:wordWrap w:val="0"/>
                    <w:adjustRightInd w:val="0"/>
                    <w:snapToGrid w:val="0"/>
                    <w:ind w:left="-105" w:leftChars="-50" w:right="-105" w:rightChars="-50"/>
                    <w:jc w:val="center"/>
                    <w:rPr>
                      <w:color w:val="auto"/>
                      <w:spacing w:val="-1"/>
                      <w:kern w:val="0"/>
                      <w:sz w:val="20"/>
                      <w:szCs w:val="20"/>
                    </w:rPr>
                  </w:pPr>
                  <w:r>
                    <w:rPr>
                      <w:color w:val="auto"/>
                      <w:spacing w:val="-1"/>
                      <w:kern w:val="0"/>
                      <w:sz w:val="20"/>
                      <w:szCs w:val="20"/>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27" w:type="dxa"/>
                  <w:vAlign w:val="center"/>
                </w:tcPr>
                <w:p>
                  <w:pPr>
                    <w:kinsoku w:val="0"/>
                    <w:wordWrap w:val="0"/>
                    <w:overflowPunct w:val="0"/>
                    <w:adjustRightInd w:val="0"/>
                    <w:snapToGrid w:val="0"/>
                    <w:ind w:left="-105" w:leftChars="-50" w:right="-105" w:rightChars="-50"/>
                    <w:contextualSpacing/>
                    <w:jc w:val="center"/>
                    <w:rPr>
                      <w:color w:val="auto"/>
                      <w:spacing w:val="-1"/>
                      <w:kern w:val="0"/>
                      <w:sz w:val="20"/>
                      <w:szCs w:val="20"/>
                    </w:rPr>
                  </w:pPr>
                  <w:r>
                    <w:rPr>
                      <w:color w:val="auto"/>
                      <w:spacing w:val="-1"/>
                      <w:sz w:val="20"/>
                      <w:szCs w:val="20"/>
                    </w:rPr>
                    <w:t>1</w:t>
                  </w:r>
                </w:p>
              </w:tc>
              <w:tc>
                <w:tcPr>
                  <w:tcW w:w="975"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生活垃圾</w:t>
                  </w:r>
                </w:p>
              </w:tc>
              <w:tc>
                <w:tcPr>
                  <w:tcW w:w="992"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日常</w:t>
                  </w:r>
                  <w:r>
                    <w:rPr>
                      <w:color w:val="auto"/>
                      <w:spacing w:val="-1"/>
                      <w:sz w:val="20"/>
                      <w:szCs w:val="20"/>
                    </w:rPr>
                    <w:t>生活</w:t>
                  </w:r>
                </w:p>
              </w:tc>
              <w:tc>
                <w:tcPr>
                  <w:tcW w:w="567"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w:t>
                  </w:r>
                </w:p>
              </w:tc>
              <w:tc>
                <w:tcPr>
                  <w:tcW w:w="1134"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900-099-S64</w:t>
                  </w:r>
                </w:p>
              </w:tc>
              <w:tc>
                <w:tcPr>
                  <w:tcW w:w="709"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w:t>
                  </w:r>
                </w:p>
              </w:tc>
              <w:tc>
                <w:tcPr>
                  <w:tcW w:w="708"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固态</w:t>
                  </w:r>
                </w:p>
              </w:tc>
              <w:tc>
                <w:tcPr>
                  <w:tcW w:w="851"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eastAsiaTheme="minorEastAsia"/>
                      <w:color w:val="auto"/>
                      <w:spacing w:val="-1"/>
                      <w:sz w:val="20"/>
                      <w:szCs w:val="20"/>
                    </w:rPr>
                    <w:t>1</w:t>
                  </w:r>
                  <w:r>
                    <w:rPr>
                      <w:rFonts w:hint="eastAsia" w:eastAsiaTheme="minorEastAsia"/>
                      <w:color w:val="auto"/>
                      <w:spacing w:val="-1"/>
                      <w:sz w:val="20"/>
                      <w:szCs w:val="20"/>
                      <w:lang w:val="en-US" w:eastAsia="zh-CN"/>
                    </w:rPr>
                    <w:t>7.52</w:t>
                  </w:r>
                  <w:r>
                    <w:rPr>
                      <w:color w:val="auto"/>
                      <w:spacing w:val="-1"/>
                      <w:sz w:val="20"/>
                      <w:szCs w:val="20"/>
                    </w:rPr>
                    <w:t>t/a</w:t>
                  </w:r>
                </w:p>
              </w:tc>
              <w:tc>
                <w:tcPr>
                  <w:tcW w:w="1714"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分类收集后交由环卫部门外运处置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7"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2</w:t>
                  </w:r>
                </w:p>
              </w:tc>
              <w:tc>
                <w:tcPr>
                  <w:tcW w:w="975"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废输液瓶（袋）</w:t>
                  </w:r>
                </w:p>
              </w:tc>
              <w:tc>
                <w:tcPr>
                  <w:tcW w:w="992"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输液过程</w:t>
                  </w:r>
                </w:p>
              </w:tc>
              <w:tc>
                <w:tcPr>
                  <w:tcW w:w="567" w:type="dxa"/>
                  <w:vMerge w:val="restart"/>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一般</w:t>
                  </w:r>
                </w:p>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固废</w:t>
                  </w:r>
                </w:p>
              </w:tc>
              <w:tc>
                <w:tcPr>
                  <w:tcW w:w="1134"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900-099-S17</w:t>
                  </w:r>
                </w:p>
              </w:tc>
              <w:tc>
                <w:tcPr>
                  <w:tcW w:w="709"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w:t>
                  </w:r>
                </w:p>
              </w:tc>
              <w:tc>
                <w:tcPr>
                  <w:tcW w:w="708"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固态</w:t>
                  </w:r>
                </w:p>
              </w:tc>
              <w:tc>
                <w:tcPr>
                  <w:tcW w:w="851"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eastAsiaTheme="minorEastAsia"/>
                      <w:color w:val="auto"/>
                      <w:spacing w:val="-1"/>
                      <w:sz w:val="20"/>
                      <w:szCs w:val="20"/>
                    </w:rPr>
                    <w:t>1.8</w:t>
                  </w:r>
                  <w:r>
                    <w:rPr>
                      <w:color w:val="auto"/>
                      <w:spacing w:val="-1"/>
                      <w:sz w:val="20"/>
                      <w:szCs w:val="20"/>
                    </w:rPr>
                    <w:t>t/a</w:t>
                  </w:r>
                </w:p>
              </w:tc>
              <w:tc>
                <w:tcPr>
                  <w:tcW w:w="1714"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暂存于专用收集容器后，交由西安泰达环保科技有限公司</w:t>
                  </w:r>
                  <w:r>
                    <w:rPr>
                      <w:color w:val="auto"/>
                      <w:spacing w:val="-1"/>
                      <w:sz w:val="20"/>
                      <w:szCs w:val="20"/>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7" w:type="dxa"/>
                  <w:vAlign w:val="center"/>
                </w:tcPr>
                <w:p>
                  <w:pPr>
                    <w:kinsoku w:val="0"/>
                    <w:wordWrap w:val="0"/>
                    <w:overflowPunct w:val="0"/>
                    <w:adjustRightInd w:val="0"/>
                    <w:snapToGrid w:val="0"/>
                    <w:ind w:left="-105" w:leftChars="-50" w:right="-105" w:rightChars="-50"/>
                    <w:contextualSpacing/>
                    <w:jc w:val="center"/>
                    <w:rPr>
                      <w:rFonts w:eastAsiaTheme="minorEastAsia"/>
                      <w:color w:val="auto"/>
                      <w:spacing w:val="-1"/>
                      <w:sz w:val="20"/>
                      <w:szCs w:val="20"/>
                    </w:rPr>
                  </w:pPr>
                  <w:r>
                    <w:rPr>
                      <w:rFonts w:hint="eastAsia" w:eastAsiaTheme="minorEastAsia"/>
                      <w:color w:val="auto"/>
                      <w:spacing w:val="-1"/>
                      <w:sz w:val="20"/>
                      <w:szCs w:val="20"/>
                    </w:rPr>
                    <w:t>3</w:t>
                  </w:r>
                </w:p>
              </w:tc>
              <w:tc>
                <w:tcPr>
                  <w:tcW w:w="975"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中药残渣</w:t>
                  </w:r>
                </w:p>
              </w:tc>
              <w:tc>
                <w:tcPr>
                  <w:tcW w:w="992"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煎药</w:t>
                  </w:r>
                </w:p>
              </w:tc>
              <w:tc>
                <w:tcPr>
                  <w:tcW w:w="567" w:type="dxa"/>
                  <w:vMerge w:val="continue"/>
                  <w:vAlign w:val="center"/>
                </w:tcPr>
                <w:p>
                  <w:pPr>
                    <w:widowControl/>
                    <w:wordWrap w:val="0"/>
                    <w:ind w:left="-105" w:leftChars="-50" w:right="-105" w:rightChars="-50"/>
                    <w:jc w:val="center"/>
                    <w:rPr>
                      <w:color w:val="auto"/>
                      <w:spacing w:val="-1"/>
                      <w:kern w:val="0"/>
                      <w:sz w:val="20"/>
                      <w:szCs w:val="20"/>
                    </w:rPr>
                  </w:pPr>
                </w:p>
              </w:tc>
              <w:tc>
                <w:tcPr>
                  <w:tcW w:w="1134"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900-099-S59</w:t>
                  </w:r>
                </w:p>
              </w:tc>
              <w:tc>
                <w:tcPr>
                  <w:tcW w:w="709"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w:t>
                  </w:r>
                </w:p>
              </w:tc>
              <w:tc>
                <w:tcPr>
                  <w:tcW w:w="708"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固态</w:t>
                  </w:r>
                </w:p>
              </w:tc>
              <w:tc>
                <w:tcPr>
                  <w:tcW w:w="851"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0.</w:t>
                  </w:r>
                  <w:r>
                    <w:rPr>
                      <w:rFonts w:hint="eastAsia" w:eastAsiaTheme="minorEastAsia"/>
                      <w:color w:val="auto"/>
                      <w:spacing w:val="-1"/>
                      <w:sz w:val="20"/>
                      <w:szCs w:val="20"/>
                    </w:rPr>
                    <w:t>2</w:t>
                  </w:r>
                  <w:r>
                    <w:rPr>
                      <w:color w:val="auto"/>
                      <w:spacing w:val="-1"/>
                      <w:sz w:val="20"/>
                      <w:szCs w:val="20"/>
                    </w:rPr>
                    <w:t>t/a</w:t>
                  </w:r>
                </w:p>
              </w:tc>
              <w:tc>
                <w:tcPr>
                  <w:tcW w:w="1714"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分类收集后交由环卫部门外运处置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27" w:type="dxa"/>
                  <w:vAlign w:val="center"/>
                </w:tcPr>
                <w:p>
                  <w:pPr>
                    <w:kinsoku w:val="0"/>
                    <w:wordWrap w:val="0"/>
                    <w:overflowPunct w:val="0"/>
                    <w:adjustRightInd w:val="0"/>
                    <w:snapToGrid w:val="0"/>
                    <w:ind w:left="-105" w:leftChars="-50" w:right="-105" w:rightChars="-50"/>
                    <w:contextualSpacing/>
                    <w:jc w:val="center"/>
                    <w:rPr>
                      <w:rFonts w:eastAsiaTheme="minorEastAsia"/>
                      <w:color w:val="auto"/>
                      <w:spacing w:val="-1"/>
                      <w:sz w:val="20"/>
                      <w:szCs w:val="20"/>
                    </w:rPr>
                  </w:pPr>
                  <w:r>
                    <w:rPr>
                      <w:rFonts w:hint="eastAsia" w:eastAsiaTheme="minorEastAsia"/>
                      <w:color w:val="auto"/>
                      <w:spacing w:val="-1"/>
                      <w:sz w:val="20"/>
                      <w:szCs w:val="20"/>
                    </w:rPr>
                    <w:t>4</w:t>
                  </w:r>
                </w:p>
              </w:tc>
              <w:tc>
                <w:tcPr>
                  <w:tcW w:w="975"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医疗废物</w:t>
                  </w:r>
                </w:p>
              </w:tc>
              <w:tc>
                <w:tcPr>
                  <w:tcW w:w="992"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门诊、住院、化验、过程</w:t>
                  </w:r>
                </w:p>
              </w:tc>
              <w:tc>
                <w:tcPr>
                  <w:tcW w:w="567" w:type="dxa"/>
                  <w:vMerge w:val="restart"/>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危险</w:t>
                  </w:r>
                </w:p>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废物</w:t>
                  </w:r>
                </w:p>
              </w:tc>
              <w:tc>
                <w:tcPr>
                  <w:tcW w:w="1134" w:type="dxa"/>
                  <w:vAlign w:val="center"/>
                </w:tcPr>
                <w:p>
                  <w:pPr>
                    <w:kinsoku w:val="0"/>
                    <w:wordWrap w:val="0"/>
                    <w:overflowPunct w:val="0"/>
                    <w:adjustRightInd w:val="0"/>
                    <w:snapToGrid w:val="0"/>
                    <w:ind w:left="-105" w:leftChars="-50" w:right="-105" w:rightChars="-50"/>
                    <w:contextualSpacing/>
                    <w:jc w:val="center"/>
                    <w:rPr>
                      <w:rFonts w:eastAsiaTheme="minorEastAsia"/>
                      <w:color w:val="auto"/>
                      <w:spacing w:val="-1"/>
                      <w:sz w:val="20"/>
                      <w:szCs w:val="20"/>
                    </w:rPr>
                  </w:pPr>
                  <w:r>
                    <w:rPr>
                      <w:color w:val="auto"/>
                      <w:spacing w:val="-1"/>
                      <w:sz w:val="20"/>
                      <w:szCs w:val="20"/>
                    </w:rPr>
                    <w:t>HW</w:t>
                  </w:r>
                  <w:r>
                    <w:rPr>
                      <w:rFonts w:hint="eastAsia" w:eastAsiaTheme="minorEastAsia"/>
                      <w:color w:val="auto"/>
                      <w:spacing w:val="-1"/>
                      <w:sz w:val="20"/>
                      <w:szCs w:val="20"/>
                    </w:rPr>
                    <w:t>01</w:t>
                  </w:r>
                </w:p>
                <w:p>
                  <w:pPr>
                    <w:kinsoku w:val="0"/>
                    <w:wordWrap w:val="0"/>
                    <w:overflowPunct w:val="0"/>
                    <w:adjustRightInd w:val="0"/>
                    <w:snapToGrid w:val="0"/>
                    <w:ind w:left="-105" w:leftChars="-50" w:right="-105" w:rightChars="-50"/>
                    <w:contextualSpacing/>
                    <w:jc w:val="center"/>
                    <w:rPr>
                      <w:rFonts w:eastAsiaTheme="minorEastAsia"/>
                      <w:color w:val="auto"/>
                      <w:spacing w:val="-1"/>
                      <w:sz w:val="20"/>
                      <w:szCs w:val="20"/>
                    </w:rPr>
                  </w:pPr>
                  <w:r>
                    <w:rPr>
                      <w:rFonts w:hint="eastAsia" w:eastAsiaTheme="minorEastAsia"/>
                      <w:color w:val="auto"/>
                      <w:spacing w:val="-1"/>
                      <w:sz w:val="20"/>
                      <w:szCs w:val="20"/>
                    </w:rPr>
                    <w:t>841</w:t>
                  </w:r>
                  <w:r>
                    <w:rPr>
                      <w:color w:val="auto"/>
                      <w:spacing w:val="-1"/>
                      <w:sz w:val="20"/>
                      <w:szCs w:val="20"/>
                    </w:rPr>
                    <w:t>-0</w:t>
                  </w:r>
                  <w:r>
                    <w:rPr>
                      <w:rFonts w:hint="eastAsia" w:eastAsiaTheme="minorEastAsia"/>
                      <w:color w:val="auto"/>
                      <w:spacing w:val="-1"/>
                      <w:sz w:val="20"/>
                      <w:szCs w:val="20"/>
                    </w:rPr>
                    <w:t>01</w:t>
                  </w:r>
                  <w:r>
                    <w:rPr>
                      <w:color w:val="auto"/>
                      <w:spacing w:val="-1"/>
                      <w:sz w:val="20"/>
                      <w:szCs w:val="20"/>
                    </w:rPr>
                    <w:t>-</w:t>
                  </w:r>
                  <w:r>
                    <w:rPr>
                      <w:rFonts w:hint="eastAsia" w:eastAsiaTheme="minorEastAsia"/>
                      <w:color w:val="auto"/>
                      <w:spacing w:val="-1"/>
                      <w:sz w:val="20"/>
                      <w:szCs w:val="20"/>
                    </w:rPr>
                    <w:t>01</w:t>
                  </w:r>
                </w:p>
                <w:p>
                  <w:pPr>
                    <w:kinsoku w:val="0"/>
                    <w:wordWrap w:val="0"/>
                    <w:overflowPunct w:val="0"/>
                    <w:adjustRightInd w:val="0"/>
                    <w:snapToGrid w:val="0"/>
                    <w:ind w:left="-105" w:leftChars="-50" w:right="-105" w:rightChars="-50"/>
                    <w:contextualSpacing/>
                    <w:jc w:val="center"/>
                    <w:rPr>
                      <w:rFonts w:eastAsiaTheme="minorEastAsia"/>
                      <w:color w:val="auto"/>
                      <w:spacing w:val="-1"/>
                      <w:sz w:val="20"/>
                      <w:szCs w:val="20"/>
                    </w:rPr>
                  </w:pPr>
                  <w:r>
                    <w:rPr>
                      <w:rFonts w:hint="eastAsia" w:eastAsiaTheme="minorEastAsia"/>
                      <w:color w:val="auto"/>
                      <w:spacing w:val="-1"/>
                      <w:sz w:val="20"/>
                      <w:szCs w:val="20"/>
                    </w:rPr>
                    <w:t>841</w:t>
                  </w:r>
                  <w:r>
                    <w:rPr>
                      <w:color w:val="auto"/>
                      <w:spacing w:val="-1"/>
                      <w:sz w:val="20"/>
                      <w:szCs w:val="20"/>
                    </w:rPr>
                    <w:t>-0</w:t>
                  </w:r>
                  <w:r>
                    <w:rPr>
                      <w:rFonts w:hint="eastAsia" w:eastAsiaTheme="minorEastAsia"/>
                      <w:color w:val="auto"/>
                      <w:spacing w:val="-1"/>
                      <w:sz w:val="20"/>
                      <w:szCs w:val="20"/>
                    </w:rPr>
                    <w:t>02</w:t>
                  </w:r>
                  <w:r>
                    <w:rPr>
                      <w:color w:val="auto"/>
                      <w:spacing w:val="-1"/>
                      <w:sz w:val="20"/>
                      <w:szCs w:val="20"/>
                    </w:rPr>
                    <w:t>-</w:t>
                  </w:r>
                  <w:r>
                    <w:rPr>
                      <w:rFonts w:hint="eastAsia" w:eastAsiaTheme="minorEastAsia"/>
                      <w:color w:val="auto"/>
                      <w:spacing w:val="-1"/>
                      <w:sz w:val="20"/>
                      <w:szCs w:val="20"/>
                    </w:rPr>
                    <w:t>01</w:t>
                  </w:r>
                </w:p>
                <w:p>
                  <w:pPr>
                    <w:kinsoku w:val="0"/>
                    <w:wordWrap w:val="0"/>
                    <w:overflowPunct w:val="0"/>
                    <w:adjustRightInd w:val="0"/>
                    <w:snapToGrid w:val="0"/>
                    <w:ind w:left="-105" w:leftChars="-50" w:right="-105" w:rightChars="-50"/>
                    <w:contextualSpacing/>
                    <w:jc w:val="center"/>
                    <w:rPr>
                      <w:rFonts w:eastAsiaTheme="minorEastAsia"/>
                      <w:color w:val="auto"/>
                      <w:spacing w:val="-1"/>
                      <w:sz w:val="20"/>
                      <w:szCs w:val="20"/>
                    </w:rPr>
                  </w:pPr>
                  <w:r>
                    <w:rPr>
                      <w:rFonts w:hint="eastAsia" w:eastAsiaTheme="minorEastAsia"/>
                      <w:color w:val="auto"/>
                      <w:spacing w:val="-1"/>
                      <w:sz w:val="20"/>
                      <w:szCs w:val="20"/>
                    </w:rPr>
                    <w:t>841</w:t>
                  </w:r>
                  <w:r>
                    <w:rPr>
                      <w:color w:val="auto"/>
                      <w:spacing w:val="-1"/>
                      <w:sz w:val="20"/>
                      <w:szCs w:val="20"/>
                    </w:rPr>
                    <w:t>-0</w:t>
                  </w:r>
                  <w:r>
                    <w:rPr>
                      <w:rFonts w:hint="eastAsia" w:eastAsiaTheme="minorEastAsia"/>
                      <w:color w:val="auto"/>
                      <w:spacing w:val="-1"/>
                      <w:sz w:val="20"/>
                      <w:szCs w:val="20"/>
                    </w:rPr>
                    <w:t>04</w:t>
                  </w:r>
                  <w:r>
                    <w:rPr>
                      <w:color w:val="auto"/>
                      <w:spacing w:val="-1"/>
                      <w:sz w:val="20"/>
                      <w:szCs w:val="20"/>
                    </w:rPr>
                    <w:t>-</w:t>
                  </w:r>
                  <w:r>
                    <w:rPr>
                      <w:rFonts w:hint="eastAsia" w:eastAsiaTheme="minorEastAsia"/>
                      <w:color w:val="auto"/>
                      <w:spacing w:val="-1"/>
                      <w:sz w:val="20"/>
                      <w:szCs w:val="20"/>
                    </w:rPr>
                    <w:t>01</w:t>
                  </w:r>
                </w:p>
                <w:p>
                  <w:pPr>
                    <w:kinsoku w:val="0"/>
                    <w:wordWrap w:val="0"/>
                    <w:overflowPunct w:val="0"/>
                    <w:adjustRightInd w:val="0"/>
                    <w:snapToGrid w:val="0"/>
                    <w:ind w:left="-105" w:leftChars="-50" w:right="-105" w:rightChars="-50"/>
                    <w:contextualSpacing/>
                    <w:jc w:val="center"/>
                    <w:rPr>
                      <w:rFonts w:eastAsiaTheme="minorEastAsia"/>
                      <w:color w:val="auto"/>
                      <w:spacing w:val="-1"/>
                      <w:sz w:val="20"/>
                      <w:szCs w:val="20"/>
                    </w:rPr>
                  </w:pPr>
                  <w:r>
                    <w:rPr>
                      <w:rFonts w:hint="eastAsia" w:eastAsiaTheme="minorEastAsia"/>
                      <w:color w:val="auto"/>
                      <w:spacing w:val="-1"/>
                      <w:sz w:val="20"/>
                      <w:szCs w:val="20"/>
                    </w:rPr>
                    <w:t>841</w:t>
                  </w:r>
                  <w:r>
                    <w:rPr>
                      <w:color w:val="auto"/>
                      <w:spacing w:val="-1"/>
                      <w:sz w:val="20"/>
                      <w:szCs w:val="20"/>
                    </w:rPr>
                    <w:t>-0</w:t>
                  </w:r>
                  <w:r>
                    <w:rPr>
                      <w:rFonts w:hint="eastAsia" w:eastAsiaTheme="minorEastAsia"/>
                      <w:color w:val="auto"/>
                      <w:spacing w:val="-1"/>
                      <w:sz w:val="20"/>
                      <w:szCs w:val="20"/>
                    </w:rPr>
                    <w:t>05</w:t>
                  </w:r>
                  <w:r>
                    <w:rPr>
                      <w:color w:val="auto"/>
                      <w:spacing w:val="-1"/>
                      <w:sz w:val="20"/>
                      <w:szCs w:val="20"/>
                    </w:rPr>
                    <w:t>-</w:t>
                  </w:r>
                  <w:r>
                    <w:rPr>
                      <w:rFonts w:hint="eastAsia" w:eastAsiaTheme="minorEastAsia"/>
                      <w:color w:val="auto"/>
                      <w:spacing w:val="-1"/>
                      <w:sz w:val="20"/>
                      <w:szCs w:val="20"/>
                    </w:rPr>
                    <w:t>01</w:t>
                  </w:r>
                </w:p>
              </w:tc>
              <w:tc>
                <w:tcPr>
                  <w:tcW w:w="709"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T/C/I/R</w:t>
                  </w:r>
                </w:p>
              </w:tc>
              <w:tc>
                <w:tcPr>
                  <w:tcW w:w="708"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液态</w:t>
                  </w:r>
                </w:p>
              </w:tc>
              <w:tc>
                <w:tcPr>
                  <w:tcW w:w="851"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1</w:t>
                  </w:r>
                  <w:r>
                    <w:rPr>
                      <w:rFonts w:hint="eastAsia"/>
                      <w:color w:val="auto"/>
                      <w:spacing w:val="-1"/>
                      <w:sz w:val="20"/>
                      <w:szCs w:val="20"/>
                      <w:lang w:val="en-US" w:eastAsia="zh-CN"/>
                    </w:rPr>
                    <w:t>4.417</w:t>
                  </w:r>
                  <w:r>
                    <w:rPr>
                      <w:color w:val="auto"/>
                      <w:spacing w:val="-1"/>
                      <w:sz w:val="20"/>
                      <w:szCs w:val="20"/>
                    </w:rPr>
                    <w:t>t/a</w:t>
                  </w:r>
                </w:p>
              </w:tc>
              <w:tc>
                <w:tcPr>
                  <w:tcW w:w="1714"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分类收集后，分别暂存于危险废物贮存设施，定期交由西安卫达实业发展有限公司处置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27" w:type="dxa"/>
                  <w:vAlign w:val="center"/>
                </w:tcPr>
                <w:p>
                  <w:pPr>
                    <w:kinsoku w:val="0"/>
                    <w:wordWrap w:val="0"/>
                    <w:overflowPunct w:val="0"/>
                    <w:adjustRightInd w:val="0"/>
                    <w:snapToGrid w:val="0"/>
                    <w:ind w:left="-105" w:leftChars="-50" w:right="-105" w:rightChars="-50"/>
                    <w:contextualSpacing/>
                    <w:jc w:val="center"/>
                    <w:rPr>
                      <w:rFonts w:eastAsiaTheme="minorEastAsia"/>
                      <w:color w:val="auto"/>
                      <w:spacing w:val="-1"/>
                      <w:sz w:val="20"/>
                      <w:szCs w:val="20"/>
                    </w:rPr>
                  </w:pPr>
                  <w:r>
                    <w:rPr>
                      <w:rFonts w:hint="eastAsia" w:eastAsiaTheme="minorEastAsia"/>
                      <w:color w:val="auto"/>
                      <w:spacing w:val="-1"/>
                      <w:sz w:val="20"/>
                      <w:szCs w:val="20"/>
                    </w:rPr>
                    <w:t>5</w:t>
                  </w:r>
                </w:p>
              </w:tc>
              <w:tc>
                <w:tcPr>
                  <w:tcW w:w="975"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污泥</w:t>
                  </w:r>
                </w:p>
              </w:tc>
              <w:tc>
                <w:tcPr>
                  <w:tcW w:w="992" w:type="dxa"/>
                  <w:vMerge w:val="restart"/>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污水处理站</w:t>
                  </w:r>
                </w:p>
              </w:tc>
              <w:tc>
                <w:tcPr>
                  <w:tcW w:w="567" w:type="dxa"/>
                  <w:vMerge w:val="continue"/>
                  <w:vAlign w:val="center"/>
                </w:tcPr>
                <w:p>
                  <w:pPr>
                    <w:widowControl/>
                    <w:wordWrap w:val="0"/>
                    <w:ind w:left="-105" w:leftChars="-50" w:right="-105" w:rightChars="-50"/>
                    <w:jc w:val="center"/>
                    <w:rPr>
                      <w:color w:val="auto"/>
                      <w:spacing w:val="-1"/>
                      <w:kern w:val="0"/>
                      <w:sz w:val="20"/>
                      <w:szCs w:val="20"/>
                    </w:rPr>
                  </w:pPr>
                </w:p>
              </w:tc>
              <w:tc>
                <w:tcPr>
                  <w:tcW w:w="1134"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HW01</w:t>
                  </w:r>
                </w:p>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841-001-01</w:t>
                  </w:r>
                </w:p>
              </w:tc>
              <w:tc>
                <w:tcPr>
                  <w:tcW w:w="709"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T/C/I/R</w:t>
                  </w:r>
                </w:p>
              </w:tc>
              <w:tc>
                <w:tcPr>
                  <w:tcW w:w="708"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固/</w:t>
                  </w:r>
                  <w:r>
                    <w:rPr>
                      <w:color w:val="auto"/>
                      <w:spacing w:val="-1"/>
                      <w:sz w:val="20"/>
                      <w:szCs w:val="20"/>
                    </w:rPr>
                    <w:t>液态</w:t>
                  </w:r>
                </w:p>
              </w:tc>
              <w:tc>
                <w:tcPr>
                  <w:tcW w:w="851"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eastAsiaTheme="minorEastAsia"/>
                      <w:color w:val="auto"/>
                      <w:spacing w:val="-1"/>
                      <w:sz w:val="20"/>
                      <w:szCs w:val="20"/>
                    </w:rPr>
                    <w:t>1.122</w:t>
                  </w:r>
                  <w:r>
                    <w:rPr>
                      <w:color w:val="auto"/>
                      <w:spacing w:val="-1"/>
                      <w:sz w:val="20"/>
                      <w:szCs w:val="20"/>
                    </w:rPr>
                    <w:t>t/a</w:t>
                  </w:r>
                </w:p>
              </w:tc>
              <w:tc>
                <w:tcPr>
                  <w:tcW w:w="1714" w:type="dxa"/>
                  <w:vMerge w:val="restart"/>
                  <w:vAlign w:val="center"/>
                </w:tcPr>
                <w:p>
                  <w:pPr>
                    <w:ind w:left="-105" w:leftChars="-50" w:right="-105" w:rightChars="-50"/>
                    <w:jc w:val="center"/>
                    <w:rPr>
                      <w:color w:val="auto"/>
                      <w:spacing w:val="-1"/>
                      <w:kern w:val="0"/>
                      <w:sz w:val="20"/>
                      <w:szCs w:val="20"/>
                    </w:rPr>
                  </w:pPr>
                  <w:r>
                    <w:rPr>
                      <w:color w:val="auto"/>
                      <w:spacing w:val="-1"/>
                      <w:sz w:val="20"/>
                      <w:szCs w:val="20"/>
                    </w:rPr>
                    <w:t>定期委托有资质单位处置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27" w:type="dxa"/>
                  <w:vAlign w:val="center"/>
                </w:tcPr>
                <w:p>
                  <w:pPr>
                    <w:kinsoku w:val="0"/>
                    <w:wordWrap w:val="0"/>
                    <w:overflowPunct w:val="0"/>
                    <w:adjustRightInd w:val="0"/>
                    <w:snapToGrid w:val="0"/>
                    <w:ind w:left="-105" w:leftChars="-50" w:right="-105" w:rightChars="-50"/>
                    <w:contextualSpacing/>
                    <w:jc w:val="center"/>
                    <w:rPr>
                      <w:rFonts w:eastAsiaTheme="minorEastAsia"/>
                      <w:color w:val="auto"/>
                      <w:spacing w:val="-1"/>
                      <w:sz w:val="20"/>
                      <w:szCs w:val="20"/>
                    </w:rPr>
                  </w:pPr>
                  <w:r>
                    <w:rPr>
                      <w:rFonts w:hint="eastAsia" w:eastAsiaTheme="minorEastAsia"/>
                      <w:color w:val="auto"/>
                      <w:spacing w:val="-1"/>
                      <w:sz w:val="20"/>
                      <w:szCs w:val="20"/>
                    </w:rPr>
                    <w:t>6</w:t>
                  </w:r>
                </w:p>
              </w:tc>
              <w:tc>
                <w:tcPr>
                  <w:tcW w:w="975"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废UV灯管</w:t>
                  </w:r>
                </w:p>
              </w:tc>
              <w:tc>
                <w:tcPr>
                  <w:tcW w:w="992" w:type="dxa"/>
                  <w:vMerge w:val="continue"/>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p>
              </w:tc>
              <w:tc>
                <w:tcPr>
                  <w:tcW w:w="567" w:type="dxa"/>
                  <w:vMerge w:val="continue"/>
                  <w:vAlign w:val="center"/>
                </w:tcPr>
                <w:p>
                  <w:pPr>
                    <w:widowControl/>
                    <w:wordWrap w:val="0"/>
                    <w:ind w:left="-105" w:leftChars="-50" w:right="-105" w:rightChars="-50"/>
                    <w:jc w:val="center"/>
                    <w:rPr>
                      <w:color w:val="auto"/>
                      <w:spacing w:val="-1"/>
                      <w:kern w:val="0"/>
                      <w:sz w:val="20"/>
                      <w:szCs w:val="20"/>
                    </w:rPr>
                  </w:pPr>
                </w:p>
              </w:tc>
              <w:tc>
                <w:tcPr>
                  <w:tcW w:w="1134"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HW029</w:t>
                  </w:r>
                </w:p>
                <w:p>
                  <w:pPr>
                    <w:kinsoku w:val="0"/>
                    <w:wordWrap w:val="0"/>
                    <w:overflowPunct w:val="0"/>
                    <w:adjustRightInd w:val="0"/>
                    <w:snapToGrid w:val="0"/>
                    <w:ind w:left="-105" w:leftChars="-50" w:right="-105" w:rightChars="-50"/>
                    <w:contextualSpacing/>
                    <w:jc w:val="center"/>
                    <w:rPr>
                      <w:color w:val="auto"/>
                      <w:spacing w:val="-1"/>
                      <w:sz w:val="20"/>
                      <w:szCs w:val="20"/>
                    </w:rPr>
                  </w:pPr>
                  <w:r>
                    <w:rPr>
                      <w:rFonts w:hint="eastAsia"/>
                      <w:color w:val="auto"/>
                      <w:spacing w:val="-1"/>
                      <w:sz w:val="20"/>
                      <w:szCs w:val="20"/>
                    </w:rPr>
                    <w:t>900-023-29</w:t>
                  </w:r>
                </w:p>
              </w:tc>
              <w:tc>
                <w:tcPr>
                  <w:tcW w:w="709"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T/C/I/R</w:t>
                  </w:r>
                </w:p>
              </w:tc>
              <w:tc>
                <w:tcPr>
                  <w:tcW w:w="708"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固态</w:t>
                  </w:r>
                </w:p>
              </w:tc>
              <w:tc>
                <w:tcPr>
                  <w:tcW w:w="851" w:type="dxa"/>
                  <w:vAlign w:val="center"/>
                </w:tcPr>
                <w:p>
                  <w:pPr>
                    <w:kinsoku w:val="0"/>
                    <w:wordWrap w:val="0"/>
                    <w:overflowPunct w:val="0"/>
                    <w:adjustRightInd w:val="0"/>
                    <w:snapToGrid w:val="0"/>
                    <w:ind w:left="-105" w:leftChars="-50" w:right="-105" w:rightChars="-50"/>
                    <w:contextualSpacing/>
                    <w:jc w:val="center"/>
                    <w:rPr>
                      <w:color w:val="auto"/>
                      <w:spacing w:val="-1"/>
                      <w:sz w:val="20"/>
                      <w:szCs w:val="20"/>
                    </w:rPr>
                  </w:pPr>
                  <w:r>
                    <w:rPr>
                      <w:color w:val="auto"/>
                      <w:spacing w:val="-1"/>
                      <w:sz w:val="20"/>
                      <w:szCs w:val="20"/>
                    </w:rPr>
                    <w:t>0.</w:t>
                  </w:r>
                  <w:r>
                    <w:rPr>
                      <w:rFonts w:hint="eastAsia"/>
                      <w:color w:val="auto"/>
                      <w:spacing w:val="-1"/>
                      <w:sz w:val="20"/>
                      <w:szCs w:val="20"/>
                      <w:lang w:val="en-US" w:eastAsia="zh-CN"/>
                    </w:rPr>
                    <w:t>0</w:t>
                  </w:r>
                  <w:r>
                    <w:rPr>
                      <w:rFonts w:hint="eastAsia" w:eastAsiaTheme="minorEastAsia"/>
                      <w:color w:val="auto"/>
                      <w:spacing w:val="-1"/>
                      <w:sz w:val="20"/>
                      <w:szCs w:val="20"/>
                      <w:lang w:val="en-US" w:eastAsia="zh-CN"/>
                    </w:rPr>
                    <w:t>5</w:t>
                  </w:r>
                  <w:r>
                    <w:rPr>
                      <w:color w:val="auto"/>
                      <w:spacing w:val="-1"/>
                      <w:sz w:val="20"/>
                      <w:szCs w:val="20"/>
                    </w:rPr>
                    <w:t>t/a</w:t>
                  </w:r>
                </w:p>
              </w:tc>
              <w:tc>
                <w:tcPr>
                  <w:tcW w:w="1714" w:type="dxa"/>
                  <w:vMerge w:val="continue"/>
                  <w:vAlign w:val="center"/>
                </w:tcPr>
                <w:p>
                  <w:pPr>
                    <w:widowControl/>
                    <w:wordWrap w:val="0"/>
                    <w:ind w:left="-105" w:leftChars="-50" w:right="-105" w:rightChars="-50"/>
                    <w:jc w:val="left"/>
                    <w:rPr>
                      <w:color w:val="auto"/>
                      <w:spacing w:val="-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77" w:type="dxa"/>
                  <w:gridSpan w:val="9"/>
                  <w:vAlign w:val="center"/>
                </w:tcPr>
                <w:p>
                  <w:pPr>
                    <w:keepNext w:val="0"/>
                    <w:keepLines w:val="0"/>
                    <w:pageBreakBefore w:val="0"/>
                    <w:widowControl w:val="0"/>
                    <w:kinsoku w:val="0"/>
                    <w:wordWrap w:val="0"/>
                    <w:overflowPunct w:val="0"/>
                    <w:topLinePunct w:val="0"/>
                    <w:autoSpaceDE/>
                    <w:autoSpaceDN/>
                    <w:bidi w:val="0"/>
                    <w:adjustRightInd w:val="0"/>
                    <w:snapToGrid w:val="0"/>
                    <w:ind w:left="291" w:leftChars="-50" w:right="-105" w:rightChars="-50" w:hanging="396" w:hangingChars="200"/>
                    <w:contextualSpacing/>
                    <w:jc w:val="both"/>
                    <w:textAlignment w:val="auto"/>
                    <w:rPr>
                      <w:color w:val="auto"/>
                      <w:spacing w:val="-1"/>
                      <w:kern w:val="0"/>
                      <w:sz w:val="20"/>
                      <w:szCs w:val="20"/>
                    </w:rPr>
                  </w:pPr>
                  <w:r>
                    <w:rPr>
                      <w:rFonts w:hint="eastAsia"/>
                      <w:color w:val="auto"/>
                      <w:spacing w:val="-1"/>
                      <w:sz w:val="20"/>
                      <w:szCs w:val="20"/>
                      <w:lang w:val="en-US" w:eastAsia="zh-CN"/>
                    </w:rPr>
                    <w:t>注</w:t>
                  </w:r>
                  <w:r>
                    <w:rPr>
                      <w:rFonts w:hint="eastAsia"/>
                      <w:color w:val="auto"/>
                      <w:spacing w:val="-1"/>
                      <w:sz w:val="20"/>
                      <w:szCs w:val="20"/>
                    </w:rPr>
                    <w:t>：根据《国家危险废物名录(2021 版)》，“T”表示“毒性”、“I”表示“易燃性”、“C”表示“腐蚀性”、“R”表示“反应性”、“In”表示感染性。一般工业固体废物代码编制依据为《固体废物分类与代码目录》(公告2024年第4号)</w:t>
                  </w:r>
                </w:p>
              </w:tc>
            </w:tr>
          </w:tbl>
          <w:p>
            <w:pPr>
              <w:pStyle w:val="12"/>
              <w:spacing w:before="120" w:beforeLines="50"/>
              <w:rPr>
                <w:color w:val="auto"/>
              </w:rPr>
            </w:pPr>
            <w:r>
              <w:rPr>
                <w:color w:val="auto"/>
              </w:rPr>
              <w:t>2、环境管理要求</w:t>
            </w:r>
          </w:p>
          <w:p>
            <w:pPr>
              <w:pStyle w:val="23"/>
              <w:ind w:firstLine="480"/>
              <w:rPr>
                <w:color w:val="auto"/>
              </w:rPr>
            </w:pPr>
            <w:r>
              <w:rPr>
                <w:rFonts w:hint="eastAsia"/>
                <w:color w:val="auto"/>
              </w:rPr>
              <w:t>①</w:t>
            </w:r>
            <w:r>
              <w:rPr>
                <w:color w:val="auto"/>
              </w:rPr>
              <w:t>对一般固废存放区进行简单的硬化处理，建设要符合《一般工业固体废物贮存和填埋污染控制标准》（GB18599-2020）中的要求</w:t>
            </w:r>
            <w:r>
              <w:rPr>
                <w:rFonts w:hint="eastAsia"/>
                <w:color w:val="auto"/>
              </w:rPr>
              <w:t>。做好定点、分类、妥善存放各固废；一般固废暂存场所需做好防雨和防火措施，防止二次污染发生。</w:t>
            </w:r>
          </w:p>
          <w:p>
            <w:pPr>
              <w:pStyle w:val="23"/>
              <w:ind w:firstLine="480"/>
              <w:rPr>
                <w:rFonts w:hint="eastAsia"/>
                <w:color w:val="auto"/>
              </w:rPr>
            </w:pPr>
            <w:r>
              <w:rPr>
                <w:rFonts w:hint="eastAsia"/>
                <w:color w:val="auto"/>
              </w:rPr>
              <w:t>②本项目产生的</w:t>
            </w:r>
            <w:r>
              <w:rPr>
                <w:rFonts w:hint="eastAsia"/>
                <w:color w:val="auto"/>
                <w:lang w:val="en-US" w:eastAsia="zh-CN"/>
              </w:rPr>
              <w:t>医疗废物</w:t>
            </w:r>
            <w:r>
              <w:rPr>
                <w:rFonts w:hint="eastAsia"/>
                <w:color w:val="auto"/>
              </w:rPr>
              <w:t>依托现有</w:t>
            </w:r>
            <w:r>
              <w:rPr>
                <w:color w:val="auto"/>
              </w:rPr>
              <w:t>医疗废物贮存库</w:t>
            </w:r>
            <w:r>
              <w:rPr>
                <w:rFonts w:hint="eastAsia"/>
                <w:color w:val="auto"/>
              </w:rPr>
              <w:t>，现有项目</w:t>
            </w:r>
            <w:r>
              <w:rPr>
                <w:color w:val="auto"/>
              </w:rPr>
              <w:t>医疗废物贮存库</w:t>
            </w:r>
            <w:r>
              <w:rPr>
                <w:rFonts w:hint="eastAsia"/>
                <w:color w:val="auto"/>
              </w:rPr>
              <w:t>面积1</w:t>
            </w:r>
            <w:r>
              <w:rPr>
                <w:color w:val="auto"/>
              </w:rPr>
              <w:t>0m</w:t>
            </w:r>
            <w:r>
              <w:rPr>
                <w:color w:val="auto"/>
                <w:vertAlign w:val="superscript"/>
              </w:rPr>
              <w:t>2</w:t>
            </w:r>
            <w:r>
              <w:rPr>
                <w:rFonts w:hint="eastAsia"/>
                <w:color w:val="auto"/>
                <w:lang w:eastAsia="zh-CN"/>
              </w:rPr>
              <w:t>。</w:t>
            </w:r>
            <w:r>
              <w:rPr>
                <w:color w:val="auto"/>
              </w:rPr>
              <w:t>现场勘查医疗废物贮存库</w:t>
            </w:r>
            <w:r>
              <w:rPr>
                <w:rFonts w:hint="eastAsia"/>
                <w:color w:val="auto"/>
              </w:rPr>
              <w:t>存放主要为</w:t>
            </w:r>
            <w:r>
              <w:rPr>
                <w:rFonts w:hint="eastAsia"/>
                <w:color w:val="auto"/>
                <w:lang w:val="en-US" w:eastAsia="zh-CN"/>
              </w:rPr>
              <w:t>感染性、损伤性等医疗废物</w:t>
            </w:r>
            <w:r>
              <w:rPr>
                <w:rFonts w:hint="eastAsia"/>
                <w:color w:val="auto"/>
              </w:rPr>
              <w:t>，占医疗废物贮存库总面积的1/</w:t>
            </w:r>
            <w:r>
              <w:rPr>
                <w:rFonts w:hint="eastAsia"/>
                <w:color w:val="auto"/>
                <w:lang w:val="en-US" w:eastAsia="zh-CN"/>
              </w:rPr>
              <w:t>6</w:t>
            </w:r>
            <w:r>
              <w:rPr>
                <w:rFonts w:hint="eastAsia"/>
                <w:color w:val="auto"/>
              </w:rPr>
              <w:t>，本项目新增</w:t>
            </w:r>
            <w:r>
              <w:rPr>
                <w:rFonts w:hint="eastAsia"/>
                <w:color w:val="auto"/>
                <w:lang w:val="en-US" w:eastAsia="zh-CN"/>
              </w:rPr>
              <w:t>医疗废物</w:t>
            </w:r>
            <w:r>
              <w:rPr>
                <w:rFonts w:hint="eastAsia"/>
                <w:color w:val="auto"/>
              </w:rPr>
              <w:t>产生量较小，加强转运周期，厂区内现有医疗废物贮存库可容纳新增医疗废物的存放。</w:t>
            </w:r>
          </w:p>
          <w:p>
            <w:pPr>
              <w:pStyle w:val="23"/>
              <w:ind w:firstLine="480"/>
              <w:rPr>
                <w:rFonts w:ascii="宋体" w:hAnsi="宋体"/>
                <w:color w:val="auto"/>
              </w:rPr>
            </w:pPr>
            <w:r>
              <w:rPr>
                <w:rFonts w:hint="eastAsia"/>
                <w:color w:val="auto"/>
                <w:lang w:val="en-US" w:eastAsia="zh-CN"/>
              </w:rPr>
              <w:t>③</w:t>
            </w:r>
            <w:r>
              <w:rPr>
                <w:color w:val="auto"/>
              </w:rPr>
              <w:t>项目</w:t>
            </w:r>
            <w:r>
              <w:rPr>
                <w:rFonts w:hint="eastAsia"/>
                <w:color w:val="auto"/>
              </w:rPr>
              <w:t>依托现有</w:t>
            </w:r>
            <w:r>
              <w:rPr>
                <w:color w:val="auto"/>
              </w:rPr>
              <w:t>医疗废物贮存库（约10m</w:t>
            </w:r>
            <w:r>
              <w:rPr>
                <w:color w:val="auto"/>
                <w:vertAlign w:val="superscript"/>
              </w:rPr>
              <w:t>2</w:t>
            </w:r>
            <w:r>
              <w:rPr>
                <w:color w:val="auto"/>
              </w:rPr>
              <w:t>），主要用于</w:t>
            </w:r>
            <w:r>
              <w:rPr>
                <w:rFonts w:hint="eastAsia"/>
                <w:color w:val="auto"/>
              </w:rPr>
              <w:t>医疗废物</w:t>
            </w:r>
            <w:r>
              <w:rPr>
                <w:color w:val="auto"/>
              </w:rPr>
              <w:t>的暂存。医院将医疗废物管理纳入到日常管理工作，根据环保及卫生防疫要求制定相应的管理制度并落实到具体</w:t>
            </w:r>
            <w:r>
              <w:rPr>
                <w:rFonts w:ascii="宋体" w:hAnsi="宋体"/>
                <w:color w:val="auto"/>
              </w:rPr>
              <w:t>科室，落实医疗废物管理的具体负责人，指定专人负责本医疗单位所产生的医疗废物的统一收集、包装、贮存和转移工作。按医疗废物分类及医疗废物包装要求分类收集本项目所产生的医疗废物，并按照要求进行妥善包装，各科室产生的医疗废物经消毒，放置在专门的收集容器内。</w:t>
            </w:r>
          </w:p>
          <w:p>
            <w:pPr>
              <w:spacing w:line="360" w:lineRule="auto"/>
              <w:ind w:firstLine="480"/>
              <w:rPr>
                <w:color w:val="auto"/>
                <w:sz w:val="24"/>
              </w:rPr>
            </w:pPr>
            <w:r>
              <w:rPr>
                <w:color w:val="auto"/>
                <w:sz w:val="24"/>
              </w:rPr>
              <w:t>本项目所产生的输液瓶（袋）分为被污染的输液瓶（袋）和未被污染的输液瓶（袋），根据《关于在医疗机构推进生活垃圾分类管理的通知》（国卫办医发2017-30号）关于使用后输液瓶（袋）的分类管理要求：未被污染的的输液瓶（袋）属于可回收物，可交由再生资源回收单位处置；而被污染的输液瓶（袋）则按照医疗废物相关要求进行处理。</w:t>
            </w:r>
          </w:p>
          <w:p>
            <w:pPr>
              <w:keepNext w:val="0"/>
              <w:keepLines w:val="0"/>
              <w:pageBreakBefore w:val="0"/>
              <w:widowControl w:val="0"/>
              <w:kinsoku/>
              <w:wordWrap w:val="0"/>
              <w:overflowPunct/>
              <w:topLinePunct w:val="0"/>
              <w:autoSpaceDE/>
              <w:autoSpaceDN/>
              <w:bidi w:val="0"/>
              <w:adjustRightInd/>
              <w:snapToGrid/>
              <w:spacing w:line="360" w:lineRule="auto"/>
              <w:ind w:firstLine="482"/>
              <w:textAlignment w:val="auto"/>
              <w:rPr>
                <w:color w:val="auto"/>
                <w:sz w:val="24"/>
              </w:rPr>
            </w:pPr>
            <w:r>
              <w:rPr>
                <w:color w:val="auto"/>
                <w:sz w:val="24"/>
              </w:rPr>
              <w:t>环评要求建设单位需按照《医疗废物管理条例》、《医疗废物处理处置污染控制标准》（GB 39707</w:t>
            </w:r>
            <w:r>
              <w:rPr>
                <w:rFonts w:hint="eastAsia"/>
                <w:color w:val="auto"/>
                <w:sz w:val="24"/>
              </w:rPr>
              <w:t>-</w:t>
            </w:r>
            <w:r>
              <w:rPr>
                <w:color w:val="auto"/>
                <w:sz w:val="24"/>
              </w:rPr>
              <w:t>2020）等相关要求设置专门的医疗废物临时贮存间，将已分类包装的医疗废物置于专用的密闭收集容器内，贮存间应设置明显的警示标志，并派专人负责管理，及时由处置单位清理转运。医疗废物贮存间应避免阳光直射，并有良好的照明设备和通风条件；暂存位置地面及墙面必须做防渗处理，地基高度可以确保不受雨洪冲击或浸泡；与医疗区、人员活动密集区以及生活垃圾存放地分开，并设置防鼠、防蚊蝇、防蟑螂、防盗以及预防儿童接触等安全措施。医疗废物的暂时贮存设施、设备定期消毒和清洁。同时，危险废物的收集、储存和运输等均应符合《医疗废物处理处置污染控制标准》（GB 39707</w:t>
            </w:r>
            <w:r>
              <w:rPr>
                <w:rFonts w:hint="eastAsia"/>
                <w:color w:val="auto"/>
                <w:sz w:val="24"/>
                <w:lang w:val="en-US" w:eastAsia="zh-CN"/>
              </w:rPr>
              <w:t>-</w:t>
            </w:r>
            <w:r>
              <w:rPr>
                <w:color w:val="auto"/>
                <w:sz w:val="24"/>
              </w:rPr>
              <w:t>2020）</w:t>
            </w:r>
            <w:r>
              <w:rPr>
                <w:rFonts w:hint="eastAsia"/>
                <w:color w:val="auto"/>
                <w:sz w:val="24"/>
                <w:lang w:val="en-US" w:eastAsia="zh-CN"/>
              </w:rPr>
              <w:t>及</w:t>
            </w:r>
            <w:r>
              <w:rPr>
                <w:rFonts w:hint="eastAsia"/>
                <w:color w:val="auto"/>
                <w:sz w:val="24"/>
              </w:rPr>
              <w:t>《危险废物贮存污染控制标准》（</w:t>
            </w:r>
            <w:r>
              <w:rPr>
                <w:rFonts w:hint="default"/>
                <w:color w:val="auto"/>
                <w:sz w:val="24"/>
              </w:rPr>
              <w:t>GB18597-20</w:t>
            </w:r>
            <w:r>
              <w:rPr>
                <w:rFonts w:hint="eastAsia"/>
                <w:color w:val="auto"/>
                <w:sz w:val="24"/>
              </w:rPr>
              <w:t>23）</w:t>
            </w:r>
            <w:r>
              <w:rPr>
                <w:color w:val="auto"/>
                <w:sz w:val="24"/>
              </w:rPr>
              <w:t>中的相关规定要求。</w:t>
            </w:r>
          </w:p>
          <w:p>
            <w:pPr>
              <w:spacing w:line="360" w:lineRule="auto"/>
              <w:ind w:firstLine="480"/>
              <w:rPr>
                <w:color w:val="auto"/>
                <w:sz w:val="24"/>
              </w:rPr>
            </w:pPr>
            <w:r>
              <w:rPr>
                <w:color w:val="auto"/>
                <w:sz w:val="24"/>
              </w:rPr>
              <w:t>综上，本项目在做好以上污染防治措施的基础上，其运营期各种固废均可得到有效处置，不会产生二次污染，对环境影响较小。</w:t>
            </w:r>
          </w:p>
          <w:p>
            <w:pPr>
              <w:tabs>
                <w:tab w:val="left" w:pos="480"/>
              </w:tabs>
              <w:spacing w:line="360" w:lineRule="auto"/>
              <w:ind w:firstLine="482"/>
              <w:rPr>
                <w:b/>
                <w:bCs/>
                <w:color w:val="auto"/>
                <w:sz w:val="24"/>
                <w:szCs w:val="32"/>
              </w:rPr>
            </w:pPr>
            <w:r>
              <w:rPr>
                <w:b/>
                <w:bCs/>
                <w:color w:val="auto"/>
                <w:sz w:val="24"/>
                <w:szCs w:val="32"/>
              </w:rPr>
              <w:t>五、地下水、土壤</w:t>
            </w:r>
          </w:p>
          <w:p>
            <w:pPr>
              <w:widowControl/>
              <w:spacing w:line="360" w:lineRule="auto"/>
              <w:ind w:firstLine="480" w:firstLineChars="200"/>
              <w:rPr>
                <w:color w:val="auto"/>
                <w:kern w:val="0"/>
                <w:sz w:val="24"/>
                <w:lang w:bidi="ar"/>
              </w:rPr>
            </w:pPr>
            <w:r>
              <w:rPr>
                <w:rFonts w:hint="eastAsia"/>
                <w:color w:val="auto"/>
                <w:kern w:val="0"/>
                <w:sz w:val="24"/>
                <w:lang w:bidi="ar"/>
              </w:rPr>
              <w:t xml:space="preserve">（1）地下水、土壤污染源 </w:t>
            </w:r>
          </w:p>
          <w:p>
            <w:pPr>
              <w:widowControl/>
              <w:spacing w:line="360" w:lineRule="auto"/>
              <w:ind w:firstLine="480" w:firstLineChars="200"/>
              <w:rPr>
                <w:color w:val="auto"/>
                <w:kern w:val="0"/>
                <w:sz w:val="24"/>
                <w:lang w:bidi="ar"/>
              </w:rPr>
            </w:pPr>
            <w:r>
              <w:rPr>
                <w:color w:val="auto"/>
                <w:kern w:val="0"/>
                <w:sz w:val="24"/>
                <w:lang w:bidi="ar"/>
              </w:rPr>
              <w:t>项目对地下水和土壤可能造成影响的污染源为污水处理设施、污水管线及医疗废物贮存间。在构筑物防渗措施不到位，医疗废物的存放容器发生破损时，可能会对区域土壤及地下水造成影响。污水管线及设备跑、冒、滴、漏造成污水泄漏时，可能会通过包气带污染地下水。</w:t>
            </w:r>
          </w:p>
          <w:p>
            <w:pPr>
              <w:widowControl/>
              <w:spacing w:line="360" w:lineRule="auto"/>
              <w:ind w:firstLine="480" w:firstLineChars="200"/>
              <w:rPr>
                <w:color w:val="auto"/>
                <w:kern w:val="0"/>
                <w:sz w:val="24"/>
                <w:lang w:bidi="ar"/>
              </w:rPr>
            </w:pPr>
            <w:r>
              <w:rPr>
                <w:rFonts w:hint="eastAsia"/>
                <w:color w:val="auto"/>
                <w:kern w:val="0"/>
                <w:sz w:val="24"/>
                <w:lang w:bidi="ar"/>
              </w:rPr>
              <w:t>（2）污染物类型和污染途径</w:t>
            </w:r>
          </w:p>
          <w:p>
            <w:pPr>
              <w:widowControl/>
              <w:spacing w:line="360" w:lineRule="auto"/>
              <w:ind w:firstLine="480" w:firstLineChars="200"/>
              <w:rPr>
                <w:color w:val="auto"/>
                <w:kern w:val="0"/>
                <w:sz w:val="24"/>
                <w:lang w:bidi="ar"/>
              </w:rPr>
            </w:pPr>
            <w:r>
              <w:rPr>
                <w:rFonts w:hint="eastAsia"/>
                <w:color w:val="auto"/>
                <w:kern w:val="0"/>
                <w:sz w:val="24"/>
                <w:lang w:bidi="ar"/>
              </w:rPr>
              <w:t>污染物类型为医疗废物贮存间存放的医疗废物以及污水处理设施内的废水，污染途径为垂直入渗。</w:t>
            </w:r>
          </w:p>
          <w:p>
            <w:pPr>
              <w:widowControl/>
              <w:spacing w:line="360" w:lineRule="auto"/>
              <w:ind w:firstLine="480" w:firstLineChars="200"/>
              <w:rPr>
                <w:color w:val="auto"/>
                <w:kern w:val="0"/>
                <w:sz w:val="24"/>
                <w:lang w:bidi="ar"/>
              </w:rPr>
            </w:pPr>
            <w:r>
              <w:rPr>
                <w:color w:val="auto"/>
                <w:kern w:val="0"/>
                <w:sz w:val="24"/>
                <w:lang w:bidi="ar"/>
              </w:rPr>
              <w:t>（3）防控措施</w:t>
            </w:r>
          </w:p>
          <w:p>
            <w:pPr>
              <w:pStyle w:val="12"/>
              <w:rPr>
                <w:color w:val="auto"/>
                <w:kern w:val="0"/>
                <w:lang w:bidi="ar"/>
              </w:rPr>
            </w:pPr>
            <w:r>
              <w:rPr>
                <w:color w:val="auto"/>
                <w:lang w:bidi="ar"/>
              </w:rPr>
              <w:t>医院内的医疗废物经收集后先采用完好无损的容器盛装，医疗废物</w:t>
            </w:r>
            <w:r>
              <w:rPr>
                <w:rFonts w:hint="eastAsia"/>
                <w:color w:val="auto"/>
                <w:lang w:bidi="ar"/>
              </w:rPr>
              <w:t>贮存库</w:t>
            </w:r>
            <w:r>
              <w:rPr>
                <w:color w:val="auto"/>
                <w:lang w:bidi="ar"/>
              </w:rPr>
              <w:t>地面采取硬化</w:t>
            </w:r>
            <w:r>
              <w:rPr>
                <w:rFonts w:hint="eastAsia"/>
                <w:color w:val="auto"/>
                <w:lang w:bidi="ar"/>
              </w:rPr>
              <w:t>；医疗废物贮存库及</w:t>
            </w:r>
            <w:r>
              <w:rPr>
                <w:color w:val="auto"/>
              </w:rPr>
              <w:t>一体化污水处理设备</w:t>
            </w:r>
            <w:r>
              <w:rPr>
                <w:rFonts w:hint="eastAsia"/>
                <w:color w:val="auto"/>
              </w:rPr>
              <w:t>均为</w:t>
            </w:r>
            <w:r>
              <w:rPr>
                <w:color w:val="auto"/>
                <w:kern w:val="0"/>
                <w:lang w:bidi="ar"/>
              </w:rPr>
              <w:t>重点防渗区，可有效防止</w:t>
            </w:r>
            <w:r>
              <w:rPr>
                <w:rFonts w:hint="eastAsia"/>
                <w:color w:val="auto"/>
                <w:kern w:val="0"/>
                <w:lang w:bidi="ar"/>
              </w:rPr>
              <w:t>跑冒滴漏等</w:t>
            </w:r>
            <w:r>
              <w:rPr>
                <w:color w:val="auto"/>
                <w:kern w:val="0"/>
                <w:lang w:bidi="ar"/>
              </w:rPr>
              <w:t>对大气、地表水、地下水和土壤的不利影响。</w:t>
            </w:r>
          </w:p>
          <w:p>
            <w:pPr>
              <w:widowControl/>
              <w:spacing w:line="360" w:lineRule="auto"/>
              <w:ind w:firstLine="480" w:firstLineChars="200"/>
              <w:rPr>
                <w:color w:val="auto"/>
                <w:kern w:val="0"/>
                <w:sz w:val="24"/>
                <w:lang w:bidi="ar"/>
              </w:rPr>
            </w:pPr>
            <w:r>
              <w:rPr>
                <w:color w:val="auto"/>
                <w:kern w:val="0"/>
                <w:sz w:val="24"/>
                <w:lang w:bidi="ar"/>
              </w:rPr>
              <w:t>综上所述，通过采取对医疗废物贮存间和一体化污水处理设施加大防渗力度、完善防渗措施，加强现场管理等措施，可以避免对周围地下水和土壤产生不良影响。</w:t>
            </w:r>
          </w:p>
          <w:p>
            <w:pPr>
              <w:adjustRightInd w:val="0"/>
              <w:snapToGrid w:val="0"/>
              <w:spacing w:line="360" w:lineRule="auto"/>
              <w:ind w:firstLine="482" w:firstLineChars="200"/>
              <w:rPr>
                <w:b/>
                <w:bCs/>
                <w:color w:val="auto"/>
                <w:sz w:val="24"/>
                <w:szCs w:val="32"/>
              </w:rPr>
            </w:pPr>
            <w:r>
              <w:rPr>
                <w:b/>
                <w:bCs/>
                <w:color w:val="auto"/>
                <w:sz w:val="24"/>
                <w:szCs w:val="32"/>
              </w:rPr>
              <w:t>六、</w:t>
            </w:r>
            <w:r>
              <w:rPr>
                <w:rFonts w:hint="eastAsia"/>
                <w:b/>
                <w:bCs/>
                <w:color w:val="auto"/>
                <w:sz w:val="24"/>
                <w:szCs w:val="32"/>
              </w:rPr>
              <w:t>环境</w:t>
            </w:r>
            <w:r>
              <w:rPr>
                <w:b/>
                <w:bCs/>
                <w:color w:val="auto"/>
                <w:sz w:val="24"/>
                <w:szCs w:val="32"/>
              </w:rPr>
              <w:t>风险</w:t>
            </w:r>
          </w:p>
          <w:p>
            <w:pPr>
              <w:pStyle w:val="12"/>
              <w:rPr>
                <w:color w:val="auto"/>
              </w:rPr>
            </w:pPr>
            <w:r>
              <w:rPr>
                <w:color w:val="auto"/>
                <w:szCs w:val="32"/>
              </w:rPr>
              <w:t>1、环境风险</w:t>
            </w:r>
            <w:r>
              <w:rPr>
                <w:color w:val="auto"/>
              </w:rPr>
              <w:t>调查</w:t>
            </w:r>
          </w:p>
          <w:p>
            <w:pPr>
              <w:pStyle w:val="12"/>
              <w:rPr>
                <w:color w:val="auto"/>
              </w:rPr>
            </w:pPr>
            <w:r>
              <w:rPr>
                <w:rFonts w:hint="eastAsia"/>
                <w:color w:val="auto"/>
              </w:rPr>
              <w:t>根据《建设项目</w:t>
            </w:r>
            <w:r>
              <w:rPr>
                <w:color w:val="auto"/>
              </w:rPr>
              <w:t>环境风险评价技术导则》（HJ169-2018）表1、附录B及附录C，结合《企业突发环境事件风险分级方</w:t>
            </w:r>
            <w:r>
              <w:rPr>
                <w:rFonts w:ascii="宋体" w:hAnsi="宋体"/>
                <w:color w:val="auto"/>
              </w:rPr>
              <w:t>法》（</w:t>
            </w:r>
            <w:r>
              <w:rPr>
                <w:color w:val="auto"/>
              </w:rPr>
              <w:t>HJ941-2018</w:t>
            </w:r>
            <w:r>
              <w:rPr>
                <w:rFonts w:ascii="宋体" w:hAnsi="宋体"/>
                <w:color w:val="auto"/>
              </w:rPr>
              <w:t>）中规定，本项目涉及风险物质为</w:t>
            </w:r>
            <w:r>
              <w:rPr>
                <w:rFonts w:hint="eastAsia" w:ascii="宋体" w:hAnsi="宋体"/>
                <w:color w:val="auto"/>
              </w:rPr>
              <w:t>医用酒精</w:t>
            </w:r>
            <w:r>
              <w:rPr>
                <w:rFonts w:ascii="宋体" w:hAnsi="宋体"/>
                <w:color w:val="auto"/>
              </w:rPr>
              <w:t>。风险物质存储</w:t>
            </w:r>
            <w:r>
              <w:rPr>
                <w:rFonts w:hint="eastAsia" w:ascii="宋体" w:hAnsi="宋体"/>
                <w:color w:val="auto"/>
              </w:rPr>
              <w:t>、</w:t>
            </w:r>
            <w:r>
              <w:rPr>
                <w:rFonts w:ascii="宋体" w:hAnsi="宋体"/>
                <w:color w:val="auto"/>
              </w:rPr>
              <w:t>分布</w:t>
            </w:r>
            <w:r>
              <w:rPr>
                <w:rFonts w:hint="eastAsia" w:ascii="宋体" w:hAnsi="宋体"/>
                <w:color w:val="auto"/>
              </w:rPr>
              <w:t>及</w:t>
            </w:r>
            <w:r>
              <w:rPr>
                <w:rFonts w:ascii="宋体" w:hAnsi="宋体"/>
                <w:color w:val="auto"/>
              </w:rPr>
              <w:t>风险潜势判定见</w:t>
            </w:r>
            <w:r>
              <w:rPr>
                <w:rFonts w:hint="eastAsia" w:ascii="宋体" w:hAnsi="宋体"/>
                <w:color w:val="auto"/>
              </w:rPr>
              <w:t>下</w:t>
            </w:r>
            <w:r>
              <w:rPr>
                <w:rFonts w:ascii="宋体" w:hAnsi="宋体"/>
                <w:color w:val="auto"/>
              </w:rPr>
              <w:t>表</w:t>
            </w:r>
            <w:r>
              <w:rPr>
                <w:rFonts w:hint="eastAsia" w:ascii="宋体" w:hAnsi="宋体"/>
                <w:color w:val="auto"/>
              </w:rPr>
              <w:t>。</w:t>
            </w:r>
          </w:p>
          <w:p>
            <w:pPr>
              <w:pStyle w:val="15"/>
              <w:rPr>
                <w:color w:val="auto"/>
              </w:rPr>
            </w:pPr>
            <w:r>
              <w:rPr>
                <w:color w:val="auto"/>
              </w:rPr>
              <w:t>表4-</w:t>
            </w:r>
            <w:r>
              <w:rPr>
                <w:rFonts w:hint="eastAsia"/>
                <w:color w:val="auto"/>
              </w:rPr>
              <w:t xml:space="preserve">10 </w:t>
            </w:r>
            <w:r>
              <w:rPr>
                <w:color w:val="auto"/>
              </w:rPr>
              <w:t xml:space="preserve"> 项目风险物质数量、临界量及Q值计算表</w:t>
            </w:r>
          </w:p>
          <w:tbl>
            <w:tblPr>
              <w:tblStyle w:val="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224"/>
              <w:gridCol w:w="851"/>
              <w:gridCol w:w="1330"/>
              <w:gridCol w:w="1342"/>
              <w:gridCol w:w="1495"/>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76" w:type="pct"/>
                  <w:vAlign w:val="center"/>
                </w:tcPr>
                <w:p>
                  <w:pPr>
                    <w:adjustRightInd w:val="0"/>
                    <w:snapToGrid w:val="0"/>
                    <w:ind w:left="-105" w:leftChars="-50" w:right="-105" w:rightChars="-50"/>
                    <w:jc w:val="center"/>
                    <w:rPr>
                      <w:color w:val="auto"/>
                      <w:spacing w:val="-1"/>
                      <w:kern w:val="0"/>
                      <w:szCs w:val="21"/>
                    </w:rPr>
                  </w:pPr>
                  <w:r>
                    <w:rPr>
                      <w:color w:val="auto"/>
                      <w:spacing w:val="-1"/>
                      <w:kern w:val="0"/>
                      <w:szCs w:val="21"/>
                    </w:rPr>
                    <w:t>序号</w:t>
                  </w:r>
                </w:p>
              </w:tc>
              <w:tc>
                <w:tcPr>
                  <w:tcW w:w="768" w:type="pct"/>
                  <w:shd w:val="clear" w:color="auto" w:fill="auto"/>
                  <w:vAlign w:val="center"/>
                </w:tcPr>
                <w:p>
                  <w:pPr>
                    <w:adjustRightInd w:val="0"/>
                    <w:snapToGrid w:val="0"/>
                    <w:ind w:left="-105" w:leftChars="-50" w:right="-105" w:rightChars="-50"/>
                    <w:jc w:val="center"/>
                    <w:rPr>
                      <w:color w:val="auto"/>
                      <w:spacing w:val="-1"/>
                      <w:kern w:val="0"/>
                      <w:szCs w:val="21"/>
                    </w:rPr>
                  </w:pPr>
                  <w:r>
                    <w:rPr>
                      <w:color w:val="auto"/>
                      <w:spacing w:val="-1"/>
                      <w:kern w:val="0"/>
                      <w:szCs w:val="21"/>
                    </w:rPr>
                    <w:t>名称</w:t>
                  </w:r>
                </w:p>
              </w:tc>
              <w:tc>
                <w:tcPr>
                  <w:tcW w:w="534" w:type="pct"/>
                  <w:shd w:val="clear" w:color="auto" w:fill="auto"/>
                  <w:vAlign w:val="center"/>
                </w:tcPr>
                <w:p>
                  <w:pPr>
                    <w:wordWrap w:val="0"/>
                    <w:adjustRightInd w:val="0"/>
                    <w:snapToGrid w:val="0"/>
                    <w:ind w:left="-105" w:leftChars="-50" w:right="-105" w:rightChars="-50"/>
                    <w:jc w:val="center"/>
                    <w:rPr>
                      <w:color w:val="auto"/>
                      <w:spacing w:val="-1"/>
                      <w:kern w:val="0"/>
                      <w:szCs w:val="21"/>
                    </w:rPr>
                  </w:pPr>
                  <w:r>
                    <w:rPr>
                      <w:color w:val="auto"/>
                      <w:kern w:val="0"/>
                      <w:szCs w:val="21"/>
                    </w:rPr>
                    <w:t>性质</w:t>
                  </w:r>
                </w:p>
              </w:tc>
              <w:tc>
                <w:tcPr>
                  <w:tcW w:w="834" w:type="pct"/>
                  <w:shd w:val="clear" w:color="auto" w:fill="auto"/>
                  <w:vAlign w:val="center"/>
                </w:tcPr>
                <w:p>
                  <w:pPr>
                    <w:wordWrap w:val="0"/>
                    <w:adjustRightInd w:val="0"/>
                    <w:snapToGrid w:val="0"/>
                    <w:ind w:left="-105" w:leftChars="-50" w:right="-105" w:rightChars="-50"/>
                    <w:jc w:val="center"/>
                    <w:rPr>
                      <w:color w:val="auto"/>
                      <w:spacing w:val="-1"/>
                      <w:kern w:val="0"/>
                      <w:szCs w:val="21"/>
                    </w:rPr>
                  </w:pPr>
                  <w:r>
                    <w:rPr>
                      <w:color w:val="auto"/>
                      <w:kern w:val="0"/>
                      <w:szCs w:val="21"/>
                    </w:rPr>
                    <w:t>实际最大存储量（t）</w:t>
                  </w:r>
                </w:p>
              </w:tc>
              <w:tc>
                <w:tcPr>
                  <w:tcW w:w="842" w:type="pct"/>
                  <w:shd w:val="clear" w:color="auto" w:fill="auto"/>
                  <w:vAlign w:val="center"/>
                </w:tcPr>
                <w:p>
                  <w:pPr>
                    <w:wordWrap w:val="0"/>
                    <w:adjustRightInd w:val="0"/>
                    <w:snapToGrid w:val="0"/>
                    <w:ind w:left="-105" w:leftChars="-50" w:right="-105" w:rightChars="-50"/>
                    <w:jc w:val="center"/>
                    <w:rPr>
                      <w:color w:val="auto"/>
                      <w:spacing w:val="-1"/>
                      <w:kern w:val="0"/>
                      <w:szCs w:val="21"/>
                    </w:rPr>
                  </w:pPr>
                  <w:r>
                    <w:rPr>
                      <w:color w:val="auto"/>
                      <w:kern w:val="0"/>
                      <w:szCs w:val="21"/>
                    </w:rPr>
                    <w:t>临界量（t）</w:t>
                  </w:r>
                </w:p>
              </w:tc>
              <w:tc>
                <w:tcPr>
                  <w:tcW w:w="938" w:type="pct"/>
                  <w:shd w:val="clear" w:color="auto" w:fill="auto"/>
                  <w:vAlign w:val="center"/>
                </w:tcPr>
                <w:p>
                  <w:pPr>
                    <w:wordWrap w:val="0"/>
                    <w:adjustRightInd w:val="0"/>
                    <w:snapToGrid w:val="0"/>
                    <w:ind w:left="-105" w:leftChars="-50" w:right="-105" w:rightChars="-50"/>
                    <w:jc w:val="center"/>
                    <w:rPr>
                      <w:color w:val="auto"/>
                      <w:spacing w:val="-1"/>
                      <w:kern w:val="0"/>
                      <w:szCs w:val="21"/>
                    </w:rPr>
                  </w:pPr>
                  <w:r>
                    <w:rPr>
                      <w:color w:val="auto"/>
                      <w:kern w:val="0"/>
                      <w:szCs w:val="21"/>
                    </w:rPr>
                    <w:t>Q值（Q=q/Q</w:t>
                  </w:r>
                  <w:r>
                    <w:rPr>
                      <w:color w:val="auto"/>
                      <w:kern w:val="0"/>
                      <w:szCs w:val="21"/>
                      <w:vertAlign w:val="subscript"/>
                    </w:rPr>
                    <w:t>1</w:t>
                  </w:r>
                  <w:r>
                    <w:rPr>
                      <w:color w:val="auto"/>
                      <w:kern w:val="0"/>
                      <w:szCs w:val="21"/>
                    </w:rPr>
                    <w:t>）</w:t>
                  </w:r>
                </w:p>
              </w:tc>
              <w:tc>
                <w:tcPr>
                  <w:tcW w:w="708" w:type="pct"/>
                  <w:shd w:val="clear" w:color="auto" w:fill="auto"/>
                  <w:vAlign w:val="center"/>
                </w:tcPr>
                <w:p>
                  <w:pPr>
                    <w:wordWrap w:val="0"/>
                    <w:adjustRightInd w:val="0"/>
                    <w:snapToGrid w:val="0"/>
                    <w:ind w:left="-105" w:leftChars="-50" w:right="-105" w:rightChars="-50"/>
                    <w:jc w:val="center"/>
                    <w:rPr>
                      <w:color w:val="auto"/>
                      <w:spacing w:val="-1"/>
                      <w:kern w:val="0"/>
                      <w:szCs w:val="21"/>
                    </w:rPr>
                  </w:pPr>
                  <w:r>
                    <w:rPr>
                      <w:color w:val="auto"/>
                      <w:kern w:val="0"/>
                      <w:szCs w:val="21"/>
                    </w:rPr>
                    <w:t>风险潜势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76" w:type="pct"/>
                  <w:vAlign w:val="center"/>
                </w:tcPr>
                <w:p>
                  <w:pPr>
                    <w:wordWrap w:val="0"/>
                    <w:adjustRightInd w:val="0"/>
                    <w:snapToGrid w:val="0"/>
                    <w:ind w:left="-105" w:leftChars="-50" w:right="-105" w:rightChars="-50"/>
                    <w:jc w:val="center"/>
                    <w:rPr>
                      <w:color w:val="auto"/>
                      <w:spacing w:val="-1"/>
                      <w:kern w:val="0"/>
                      <w:szCs w:val="21"/>
                    </w:rPr>
                  </w:pPr>
                  <w:r>
                    <w:rPr>
                      <w:color w:val="auto"/>
                      <w:kern w:val="0"/>
                      <w:szCs w:val="21"/>
                    </w:rPr>
                    <w:t>1</w:t>
                  </w:r>
                </w:p>
              </w:tc>
              <w:tc>
                <w:tcPr>
                  <w:tcW w:w="768" w:type="pct"/>
                  <w:shd w:val="clear" w:color="auto" w:fill="auto"/>
                  <w:vAlign w:val="center"/>
                </w:tcPr>
                <w:p>
                  <w:pPr>
                    <w:wordWrap w:val="0"/>
                    <w:adjustRightInd w:val="0"/>
                    <w:snapToGrid w:val="0"/>
                    <w:ind w:left="-105" w:leftChars="-50" w:right="-105" w:rightChars="-50"/>
                    <w:jc w:val="center"/>
                    <w:rPr>
                      <w:color w:val="auto"/>
                      <w:spacing w:val="-1"/>
                      <w:kern w:val="0"/>
                      <w:szCs w:val="21"/>
                    </w:rPr>
                  </w:pPr>
                  <w:r>
                    <w:rPr>
                      <w:rFonts w:hint="eastAsia"/>
                      <w:color w:val="auto"/>
                      <w:spacing w:val="-1"/>
                      <w:kern w:val="0"/>
                      <w:szCs w:val="21"/>
                    </w:rPr>
                    <w:t>医用酒精</w:t>
                  </w:r>
                </w:p>
              </w:tc>
              <w:tc>
                <w:tcPr>
                  <w:tcW w:w="534" w:type="pct"/>
                  <w:shd w:val="clear" w:color="auto" w:fill="auto"/>
                  <w:vAlign w:val="center"/>
                </w:tcPr>
                <w:p>
                  <w:pPr>
                    <w:wordWrap w:val="0"/>
                    <w:adjustRightInd w:val="0"/>
                    <w:snapToGrid w:val="0"/>
                    <w:ind w:left="-105" w:leftChars="-50" w:right="-105" w:rightChars="-50"/>
                    <w:jc w:val="center"/>
                    <w:rPr>
                      <w:color w:val="auto"/>
                      <w:spacing w:val="-1"/>
                      <w:kern w:val="0"/>
                      <w:szCs w:val="21"/>
                    </w:rPr>
                  </w:pPr>
                  <w:r>
                    <w:rPr>
                      <w:color w:val="auto"/>
                      <w:kern w:val="0"/>
                      <w:szCs w:val="21"/>
                    </w:rPr>
                    <w:t>液态</w:t>
                  </w:r>
                </w:p>
              </w:tc>
              <w:tc>
                <w:tcPr>
                  <w:tcW w:w="834" w:type="pct"/>
                  <w:shd w:val="clear" w:color="auto" w:fill="auto"/>
                  <w:vAlign w:val="center"/>
                </w:tcPr>
                <w:p>
                  <w:pPr>
                    <w:wordWrap w:val="0"/>
                    <w:adjustRightInd w:val="0"/>
                    <w:snapToGrid w:val="0"/>
                    <w:ind w:left="-105" w:leftChars="-50" w:right="-105" w:rightChars="-50"/>
                    <w:jc w:val="center"/>
                    <w:rPr>
                      <w:color w:val="auto"/>
                      <w:spacing w:val="-1"/>
                      <w:kern w:val="0"/>
                      <w:szCs w:val="21"/>
                    </w:rPr>
                  </w:pPr>
                  <w:r>
                    <w:rPr>
                      <w:rFonts w:hint="eastAsia"/>
                      <w:color w:val="auto"/>
                      <w:spacing w:val="-1"/>
                      <w:kern w:val="0"/>
                      <w:szCs w:val="21"/>
                    </w:rPr>
                    <w:t>0.1973</w:t>
                  </w:r>
                </w:p>
              </w:tc>
              <w:tc>
                <w:tcPr>
                  <w:tcW w:w="842" w:type="pct"/>
                  <w:shd w:val="clear" w:color="auto" w:fill="auto"/>
                  <w:vAlign w:val="center"/>
                </w:tcPr>
                <w:p>
                  <w:pPr>
                    <w:wordWrap w:val="0"/>
                    <w:adjustRightInd w:val="0"/>
                    <w:snapToGrid w:val="0"/>
                    <w:ind w:left="-105" w:leftChars="-50" w:right="-105" w:rightChars="-50"/>
                    <w:jc w:val="center"/>
                    <w:rPr>
                      <w:color w:val="auto"/>
                      <w:spacing w:val="-1"/>
                      <w:kern w:val="0"/>
                      <w:szCs w:val="21"/>
                    </w:rPr>
                  </w:pPr>
                  <w:r>
                    <w:rPr>
                      <w:rFonts w:hint="eastAsia"/>
                      <w:color w:val="auto"/>
                      <w:spacing w:val="-1"/>
                      <w:kern w:val="0"/>
                      <w:szCs w:val="21"/>
                    </w:rPr>
                    <w:t>500</w:t>
                  </w:r>
                </w:p>
              </w:tc>
              <w:tc>
                <w:tcPr>
                  <w:tcW w:w="938" w:type="pct"/>
                  <w:shd w:val="clear" w:color="auto" w:fill="auto"/>
                  <w:vAlign w:val="center"/>
                </w:tcPr>
                <w:p>
                  <w:pPr>
                    <w:widowControl/>
                    <w:jc w:val="center"/>
                    <w:textAlignment w:val="center"/>
                    <w:rPr>
                      <w:rFonts w:eastAsia="等线"/>
                      <w:color w:val="auto"/>
                      <w:spacing w:val="-1"/>
                      <w:kern w:val="0"/>
                      <w:szCs w:val="21"/>
                    </w:rPr>
                  </w:pPr>
                  <w:r>
                    <w:rPr>
                      <w:rFonts w:eastAsia="等线"/>
                      <w:color w:val="auto"/>
                      <w:kern w:val="0"/>
                      <w:szCs w:val="21"/>
                      <w:lang w:bidi="ar"/>
                    </w:rPr>
                    <w:t>0.000</w:t>
                  </w:r>
                  <w:r>
                    <w:rPr>
                      <w:rFonts w:hint="eastAsia" w:eastAsia="等线"/>
                      <w:color w:val="auto"/>
                      <w:kern w:val="0"/>
                      <w:szCs w:val="21"/>
                      <w:lang w:bidi="ar"/>
                    </w:rPr>
                    <w:t>4</w:t>
                  </w:r>
                </w:p>
              </w:tc>
              <w:tc>
                <w:tcPr>
                  <w:tcW w:w="708" w:type="pct"/>
                  <w:shd w:val="clear" w:color="auto" w:fill="auto"/>
                  <w:vAlign w:val="center"/>
                </w:tcPr>
                <w:p>
                  <w:pPr>
                    <w:wordWrap w:val="0"/>
                    <w:adjustRightInd w:val="0"/>
                    <w:snapToGrid w:val="0"/>
                    <w:ind w:left="-105" w:leftChars="-50" w:right="-105" w:rightChars="-50"/>
                    <w:jc w:val="center"/>
                    <w:rPr>
                      <w:color w:val="auto"/>
                      <w:spacing w:val="-1"/>
                      <w:kern w:val="0"/>
                      <w:szCs w:val="21"/>
                    </w:rPr>
                  </w:pPr>
                  <w:r>
                    <w:rPr>
                      <w:color w:val="auto"/>
                      <w:spacing w:val="-1"/>
                      <w:kern w:val="0"/>
                      <w:szCs w:val="21"/>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354" w:type="pct"/>
                  <w:gridSpan w:val="5"/>
                  <w:vAlign w:val="center"/>
                </w:tcPr>
                <w:p>
                  <w:pPr>
                    <w:wordWrap w:val="0"/>
                    <w:adjustRightInd w:val="0"/>
                    <w:snapToGrid w:val="0"/>
                    <w:ind w:left="-105" w:leftChars="-50" w:right="-105" w:rightChars="-50"/>
                    <w:jc w:val="center"/>
                    <w:rPr>
                      <w:color w:val="auto"/>
                      <w:spacing w:val="-1"/>
                      <w:kern w:val="0"/>
                      <w:szCs w:val="21"/>
                    </w:rPr>
                  </w:pPr>
                  <w:r>
                    <w:rPr>
                      <w:rFonts w:hint="eastAsia"/>
                      <w:color w:val="auto"/>
                      <w:kern w:val="0"/>
                      <w:szCs w:val="21"/>
                    </w:rPr>
                    <w:t>合计</w:t>
                  </w:r>
                </w:p>
              </w:tc>
              <w:tc>
                <w:tcPr>
                  <w:tcW w:w="938" w:type="pct"/>
                  <w:shd w:val="clear" w:color="auto" w:fill="auto"/>
                  <w:vAlign w:val="center"/>
                </w:tcPr>
                <w:p>
                  <w:pPr>
                    <w:widowControl/>
                    <w:jc w:val="center"/>
                    <w:textAlignment w:val="center"/>
                    <w:rPr>
                      <w:color w:val="auto"/>
                      <w:spacing w:val="-1"/>
                      <w:kern w:val="0"/>
                      <w:szCs w:val="21"/>
                    </w:rPr>
                  </w:pPr>
                  <w:r>
                    <w:rPr>
                      <w:rFonts w:hint="eastAsia"/>
                      <w:color w:val="auto"/>
                      <w:spacing w:val="-1"/>
                      <w:kern w:val="0"/>
                      <w:szCs w:val="21"/>
                    </w:rPr>
                    <w:t>0.0104</w:t>
                  </w:r>
                </w:p>
              </w:tc>
              <w:tc>
                <w:tcPr>
                  <w:tcW w:w="708" w:type="pct"/>
                  <w:shd w:val="clear" w:color="auto" w:fill="auto"/>
                  <w:vAlign w:val="center"/>
                </w:tcPr>
                <w:p>
                  <w:pPr>
                    <w:wordWrap w:val="0"/>
                    <w:adjustRightInd w:val="0"/>
                    <w:snapToGrid w:val="0"/>
                    <w:ind w:left="-105" w:leftChars="-50" w:right="-105" w:rightChars="-50"/>
                    <w:jc w:val="center"/>
                    <w:rPr>
                      <w:color w:val="auto"/>
                      <w:spacing w:val="-1"/>
                      <w:kern w:val="0"/>
                      <w:szCs w:val="21"/>
                    </w:rPr>
                  </w:pPr>
                </w:p>
              </w:tc>
            </w:tr>
          </w:tbl>
          <w:p>
            <w:pPr>
              <w:pStyle w:val="12"/>
              <w:spacing w:before="120" w:beforeLines="50"/>
              <w:rPr>
                <w:color w:val="auto"/>
              </w:rPr>
            </w:pPr>
            <w:r>
              <w:rPr>
                <w:rFonts w:ascii="宋体" w:hAnsi="宋体"/>
                <w:color w:val="auto"/>
              </w:rPr>
              <w:t>依据《建设项目环境风险评价技术导则》，本项目风险物质的总量与其临界比值</w:t>
            </w:r>
            <w:r>
              <w:rPr>
                <w:color w:val="auto"/>
              </w:rPr>
              <w:t>Q</w:t>
            </w:r>
            <w:r>
              <w:rPr>
                <w:rFonts w:ascii="宋体" w:hAnsi="宋体"/>
                <w:color w:val="auto"/>
              </w:rPr>
              <w:t>＜</w:t>
            </w:r>
            <w:r>
              <w:rPr>
                <w:color w:val="auto"/>
              </w:rPr>
              <w:t>1</w:t>
            </w:r>
            <w:r>
              <w:rPr>
                <w:rFonts w:ascii="宋体" w:hAnsi="宋体"/>
                <w:color w:val="auto"/>
              </w:rPr>
              <w:t>，环境风险潜势为</w:t>
            </w:r>
            <w:r>
              <w:rPr>
                <w:color w:val="auto"/>
              </w:rPr>
              <w:t>I</w:t>
            </w:r>
            <w:r>
              <w:rPr>
                <w:rFonts w:ascii="宋体" w:hAnsi="宋体"/>
                <w:color w:val="auto"/>
              </w:rPr>
              <w:t>，需要开展简单分析</w:t>
            </w:r>
            <w:r>
              <w:rPr>
                <w:rFonts w:hint="eastAsia" w:ascii="宋体" w:hAnsi="宋体"/>
                <w:color w:val="auto"/>
              </w:rPr>
              <w:t>，无需进行环境风险评价分析。</w:t>
            </w:r>
          </w:p>
          <w:p>
            <w:pPr>
              <w:pStyle w:val="12"/>
              <w:rPr>
                <w:color w:val="auto"/>
              </w:rPr>
            </w:pPr>
            <w:r>
              <w:rPr>
                <w:color w:val="auto"/>
              </w:rPr>
              <w:t>2</w:t>
            </w:r>
            <w:r>
              <w:rPr>
                <w:rFonts w:hint="eastAsia"/>
                <w:color w:val="auto"/>
              </w:rPr>
              <w:t>、突发环境事件</w:t>
            </w:r>
            <w:r>
              <w:rPr>
                <w:color w:val="auto"/>
              </w:rPr>
              <w:t>分析</w:t>
            </w:r>
          </w:p>
          <w:p>
            <w:pPr>
              <w:pStyle w:val="15"/>
              <w:rPr>
                <w:color w:val="auto"/>
              </w:rPr>
            </w:pPr>
            <w:r>
              <w:rPr>
                <w:rFonts w:hint="eastAsia"/>
                <w:color w:val="auto"/>
              </w:rPr>
              <w:t>表4-</w:t>
            </w:r>
            <w:r>
              <w:rPr>
                <w:color w:val="auto"/>
              </w:rPr>
              <w:t>1</w:t>
            </w:r>
            <w:r>
              <w:rPr>
                <w:rFonts w:hint="eastAsia"/>
                <w:color w:val="auto"/>
              </w:rPr>
              <w:t>1  突发环境事件的情况</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22"/>
              <w:gridCol w:w="5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3"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突发环境事件</w:t>
                  </w:r>
                </w:p>
              </w:tc>
              <w:tc>
                <w:tcPr>
                  <w:tcW w:w="703"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事故名称</w:t>
                  </w:r>
                </w:p>
              </w:tc>
              <w:tc>
                <w:tcPr>
                  <w:tcW w:w="3704"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造成的影响和后果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3"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火灾事故</w:t>
                  </w:r>
                </w:p>
              </w:tc>
              <w:tc>
                <w:tcPr>
                  <w:tcW w:w="703"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color w:val="auto"/>
                      <w:spacing w:val="-1"/>
                      <w:kern w:val="0"/>
                      <w:szCs w:val="21"/>
                    </w:rPr>
                    <w:t>/</w:t>
                  </w:r>
                </w:p>
              </w:tc>
              <w:tc>
                <w:tcPr>
                  <w:tcW w:w="3704"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rPr>
                      <w:rFonts w:ascii="宋体" w:hAnsi="宋体"/>
                      <w:color w:val="auto"/>
                    </w:rPr>
                  </w:pPr>
                  <w:r>
                    <w:rPr>
                      <w:rFonts w:hint="eastAsia" w:ascii="宋体" w:hAnsi="宋体" w:cs="仿宋"/>
                      <w:color w:val="auto"/>
                      <w:kern w:val="0"/>
                    </w:rPr>
                    <w:t>酒精具有可燃性，一旦发生火灾事故，会造成医院内物品的损坏，在救援过程中，会产生大量的消防废水，消防废水未及时处理会污染土壤、水体环境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3" w:type="pct"/>
                  <w:vMerge w:val="restart"/>
                  <w:tcBorders>
                    <w:top w:val="nil"/>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泄漏事故</w:t>
                  </w:r>
                </w:p>
              </w:tc>
              <w:tc>
                <w:tcPr>
                  <w:tcW w:w="703"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危险废物</w:t>
                  </w:r>
                </w:p>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泄漏</w:t>
                  </w:r>
                </w:p>
              </w:tc>
              <w:tc>
                <w:tcPr>
                  <w:tcW w:w="3704"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危险废物等在搬运过程中的泄露、存储过程中的倾倒可能会对周围土壤和地下水体造成污染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
                      <w:color w:val="auto"/>
                      <w:kern w:val="0"/>
                      <w:szCs w:val="21"/>
                    </w:rPr>
                  </w:pPr>
                </w:p>
              </w:tc>
              <w:tc>
                <w:tcPr>
                  <w:tcW w:w="703" w:type="pct"/>
                  <w:tcBorders>
                    <w:top w:val="nil"/>
                    <w:left w:val="nil"/>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color w:val="auto"/>
                      <w:spacing w:val="-1"/>
                      <w:kern w:val="0"/>
                      <w:szCs w:val="21"/>
                    </w:rPr>
                    <w:t>酒精</w:t>
                  </w:r>
                  <w:r>
                    <w:rPr>
                      <w:rFonts w:hint="eastAsia" w:ascii="宋体" w:hAnsi="宋体" w:cs="仿宋"/>
                      <w:color w:val="auto"/>
                      <w:kern w:val="0"/>
                    </w:rPr>
                    <w:t>泄漏</w:t>
                  </w:r>
                </w:p>
              </w:tc>
              <w:tc>
                <w:tcPr>
                  <w:tcW w:w="3704"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rPr>
                      <w:rFonts w:ascii="宋体" w:hAnsi="宋体" w:cs="仿宋"/>
                      <w:color w:val="auto"/>
                      <w:kern w:val="0"/>
                    </w:rPr>
                  </w:pPr>
                  <w:r>
                    <w:rPr>
                      <w:rFonts w:hint="eastAsia"/>
                      <w:color w:val="auto"/>
                      <w:spacing w:val="-1"/>
                      <w:kern w:val="0"/>
                      <w:szCs w:val="21"/>
                    </w:rPr>
                    <w:t>酒精</w:t>
                  </w:r>
                  <w:r>
                    <w:rPr>
                      <w:rFonts w:hint="eastAsia" w:ascii="宋体" w:hAnsi="宋体" w:cs="仿宋"/>
                      <w:color w:val="auto"/>
                      <w:kern w:val="0"/>
                    </w:rPr>
                    <w:t>泄露，会对大气环境及周边居民身体健康造成一定影响，未及时处理可能会污染土壤、水体环境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3"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污染物事故排放</w:t>
                  </w:r>
                </w:p>
              </w:tc>
              <w:tc>
                <w:tcPr>
                  <w:tcW w:w="703"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废水处理设备运行故障</w:t>
                  </w:r>
                </w:p>
              </w:tc>
              <w:tc>
                <w:tcPr>
                  <w:tcW w:w="3704"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若一体化污水处理设施发生故障，导致事故排放，会对地表水环境、土壤环境、地下水环境产生一定影响。</w:t>
                  </w:r>
                </w:p>
              </w:tc>
            </w:tr>
          </w:tbl>
          <w:p>
            <w:pPr>
              <w:pStyle w:val="12"/>
              <w:spacing w:before="120" w:beforeLines="50"/>
              <w:rPr>
                <w:color w:val="auto"/>
              </w:rPr>
            </w:pPr>
            <w:r>
              <w:rPr>
                <w:rFonts w:hint="eastAsia"/>
                <w:color w:val="auto"/>
              </w:rPr>
              <w:t>3、风险防范措施</w:t>
            </w:r>
          </w:p>
          <w:p>
            <w:pPr>
              <w:pStyle w:val="15"/>
              <w:rPr>
                <w:color w:val="auto"/>
              </w:rPr>
            </w:pPr>
            <w:r>
              <w:rPr>
                <w:rFonts w:hint="eastAsia"/>
                <w:color w:val="auto"/>
              </w:rPr>
              <w:t>表4-</w:t>
            </w:r>
            <w:r>
              <w:rPr>
                <w:color w:val="auto"/>
              </w:rPr>
              <w:t>1</w:t>
            </w:r>
            <w:r>
              <w:rPr>
                <w:rFonts w:hint="eastAsia"/>
                <w:color w:val="auto"/>
              </w:rPr>
              <w:t>2  突发环境事件风险防范措施</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988"/>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2"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突发环境事件</w:t>
                  </w:r>
                </w:p>
              </w:tc>
              <w:tc>
                <w:tcPr>
                  <w:tcW w:w="619"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事故名称</w:t>
                  </w:r>
                </w:p>
              </w:tc>
              <w:tc>
                <w:tcPr>
                  <w:tcW w:w="3789"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风险防范措施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2"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火灾事故</w:t>
                  </w:r>
                </w:p>
              </w:tc>
              <w:tc>
                <w:tcPr>
                  <w:tcW w:w="619"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color w:val="auto"/>
                      <w:spacing w:val="-1"/>
                      <w:kern w:val="0"/>
                      <w:szCs w:val="21"/>
                    </w:rPr>
                    <w:t>/</w:t>
                  </w:r>
                </w:p>
              </w:tc>
              <w:tc>
                <w:tcPr>
                  <w:tcW w:w="3789"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①公司建立消防安全相关制度，成立防火灭火应急队伍，安排专人开展巡逻值班工作；定期开展消防安全知识学习，熟练掌握使用消防应急器材。</w:t>
                  </w:r>
                </w:p>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②定期检查、维修、保养消防器材设备，保证完好可用，并根据本单位的实际需要，报请领导添置各种消防器材；</w:t>
                  </w:r>
                </w:p>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③经常开展防火安全检查，发现火险隐患，立即向领导汇报，并采取相应防范措施加以整改。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2" w:type="pct"/>
                  <w:vMerge w:val="restart"/>
                  <w:tcBorders>
                    <w:top w:val="nil"/>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泄漏事故</w:t>
                  </w:r>
                </w:p>
              </w:tc>
              <w:tc>
                <w:tcPr>
                  <w:tcW w:w="619"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危险废物</w:t>
                  </w:r>
                </w:p>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泄漏</w:t>
                  </w:r>
                </w:p>
              </w:tc>
              <w:tc>
                <w:tcPr>
                  <w:tcW w:w="3789"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①设置危废贮存库分类收集暂存危险废物；</w:t>
                  </w:r>
                </w:p>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②危险废物在运输至储存间的过程中安排专人负责，对运输人员进行培训，避免在运输过程中泄漏；</w:t>
                  </w:r>
                </w:p>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③按照《危险废物转移联单办法》要求，填写运输、委托处置台帐，并做好存档、管理工作；</w:t>
                  </w:r>
                </w:p>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④危废贮存库应设置相应防渗、防雨淋等措施；危废贮存库入口设置警示标识，避免闲人进入。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
                      <w:color w:val="auto"/>
                      <w:kern w:val="0"/>
                      <w:szCs w:val="21"/>
                    </w:rPr>
                  </w:pPr>
                </w:p>
              </w:tc>
              <w:tc>
                <w:tcPr>
                  <w:tcW w:w="619" w:type="pct"/>
                  <w:tcBorders>
                    <w:top w:val="nil"/>
                    <w:left w:val="nil"/>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color w:val="auto"/>
                      <w:spacing w:val="-1"/>
                      <w:kern w:val="0"/>
                      <w:szCs w:val="21"/>
                    </w:rPr>
                    <w:t>酒精</w:t>
                  </w:r>
                  <w:r>
                    <w:rPr>
                      <w:rFonts w:hint="eastAsia" w:ascii="宋体" w:hAnsi="宋体" w:cs="仿宋"/>
                      <w:color w:val="auto"/>
                      <w:kern w:val="0"/>
                    </w:rPr>
                    <w:t>泄漏</w:t>
                  </w:r>
                </w:p>
              </w:tc>
              <w:tc>
                <w:tcPr>
                  <w:tcW w:w="3789"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①制定安全操作规程，所有人员必须进行岗前安全知识培训，严格按照操作规程作业。</w:t>
                  </w:r>
                </w:p>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②定期巡视库房，查看是否存在泄露风险。</w:t>
                  </w:r>
                </w:p>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③风险物质在装卸、搬运时，要严格按规章操作，尽量小心作业，避免损坏包装，在使用时，要严格按规章操作，避免意外泄漏。</w:t>
                  </w:r>
                </w:p>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④风险物质设置标签，分类存放，在装卸、搬运时，要严格按规章操作，尽量小心作业，避免损坏包装。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2"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污染物事故排放</w:t>
                  </w:r>
                </w:p>
              </w:tc>
              <w:tc>
                <w:tcPr>
                  <w:tcW w:w="619"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jc w:val="center"/>
                    <w:rPr>
                      <w:rFonts w:ascii="宋体" w:hAnsi="宋体" w:cs="仿宋"/>
                      <w:color w:val="auto"/>
                      <w:kern w:val="0"/>
                    </w:rPr>
                  </w:pPr>
                  <w:r>
                    <w:rPr>
                      <w:rFonts w:hint="eastAsia" w:ascii="宋体" w:hAnsi="宋体" w:cs="仿宋"/>
                      <w:color w:val="auto"/>
                      <w:kern w:val="0"/>
                    </w:rPr>
                    <w:t>废气废水处理设备运行故障</w:t>
                  </w:r>
                </w:p>
              </w:tc>
              <w:tc>
                <w:tcPr>
                  <w:tcW w:w="3789" w:type="pct"/>
                  <w:tcBorders>
                    <w:top w:val="single" w:color="auto" w:sz="4" w:space="0"/>
                    <w:left w:val="nil"/>
                    <w:bottom w:val="single" w:color="auto" w:sz="4" w:space="0"/>
                    <w:right w:val="single" w:color="auto" w:sz="4" w:space="0"/>
                  </w:tcBorders>
                  <w:vAlign w:val="center"/>
                </w:tcPr>
                <w:p>
                  <w:pPr>
                    <w:adjustRightInd w:val="0"/>
                    <w:snapToGrid w:val="0"/>
                    <w:ind w:left="-63" w:leftChars="-30" w:right="-63" w:rightChars="-30"/>
                    <w:rPr>
                      <w:rFonts w:ascii="宋体" w:hAnsi="宋体" w:cs="仿宋"/>
                      <w:color w:val="auto"/>
                      <w:kern w:val="0"/>
                    </w:rPr>
                  </w:pPr>
                  <w:r>
                    <w:rPr>
                      <w:rFonts w:hint="eastAsia" w:ascii="宋体" w:hAnsi="宋体" w:cs="仿宋"/>
                      <w:color w:val="auto"/>
                      <w:kern w:val="0"/>
                    </w:rPr>
                    <w:t>加强对废水处理设施设备的定期维护，制定环境监测计划，委托有资质单位定期开展环境监测，确保污染物达标排放。一体化污水处理设施制定严格的操作规程，严格按照操作规程进行运行控制，防止操作失误导致废水事故排放。制定环境管理制度，安排专人对设备进行定期检查，发现设备不能正常运行及时维修或更换，避免设备故障导致废气、废水事故排放。</w:t>
                  </w:r>
                </w:p>
              </w:tc>
            </w:tr>
          </w:tbl>
          <w:p>
            <w:pPr>
              <w:adjustRightInd w:val="0"/>
              <w:snapToGrid w:val="0"/>
              <w:spacing w:before="120" w:beforeLines="50" w:line="360" w:lineRule="auto"/>
              <w:ind w:firstLine="482" w:firstLineChars="200"/>
              <w:rPr>
                <w:b/>
                <w:bCs/>
                <w:color w:val="auto"/>
                <w:sz w:val="24"/>
                <w:szCs w:val="32"/>
              </w:rPr>
            </w:pPr>
            <w:r>
              <w:rPr>
                <w:b/>
                <w:bCs/>
                <w:color w:val="auto"/>
                <w:sz w:val="24"/>
                <w:szCs w:val="32"/>
              </w:rPr>
              <w:t>七、环境管理</w:t>
            </w:r>
          </w:p>
          <w:p>
            <w:pPr>
              <w:pStyle w:val="12"/>
              <w:rPr>
                <w:color w:val="auto"/>
              </w:rPr>
            </w:pPr>
            <w:r>
              <w:rPr>
                <w:color w:val="auto"/>
              </w:rPr>
              <w:t>1、环境管理人员和制度</w:t>
            </w:r>
          </w:p>
          <w:p>
            <w:pPr>
              <w:pStyle w:val="12"/>
              <w:rPr>
                <w:color w:val="auto"/>
              </w:rPr>
            </w:pPr>
            <w:r>
              <w:rPr>
                <w:color w:val="auto"/>
              </w:rPr>
              <w:t>设立环境管理机构，配备兼职环保管理人员1名，负责环境监督管理工作，同时建立环境保护制度，加强对管理人员的环保培训。</w:t>
            </w:r>
          </w:p>
          <w:p>
            <w:pPr>
              <w:pStyle w:val="12"/>
              <w:rPr>
                <w:color w:val="auto"/>
              </w:rPr>
            </w:pPr>
            <w:r>
              <w:rPr>
                <w:color w:val="auto"/>
              </w:rPr>
              <w:t>建议制定的环境保护工作条例有：环境保护职责管理条例、污水和废气排放管理制度、危险废物日常运行管理制度、排污情况报告制度、污染事故处理制度、环保教育制度等。</w:t>
            </w:r>
          </w:p>
          <w:p>
            <w:pPr>
              <w:pStyle w:val="12"/>
              <w:rPr>
                <w:color w:val="auto"/>
              </w:rPr>
            </w:pPr>
            <w:r>
              <w:rPr>
                <w:color w:val="auto"/>
              </w:rPr>
              <w:t>2、环境管理台账要求</w:t>
            </w:r>
          </w:p>
          <w:p>
            <w:pPr>
              <w:pStyle w:val="12"/>
              <w:rPr>
                <w:color w:val="auto"/>
              </w:rPr>
            </w:pPr>
            <w:r>
              <w:rPr>
                <w:color w:val="auto"/>
              </w:rPr>
              <w:t>排污单位环境管理台账应真实记录污染治理设施运行管理信息、危险废物管理信息和监测记录信息，其中污染治理设施运行管理信息可每周记录1次；危险废物的收集存放信息记录频次原则不少于1次/天；转移处置信息按照清运周期进行记录。监测数据的记录频次按照自行监测频次要求记录。记录的保存采用纸质存储和电子化存储，保存时间原则上不低于5年。</w:t>
            </w:r>
          </w:p>
          <w:p>
            <w:pPr>
              <w:pStyle w:val="12"/>
              <w:rPr>
                <w:color w:val="auto"/>
              </w:rPr>
            </w:pPr>
            <w:r>
              <w:rPr>
                <w:color w:val="auto"/>
              </w:rPr>
              <w:t>3、企业应提交年度执行报告，报告至少应包括排污单位基本情况、污染治理设施运行情况、自行监测执行情况、环境管理台账执行情况、实际排放情况及合规判定分析、结论等。</w:t>
            </w:r>
          </w:p>
          <w:p>
            <w:pPr>
              <w:spacing w:line="360" w:lineRule="auto"/>
              <w:ind w:firstLine="482" w:firstLineChars="200"/>
              <w:rPr>
                <w:b/>
                <w:bCs/>
                <w:color w:val="auto"/>
                <w:sz w:val="24"/>
              </w:rPr>
            </w:pPr>
            <w:r>
              <w:rPr>
                <w:b/>
                <w:bCs/>
                <w:color w:val="auto"/>
                <w:sz w:val="24"/>
              </w:rPr>
              <w:t>八、环保投资估算</w:t>
            </w:r>
          </w:p>
          <w:p>
            <w:pPr>
              <w:pStyle w:val="12"/>
              <w:rPr>
                <w:color w:val="auto"/>
              </w:rPr>
            </w:pPr>
            <w:r>
              <w:rPr>
                <w:color w:val="auto"/>
              </w:rPr>
              <w:t>本项目总投资</w:t>
            </w:r>
            <w:r>
              <w:rPr>
                <w:rFonts w:hint="eastAsia"/>
                <w:color w:val="auto"/>
              </w:rPr>
              <w:t>100万元</w:t>
            </w:r>
            <w:r>
              <w:rPr>
                <w:color w:val="auto"/>
              </w:rPr>
              <w:t>，本次评价估算环保投资</w:t>
            </w:r>
            <w:r>
              <w:rPr>
                <w:rFonts w:hint="eastAsia"/>
                <w:color w:val="auto"/>
              </w:rPr>
              <w:t>8</w:t>
            </w:r>
            <w:r>
              <w:rPr>
                <w:color w:val="auto"/>
              </w:rPr>
              <w:t>万元，占总投资的</w:t>
            </w:r>
            <w:r>
              <w:rPr>
                <w:rFonts w:hint="eastAsia"/>
                <w:color w:val="auto"/>
              </w:rPr>
              <w:t>8</w:t>
            </w:r>
            <w:r>
              <w:rPr>
                <w:color w:val="auto"/>
              </w:rPr>
              <w:t>%，见表4-1</w:t>
            </w:r>
            <w:r>
              <w:rPr>
                <w:rFonts w:hint="eastAsia"/>
                <w:color w:val="auto"/>
              </w:rPr>
              <w:t>3</w:t>
            </w:r>
            <w:r>
              <w:rPr>
                <w:color w:val="auto"/>
              </w:rPr>
              <w:t>。</w:t>
            </w:r>
          </w:p>
          <w:p>
            <w:pPr>
              <w:pStyle w:val="15"/>
              <w:rPr>
                <w:color w:val="auto"/>
              </w:rPr>
            </w:pPr>
            <w:r>
              <w:rPr>
                <w:color w:val="auto"/>
              </w:rPr>
              <w:t>表4-1</w:t>
            </w:r>
            <w:r>
              <w:rPr>
                <w:rFonts w:hint="eastAsia"/>
                <w:color w:val="auto"/>
              </w:rPr>
              <w:t>3</w:t>
            </w:r>
            <w:r>
              <w:rPr>
                <w:color w:val="auto"/>
              </w:rPr>
              <w:t xml:space="preserve">  环保投资估算表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19"/>
              <w:gridCol w:w="881"/>
              <w:gridCol w:w="1560"/>
              <w:gridCol w:w="2979"/>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1793" w:type="pct"/>
                  <w:gridSpan w:val="3"/>
                  <w:vAlign w:val="center"/>
                </w:tcPr>
                <w:p>
                  <w:pPr>
                    <w:tabs>
                      <w:tab w:val="left" w:leader="middleDot" w:pos="8399"/>
                    </w:tabs>
                    <w:adjustRightInd w:val="0"/>
                    <w:snapToGrid w:val="0"/>
                    <w:jc w:val="center"/>
                    <w:rPr>
                      <w:color w:val="auto"/>
                    </w:rPr>
                  </w:pPr>
                  <w:r>
                    <w:rPr>
                      <w:color w:val="auto"/>
                    </w:rPr>
                    <w:t>治理工程</w:t>
                  </w:r>
                </w:p>
              </w:tc>
              <w:tc>
                <w:tcPr>
                  <w:tcW w:w="1867" w:type="pct"/>
                  <w:vAlign w:val="center"/>
                </w:tcPr>
                <w:p>
                  <w:pPr>
                    <w:tabs>
                      <w:tab w:val="left" w:leader="middleDot" w:pos="8399"/>
                    </w:tabs>
                    <w:adjustRightInd w:val="0"/>
                    <w:snapToGrid w:val="0"/>
                    <w:jc w:val="center"/>
                    <w:rPr>
                      <w:color w:val="auto"/>
                    </w:rPr>
                  </w:pPr>
                  <w:r>
                    <w:rPr>
                      <w:color w:val="auto"/>
                    </w:rPr>
                    <w:t>环保设备</w:t>
                  </w:r>
                </w:p>
              </w:tc>
              <w:tc>
                <w:tcPr>
                  <w:tcW w:w="1341" w:type="pct"/>
                  <w:vAlign w:val="center"/>
                </w:tcPr>
                <w:p>
                  <w:pPr>
                    <w:tabs>
                      <w:tab w:val="left" w:leader="middleDot" w:pos="8399"/>
                    </w:tabs>
                    <w:adjustRightInd w:val="0"/>
                    <w:snapToGrid w:val="0"/>
                    <w:jc w:val="center"/>
                    <w:rPr>
                      <w:color w:val="auto"/>
                    </w:rPr>
                  </w:pPr>
                  <w:r>
                    <w:rPr>
                      <w:color w:val="auto"/>
                    </w:rPr>
                    <w:t>环保投资</w:t>
                  </w:r>
                </w:p>
                <w:p>
                  <w:pPr>
                    <w:tabs>
                      <w:tab w:val="left" w:leader="middleDot" w:pos="8399"/>
                    </w:tabs>
                    <w:adjustRightInd w:val="0"/>
                    <w:snapToGrid w:val="0"/>
                    <w:jc w:val="center"/>
                    <w:rPr>
                      <w:color w:val="auto"/>
                    </w:rPr>
                  </w:pPr>
                  <w:r>
                    <w:rPr>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263" w:type="pct"/>
                  <w:vMerge w:val="restart"/>
                  <w:vAlign w:val="center"/>
                </w:tcPr>
                <w:p>
                  <w:pPr>
                    <w:tabs>
                      <w:tab w:val="left" w:leader="middleDot" w:pos="8399"/>
                    </w:tabs>
                    <w:adjustRightInd w:val="0"/>
                    <w:snapToGrid w:val="0"/>
                    <w:jc w:val="center"/>
                    <w:rPr>
                      <w:color w:val="auto"/>
                    </w:rPr>
                  </w:pPr>
                  <w:r>
                    <w:rPr>
                      <w:color w:val="auto"/>
                    </w:rPr>
                    <w:t>运</w:t>
                  </w:r>
                </w:p>
                <w:p>
                  <w:pPr>
                    <w:tabs>
                      <w:tab w:val="left" w:leader="middleDot" w:pos="8399"/>
                    </w:tabs>
                    <w:adjustRightInd w:val="0"/>
                    <w:snapToGrid w:val="0"/>
                    <w:jc w:val="center"/>
                    <w:rPr>
                      <w:color w:val="auto"/>
                    </w:rPr>
                  </w:pPr>
                  <w:r>
                    <w:rPr>
                      <w:color w:val="auto"/>
                    </w:rPr>
                    <w:t>营</w:t>
                  </w:r>
                </w:p>
                <w:p>
                  <w:pPr>
                    <w:tabs>
                      <w:tab w:val="left" w:leader="middleDot" w:pos="8399"/>
                    </w:tabs>
                    <w:adjustRightInd w:val="0"/>
                    <w:snapToGrid w:val="0"/>
                    <w:jc w:val="center"/>
                    <w:rPr>
                      <w:color w:val="auto"/>
                    </w:rPr>
                  </w:pPr>
                  <w:r>
                    <w:rPr>
                      <w:color w:val="auto"/>
                    </w:rPr>
                    <w:t>期</w:t>
                  </w:r>
                </w:p>
              </w:tc>
              <w:tc>
                <w:tcPr>
                  <w:tcW w:w="552" w:type="pct"/>
                  <w:vAlign w:val="center"/>
                </w:tcPr>
                <w:p>
                  <w:pPr>
                    <w:tabs>
                      <w:tab w:val="left" w:leader="middleDot" w:pos="8399"/>
                    </w:tabs>
                    <w:adjustRightInd w:val="0"/>
                    <w:snapToGrid w:val="0"/>
                    <w:jc w:val="center"/>
                    <w:rPr>
                      <w:color w:val="auto"/>
                    </w:rPr>
                  </w:pPr>
                  <w:r>
                    <w:rPr>
                      <w:color w:val="auto"/>
                    </w:rPr>
                    <w:t>废气</w:t>
                  </w:r>
                </w:p>
              </w:tc>
              <w:tc>
                <w:tcPr>
                  <w:tcW w:w="977" w:type="pct"/>
                  <w:vAlign w:val="center"/>
                </w:tcPr>
                <w:p>
                  <w:pPr>
                    <w:adjustRightInd w:val="0"/>
                    <w:snapToGrid w:val="0"/>
                    <w:spacing w:line="260" w:lineRule="exact"/>
                    <w:jc w:val="center"/>
                    <w:rPr>
                      <w:color w:val="auto"/>
                    </w:rPr>
                  </w:pPr>
                  <w:r>
                    <w:rPr>
                      <w:rFonts w:hint="eastAsia"/>
                      <w:color w:val="auto"/>
                    </w:rPr>
                    <w:t>一体化污水处理设施废气</w:t>
                  </w:r>
                </w:p>
              </w:tc>
              <w:tc>
                <w:tcPr>
                  <w:tcW w:w="1867" w:type="pct"/>
                  <w:vAlign w:val="center"/>
                </w:tcPr>
                <w:p>
                  <w:pPr>
                    <w:tabs>
                      <w:tab w:val="left" w:leader="middleDot" w:pos="8399"/>
                    </w:tabs>
                    <w:adjustRightInd w:val="0"/>
                    <w:snapToGrid w:val="0"/>
                    <w:jc w:val="center"/>
                    <w:rPr>
                      <w:color w:val="auto"/>
                    </w:rPr>
                  </w:pPr>
                  <w:r>
                    <w:rPr>
                      <w:rFonts w:hint="eastAsia"/>
                      <w:color w:val="auto"/>
                    </w:rPr>
                    <w:t>密闭+日常通过喷洒除臭剂</w:t>
                  </w:r>
                </w:p>
              </w:tc>
              <w:tc>
                <w:tcPr>
                  <w:tcW w:w="1341" w:type="pct"/>
                  <w:vAlign w:val="center"/>
                </w:tcPr>
                <w:p>
                  <w:pPr>
                    <w:tabs>
                      <w:tab w:val="left" w:leader="middleDot" w:pos="8399"/>
                    </w:tabs>
                    <w:adjustRightInd w:val="0"/>
                    <w:snapToGrid w:val="0"/>
                    <w:jc w:val="center"/>
                    <w:rPr>
                      <w:color w:val="auto"/>
                    </w:rPr>
                  </w:pPr>
                  <w:r>
                    <w:rPr>
                      <w:rFonts w:hint="eastAsia"/>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263" w:type="pct"/>
                  <w:vMerge w:val="continue"/>
                  <w:vAlign w:val="center"/>
                </w:tcPr>
                <w:p>
                  <w:pPr>
                    <w:tabs>
                      <w:tab w:val="left" w:leader="middleDot" w:pos="8399"/>
                    </w:tabs>
                    <w:adjustRightInd w:val="0"/>
                    <w:snapToGrid w:val="0"/>
                    <w:jc w:val="center"/>
                    <w:rPr>
                      <w:color w:val="auto"/>
                    </w:rPr>
                  </w:pPr>
                </w:p>
              </w:tc>
              <w:tc>
                <w:tcPr>
                  <w:tcW w:w="552" w:type="pct"/>
                  <w:vAlign w:val="center"/>
                </w:tcPr>
                <w:p>
                  <w:pPr>
                    <w:tabs>
                      <w:tab w:val="left" w:leader="middleDot" w:pos="8399"/>
                    </w:tabs>
                    <w:adjustRightInd w:val="0"/>
                    <w:snapToGrid w:val="0"/>
                    <w:jc w:val="center"/>
                    <w:rPr>
                      <w:color w:val="auto"/>
                    </w:rPr>
                  </w:pPr>
                  <w:r>
                    <w:rPr>
                      <w:color w:val="auto"/>
                    </w:rPr>
                    <w:t>废水</w:t>
                  </w:r>
                </w:p>
              </w:tc>
              <w:tc>
                <w:tcPr>
                  <w:tcW w:w="977" w:type="pct"/>
                  <w:vAlign w:val="center"/>
                </w:tcPr>
                <w:p>
                  <w:pPr>
                    <w:tabs>
                      <w:tab w:val="left" w:leader="middleDot" w:pos="8399"/>
                    </w:tabs>
                    <w:adjustRightInd w:val="0"/>
                    <w:snapToGrid w:val="0"/>
                    <w:jc w:val="center"/>
                    <w:rPr>
                      <w:color w:val="auto"/>
                    </w:rPr>
                  </w:pPr>
                  <w:r>
                    <w:rPr>
                      <w:color w:val="auto"/>
                    </w:rPr>
                    <w:t>综合废水</w:t>
                  </w:r>
                </w:p>
              </w:tc>
              <w:tc>
                <w:tcPr>
                  <w:tcW w:w="1867" w:type="pct"/>
                  <w:vAlign w:val="center"/>
                </w:tcPr>
                <w:p>
                  <w:pPr>
                    <w:tabs>
                      <w:tab w:val="left" w:leader="middleDot" w:pos="8399"/>
                    </w:tabs>
                    <w:adjustRightInd w:val="0"/>
                    <w:snapToGrid w:val="0"/>
                    <w:jc w:val="center"/>
                    <w:rPr>
                      <w:color w:val="auto"/>
                    </w:rPr>
                  </w:pPr>
                  <w:r>
                    <w:rPr>
                      <w:rFonts w:hint="eastAsia"/>
                      <w:color w:val="auto"/>
                    </w:rPr>
                    <w:t>一体化污水处理设施</w:t>
                  </w:r>
                  <w:r>
                    <w:rPr>
                      <w:color w:val="auto"/>
                    </w:rPr>
                    <w:t>+化粪池（依托）</w:t>
                  </w:r>
                </w:p>
              </w:tc>
              <w:tc>
                <w:tcPr>
                  <w:tcW w:w="1341" w:type="pct"/>
                  <w:vAlign w:val="center"/>
                </w:tcPr>
                <w:p>
                  <w:pPr>
                    <w:tabs>
                      <w:tab w:val="left" w:leader="middleDot" w:pos="8399"/>
                    </w:tabs>
                    <w:adjustRightInd w:val="0"/>
                    <w:snapToGrid w:val="0"/>
                    <w:jc w:val="center"/>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263" w:type="pct"/>
                  <w:vMerge w:val="continue"/>
                  <w:vAlign w:val="center"/>
                </w:tcPr>
                <w:p>
                  <w:pPr>
                    <w:tabs>
                      <w:tab w:val="left" w:leader="middleDot" w:pos="8399"/>
                    </w:tabs>
                    <w:adjustRightInd w:val="0"/>
                    <w:snapToGrid w:val="0"/>
                    <w:jc w:val="center"/>
                    <w:rPr>
                      <w:color w:val="auto"/>
                    </w:rPr>
                  </w:pPr>
                </w:p>
              </w:tc>
              <w:tc>
                <w:tcPr>
                  <w:tcW w:w="1529" w:type="pct"/>
                  <w:gridSpan w:val="2"/>
                  <w:vAlign w:val="center"/>
                </w:tcPr>
                <w:p>
                  <w:pPr>
                    <w:tabs>
                      <w:tab w:val="left" w:leader="middleDot" w:pos="8399"/>
                    </w:tabs>
                    <w:adjustRightInd w:val="0"/>
                    <w:snapToGrid w:val="0"/>
                    <w:jc w:val="center"/>
                    <w:rPr>
                      <w:color w:val="auto"/>
                    </w:rPr>
                  </w:pPr>
                  <w:r>
                    <w:rPr>
                      <w:color w:val="auto"/>
                    </w:rPr>
                    <w:t>噪声</w:t>
                  </w:r>
                </w:p>
              </w:tc>
              <w:tc>
                <w:tcPr>
                  <w:tcW w:w="1867" w:type="pct"/>
                  <w:vAlign w:val="center"/>
                </w:tcPr>
                <w:p>
                  <w:pPr>
                    <w:tabs>
                      <w:tab w:val="left" w:leader="middleDot" w:pos="8399"/>
                    </w:tabs>
                    <w:adjustRightInd w:val="0"/>
                    <w:snapToGrid w:val="0"/>
                    <w:jc w:val="center"/>
                    <w:rPr>
                      <w:color w:val="auto"/>
                    </w:rPr>
                  </w:pPr>
                  <w:r>
                    <w:rPr>
                      <w:color w:val="auto"/>
                    </w:rPr>
                    <w:t>基础减震，隔音装置</w:t>
                  </w:r>
                </w:p>
              </w:tc>
              <w:tc>
                <w:tcPr>
                  <w:tcW w:w="1341" w:type="pct"/>
                  <w:vAlign w:val="center"/>
                </w:tcPr>
                <w:p>
                  <w:pPr>
                    <w:tabs>
                      <w:tab w:val="left" w:pos="405"/>
                    </w:tabs>
                    <w:adjustRightInd w:val="0"/>
                    <w:snapToGrid w:val="0"/>
                    <w:jc w:val="center"/>
                    <w:rPr>
                      <w:color w:val="auto"/>
                    </w:rPr>
                  </w:pPr>
                  <w:r>
                    <w:rPr>
                      <w:rFonts w:hint="eastAsia"/>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263" w:type="pct"/>
                  <w:vMerge w:val="continue"/>
                  <w:vAlign w:val="center"/>
                </w:tcPr>
                <w:p>
                  <w:pPr>
                    <w:tabs>
                      <w:tab w:val="left" w:leader="middleDot" w:pos="8399"/>
                    </w:tabs>
                    <w:adjustRightInd w:val="0"/>
                    <w:snapToGrid w:val="0"/>
                    <w:jc w:val="center"/>
                    <w:rPr>
                      <w:color w:val="auto"/>
                    </w:rPr>
                  </w:pPr>
                </w:p>
              </w:tc>
              <w:tc>
                <w:tcPr>
                  <w:tcW w:w="552" w:type="pct"/>
                  <w:vMerge w:val="restart"/>
                  <w:vAlign w:val="center"/>
                </w:tcPr>
                <w:p>
                  <w:pPr>
                    <w:tabs>
                      <w:tab w:val="left" w:leader="middleDot" w:pos="8399"/>
                    </w:tabs>
                    <w:adjustRightInd w:val="0"/>
                    <w:snapToGrid w:val="0"/>
                    <w:jc w:val="center"/>
                    <w:rPr>
                      <w:color w:val="auto"/>
                    </w:rPr>
                  </w:pPr>
                  <w:r>
                    <w:rPr>
                      <w:color w:val="auto"/>
                    </w:rPr>
                    <w:t>固废</w:t>
                  </w:r>
                </w:p>
              </w:tc>
              <w:tc>
                <w:tcPr>
                  <w:tcW w:w="977" w:type="pct"/>
                  <w:vAlign w:val="center"/>
                </w:tcPr>
                <w:p>
                  <w:pPr>
                    <w:tabs>
                      <w:tab w:val="left" w:leader="middleDot" w:pos="8399"/>
                    </w:tabs>
                    <w:adjustRightInd w:val="0"/>
                    <w:snapToGrid w:val="0"/>
                    <w:jc w:val="center"/>
                    <w:rPr>
                      <w:color w:val="auto"/>
                    </w:rPr>
                  </w:pPr>
                  <w:r>
                    <w:rPr>
                      <w:color w:val="auto"/>
                    </w:rPr>
                    <w:t>一般固废</w:t>
                  </w:r>
                </w:p>
              </w:tc>
              <w:tc>
                <w:tcPr>
                  <w:tcW w:w="1867" w:type="pct"/>
                  <w:vAlign w:val="center"/>
                </w:tcPr>
                <w:p>
                  <w:pPr>
                    <w:tabs>
                      <w:tab w:val="left" w:leader="middleDot" w:pos="8399"/>
                    </w:tabs>
                    <w:adjustRightInd w:val="0"/>
                    <w:snapToGrid w:val="0"/>
                    <w:jc w:val="center"/>
                    <w:rPr>
                      <w:color w:val="auto"/>
                    </w:rPr>
                  </w:pPr>
                  <w:r>
                    <w:rPr>
                      <w:color w:val="auto"/>
                    </w:rPr>
                    <w:t>废包装收集后外售</w:t>
                  </w:r>
                </w:p>
              </w:tc>
              <w:tc>
                <w:tcPr>
                  <w:tcW w:w="1341" w:type="pct"/>
                  <w:vAlign w:val="center"/>
                </w:tcPr>
                <w:p>
                  <w:pPr>
                    <w:tabs>
                      <w:tab w:val="left" w:pos="405"/>
                    </w:tabs>
                    <w:adjustRightInd w:val="0"/>
                    <w:snapToGrid w:val="0"/>
                    <w:jc w:val="center"/>
                    <w:rPr>
                      <w:color w:val="auto"/>
                    </w:rPr>
                  </w:pPr>
                  <w:r>
                    <w:rPr>
                      <w:rFonts w:hint="eastAsia"/>
                      <w:color w:val="auto"/>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263" w:type="pct"/>
                  <w:vMerge w:val="continue"/>
                  <w:vAlign w:val="center"/>
                </w:tcPr>
                <w:p>
                  <w:pPr>
                    <w:tabs>
                      <w:tab w:val="left" w:leader="middleDot" w:pos="8399"/>
                    </w:tabs>
                    <w:adjustRightInd w:val="0"/>
                    <w:snapToGrid w:val="0"/>
                    <w:jc w:val="center"/>
                    <w:rPr>
                      <w:color w:val="auto"/>
                    </w:rPr>
                  </w:pPr>
                </w:p>
              </w:tc>
              <w:tc>
                <w:tcPr>
                  <w:tcW w:w="552" w:type="pct"/>
                  <w:vMerge w:val="continue"/>
                  <w:vAlign w:val="center"/>
                </w:tcPr>
                <w:p>
                  <w:pPr>
                    <w:tabs>
                      <w:tab w:val="left" w:leader="middleDot" w:pos="8399"/>
                    </w:tabs>
                    <w:adjustRightInd w:val="0"/>
                    <w:snapToGrid w:val="0"/>
                    <w:jc w:val="center"/>
                    <w:rPr>
                      <w:color w:val="auto"/>
                    </w:rPr>
                  </w:pPr>
                </w:p>
              </w:tc>
              <w:tc>
                <w:tcPr>
                  <w:tcW w:w="977" w:type="pct"/>
                  <w:vAlign w:val="center"/>
                </w:tcPr>
                <w:p>
                  <w:pPr>
                    <w:tabs>
                      <w:tab w:val="left" w:leader="middleDot" w:pos="8399"/>
                    </w:tabs>
                    <w:adjustRightInd w:val="0"/>
                    <w:snapToGrid w:val="0"/>
                    <w:jc w:val="center"/>
                    <w:rPr>
                      <w:color w:val="auto"/>
                    </w:rPr>
                  </w:pPr>
                  <w:r>
                    <w:rPr>
                      <w:color w:val="auto"/>
                    </w:rPr>
                    <w:t>危险废物</w:t>
                  </w:r>
                </w:p>
              </w:tc>
              <w:tc>
                <w:tcPr>
                  <w:tcW w:w="1867" w:type="pct"/>
                  <w:vAlign w:val="center"/>
                </w:tcPr>
                <w:p>
                  <w:pPr>
                    <w:tabs>
                      <w:tab w:val="left" w:leader="middleDot" w:pos="8399"/>
                    </w:tabs>
                    <w:adjustRightInd w:val="0"/>
                    <w:snapToGrid w:val="0"/>
                    <w:jc w:val="center"/>
                    <w:rPr>
                      <w:color w:val="auto"/>
                    </w:rPr>
                  </w:pPr>
                  <w:r>
                    <w:rPr>
                      <w:color w:val="auto"/>
                    </w:rPr>
                    <w:t>暂存于危废贮存库，委托有资质单位处理</w:t>
                  </w:r>
                </w:p>
              </w:tc>
              <w:tc>
                <w:tcPr>
                  <w:tcW w:w="1341" w:type="pct"/>
                  <w:vAlign w:val="center"/>
                </w:tcPr>
                <w:p>
                  <w:pPr>
                    <w:tabs>
                      <w:tab w:val="left" w:pos="405"/>
                    </w:tabs>
                    <w:adjustRightInd w:val="0"/>
                    <w:snapToGrid w:val="0"/>
                    <w:jc w:val="center"/>
                    <w:rPr>
                      <w:color w:val="auto"/>
                    </w:rPr>
                  </w:pPr>
                  <w:r>
                    <w:rPr>
                      <w:rFonts w:hint="eastAsia"/>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263" w:type="pct"/>
                  <w:vMerge w:val="continue"/>
                  <w:vAlign w:val="center"/>
                </w:tcPr>
                <w:p>
                  <w:pPr>
                    <w:tabs>
                      <w:tab w:val="left" w:leader="middleDot" w:pos="8399"/>
                    </w:tabs>
                    <w:adjustRightInd w:val="0"/>
                    <w:snapToGrid w:val="0"/>
                    <w:jc w:val="center"/>
                    <w:rPr>
                      <w:color w:val="auto"/>
                    </w:rPr>
                  </w:pPr>
                </w:p>
              </w:tc>
              <w:tc>
                <w:tcPr>
                  <w:tcW w:w="552" w:type="pct"/>
                  <w:vMerge w:val="continue"/>
                  <w:vAlign w:val="center"/>
                </w:tcPr>
                <w:p>
                  <w:pPr>
                    <w:tabs>
                      <w:tab w:val="left" w:leader="middleDot" w:pos="8399"/>
                    </w:tabs>
                    <w:adjustRightInd w:val="0"/>
                    <w:snapToGrid w:val="0"/>
                    <w:jc w:val="center"/>
                    <w:rPr>
                      <w:color w:val="auto"/>
                    </w:rPr>
                  </w:pPr>
                </w:p>
              </w:tc>
              <w:tc>
                <w:tcPr>
                  <w:tcW w:w="977" w:type="pct"/>
                  <w:vAlign w:val="center"/>
                </w:tcPr>
                <w:p>
                  <w:pPr>
                    <w:tabs>
                      <w:tab w:val="left" w:leader="middleDot" w:pos="8399"/>
                    </w:tabs>
                    <w:adjustRightInd w:val="0"/>
                    <w:snapToGrid w:val="0"/>
                    <w:jc w:val="center"/>
                    <w:rPr>
                      <w:color w:val="auto"/>
                    </w:rPr>
                  </w:pPr>
                  <w:r>
                    <w:rPr>
                      <w:color w:val="auto"/>
                    </w:rPr>
                    <w:t>生活垃圾</w:t>
                  </w:r>
                </w:p>
              </w:tc>
              <w:tc>
                <w:tcPr>
                  <w:tcW w:w="1867" w:type="pct"/>
                  <w:vAlign w:val="center"/>
                </w:tcPr>
                <w:p>
                  <w:pPr>
                    <w:tabs>
                      <w:tab w:val="left" w:leader="middleDot" w:pos="8399"/>
                    </w:tabs>
                    <w:adjustRightInd w:val="0"/>
                    <w:snapToGrid w:val="0"/>
                    <w:jc w:val="center"/>
                    <w:rPr>
                      <w:color w:val="auto"/>
                    </w:rPr>
                  </w:pPr>
                  <w:r>
                    <w:rPr>
                      <w:color w:val="auto"/>
                    </w:rPr>
                    <w:t>委托环卫部门清运</w:t>
                  </w:r>
                </w:p>
              </w:tc>
              <w:tc>
                <w:tcPr>
                  <w:tcW w:w="1341" w:type="pct"/>
                  <w:vAlign w:val="center"/>
                </w:tcPr>
                <w:p>
                  <w:pPr>
                    <w:tabs>
                      <w:tab w:val="left" w:pos="405"/>
                    </w:tabs>
                    <w:adjustRightInd w:val="0"/>
                    <w:snapToGrid w:val="0"/>
                    <w:jc w:val="center"/>
                    <w:rPr>
                      <w:color w:val="auto"/>
                    </w:rPr>
                  </w:pPr>
                  <w:r>
                    <w:rPr>
                      <w:rFonts w:hint="eastAsia"/>
                      <w:color w:val="auto"/>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1793" w:type="pct"/>
                  <w:gridSpan w:val="3"/>
                  <w:vAlign w:val="center"/>
                </w:tcPr>
                <w:p>
                  <w:pPr>
                    <w:tabs>
                      <w:tab w:val="left" w:leader="middleDot" w:pos="8399"/>
                    </w:tabs>
                    <w:adjustRightInd w:val="0"/>
                    <w:snapToGrid w:val="0"/>
                    <w:jc w:val="center"/>
                    <w:rPr>
                      <w:color w:val="auto"/>
                    </w:rPr>
                  </w:pPr>
                  <w:r>
                    <w:rPr>
                      <w:color w:val="auto"/>
                    </w:rPr>
                    <w:t>合计</w:t>
                  </w:r>
                </w:p>
              </w:tc>
              <w:tc>
                <w:tcPr>
                  <w:tcW w:w="1867" w:type="pct"/>
                  <w:vAlign w:val="center"/>
                </w:tcPr>
                <w:p>
                  <w:pPr>
                    <w:tabs>
                      <w:tab w:val="left" w:leader="middleDot" w:pos="8399"/>
                    </w:tabs>
                    <w:adjustRightInd w:val="0"/>
                    <w:snapToGrid w:val="0"/>
                    <w:jc w:val="center"/>
                    <w:rPr>
                      <w:color w:val="auto"/>
                    </w:rPr>
                  </w:pPr>
                  <w:r>
                    <w:rPr>
                      <w:color w:val="auto"/>
                    </w:rPr>
                    <w:t>环保投资</w:t>
                  </w:r>
                </w:p>
              </w:tc>
              <w:tc>
                <w:tcPr>
                  <w:tcW w:w="1341" w:type="pct"/>
                  <w:vAlign w:val="center"/>
                </w:tcPr>
                <w:p>
                  <w:pPr>
                    <w:tabs>
                      <w:tab w:val="left" w:leader="middleDot" w:pos="8399"/>
                    </w:tabs>
                    <w:adjustRightInd w:val="0"/>
                    <w:snapToGrid w:val="0"/>
                    <w:jc w:val="center"/>
                    <w:rPr>
                      <w:color w:val="auto"/>
                    </w:rPr>
                  </w:pPr>
                  <w:r>
                    <w:rPr>
                      <w:rFonts w:hint="eastAsia"/>
                      <w:color w:val="auto"/>
                    </w:rPr>
                    <w:t>8</w:t>
                  </w:r>
                </w:p>
              </w:tc>
            </w:tr>
          </w:tbl>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b/>
                <w:bCs/>
                <w:color w:val="auto"/>
                <w:sz w:val="24"/>
              </w:rPr>
            </w:pPr>
          </w:p>
          <w:p>
            <w:pPr>
              <w:adjustRightInd w:val="0"/>
              <w:snapToGrid w:val="0"/>
              <w:jc w:val="left"/>
              <w:rPr>
                <w:color w:val="auto"/>
              </w:rPr>
            </w:pPr>
          </w:p>
        </w:tc>
      </w:tr>
    </w:tbl>
    <w:p>
      <w:pPr>
        <w:adjustRightInd w:val="0"/>
        <w:snapToGrid w:val="0"/>
        <w:spacing w:line="360" w:lineRule="auto"/>
        <w:rPr>
          <w:bCs/>
          <w:color w:val="auto"/>
          <w:spacing w:val="-10"/>
          <w:sz w:val="24"/>
        </w:rPr>
        <w:sectPr>
          <w:pgSz w:w="11907" w:h="16840"/>
          <w:pgMar w:top="1701" w:right="1531" w:bottom="2127" w:left="1531" w:header="851" w:footer="851" w:gutter="0"/>
          <w:cols w:space="720" w:num="1"/>
          <w:docGrid w:linePitch="312" w:charSpace="0"/>
        </w:sectPr>
      </w:pPr>
    </w:p>
    <w:p>
      <w:pPr>
        <w:jc w:val="center"/>
        <w:outlineLvl w:val="0"/>
        <w:rPr>
          <w:rFonts w:eastAsia="黑体"/>
          <w:snapToGrid w:val="0"/>
          <w:color w:val="auto"/>
          <w:sz w:val="30"/>
          <w:szCs w:val="30"/>
        </w:rPr>
      </w:pPr>
      <w:bookmarkStart w:id="10" w:name="_Toc117495862"/>
      <w:r>
        <w:rPr>
          <w:rFonts w:eastAsia="黑体"/>
          <w:snapToGrid w:val="0"/>
          <w:color w:val="auto"/>
          <w:sz w:val="30"/>
          <w:szCs w:val="30"/>
        </w:rPr>
        <w:t>五、</w:t>
      </w:r>
      <w:bookmarkStart w:id="11" w:name="_Hlk54167917"/>
      <w:r>
        <w:rPr>
          <w:rFonts w:eastAsia="黑体"/>
          <w:snapToGrid w:val="0"/>
          <w:color w:val="auto"/>
          <w:sz w:val="30"/>
          <w:szCs w:val="30"/>
        </w:rPr>
        <w:t>环境保护措施监督检查清单</w:t>
      </w:r>
      <w:bookmarkEnd w:id="10"/>
      <w:bookmarkEnd w:id="11"/>
    </w:p>
    <w:tbl>
      <w:tblPr>
        <w:tblStyle w:val="6"/>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581"/>
        <w:gridCol w:w="1448"/>
        <w:gridCol w:w="2410"/>
        <w:gridCol w:w="21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2" w:type="dxa"/>
            <w:tcBorders>
              <w:tl2br w:val="single" w:color="auto" w:sz="4" w:space="0"/>
            </w:tcBorders>
          </w:tcPr>
          <w:p>
            <w:pPr>
              <w:adjustRightInd w:val="0"/>
              <w:snapToGrid w:val="0"/>
              <w:jc w:val="right"/>
              <w:rPr>
                <w:color w:val="auto"/>
                <w:sz w:val="24"/>
              </w:rPr>
            </w:pPr>
            <w:r>
              <w:rPr>
                <w:color w:val="auto"/>
                <w:sz w:val="24"/>
              </w:rPr>
              <w:t>内容</w:t>
            </w:r>
          </w:p>
          <w:p>
            <w:pPr>
              <w:adjustRightInd w:val="0"/>
              <w:snapToGrid w:val="0"/>
              <w:rPr>
                <w:color w:val="auto"/>
                <w:sz w:val="24"/>
              </w:rPr>
            </w:pPr>
          </w:p>
          <w:p>
            <w:pPr>
              <w:adjustRightInd w:val="0"/>
              <w:snapToGrid w:val="0"/>
              <w:rPr>
                <w:color w:val="auto"/>
                <w:sz w:val="24"/>
              </w:rPr>
            </w:pPr>
            <w:r>
              <w:rPr>
                <w:color w:val="auto"/>
                <w:sz w:val="24"/>
              </w:rPr>
              <w:t>要素</w:t>
            </w:r>
          </w:p>
        </w:tc>
        <w:tc>
          <w:tcPr>
            <w:tcW w:w="1581" w:type="dxa"/>
            <w:vAlign w:val="center"/>
          </w:tcPr>
          <w:p>
            <w:pPr>
              <w:adjustRightInd w:val="0"/>
              <w:snapToGrid w:val="0"/>
              <w:jc w:val="center"/>
              <w:rPr>
                <w:color w:val="auto"/>
                <w:sz w:val="24"/>
              </w:rPr>
            </w:pPr>
            <w:r>
              <w:rPr>
                <w:color w:val="auto"/>
                <w:sz w:val="24"/>
              </w:rPr>
              <w:t>排放口(编号、名称)/污染源</w:t>
            </w:r>
          </w:p>
        </w:tc>
        <w:tc>
          <w:tcPr>
            <w:tcW w:w="1448" w:type="dxa"/>
            <w:vAlign w:val="center"/>
          </w:tcPr>
          <w:p>
            <w:pPr>
              <w:adjustRightInd w:val="0"/>
              <w:snapToGrid w:val="0"/>
              <w:jc w:val="center"/>
              <w:rPr>
                <w:color w:val="auto"/>
                <w:sz w:val="24"/>
              </w:rPr>
            </w:pPr>
            <w:r>
              <w:rPr>
                <w:color w:val="auto"/>
                <w:sz w:val="24"/>
              </w:rPr>
              <w:t>污染物项目</w:t>
            </w:r>
          </w:p>
        </w:tc>
        <w:tc>
          <w:tcPr>
            <w:tcW w:w="2410" w:type="dxa"/>
            <w:vAlign w:val="center"/>
          </w:tcPr>
          <w:p>
            <w:pPr>
              <w:adjustRightInd w:val="0"/>
              <w:snapToGrid w:val="0"/>
              <w:jc w:val="center"/>
              <w:rPr>
                <w:color w:val="auto"/>
                <w:sz w:val="24"/>
              </w:rPr>
            </w:pPr>
            <w:r>
              <w:rPr>
                <w:color w:val="auto"/>
                <w:sz w:val="24"/>
              </w:rPr>
              <w:t>环境保护</w:t>
            </w:r>
          </w:p>
          <w:p>
            <w:pPr>
              <w:adjustRightInd w:val="0"/>
              <w:snapToGrid w:val="0"/>
              <w:jc w:val="center"/>
              <w:rPr>
                <w:color w:val="auto"/>
                <w:sz w:val="24"/>
              </w:rPr>
            </w:pPr>
            <w:r>
              <w:rPr>
                <w:color w:val="auto"/>
                <w:sz w:val="24"/>
              </w:rPr>
              <w:t>措施</w:t>
            </w:r>
          </w:p>
        </w:tc>
        <w:tc>
          <w:tcPr>
            <w:tcW w:w="2159" w:type="dxa"/>
            <w:vAlign w:val="center"/>
          </w:tcPr>
          <w:p>
            <w:pPr>
              <w:adjustRightInd w:val="0"/>
              <w:snapToGrid w:val="0"/>
              <w:jc w:val="center"/>
              <w:rPr>
                <w:color w:val="auto"/>
                <w:sz w:val="24"/>
              </w:rPr>
            </w:pPr>
            <w:r>
              <w:rPr>
                <w:color w:val="auto"/>
                <w:sz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202" w:type="dxa"/>
            <w:vAlign w:val="center"/>
          </w:tcPr>
          <w:p>
            <w:pPr>
              <w:adjustRightInd w:val="0"/>
              <w:snapToGrid w:val="0"/>
              <w:jc w:val="center"/>
              <w:rPr>
                <w:color w:val="auto"/>
                <w:sz w:val="24"/>
              </w:rPr>
            </w:pPr>
            <w:r>
              <w:rPr>
                <w:color w:val="auto"/>
                <w:sz w:val="24"/>
              </w:rPr>
              <w:t>大气环境</w:t>
            </w:r>
          </w:p>
        </w:tc>
        <w:tc>
          <w:tcPr>
            <w:tcW w:w="1581" w:type="dxa"/>
            <w:vAlign w:val="center"/>
          </w:tcPr>
          <w:p>
            <w:pPr>
              <w:adjustRightInd w:val="0"/>
              <w:snapToGrid w:val="0"/>
              <w:jc w:val="center"/>
              <w:rPr>
                <w:color w:val="auto"/>
                <w:sz w:val="24"/>
              </w:rPr>
            </w:pPr>
            <w:r>
              <w:rPr>
                <w:color w:val="auto"/>
                <w:sz w:val="24"/>
              </w:rPr>
              <w:t>厂界/一体化污水处理设备</w:t>
            </w:r>
          </w:p>
        </w:tc>
        <w:tc>
          <w:tcPr>
            <w:tcW w:w="1448" w:type="dxa"/>
            <w:vAlign w:val="center"/>
          </w:tcPr>
          <w:p>
            <w:pPr>
              <w:adjustRightInd w:val="0"/>
              <w:snapToGrid w:val="0"/>
              <w:jc w:val="center"/>
              <w:rPr>
                <w:color w:val="auto"/>
                <w:sz w:val="24"/>
              </w:rPr>
            </w:pPr>
            <w:r>
              <w:rPr>
                <w:color w:val="auto"/>
                <w:sz w:val="24"/>
              </w:rPr>
              <w:t>NH</w:t>
            </w:r>
            <w:r>
              <w:rPr>
                <w:color w:val="auto"/>
                <w:sz w:val="24"/>
                <w:vertAlign w:val="subscript"/>
              </w:rPr>
              <w:t>3</w:t>
            </w:r>
            <w:r>
              <w:rPr>
                <w:color w:val="auto"/>
                <w:sz w:val="24"/>
              </w:rPr>
              <w:t>、H</w:t>
            </w:r>
            <w:r>
              <w:rPr>
                <w:color w:val="auto"/>
                <w:sz w:val="24"/>
                <w:vertAlign w:val="subscript"/>
              </w:rPr>
              <w:t>2</w:t>
            </w:r>
            <w:r>
              <w:rPr>
                <w:color w:val="auto"/>
                <w:sz w:val="24"/>
              </w:rPr>
              <w:t>S、臭气浓度</w:t>
            </w:r>
          </w:p>
        </w:tc>
        <w:tc>
          <w:tcPr>
            <w:tcW w:w="2410" w:type="dxa"/>
            <w:vAlign w:val="center"/>
          </w:tcPr>
          <w:p>
            <w:pPr>
              <w:adjustRightInd w:val="0"/>
              <w:snapToGrid w:val="0"/>
              <w:jc w:val="center"/>
              <w:rPr>
                <w:color w:val="auto"/>
              </w:rPr>
            </w:pPr>
            <w:r>
              <w:rPr>
                <w:color w:val="auto"/>
              </w:rPr>
              <w:t>位于地下一层，一体化污水处理设施为密闭箱体结构，日常喷洒除臭剂</w:t>
            </w:r>
          </w:p>
        </w:tc>
        <w:tc>
          <w:tcPr>
            <w:tcW w:w="2159" w:type="dxa"/>
            <w:vAlign w:val="center"/>
          </w:tcPr>
          <w:p>
            <w:pPr>
              <w:adjustRightInd w:val="0"/>
              <w:snapToGrid w:val="0"/>
              <w:rPr>
                <w:color w:val="auto"/>
                <w:sz w:val="24"/>
              </w:rPr>
            </w:pPr>
            <w:r>
              <w:rPr>
                <w:color w:val="auto"/>
                <w:sz w:val="24"/>
              </w:rPr>
              <w:t>《医疗机构水污染物排放标准》GB18466-2005表3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202" w:type="dxa"/>
            <w:vAlign w:val="center"/>
          </w:tcPr>
          <w:p>
            <w:pPr>
              <w:adjustRightInd w:val="0"/>
              <w:snapToGrid w:val="0"/>
              <w:jc w:val="center"/>
              <w:rPr>
                <w:color w:val="auto"/>
                <w:sz w:val="24"/>
              </w:rPr>
            </w:pPr>
            <w:r>
              <w:rPr>
                <w:color w:val="auto"/>
                <w:sz w:val="24"/>
              </w:rPr>
              <w:t>地表水</w:t>
            </w:r>
          </w:p>
          <w:p>
            <w:pPr>
              <w:adjustRightInd w:val="0"/>
              <w:snapToGrid w:val="0"/>
              <w:jc w:val="center"/>
              <w:rPr>
                <w:color w:val="auto"/>
                <w:sz w:val="24"/>
              </w:rPr>
            </w:pPr>
            <w:r>
              <w:rPr>
                <w:color w:val="auto"/>
                <w:sz w:val="24"/>
              </w:rPr>
              <w:t>环境</w:t>
            </w:r>
          </w:p>
        </w:tc>
        <w:tc>
          <w:tcPr>
            <w:tcW w:w="1581" w:type="dxa"/>
            <w:vAlign w:val="center"/>
          </w:tcPr>
          <w:p>
            <w:pPr>
              <w:adjustRightInd w:val="0"/>
              <w:snapToGrid w:val="0"/>
              <w:jc w:val="center"/>
              <w:rPr>
                <w:color w:val="auto"/>
                <w:sz w:val="24"/>
              </w:rPr>
            </w:pPr>
            <w:r>
              <w:rPr>
                <w:color w:val="auto"/>
                <w:sz w:val="24"/>
              </w:rPr>
              <w:t>一体化污水处理设备出口</w:t>
            </w:r>
          </w:p>
        </w:tc>
        <w:tc>
          <w:tcPr>
            <w:tcW w:w="1448" w:type="dxa"/>
            <w:vAlign w:val="center"/>
          </w:tcPr>
          <w:p>
            <w:pPr>
              <w:spacing w:line="320" w:lineRule="exact"/>
              <w:jc w:val="center"/>
              <w:rPr>
                <w:color w:val="auto"/>
                <w:sz w:val="24"/>
              </w:rPr>
            </w:pPr>
            <w:r>
              <w:rPr>
                <w:color w:val="auto"/>
                <w:sz w:val="24"/>
              </w:rPr>
              <w:t>COD、BOD</w:t>
            </w:r>
            <w:r>
              <w:rPr>
                <w:color w:val="auto"/>
                <w:sz w:val="24"/>
                <w:vertAlign w:val="subscript"/>
              </w:rPr>
              <w:t>5</w:t>
            </w:r>
          </w:p>
          <w:p>
            <w:pPr>
              <w:spacing w:line="320" w:lineRule="exact"/>
              <w:jc w:val="center"/>
              <w:rPr>
                <w:color w:val="auto"/>
                <w:sz w:val="24"/>
              </w:rPr>
            </w:pPr>
            <w:r>
              <w:rPr>
                <w:color w:val="auto"/>
                <w:sz w:val="24"/>
              </w:rPr>
              <w:t>NH</w:t>
            </w:r>
            <w:r>
              <w:rPr>
                <w:color w:val="auto"/>
                <w:sz w:val="24"/>
                <w:vertAlign w:val="subscript"/>
              </w:rPr>
              <w:t>3</w:t>
            </w:r>
            <w:r>
              <w:rPr>
                <w:color w:val="auto"/>
                <w:sz w:val="24"/>
              </w:rPr>
              <w:t>-N、SS</w:t>
            </w:r>
          </w:p>
          <w:p>
            <w:pPr>
              <w:adjustRightInd w:val="0"/>
              <w:snapToGrid w:val="0"/>
              <w:jc w:val="center"/>
              <w:rPr>
                <w:color w:val="auto"/>
                <w:sz w:val="24"/>
              </w:rPr>
            </w:pPr>
            <w:r>
              <w:rPr>
                <w:color w:val="auto"/>
                <w:sz w:val="24"/>
              </w:rPr>
              <w:t>类大肠菌群、总磷、总氮等</w:t>
            </w:r>
          </w:p>
        </w:tc>
        <w:tc>
          <w:tcPr>
            <w:tcW w:w="2410" w:type="dxa"/>
            <w:vAlign w:val="center"/>
          </w:tcPr>
          <w:p>
            <w:pPr>
              <w:adjustRightInd w:val="0"/>
              <w:snapToGrid w:val="0"/>
              <w:jc w:val="center"/>
              <w:rPr>
                <w:color w:val="auto"/>
                <w:sz w:val="24"/>
              </w:rPr>
            </w:pPr>
            <w:r>
              <w:rPr>
                <w:bCs/>
                <w:color w:val="auto"/>
                <w:sz w:val="24"/>
              </w:rPr>
              <w:t>医疗废水（门诊部、住院部废水）与医务人员（生活污水）经一体化污水处理设施处理后进入国色天香化粪池，后市政污水管网，最终进入西安市第九污水处理厂。</w:t>
            </w:r>
          </w:p>
        </w:tc>
        <w:tc>
          <w:tcPr>
            <w:tcW w:w="2159" w:type="dxa"/>
            <w:vAlign w:val="center"/>
          </w:tcPr>
          <w:p>
            <w:pPr>
              <w:wordWrap w:val="0"/>
              <w:adjustRightInd w:val="0"/>
              <w:snapToGrid w:val="0"/>
              <w:rPr>
                <w:color w:val="auto"/>
                <w:sz w:val="24"/>
              </w:rPr>
            </w:pPr>
            <w:r>
              <w:rPr>
                <w:color w:val="auto"/>
                <w:sz w:val="24"/>
              </w:rPr>
              <w:t>《医疗机构水污染物排放标准》GB18466-2005表2中预处理标准以及《污水排入城镇下水道水质标准》（GB/T31962-2015）B级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202" w:type="dxa"/>
            <w:vAlign w:val="center"/>
          </w:tcPr>
          <w:p>
            <w:pPr>
              <w:adjustRightInd w:val="0"/>
              <w:snapToGrid w:val="0"/>
              <w:jc w:val="center"/>
              <w:rPr>
                <w:color w:val="auto"/>
                <w:sz w:val="24"/>
              </w:rPr>
            </w:pPr>
            <w:r>
              <w:rPr>
                <w:color w:val="auto"/>
                <w:sz w:val="24"/>
              </w:rPr>
              <w:t>声环境</w:t>
            </w:r>
          </w:p>
        </w:tc>
        <w:tc>
          <w:tcPr>
            <w:tcW w:w="1581" w:type="dxa"/>
            <w:vAlign w:val="center"/>
          </w:tcPr>
          <w:p>
            <w:pPr>
              <w:adjustRightInd w:val="0"/>
              <w:snapToGrid w:val="0"/>
              <w:jc w:val="center"/>
              <w:rPr>
                <w:color w:val="auto"/>
                <w:sz w:val="24"/>
              </w:rPr>
            </w:pPr>
            <w:r>
              <w:rPr>
                <w:color w:val="auto"/>
                <w:sz w:val="24"/>
              </w:rPr>
              <w:t>厂界</w:t>
            </w:r>
          </w:p>
        </w:tc>
        <w:tc>
          <w:tcPr>
            <w:tcW w:w="1448" w:type="dxa"/>
            <w:vAlign w:val="center"/>
          </w:tcPr>
          <w:p>
            <w:pPr>
              <w:adjustRightInd w:val="0"/>
              <w:snapToGrid w:val="0"/>
              <w:jc w:val="center"/>
              <w:rPr>
                <w:color w:val="auto"/>
                <w:sz w:val="24"/>
              </w:rPr>
            </w:pPr>
            <w:r>
              <w:rPr>
                <w:color w:val="auto"/>
                <w:sz w:val="24"/>
              </w:rPr>
              <w:t>设备噪声</w:t>
            </w:r>
          </w:p>
        </w:tc>
        <w:tc>
          <w:tcPr>
            <w:tcW w:w="2410" w:type="dxa"/>
            <w:vAlign w:val="center"/>
          </w:tcPr>
          <w:p>
            <w:pPr>
              <w:adjustRightInd w:val="0"/>
              <w:snapToGrid w:val="0"/>
              <w:jc w:val="center"/>
              <w:rPr>
                <w:color w:val="auto"/>
                <w:sz w:val="24"/>
              </w:rPr>
            </w:pPr>
            <w:r>
              <w:rPr>
                <w:color w:val="auto"/>
                <w:sz w:val="24"/>
              </w:rPr>
              <w:t>合理布局，选用低噪设备、安装在设备间内部、设备间墙壁安装隔音材料、泵类安装减振垫、风机安装软连接等</w:t>
            </w:r>
          </w:p>
        </w:tc>
        <w:tc>
          <w:tcPr>
            <w:tcW w:w="2159" w:type="dxa"/>
            <w:vAlign w:val="center"/>
          </w:tcPr>
          <w:p>
            <w:pPr>
              <w:wordWrap w:val="0"/>
              <w:adjustRightInd w:val="0"/>
              <w:snapToGrid w:val="0"/>
              <w:rPr>
                <w:color w:val="auto"/>
                <w:sz w:val="24"/>
              </w:rPr>
            </w:pPr>
            <w:r>
              <w:rPr>
                <w:bCs/>
                <w:color w:val="auto"/>
                <w:sz w:val="24"/>
              </w:rPr>
              <w:t>《工业企业厂界环境噪声排放标准》</w:t>
            </w:r>
            <w:r>
              <w:rPr>
                <w:color w:val="auto"/>
                <w:sz w:val="24"/>
              </w:rPr>
              <w:t>（</w:t>
            </w:r>
            <w:r>
              <w:rPr>
                <w:bCs/>
                <w:color w:val="auto"/>
                <w:sz w:val="24"/>
              </w:rPr>
              <w:t>GB12348-2008）</w:t>
            </w:r>
            <w:r>
              <w:rPr>
                <w:color w:val="auto"/>
                <w:spacing w:val="6"/>
                <w:sz w:val="24"/>
              </w:rPr>
              <w:t>中的1类和4类标准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02" w:type="dxa"/>
            <w:vAlign w:val="center"/>
          </w:tcPr>
          <w:p>
            <w:pPr>
              <w:adjustRightInd w:val="0"/>
              <w:snapToGrid w:val="0"/>
              <w:jc w:val="center"/>
              <w:rPr>
                <w:color w:val="auto"/>
                <w:sz w:val="24"/>
              </w:rPr>
            </w:pPr>
            <w:r>
              <w:rPr>
                <w:color w:val="auto"/>
                <w:sz w:val="24"/>
              </w:rPr>
              <w:t>电磁辐射</w:t>
            </w:r>
          </w:p>
        </w:tc>
        <w:tc>
          <w:tcPr>
            <w:tcW w:w="1581" w:type="dxa"/>
            <w:vAlign w:val="center"/>
          </w:tcPr>
          <w:p>
            <w:pPr>
              <w:adjustRightInd w:val="0"/>
              <w:snapToGrid w:val="0"/>
              <w:jc w:val="center"/>
              <w:rPr>
                <w:color w:val="auto"/>
                <w:sz w:val="24"/>
              </w:rPr>
            </w:pPr>
            <w:r>
              <w:rPr>
                <w:color w:val="auto"/>
                <w:sz w:val="24"/>
              </w:rPr>
              <w:t>/</w:t>
            </w:r>
          </w:p>
        </w:tc>
        <w:tc>
          <w:tcPr>
            <w:tcW w:w="1448" w:type="dxa"/>
            <w:vAlign w:val="center"/>
          </w:tcPr>
          <w:p>
            <w:pPr>
              <w:adjustRightInd w:val="0"/>
              <w:snapToGrid w:val="0"/>
              <w:jc w:val="center"/>
              <w:rPr>
                <w:color w:val="auto"/>
                <w:sz w:val="24"/>
              </w:rPr>
            </w:pPr>
            <w:r>
              <w:rPr>
                <w:color w:val="auto"/>
                <w:sz w:val="24"/>
              </w:rPr>
              <w:t>/</w:t>
            </w:r>
          </w:p>
        </w:tc>
        <w:tc>
          <w:tcPr>
            <w:tcW w:w="2410" w:type="dxa"/>
            <w:vAlign w:val="center"/>
          </w:tcPr>
          <w:p>
            <w:pPr>
              <w:adjustRightInd w:val="0"/>
              <w:snapToGrid w:val="0"/>
              <w:jc w:val="center"/>
              <w:rPr>
                <w:color w:val="auto"/>
                <w:sz w:val="24"/>
              </w:rPr>
            </w:pPr>
            <w:r>
              <w:rPr>
                <w:color w:val="auto"/>
                <w:sz w:val="24"/>
              </w:rPr>
              <w:t>/</w:t>
            </w:r>
          </w:p>
        </w:tc>
        <w:tc>
          <w:tcPr>
            <w:tcW w:w="2159" w:type="dxa"/>
            <w:vAlign w:val="center"/>
          </w:tcPr>
          <w:p>
            <w:pPr>
              <w:adjustRightInd w:val="0"/>
              <w:snapToGrid w:val="0"/>
              <w:jc w:val="center"/>
              <w:rPr>
                <w:color w:val="auto"/>
                <w:sz w:val="24"/>
              </w:rPr>
            </w:pPr>
            <w:r>
              <w:rPr>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1202" w:type="dxa"/>
            <w:vAlign w:val="center"/>
          </w:tcPr>
          <w:p>
            <w:pPr>
              <w:adjustRightInd w:val="0"/>
              <w:snapToGrid w:val="0"/>
              <w:jc w:val="center"/>
              <w:rPr>
                <w:color w:val="auto"/>
                <w:sz w:val="24"/>
              </w:rPr>
            </w:pPr>
            <w:r>
              <w:rPr>
                <w:color w:val="auto"/>
                <w:sz w:val="24"/>
              </w:rPr>
              <w:t>固体废物</w:t>
            </w:r>
          </w:p>
        </w:tc>
        <w:tc>
          <w:tcPr>
            <w:tcW w:w="7598" w:type="dxa"/>
            <w:gridSpan w:val="4"/>
            <w:vAlign w:val="center"/>
          </w:tcPr>
          <w:p>
            <w:pPr>
              <w:adjustRightInd w:val="0"/>
              <w:snapToGrid w:val="0"/>
              <w:spacing w:before="120" w:beforeLines="50"/>
              <w:rPr>
                <w:color w:val="auto"/>
                <w:sz w:val="24"/>
              </w:rPr>
            </w:pPr>
            <w:r>
              <w:rPr>
                <w:color w:val="auto"/>
                <w:sz w:val="24"/>
              </w:rPr>
              <w:t>本项目产生生活垃圾收集后交由环卫部门处理。</w:t>
            </w:r>
          </w:p>
          <w:p>
            <w:pPr>
              <w:wordWrap w:val="0"/>
              <w:adjustRightInd w:val="0"/>
              <w:snapToGrid w:val="0"/>
              <w:rPr>
                <w:color w:val="auto"/>
                <w:sz w:val="24"/>
              </w:rPr>
            </w:pPr>
            <w:r>
              <w:rPr>
                <w:color w:val="auto"/>
                <w:sz w:val="24"/>
              </w:rPr>
              <w:t>一般固体废物分类收集暂存于一般固废暂存点外售</w:t>
            </w:r>
            <w:r>
              <w:rPr>
                <w:rFonts w:hint="eastAsia"/>
                <w:color w:val="auto"/>
                <w:sz w:val="24"/>
              </w:rPr>
              <w:t>或有资质单位处理</w:t>
            </w:r>
            <w:r>
              <w:rPr>
                <w:color w:val="auto"/>
                <w:sz w:val="24"/>
              </w:rPr>
              <w:t>。一般固废暂存点应符合《一般工业固体废物贮存和填埋污染控制标准》（GB 18599-2020）的相关规定。</w:t>
            </w:r>
          </w:p>
          <w:p>
            <w:pPr>
              <w:wordWrap w:val="0"/>
              <w:rPr>
                <w:color w:val="auto"/>
                <w:sz w:val="24"/>
              </w:rPr>
            </w:pPr>
            <w:r>
              <w:rPr>
                <w:rFonts w:hint="eastAsia"/>
                <w:color w:val="auto"/>
                <w:sz w:val="24"/>
              </w:rPr>
              <w:t>危险废物分类收集后暂存于危险废物贮存库，交由有危险废物处置资质的单位处置。危险废物暂存点按照《危险废物贮存污染控制标准》（</w:t>
            </w:r>
            <w:r>
              <w:rPr>
                <w:color w:val="auto"/>
                <w:sz w:val="24"/>
              </w:rPr>
              <w:t>GB18597-20</w:t>
            </w:r>
            <w:r>
              <w:rPr>
                <w:rFonts w:hint="eastAsia"/>
                <w:color w:val="auto"/>
                <w:sz w:val="24"/>
              </w:rPr>
              <w:t>23）及《医疗废物处理处置污染控制标准》（GB39707-2020）等相关要求进行建设。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202" w:type="dxa"/>
            <w:vAlign w:val="center"/>
          </w:tcPr>
          <w:p>
            <w:pPr>
              <w:adjustRightInd w:val="0"/>
              <w:snapToGrid w:val="0"/>
              <w:jc w:val="center"/>
              <w:rPr>
                <w:color w:val="auto"/>
                <w:sz w:val="24"/>
              </w:rPr>
            </w:pPr>
            <w:r>
              <w:rPr>
                <w:color w:val="auto"/>
                <w:sz w:val="24"/>
              </w:rPr>
              <w:t>土壤及地下水污染防治措施</w:t>
            </w:r>
          </w:p>
        </w:tc>
        <w:tc>
          <w:tcPr>
            <w:tcW w:w="7598" w:type="dxa"/>
            <w:gridSpan w:val="4"/>
            <w:vAlign w:val="center"/>
          </w:tcPr>
          <w:p>
            <w:pPr>
              <w:spacing w:before="120" w:beforeLines="50" w:after="120" w:afterLines="50"/>
              <w:rPr>
                <w:color w:val="auto"/>
                <w:sz w:val="24"/>
              </w:rPr>
            </w:pPr>
            <w:r>
              <w:rPr>
                <w:rFonts w:hint="eastAsia"/>
                <w:color w:val="auto"/>
                <w:sz w:val="24"/>
              </w:rPr>
              <w:t>医疗废物贮存库设置于1F，地面进行硬化，地面及1米高墙裙进行防渗处理；污水处理站为地下式，污水处理站为一体化箱式结构，箱体内地面进行防腐防渗处理，箱体结构下方的土壤进行混凝土硬化处理，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2" w:type="dxa"/>
            <w:vAlign w:val="center"/>
          </w:tcPr>
          <w:p>
            <w:pPr>
              <w:adjustRightInd w:val="0"/>
              <w:snapToGrid w:val="0"/>
              <w:jc w:val="center"/>
              <w:rPr>
                <w:color w:val="auto"/>
                <w:sz w:val="24"/>
              </w:rPr>
            </w:pPr>
            <w:r>
              <w:rPr>
                <w:color w:val="auto"/>
                <w:sz w:val="24"/>
              </w:rPr>
              <w:t>生态保护措施</w:t>
            </w:r>
          </w:p>
        </w:tc>
        <w:tc>
          <w:tcPr>
            <w:tcW w:w="7598" w:type="dxa"/>
            <w:gridSpan w:val="4"/>
            <w:vAlign w:val="center"/>
          </w:tcPr>
          <w:p>
            <w:pPr>
              <w:adjustRightInd w:val="0"/>
              <w:snapToGrid w:val="0"/>
              <w:spacing w:line="360" w:lineRule="auto"/>
              <w:jc w:val="center"/>
              <w:rPr>
                <w:color w:val="auto"/>
                <w:sz w:val="24"/>
              </w:rPr>
            </w:pPr>
            <w:r>
              <w:rPr>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2" w:type="dxa"/>
            <w:vAlign w:val="center"/>
          </w:tcPr>
          <w:p>
            <w:pPr>
              <w:adjustRightInd w:val="0"/>
              <w:snapToGrid w:val="0"/>
              <w:jc w:val="center"/>
              <w:rPr>
                <w:color w:val="auto"/>
                <w:spacing w:val="-8"/>
                <w:sz w:val="24"/>
              </w:rPr>
            </w:pPr>
            <w:r>
              <w:rPr>
                <w:color w:val="auto"/>
                <w:spacing w:val="-8"/>
                <w:sz w:val="24"/>
              </w:rPr>
              <w:t>环境风险</w:t>
            </w:r>
          </w:p>
          <w:p>
            <w:pPr>
              <w:adjustRightInd w:val="0"/>
              <w:snapToGrid w:val="0"/>
              <w:jc w:val="center"/>
              <w:rPr>
                <w:color w:val="auto"/>
                <w:spacing w:val="-8"/>
                <w:sz w:val="24"/>
              </w:rPr>
            </w:pPr>
            <w:r>
              <w:rPr>
                <w:color w:val="auto"/>
                <w:spacing w:val="-8"/>
                <w:sz w:val="24"/>
              </w:rPr>
              <w:t>防范措施</w:t>
            </w:r>
          </w:p>
        </w:tc>
        <w:tc>
          <w:tcPr>
            <w:tcW w:w="7598" w:type="dxa"/>
            <w:gridSpan w:val="4"/>
            <w:vAlign w:val="center"/>
          </w:tcPr>
          <w:p>
            <w:pPr>
              <w:rPr>
                <w:color w:val="auto"/>
              </w:rPr>
            </w:pPr>
            <w:r>
              <w:rPr>
                <w:rFonts w:ascii="宋体" w:hAnsi="宋体"/>
                <w:color w:val="auto"/>
                <w:sz w:val="24"/>
              </w:rPr>
              <w:t>日常加强管理、定期巡视</w:t>
            </w:r>
            <w:r>
              <w:rPr>
                <w:rFonts w:hint="eastAsia" w:ascii="宋体" w:hAnsi="宋体"/>
                <w:color w:val="auto"/>
                <w:sz w:val="24"/>
              </w:rPr>
              <w:t>、</w:t>
            </w:r>
            <w:r>
              <w:rPr>
                <w:rFonts w:ascii="宋体" w:hAnsi="宋体"/>
                <w:color w:val="auto"/>
                <w:sz w:val="24"/>
              </w:rPr>
              <w:t>检查</w:t>
            </w:r>
            <w:r>
              <w:rPr>
                <w:rFonts w:hint="eastAsia" w:ascii="宋体" w:hAnsi="宋体"/>
                <w:color w:val="auto"/>
                <w:sz w:val="24"/>
              </w:rPr>
              <w:t>、</w:t>
            </w:r>
            <w:r>
              <w:rPr>
                <w:rFonts w:ascii="宋体" w:hAnsi="宋体"/>
                <w:color w:val="auto"/>
                <w:sz w:val="24"/>
              </w:rPr>
              <w:t>记录</w:t>
            </w:r>
            <w:r>
              <w:rPr>
                <w:rFonts w:hint="eastAsia" w:ascii="宋体" w:hAnsi="宋体"/>
                <w:color w:val="auto"/>
                <w:sz w:val="24"/>
              </w:rPr>
              <w:t>，日常</w:t>
            </w:r>
            <w:r>
              <w:rPr>
                <w:rFonts w:ascii="宋体" w:hAnsi="宋体"/>
                <w:color w:val="auto"/>
                <w:sz w:val="24"/>
              </w:rPr>
              <w:t>规范各项操作</w:t>
            </w:r>
            <w:r>
              <w:rPr>
                <w:rFonts w:hint="eastAsia" w:ascii="宋体" w:hAnsi="宋体"/>
                <w:color w:val="auto"/>
                <w:sz w:val="24"/>
              </w:rPr>
              <w:t>及定期维护</w:t>
            </w:r>
            <w:r>
              <w:rPr>
                <w:rFonts w:ascii="宋体" w:hAnsi="宋体"/>
                <w:color w:val="auto"/>
                <w:sz w:val="24"/>
              </w:rPr>
              <w:t>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99" w:hRule="atLeast"/>
          <w:jc w:val="center"/>
        </w:trPr>
        <w:tc>
          <w:tcPr>
            <w:tcW w:w="1202" w:type="dxa"/>
            <w:vAlign w:val="center"/>
          </w:tcPr>
          <w:p>
            <w:pPr>
              <w:adjustRightInd w:val="0"/>
              <w:snapToGrid w:val="0"/>
              <w:jc w:val="center"/>
              <w:rPr>
                <w:color w:val="auto"/>
                <w:spacing w:val="-8"/>
                <w:sz w:val="24"/>
              </w:rPr>
            </w:pPr>
            <w:r>
              <w:rPr>
                <w:color w:val="auto"/>
                <w:spacing w:val="-8"/>
                <w:sz w:val="24"/>
              </w:rPr>
              <w:t>其他环境</w:t>
            </w:r>
          </w:p>
          <w:p>
            <w:pPr>
              <w:adjustRightInd w:val="0"/>
              <w:snapToGrid w:val="0"/>
              <w:jc w:val="center"/>
              <w:rPr>
                <w:color w:val="auto"/>
                <w:spacing w:val="-8"/>
                <w:sz w:val="24"/>
              </w:rPr>
            </w:pPr>
            <w:r>
              <w:rPr>
                <w:color w:val="auto"/>
                <w:spacing w:val="-8"/>
                <w:sz w:val="24"/>
              </w:rPr>
              <w:t>管理要求</w:t>
            </w:r>
          </w:p>
        </w:tc>
        <w:tc>
          <w:tcPr>
            <w:tcW w:w="7598" w:type="dxa"/>
            <w:gridSpan w:val="4"/>
            <w:vAlign w:val="center"/>
          </w:tcPr>
          <w:p>
            <w:pPr>
              <w:adjustRightInd w:val="0"/>
              <w:snapToGrid w:val="0"/>
              <w:ind w:firstLine="480" w:firstLineChars="200"/>
              <w:rPr>
                <w:color w:val="auto"/>
                <w:kern w:val="0"/>
                <w:sz w:val="24"/>
              </w:rPr>
            </w:pPr>
            <w:r>
              <w:rPr>
                <w:color w:val="auto"/>
                <w:kern w:val="0"/>
                <w:sz w:val="24"/>
              </w:rPr>
              <w:t>一、</w:t>
            </w:r>
            <w:r>
              <w:rPr>
                <w:rFonts w:asciiTheme="minorEastAsia" w:hAnsiTheme="minorEastAsia" w:eastAsiaTheme="minorEastAsia"/>
                <w:color w:val="auto"/>
                <w:kern w:val="0"/>
                <w:sz w:val="24"/>
              </w:rPr>
              <w:t>“三同时”制度：</w:t>
            </w:r>
          </w:p>
          <w:p>
            <w:pPr>
              <w:ind w:firstLine="480" w:firstLineChars="200"/>
              <w:outlineLvl w:val="2"/>
              <w:rPr>
                <w:color w:val="auto"/>
                <w:sz w:val="24"/>
                <w:szCs w:val="32"/>
              </w:rPr>
            </w:pPr>
            <w:r>
              <w:rPr>
                <w:color w:val="auto"/>
                <w:sz w:val="24"/>
                <w:szCs w:val="32"/>
              </w:rPr>
              <w:t>按照设计和建设单位认真落实废气、污</w:t>
            </w:r>
            <w:r>
              <w:rPr>
                <w:rFonts w:hint="eastAsia"/>
                <w:color w:val="auto"/>
                <w:sz w:val="24"/>
                <w:szCs w:val="32"/>
              </w:rPr>
              <w:t>（</w:t>
            </w:r>
            <w:r>
              <w:rPr>
                <w:color w:val="auto"/>
                <w:sz w:val="24"/>
                <w:szCs w:val="32"/>
              </w:rPr>
              <w:t>废</w:t>
            </w:r>
            <w:r>
              <w:rPr>
                <w:rFonts w:hint="eastAsia"/>
                <w:color w:val="auto"/>
                <w:sz w:val="24"/>
                <w:szCs w:val="32"/>
              </w:rPr>
              <w:t>）</w:t>
            </w:r>
            <w:r>
              <w:rPr>
                <w:color w:val="auto"/>
                <w:sz w:val="24"/>
                <w:szCs w:val="32"/>
              </w:rPr>
              <w:t>水、固废、噪声等防治措施。</w:t>
            </w:r>
          </w:p>
          <w:p>
            <w:pPr>
              <w:widowControl/>
              <w:adjustRightInd w:val="0"/>
              <w:snapToGrid w:val="0"/>
              <w:ind w:firstLine="480" w:firstLineChars="200"/>
              <w:rPr>
                <w:color w:val="auto"/>
                <w:kern w:val="0"/>
                <w:sz w:val="24"/>
                <w:lang w:bidi="ar"/>
              </w:rPr>
            </w:pPr>
            <w:r>
              <w:rPr>
                <w:color w:val="auto"/>
                <w:kern w:val="0"/>
                <w:sz w:val="24"/>
                <w:lang w:bidi="ar"/>
              </w:rPr>
              <w:t>二、环境管理制度：</w:t>
            </w:r>
          </w:p>
          <w:p>
            <w:pPr>
              <w:widowControl/>
              <w:adjustRightInd w:val="0"/>
              <w:snapToGrid w:val="0"/>
              <w:ind w:firstLine="480" w:firstLineChars="200"/>
              <w:rPr>
                <w:color w:val="auto"/>
                <w:kern w:val="0"/>
                <w:sz w:val="24"/>
              </w:rPr>
            </w:pPr>
            <w:r>
              <w:rPr>
                <w:color w:val="auto"/>
                <w:kern w:val="0"/>
                <w:sz w:val="24"/>
              </w:rPr>
              <w:t>加强环保设施的管理，落实废气、固废等的治理。建立岗位责任制和工作台账制度，对污染防治情况进行定时监测，及时掌握污染治理设施的运行情况，做好各污染物的达标排放工作。</w:t>
            </w:r>
          </w:p>
          <w:p>
            <w:pPr>
              <w:widowControl/>
              <w:adjustRightInd w:val="0"/>
              <w:snapToGrid w:val="0"/>
              <w:ind w:left="-105"/>
              <w:rPr>
                <w:color w:val="auto"/>
                <w:kern w:val="0"/>
                <w:sz w:val="24"/>
                <w:lang w:bidi="ar"/>
              </w:rPr>
            </w:pPr>
            <w:r>
              <w:rPr>
                <w:color w:val="auto"/>
                <w:kern w:val="0"/>
                <w:sz w:val="24"/>
                <w:lang w:bidi="ar"/>
              </w:rPr>
              <w:t>三、排污许可制度：</w:t>
            </w:r>
          </w:p>
          <w:p>
            <w:pPr>
              <w:widowControl/>
              <w:adjustRightInd w:val="0"/>
              <w:snapToGrid w:val="0"/>
              <w:ind w:firstLine="480" w:firstLineChars="200"/>
              <w:rPr>
                <w:color w:val="auto"/>
                <w:kern w:val="0"/>
                <w:sz w:val="24"/>
                <w:lang w:bidi="ar"/>
              </w:rPr>
            </w:pPr>
            <w:r>
              <w:rPr>
                <w:color w:val="auto"/>
                <w:kern w:val="0"/>
                <w:sz w:val="24"/>
              </w:rPr>
              <w:t>根据《固定污染源排污许可分类管理名录（2019年版）》要求，</w:t>
            </w:r>
            <w:r>
              <w:rPr>
                <w:color w:val="auto"/>
                <w:kern w:val="0"/>
                <w:sz w:val="24"/>
                <w:lang w:bidi="ar"/>
              </w:rPr>
              <w:t>建设单位应及时填报、申领排污许可证，合法排污。</w:t>
            </w:r>
          </w:p>
          <w:p>
            <w:pPr>
              <w:widowControl/>
              <w:adjustRightInd w:val="0"/>
              <w:snapToGrid w:val="0"/>
              <w:ind w:left="-105"/>
              <w:rPr>
                <w:color w:val="auto"/>
                <w:kern w:val="0"/>
                <w:sz w:val="24"/>
                <w:lang w:bidi="ar"/>
              </w:rPr>
            </w:pPr>
            <w:r>
              <w:rPr>
                <w:color w:val="auto"/>
                <w:kern w:val="0"/>
                <w:sz w:val="24"/>
                <w:lang w:bidi="ar"/>
              </w:rPr>
              <w:t>四、环境监测：</w:t>
            </w:r>
          </w:p>
          <w:p>
            <w:pPr>
              <w:widowControl/>
              <w:adjustRightInd w:val="0"/>
              <w:snapToGrid w:val="0"/>
              <w:ind w:firstLine="480" w:firstLineChars="200"/>
              <w:rPr>
                <w:color w:val="auto"/>
                <w:sz w:val="24"/>
              </w:rPr>
            </w:pPr>
            <w:r>
              <w:rPr>
                <w:color w:val="auto"/>
                <w:sz w:val="24"/>
              </w:rPr>
              <w:t>按照监测计划的频次和要求进行监测，并</w:t>
            </w:r>
            <w:r>
              <w:rPr>
                <w:color w:val="auto"/>
                <w:kern w:val="0"/>
                <w:sz w:val="24"/>
                <w:lang w:bidi="ar"/>
              </w:rPr>
              <w:t>保留监测原始记录，每次数据应及时由专人整理、统计，如有异常，立即向上级有关部门通报，并做好监测资料的归档、备查工作，建议建设单位定期将监测数据上墙公示，接受公众监督。</w:t>
            </w:r>
          </w:p>
          <w:p>
            <w:pPr>
              <w:widowControl/>
              <w:adjustRightInd w:val="0"/>
              <w:snapToGrid w:val="0"/>
              <w:ind w:left="-105"/>
              <w:rPr>
                <w:color w:val="auto"/>
                <w:kern w:val="0"/>
                <w:sz w:val="24"/>
                <w:lang w:bidi="ar"/>
              </w:rPr>
            </w:pPr>
            <w:r>
              <w:rPr>
                <w:color w:val="auto"/>
                <w:kern w:val="0"/>
                <w:sz w:val="24"/>
                <w:lang w:bidi="ar"/>
              </w:rPr>
              <w:t>五、竣工验收</w:t>
            </w:r>
          </w:p>
          <w:p>
            <w:pPr>
              <w:ind w:firstLine="480" w:firstLineChars="200"/>
              <w:rPr>
                <w:color w:val="auto"/>
                <w:kern w:val="0"/>
                <w:sz w:val="24"/>
                <w:lang w:bidi="ar"/>
              </w:rPr>
            </w:pPr>
            <w:r>
              <w:rPr>
                <w:color w:val="auto"/>
                <w:kern w:val="0"/>
                <w:sz w:val="24"/>
                <w:lang w:bidi="ar"/>
              </w:rPr>
              <w:t>根据《建设项目竣工环境保护验收暂行办法》（国环规环评[2017]4号），建设单位自行验收。验收合格后，方可投入生产或者使用。</w:t>
            </w:r>
          </w:p>
          <w:p>
            <w:pPr>
              <w:ind w:firstLine="480" w:firstLineChars="200"/>
              <w:rPr>
                <w:color w:val="auto"/>
                <w:kern w:val="0"/>
                <w:sz w:val="24"/>
                <w:lang w:bidi="ar"/>
              </w:rPr>
            </w:pPr>
          </w:p>
          <w:p>
            <w:pPr>
              <w:spacing w:line="360" w:lineRule="auto"/>
              <w:ind w:firstLine="420" w:firstLineChars="200"/>
              <w:rPr>
                <w:color w:val="auto"/>
                <w:sz w:val="24"/>
              </w:rPr>
            </w:pPr>
            <w:r>
              <w:rPr>
                <w:color w:val="auto"/>
                <w:szCs w:val="21"/>
              </w:rPr>
              <w:object>
                <v:shape id="_x0000_i1027" o:spt="75" type="#_x0000_t75" style="height:252pt;width:333.45pt;" o:ole="t" filled="f" o:preferrelative="t" stroked="f" coordsize="21600,21600">
                  <v:path/>
                  <v:fill on="f" focussize="0,0"/>
                  <v:stroke on="f" joinstyle="miter"/>
                  <v:imagedata r:id="rId14" o:title=""/>
                  <o:lock v:ext="edit" aspectratio="f"/>
                  <w10:wrap type="none"/>
                  <w10:anchorlock/>
                </v:shape>
                <o:OLEObject Type="Embed" ProgID="Visio.Drawing.11" ShapeID="_x0000_i1027" DrawAspect="Content" ObjectID="_1468075727" r:id="rId13">
                  <o:LockedField>false</o:LockedField>
                </o:OLEObject>
              </w:object>
            </w:r>
          </w:p>
          <w:p>
            <w:pPr>
              <w:widowControl/>
              <w:adjustRightInd w:val="0"/>
              <w:snapToGrid w:val="0"/>
              <w:spacing w:line="360" w:lineRule="auto"/>
              <w:ind w:left="-105"/>
              <w:rPr>
                <w:color w:val="auto"/>
                <w:kern w:val="0"/>
                <w:sz w:val="24"/>
                <w:lang w:bidi="ar"/>
              </w:rPr>
            </w:pPr>
            <w:r>
              <w:rPr>
                <w:color w:val="auto"/>
                <w:kern w:val="0"/>
                <w:sz w:val="24"/>
                <w:lang w:bidi="ar"/>
              </w:rPr>
              <w:t>六、排污口规范化</w:t>
            </w:r>
          </w:p>
          <w:p>
            <w:pPr>
              <w:pStyle w:val="12"/>
              <w:rPr>
                <w:color w:val="auto"/>
              </w:rPr>
            </w:pPr>
            <w:r>
              <w:rPr>
                <w:color w:val="auto"/>
              </w:rPr>
              <w:t>建设单位应在各个排污口处树立标志牌，建立排污口管理的专门档案：排污口性质和编号，位置，排放主要污染物种类、数量、浓度，排放去向，达标情况，治理设施运行情况。</w:t>
            </w:r>
          </w:p>
        </w:tc>
      </w:tr>
    </w:tbl>
    <w:p>
      <w:pPr>
        <w:jc w:val="center"/>
        <w:outlineLvl w:val="0"/>
        <w:rPr>
          <w:rFonts w:eastAsia="黑体"/>
          <w:snapToGrid w:val="0"/>
          <w:color w:val="auto"/>
          <w:sz w:val="30"/>
          <w:szCs w:val="30"/>
        </w:rPr>
      </w:pPr>
      <w:r>
        <w:rPr>
          <w:snapToGrid w:val="0"/>
          <w:color w:val="auto"/>
        </w:rPr>
        <w:br w:type="page"/>
      </w:r>
      <w:bookmarkStart w:id="12" w:name="_Toc117495863"/>
      <w:r>
        <w:rPr>
          <w:rFonts w:eastAsia="黑体"/>
          <w:snapToGrid w:val="0"/>
          <w:color w:val="auto"/>
          <w:sz w:val="30"/>
          <w:szCs w:val="30"/>
        </w:rPr>
        <w:t>六、结论</w:t>
      </w:r>
      <w:bookmarkEnd w:id="12"/>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autoSpaceDE w:val="0"/>
              <w:autoSpaceDN w:val="0"/>
              <w:adjustRightInd w:val="0"/>
              <w:snapToGrid w:val="0"/>
              <w:spacing w:before="120" w:beforeLines="50" w:line="360" w:lineRule="auto"/>
              <w:ind w:firstLine="480" w:firstLineChars="200"/>
              <w:rPr>
                <w:color w:val="auto"/>
                <w:sz w:val="24"/>
              </w:rPr>
            </w:pPr>
            <w:r>
              <w:rPr>
                <w:color w:val="auto"/>
                <w:sz w:val="24"/>
              </w:rPr>
              <w:t>本项目的建设符合国家及地方产业政策，符合当地规划要求，选址合理，无重大制约因素。建设单位在全面落实本报告表中提出的各项环境管理和污染防治措施，确保污染防治设施正常运转，所排放污染物满足达标排放要求的前提下，从环境保护角度分析，环境影响可行。</w:t>
            </w:r>
          </w:p>
          <w:p>
            <w:pPr>
              <w:spacing w:line="360" w:lineRule="auto"/>
              <w:rPr>
                <w:color w:val="auto"/>
                <w:sz w:val="24"/>
              </w:rPr>
            </w:pPr>
          </w:p>
        </w:tc>
      </w:tr>
    </w:tbl>
    <w:p>
      <w:pPr>
        <w:rPr>
          <w:color w:val="auto"/>
        </w:rPr>
        <w:sectPr>
          <w:pgSz w:w="11906" w:h="16838"/>
          <w:pgMar w:top="1701" w:right="1531" w:bottom="1701" w:left="1531" w:header="851" w:footer="851" w:gutter="0"/>
          <w:cols w:space="720" w:num="1"/>
          <w:docGrid w:linePitch="312" w:charSpace="0"/>
        </w:sectPr>
      </w:pPr>
    </w:p>
    <w:p>
      <w:pPr>
        <w:adjustRightInd w:val="0"/>
        <w:snapToGrid w:val="0"/>
        <w:outlineLvl w:val="0"/>
        <w:rPr>
          <w:rFonts w:eastAsia="黑体"/>
          <w:snapToGrid w:val="0"/>
          <w:color w:val="auto"/>
          <w:sz w:val="32"/>
          <w:szCs w:val="32"/>
        </w:rPr>
      </w:pPr>
      <w:bookmarkStart w:id="13" w:name="_Toc117495864"/>
      <w:r>
        <w:rPr>
          <w:rFonts w:eastAsia="黑体"/>
          <w:snapToGrid w:val="0"/>
          <w:color w:val="auto"/>
          <w:sz w:val="32"/>
          <w:szCs w:val="32"/>
        </w:rPr>
        <w:t>附表</w:t>
      </w:r>
      <w:bookmarkEnd w:id="13"/>
    </w:p>
    <w:p>
      <w:pPr>
        <w:adjustRightInd w:val="0"/>
        <w:snapToGrid w:val="0"/>
        <w:spacing w:before="120" w:beforeLines="50" w:after="120" w:afterLines="50"/>
        <w:jc w:val="center"/>
        <w:outlineLvl w:val="0"/>
        <w:rPr>
          <w:rFonts w:eastAsia="方正小标宋_GBK"/>
          <w:snapToGrid w:val="0"/>
          <w:color w:val="auto"/>
          <w:sz w:val="38"/>
          <w:szCs w:val="38"/>
        </w:rPr>
      </w:pPr>
      <w:bookmarkStart w:id="14" w:name="_Toc117495865"/>
      <w:r>
        <w:rPr>
          <w:rFonts w:eastAsia="方正小标宋_GBK"/>
          <w:snapToGrid w:val="0"/>
          <w:color w:val="auto"/>
          <w:sz w:val="38"/>
          <w:szCs w:val="38"/>
        </w:rPr>
        <w:t>建设项目污染物排放量汇总表</w:t>
      </w:r>
      <w:bookmarkEnd w:id="14"/>
    </w:p>
    <w:tbl>
      <w:tblPr>
        <w:tblStyle w:val="6"/>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418"/>
        <w:gridCol w:w="1417"/>
        <w:gridCol w:w="17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tcBorders>
              <w:tl2br w:val="single" w:color="auto" w:sz="4" w:space="0"/>
            </w:tcBorders>
            <w:tcMar>
              <w:left w:w="28" w:type="dxa"/>
              <w:right w:w="28" w:type="dxa"/>
            </w:tcMar>
            <w:vAlign w:val="center"/>
          </w:tcPr>
          <w:p>
            <w:pPr>
              <w:pStyle w:val="10"/>
              <w:wordWrap w:val="0"/>
              <w:spacing w:beforeLines="0" w:afterLines="0" w:line="240" w:lineRule="auto"/>
              <w:jc w:val="right"/>
              <w:rPr>
                <w:rFonts w:ascii="Times New Roman" w:eastAsia="黑体"/>
                <w:snapToGrid w:val="0"/>
                <w:color w:val="auto"/>
                <w:spacing w:val="-6"/>
                <w:kern w:val="21"/>
                <w:szCs w:val="21"/>
              </w:rPr>
            </w:pPr>
            <w:r>
              <w:rPr>
                <w:rFonts w:ascii="Times New Roman" w:eastAsia="黑体"/>
                <w:snapToGrid w:val="0"/>
                <w:color w:val="auto"/>
                <w:spacing w:val="-6"/>
                <w:kern w:val="21"/>
                <w:szCs w:val="21"/>
              </w:rPr>
              <w:t>项目</w:t>
            </w:r>
            <w:r>
              <w:rPr>
                <w:rFonts w:hint="eastAsia" w:ascii="Times New Roman" w:eastAsia="黑体"/>
                <w:snapToGrid w:val="0"/>
                <w:color w:val="auto"/>
                <w:spacing w:val="-6"/>
                <w:kern w:val="21"/>
                <w:szCs w:val="21"/>
              </w:rPr>
              <w:t xml:space="preserve"> </w:t>
            </w:r>
          </w:p>
          <w:p>
            <w:pPr>
              <w:pStyle w:val="10"/>
              <w:spacing w:beforeLines="0" w:afterLines="0" w:line="240" w:lineRule="auto"/>
              <w:ind w:firstLine="198" w:firstLineChars="100"/>
              <w:jc w:val="left"/>
              <w:rPr>
                <w:rFonts w:ascii="Times New Roman" w:eastAsia="黑体"/>
                <w:snapToGrid w:val="0"/>
                <w:color w:val="auto"/>
                <w:spacing w:val="-6"/>
                <w:kern w:val="21"/>
                <w:szCs w:val="21"/>
              </w:rPr>
            </w:pPr>
            <w:r>
              <w:rPr>
                <w:rFonts w:ascii="Times New Roman" w:eastAsia="黑体"/>
                <w:snapToGrid w:val="0"/>
                <w:color w:val="auto"/>
                <w:spacing w:val="-6"/>
                <w:kern w:val="21"/>
                <w:szCs w:val="21"/>
              </w:rPr>
              <w:t>分类</w:t>
            </w:r>
          </w:p>
        </w:tc>
        <w:tc>
          <w:tcPr>
            <w:tcW w:w="1417" w:type="dxa"/>
            <w:tcMar>
              <w:left w:w="28" w:type="dxa"/>
              <w:right w:w="28" w:type="dxa"/>
            </w:tcMar>
            <w:vAlign w:val="center"/>
          </w:tcPr>
          <w:p>
            <w:pPr>
              <w:pStyle w:val="10"/>
              <w:spacing w:beforeLines="0" w:afterLines="0" w:line="240" w:lineRule="auto"/>
              <w:ind w:left="-63" w:leftChars="-30" w:right="-63" w:rightChars="-30"/>
              <w:rPr>
                <w:rFonts w:ascii="Times New Roman" w:eastAsia="黑体"/>
                <w:snapToGrid w:val="0"/>
                <w:color w:val="auto"/>
                <w:spacing w:val="-6"/>
                <w:kern w:val="21"/>
                <w:szCs w:val="21"/>
              </w:rPr>
            </w:pPr>
            <w:r>
              <w:rPr>
                <w:rFonts w:ascii="Times New Roman" w:eastAsia="黑体"/>
                <w:snapToGrid w:val="0"/>
                <w:color w:val="auto"/>
                <w:spacing w:val="-6"/>
                <w:kern w:val="21"/>
                <w:szCs w:val="21"/>
              </w:rPr>
              <w:t>污染物名称</w:t>
            </w:r>
          </w:p>
        </w:tc>
        <w:tc>
          <w:tcPr>
            <w:tcW w:w="1701" w:type="dxa"/>
            <w:tcMar>
              <w:left w:w="28" w:type="dxa"/>
              <w:right w:w="28" w:type="dxa"/>
            </w:tcMar>
            <w:vAlign w:val="center"/>
          </w:tcPr>
          <w:p>
            <w:pPr>
              <w:pStyle w:val="10"/>
              <w:spacing w:beforeLines="0" w:afterLines="0" w:line="240" w:lineRule="auto"/>
              <w:rPr>
                <w:rFonts w:ascii="Times New Roman" w:eastAsia="黑体"/>
                <w:snapToGrid w:val="0"/>
                <w:color w:val="auto"/>
                <w:spacing w:val="-6"/>
                <w:kern w:val="21"/>
                <w:szCs w:val="21"/>
              </w:rPr>
            </w:pPr>
            <w:r>
              <w:rPr>
                <w:rFonts w:ascii="Times New Roman" w:eastAsia="黑体"/>
                <w:snapToGrid w:val="0"/>
                <w:color w:val="auto"/>
                <w:spacing w:val="-6"/>
                <w:kern w:val="21"/>
                <w:szCs w:val="21"/>
              </w:rPr>
              <w:t>现有工程</w:t>
            </w:r>
          </w:p>
          <w:p>
            <w:pPr>
              <w:pStyle w:val="10"/>
              <w:spacing w:beforeLines="0" w:afterLines="0" w:line="240" w:lineRule="auto"/>
              <w:rPr>
                <w:rFonts w:ascii="Times New Roman" w:eastAsia="黑体"/>
                <w:snapToGrid w:val="0"/>
                <w:color w:val="auto"/>
                <w:spacing w:val="-6"/>
                <w:kern w:val="21"/>
                <w:szCs w:val="21"/>
              </w:rPr>
            </w:pPr>
            <w:r>
              <w:rPr>
                <w:rFonts w:ascii="Times New Roman" w:eastAsia="黑体"/>
                <w:snapToGrid w:val="0"/>
                <w:color w:val="auto"/>
                <w:spacing w:val="-6"/>
                <w:kern w:val="21"/>
                <w:szCs w:val="21"/>
              </w:rPr>
              <w:t>排放量（固体废物产生量）</w:t>
            </w:r>
            <w:r>
              <w:rPr>
                <w:rFonts w:ascii="Times New Roman" w:eastAsia="黑体"/>
                <w:snapToGrid w:val="0"/>
                <w:color w:val="auto"/>
                <w:spacing w:val="-6"/>
                <w:kern w:val="21"/>
                <w:szCs w:val="21"/>
              </w:rPr>
              <w:fldChar w:fldCharType="begin"/>
            </w:r>
            <w:r>
              <w:rPr>
                <w:rFonts w:ascii="Times New Roman" w:eastAsia="黑体"/>
                <w:snapToGrid w:val="0"/>
                <w:color w:val="auto"/>
                <w:spacing w:val="-6"/>
                <w:kern w:val="21"/>
                <w:szCs w:val="21"/>
              </w:rPr>
              <w:instrText xml:space="preserve"> = 1 \* GB3 \* MERGEFORMAT </w:instrText>
            </w:r>
            <w:r>
              <w:rPr>
                <w:rFonts w:ascii="Times New Roman" w:eastAsia="黑体"/>
                <w:snapToGrid w:val="0"/>
                <w:color w:val="auto"/>
                <w:spacing w:val="-6"/>
                <w:kern w:val="21"/>
                <w:szCs w:val="21"/>
              </w:rPr>
              <w:fldChar w:fldCharType="separate"/>
            </w:r>
            <w:r>
              <w:rPr>
                <w:rFonts w:hint="eastAsia" w:hAnsi="宋体" w:cs="宋体"/>
                <w:color w:val="auto"/>
                <w:kern w:val="2"/>
                <w:szCs w:val="21"/>
              </w:rPr>
              <w:t>①</w:t>
            </w:r>
            <w:r>
              <w:rPr>
                <w:rFonts w:ascii="Times New Roman" w:eastAsia="黑体"/>
                <w:snapToGrid w:val="0"/>
                <w:color w:val="auto"/>
                <w:spacing w:val="-6"/>
                <w:kern w:val="21"/>
                <w:szCs w:val="21"/>
              </w:rPr>
              <w:fldChar w:fldCharType="end"/>
            </w:r>
          </w:p>
        </w:tc>
        <w:tc>
          <w:tcPr>
            <w:tcW w:w="1276" w:type="dxa"/>
            <w:tcMar>
              <w:left w:w="28" w:type="dxa"/>
              <w:right w:w="28" w:type="dxa"/>
            </w:tcMar>
            <w:vAlign w:val="center"/>
          </w:tcPr>
          <w:p>
            <w:pPr>
              <w:pStyle w:val="10"/>
              <w:spacing w:beforeLines="0" w:afterLines="0" w:line="240" w:lineRule="auto"/>
              <w:rPr>
                <w:rFonts w:ascii="Times New Roman" w:eastAsia="黑体"/>
                <w:snapToGrid w:val="0"/>
                <w:color w:val="auto"/>
                <w:spacing w:val="-6"/>
                <w:kern w:val="21"/>
                <w:szCs w:val="21"/>
              </w:rPr>
            </w:pPr>
            <w:r>
              <w:rPr>
                <w:rFonts w:ascii="Times New Roman" w:eastAsia="黑体"/>
                <w:snapToGrid w:val="0"/>
                <w:color w:val="auto"/>
                <w:spacing w:val="-6"/>
                <w:kern w:val="21"/>
                <w:szCs w:val="21"/>
              </w:rPr>
              <w:t>现有工程</w:t>
            </w:r>
          </w:p>
          <w:p>
            <w:pPr>
              <w:pStyle w:val="10"/>
              <w:spacing w:beforeLines="0" w:afterLines="0" w:line="240" w:lineRule="auto"/>
              <w:rPr>
                <w:rFonts w:ascii="Times New Roman" w:eastAsia="黑体"/>
                <w:snapToGrid w:val="0"/>
                <w:color w:val="auto"/>
                <w:spacing w:val="-6"/>
                <w:kern w:val="21"/>
                <w:szCs w:val="21"/>
              </w:rPr>
            </w:pPr>
            <w:r>
              <w:rPr>
                <w:rFonts w:ascii="Times New Roman" w:eastAsia="黑体"/>
                <w:snapToGrid w:val="0"/>
                <w:color w:val="auto"/>
                <w:spacing w:val="-6"/>
                <w:kern w:val="21"/>
                <w:szCs w:val="21"/>
              </w:rPr>
              <w:t>许可排放量</w:t>
            </w:r>
          </w:p>
          <w:p>
            <w:pPr>
              <w:pStyle w:val="10"/>
              <w:spacing w:beforeLines="0" w:afterLines="0"/>
              <w:rPr>
                <w:rFonts w:ascii="Times New Roman" w:eastAsia="黑体"/>
                <w:snapToGrid w:val="0"/>
                <w:color w:val="auto"/>
                <w:spacing w:val="-6"/>
                <w:kern w:val="21"/>
                <w:szCs w:val="21"/>
              </w:rPr>
            </w:pPr>
            <w:r>
              <w:rPr>
                <w:rFonts w:ascii="Times New Roman" w:eastAsia="黑体"/>
                <w:snapToGrid w:val="0"/>
                <w:color w:val="auto"/>
                <w:spacing w:val="-6"/>
                <w:kern w:val="21"/>
                <w:szCs w:val="21"/>
              </w:rPr>
              <w:fldChar w:fldCharType="begin"/>
            </w:r>
            <w:r>
              <w:rPr>
                <w:rFonts w:ascii="Times New Roman" w:eastAsia="黑体"/>
                <w:snapToGrid w:val="0"/>
                <w:color w:val="auto"/>
                <w:spacing w:val="-6"/>
                <w:kern w:val="21"/>
                <w:szCs w:val="21"/>
              </w:rPr>
              <w:instrText xml:space="preserve"> = 2 \* GB3 \* MERGEFORMAT </w:instrText>
            </w:r>
            <w:r>
              <w:rPr>
                <w:rFonts w:ascii="Times New Roman" w:eastAsia="黑体"/>
                <w:snapToGrid w:val="0"/>
                <w:color w:val="auto"/>
                <w:spacing w:val="-6"/>
                <w:kern w:val="21"/>
                <w:szCs w:val="21"/>
              </w:rPr>
              <w:fldChar w:fldCharType="separate"/>
            </w:r>
            <w:r>
              <w:rPr>
                <w:rFonts w:hint="eastAsia" w:hAnsi="宋体" w:cs="宋体"/>
                <w:snapToGrid w:val="0"/>
                <w:color w:val="auto"/>
                <w:spacing w:val="-6"/>
                <w:kern w:val="21"/>
                <w:szCs w:val="21"/>
              </w:rPr>
              <w:t>②</w:t>
            </w:r>
            <w:r>
              <w:rPr>
                <w:rFonts w:ascii="Times New Roman" w:eastAsia="黑体"/>
                <w:snapToGrid w:val="0"/>
                <w:color w:val="auto"/>
                <w:spacing w:val="-6"/>
                <w:kern w:val="21"/>
                <w:szCs w:val="21"/>
              </w:rPr>
              <w:fldChar w:fldCharType="end"/>
            </w:r>
          </w:p>
        </w:tc>
        <w:tc>
          <w:tcPr>
            <w:tcW w:w="1701" w:type="dxa"/>
            <w:tcMar>
              <w:left w:w="28" w:type="dxa"/>
              <w:right w:w="28" w:type="dxa"/>
            </w:tcMar>
            <w:vAlign w:val="center"/>
          </w:tcPr>
          <w:p>
            <w:pPr>
              <w:pStyle w:val="10"/>
              <w:spacing w:beforeLines="0" w:afterLines="0" w:line="240" w:lineRule="auto"/>
              <w:rPr>
                <w:rFonts w:ascii="Times New Roman" w:eastAsia="黑体"/>
                <w:snapToGrid w:val="0"/>
                <w:color w:val="auto"/>
                <w:spacing w:val="-6"/>
                <w:kern w:val="21"/>
                <w:szCs w:val="21"/>
              </w:rPr>
            </w:pPr>
            <w:r>
              <w:rPr>
                <w:rFonts w:ascii="Times New Roman" w:eastAsia="黑体"/>
                <w:snapToGrid w:val="0"/>
                <w:color w:val="auto"/>
                <w:spacing w:val="-6"/>
                <w:kern w:val="21"/>
                <w:szCs w:val="21"/>
              </w:rPr>
              <w:t>在建工程</w:t>
            </w:r>
          </w:p>
          <w:p>
            <w:pPr>
              <w:pStyle w:val="10"/>
              <w:spacing w:beforeLines="0" w:afterLines="0" w:line="240" w:lineRule="auto"/>
              <w:rPr>
                <w:rFonts w:ascii="Times New Roman" w:eastAsia="黑体"/>
                <w:snapToGrid w:val="0"/>
                <w:color w:val="auto"/>
                <w:spacing w:val="-6"/>
                <w:kern w:val="21"/>
                <w:szCs w:val="21"/>
              </w:rPr>
            </w:pPr>
            <w:r>
              <w:rPr>
                <w:rFonts w:ascii="Times New Roman" w:eastAsia="黑体"/>
                <w:snapToGrid w:val="0"/>
                <w:color w:val="auto"/>
                <w:spacing w:val="-6"/>
                <w:kern w:val="21"/>
                <w:szCs w:val="21"/>
              </w:rPr>
              <w:t>排放量（固体废物产生量）</w:t>
            </w:r>
            <w:r>
              <w:rPr>
                <w:rFonts w:ascii="Times New Roman" w:eastAsia="黑体"/>
                <w:snapToGrid w:val="0"/>
                <w:color w:val="auto"/>
                <w:spacing w:val="-6"/>
                <w:kern w:val="21"/>
                <w:szCs w:val="21"/>
              </w:rPr>
              <w:fldChar w:fldCharType="begin"/>
            </w:r>
            <w:r>
              <w:rPr>
                <w:rFonts w:ascii="Times New Roman" w:eastAsia="黑体"/>
                <w:snapToGrid w:val="0"/>
                <w:color w:val="auto"/>
                <w:spacing w:val="-6"/>
                <w:kern w:val="21"/>
                <w:szCs w:val="21"/>
              </w:rPr>
              <w:instrText xml:space="preserve"> = 3 \* GB3 \* MERGEFORMAT </w:instrText>
            </w:r>
            <w:r>
              <w:rPr>
                <w:rFonts w:ascii="Times New Roman" w:eastAsia="黑体"/>
                <w:snapToGrid w:val="0"/>
                <w:color w:val="auto"/>
                <w:spacing w:val="-6"/>
                <w:kern w:val="21"/>
                <w:szCs w:val="21"/>
              </w:rPr>
              <w:fldChar w:fldCharType="separate"/>
            </w:r>
            <w:r>
              <w:rPr>
                <w:rFonts w:hint="eastAsia" w:hAnsi="宋体" w:cs="宋体"/>
                <w:color w:val="auto"/>
                <w:kern w:val="2"/>
                <w:szCs w:val="21"/>
              </w:rPr>
              <w:t>③</w:t>
            </w:r>
            <w:r>
              <w:rPr>
                <w:rFonts w:ascii="Times New Roman" w:eastAsia="黑体"/>
                <w:snapToGrid w:val="0"/>
                <w:color w:val="auto"/>
                <w:spacing w:val="-6"/>
                <w:kern w:val="21"/>
                <w:szCs w:val="21"/>
              </w:rPr>
              <w:fldChar w:fldCharType="end"/>
            </w:r>
          </w:p>
        </w:tc>
        <w:tc>
          <w:tcPr>
            <w:tcW w:w="1559" w:type="dxa"/>
            <w:tcMar>
              <w:left w:w="28" w:type="dxa"/>
              <w:right w:w="28" w:type="dxa"/>
            </w:tcMar>
            <w:vAlign w:val="center"/>
          </w:tcPr>
          <w:p>
            <w:pPr>
              <w:pStyle w:val="10"/>
              <w:spacing w:beforeLines="0" w:afterLines="0" w:line="240" w:lineRule="auto"/>
              <w:rPr>
                <w:rFonts w:ascii="Times New Roman" w:eastAsia="黑体"/>
                <w:snapToGrid w:val="0"/>
                <w:color w:val="auto"/>
                <w:spacing w:val="-6"/>
                <w:kern w:val="21"/>
                <w:szCs w:val="21"/>
              </w:rPr>
            </w:pPr>
            <w:r>
              <w:rPr>
                <w:rFonts w:ascii="Times New Roman" w:eastAsia="黑体"/>
                <w:snapToGrid w:val="0"/>
                <w:color w:val="auto"/>
                <w:spacing w:val="-6"/>
                <w:kern w:val="21"/>
                <w:szCs w:val="21"/>
              </w:rPr>
              <w:t>本项目</w:t>
            </w:r>
          </w:p>
          <w:p>
            <w:pPr>
              <w:pStyle w:val="10"/>
              <w:spacing w:beforeLines="0" w:afterLines="0" w:line="240" w:lineRule="auto"/>
              <w:rPr>
                <w:rFonts w:ascii="Times New Roman" w:eastAsia="黑体"/>
                <w:snapToGrid w:val="0"/>
                <w:color w:val="auto"/>
                <w:spacing w:val="-6"/>
                <w:kern w:val="21"/>
                <w:szCs w:val="21"/>
              </w:rPr>
            </w:pPr>
            <w:r>
              <w:rPr>
                <w:rFonts w:ascii="Times New Roman" w:eastAsia="黑体"/>
                <w:snapToGrid w:val="0"/>
                <w:color w:val="auto"/>
                <w:spacing w:val="-6"/>
                <w:kern w:val="21"/>
                <w:szCs w:val="21"/>
              </w:rPr>
              <w:t>排放量（固体废物产生量）</w:t>
            </w:r>
            <w:r>
              <w:rPr>
                <w:rFonts w:ascii="Times New Roman" w:eastAsia="黑体"/>
                <w:snapToGrid w:val="0"/>
                <w:color w:val="auto"/>
                <w:spacing w:val="-6"/>
                <w:kern w:val="21"/>
                <w:szCs w:val="21"/>
              </w:rPr>
              <w:fldChar w:fldCharType="begin"/>
            </w:r>
            <w:r>
              <w:rPr>
                <w:rFonts w:ascii="Times New Roman" w:eastAsia="黑体"/>
                <w:snapToGrid w:val="0"/>
                <w:color w:val="auto"/>
                <w:spacing w:val="-6"/>
                <w:kern w:val="21"/>
                <w:szCs w:val="21"/>
              </w:rPr>
              <w:instrText xml:space="preserve"> = 4 \* GB3 \* MERGEFORMAT </w:instrText>
            </w:r>
            <w:r>
              <w:rPr>
                <w:rFonts w:ascii="Times New Roman" w:eastAsia="黑体"/>
                <w:snapToGrid w:val="0"/>
                <w:color w:val="auto"/>
                <w:spacing w:val="-6"/>
                <w:kern w:val="21"/>
                <w:szCs w:val="21"/>
              </w:rPr>
              <w:fldChar w:fldCharType="separate"/>
            </w:r>
            <w:r>
              <w:rPr>
                <w:rFonts w:hint="eastAsia" w:hAnsi="宋体" w:cs="宋体"/>
                <w:color w:val="auto"/>
                <w:kern w:val="2"/>
                <w:szCs w:val="21"/>
              </w:rPr>
              <w:t>④</w:t>
            </w:r>
            <w:r>
              <w:rPr>
                <w:rFonts w:ascii="Times New Roman" w:eastAsia="黑体"/>
                <w:snapToGrid w:val="0"/>
                <w:color w:val="auto"/>
                <w:spacing w:val="-6"/>
                <w:kern w:val="21"/>
                <w:szCs w:val="21"/>
              </w:rPr>
              <w:fldChar w:fldCharType="end"/>
            </w:r>
          </w:p>
        </w:tc>
        <w:tc>
          <w:tcPr>
            <w:tcW w:w="1418" w:type="dxa"/>
            <w:tcMar>
              <w:left w:w="28" w:type="dxa"/>
              <w:right w:w="28" w:type="dxa"/>
            </w:tcMar>
            <w:vAlign w:val="center"/>
          </w:tcPr>
          <w:p>
            <w:pPr>
              <w:pStyle w:val="10"/>
              <w:spacing w:beforeLines="0" w:afterLines="0" w:line="240" w:lineRule="auto"/>
              <w:rPr>
                <w:rFonts w:ascii="Times New Roman" w:eastAsia="黑体"/>
                <w:snapToGrid w:val="0"/>
                <w:color w:val="auto"/>
                <w:spacing w:val="-16"/>
                <w:kern w:val="21"/>
                <w:szCs w:val="21"/>
              </w:rPr>
            </w:pPr>
            <w:r>
              <w:rPr>
                <w:rFonts w:ascii="Times New Roman" w:eastAsia="黑体"/>
                <w:snapToGrid w:val="0"/>
                <w:color w:val="auto"/>
                <w:spacing w:val="-16"/>
                <w:kern w:val="21"/>
                <w:szCs w:val="21"/>
              </w:rPr>
              <w:t>以新带老削减量</w:t>
            </w:r>
          </w:p>
          <w:p>
            <w:pPr>
              <w:pStyle w:val="10"/>
              <w:spacing w:beforeLines="0" w:afterLines="0" w:line="240" w:lineRule="auto"/>
              <w:rPr>
                <w:rFonts w:ascii="Times New Roman" w:eastAsia="黑体"/>
                <w:snapToGrid w:val="0"/>
                <w:color w:val="auto"/>
                <w:spacing w:val="-16"/>
                <w:kern w:val="21"/>
                <w:szCs w:val="21"/>
              </w:rPr>
            </w:pPr>
            <w:r>
              <w:rPr>
                <w:rFonts w:ascii="Times New Roman" w:eastAsia="黑体"/>
                <w:snapToGrid w:val="0"/>
                <w:color w:val="auto"/>
                <w:spacing w:val="-16"/>
                <w:kern w:val="21"/>
                <w:szCs w:val="21"/>
              </w:rPr>
              <w:t>（新建项目不填）</w:t>
            </w:r>
            <w:r>
              <w:rPr>
                <w:rFonts w:ascii="Times New Roman" w:eastAsia="黑体"/>
                <w:snapToGrid w:val="0"/>
                <w:color w:val="auto"/>
                <w:spacing w:val="-16"/>
                <w:kern w:val="21"/>
                <w:szCs w:val="21"/>
              </w:rPr>
              <w:fldChar w:fldCharType="begin"/>
            </w:r>
            <w:r>
              <w:rPr>
                <w:rFonts w:ascii="Times New Roman" w:eastAsia="黑体"/>
                <w:snapToGrid w:val="0"/>
                <w:color w:val="auto"/>
                <w:spacing w:val="-16"/>
                <w:kern w:val="21"/>
                <w:szCs w:val="21"/>
              </w:rPr>
              <w:instrText xml:space="preserve"> = 5 \* GB3 \* MERGEFORMAT </w:instrText>
            </w:r>
            <w:r>
              <w:rPr>
                <w:rFonts w:ascii="Times New Roman" w:eastAsia="黑体"/>
                <w:snapToGrid w:val="0"/>
                <w:color w:val="auto"/>
                <w:spacing w:val="-16"/>
                <w:kern w:val="21"/>
                <w:szCs w:val="21"/>
              </w:rPr>
              <w:fldChar w:fldCharType="separate"/>
            </w:r>
            <w:r>
              <w:rPr>
                <w:rFonts w:hint="eastAsia" w:hAnsi="宋体" w:cs="宋体"/>
                <w:color w:val="auto"/>
                <w:kern w:val="2"/>
                <w:szCs w:val="21"/>
              </w:rPr>
              <w:t>⑤</w:t>
            </w:r>
            <w:r>
              <w:rPr>
                <w:rFonts w:ascii="Times New Roman" w:eastAsia="黑体"/>
                <w:snapToGrid w:val="0"/>
                <w:color w:val="auto"/>
                <w:spacing w:val="-16"/>
                <w:kern w:val="21"/>
                <w:szCs w:val="21"/>
              </w:rPr>
              <w:fldChar w:fldCharType="end"/>
            </w:r>
          </w:p>
        </w:tc>
        <w:tc>
          <w:tcPr>
            <w:tcW w:w="1417" w:type="dxa"/>
            <w:tcMar>
              <w:left w:w="28" w:type="dxa"/>
              <w:right w:w="28" w:type="dxa"/>
            </w:tcMar>
            <w:vAlign w:val="center"/>
          </w:tcPr>
          <w:p>
            <w:pPr>
              <w:pStyle w:val="10"/>
              <w:spacing w:beforeLines="0" w:afterLines="0" w:line="240" w:lineRule="auto"/>
              <w:rPr>
                <w:rFonts w:ascii="Times New Roman" w:eastAsia="黑体"/>
                <w:snapToGrid w:val="0"/>
                <w:color w:val="auto"/>
                <w:spacing w:val="-16"/>
                <w:kern w:val="21"/>
                <w:szCs w:val="21"/>
              </w:rPr>
            </w:pPr>
            <w:r>
              <w:rPr>
                <w:rFonts w:ascii="Times New Roman" w:eastAsia="黑体"/>
                <w:snapToGrid w:val="0"/>
                <w:color w:val="auto"/>
                <w:spacing w:val="-16"/>
                <w:kern w:val="21"/>
                <w:szCs w:val="21"/>
              </w:rPr>
              <w:t>本项目建成后</w:t>
            </w:r>
          </w:p>
          <w:p>
            <w:pPr>
              <w:pStyle w:val="10"/>
              <w:spacing w:beforeLines="0" w:afterLines="0" w:line="240" w:lineRule="auto"/>
              <w:rPr>
                <w:rFonts w:ascii="Times New Roman" w:eastAsia="黑体"/>
                <w:snapToGrid w:val="0"/>
                <w:color w:val="auto"/>
                <w:spacing w:val="-16"/>
                <w:kern w:val="21"/>
                <w:szCs w:val="21"/>
              </w:rPr>
            </w:pPr>
            <w:r>
              <w:rPr>
                <w:rFonts w:ascii="Times New Roman" w:eastAsia="黑体"/>
                <w:snapToGrid w:val="0"/>
                <w:color w:val="auto"/>
                <w:spacing w:val="-16"/>
                <w:kern w:val="21"/>
                <w:szCs w:val="21"/>
              </w:rPr>
              <w:t>全厂排放量（固体废物产生量）</w:t>
            </w:r>
            <w:r>
              <w:rPr>
                <w:rFonts w:ascii="Times New Roman" w:eastAsia="黑体"/>
                <w:snapToGrid w:val="0"/>
                <w:color w:val="auto"/>
                <w:spacing w:val="-16"/>
                <w:kern w:val="21"/>
                <w:szCs w:val="21"/>
              </w:rPr>
              <w:fldChar w:fldCharType="begin"/>
            </w:r>
            <w:r>
              <w:rPr>
                <w:rFonts w:ascii="Times New Roman" w:eastAsia="黑体"/>
                <w:snapToGrid w:val="0"/>
                <w:color w:val="auto"/>
                <w:spacing w:val="-16"/>
                <w:kern w:val="21"/>
                <w:szCs w:val="21"/>
              </w:rPr>
              <w:instrText xml:space="preserve"> = 6 \* GB3 \* MERGEFORMAT </w:instrText>
            </w:r>
            <w:r>
              <w:rPr>
                <w:rFonts w:ascii="Times New Roman" w:eastAsia="黑体"/>
                <w:snapToGrid w:val="0"/>
                <w:color w:val="auto"/>
                <w:spacing w:val="-16"/>
                <w:kern w:val="21"/>
                <w:szCs w:val="21"/>
              </w:rPr>
              <w:fldChar w:fldCharType="separate"/>
            </w:r>
            <w:r>
              <w:rPr>
                <w:rFonts w:hint="eastAsia" w:hAnsi="宋体" w:cs="宋体"/>
                <w:color w:val="auto"/>
                <w:kern w:val="2"/>
                <w:szCs w:val="21"/>
              </w:rPr>
              <w:t>⑥</w:t>
            </w:r>
            <w:r>
              <w:rPr>
                <w:rFonts w:ascii="Times New Roman" w:eastAsia="黑体"/>
                <w:snapToGrid w:val="0"/>
                <w:color w:val="auto"/>
                <w:spacing w:val="-16"/>
                <w:kern w:val="21"/>
                <w:szCs w:val="21"/>
              </w:rPr>
              <w:fldChar w:fldCharType="end"/>
            </w:r>
          </w:p>
        </w:tc>
        <w:tc>
          <w:tcPr>
            <w:tcW w:w="1711" w:type="dxa"/>
            <w:tcMar>
              <w:left w:w="28" w:type="dxa"/>
              <w:right w:w="28" w:type="dxa"/>
            </w:tcMar>
            <w:vAlign w:val="center"/>
          </w:tcPr>
          <w:p>
            <w:pPr>
              <w:pStyle w:val="10"/>
              <w:spacing w:beforeLines="0" w:afterLines="0" w:line="240" w:lineRule="auto"/>
              <w:rPr>
                <w:rFonts w:ascii="Times New Roman" w:eastAsia="黑体"/>
                <w:snapToGrid w:val="0"/>
                <w:color w:val="auto"/>
                <w:spacing w:val="-6"/>
                <w:kern w:val="21"/>
                <w:szCs w:val="21"/>
              </w:rPr>
            </w:pPr>
            <w:r>
              <w:rPr>
                <w:rFonts w:ascii="Times New Roman" w:eastAsia="黑体"/>
                <w:snapToGrid w:val="0"/>
                <w:color w:val="auto"/>
                <w:spacing w:val="-6"/>
                <w:kern w:val="21"/>
                <w:szCs w:val="21"/>
              </w:rPr>
              <w:t>变化量</w:t>
            </w:r>
          </w:p>
          <w:p>
            <w:pPr>
              <w:pStyle w:val="10"/>
              <w:spacing w:beforeLines="0" w:afterLines="0" w:line="240" w:lineRule="auto"/>
              <w:rPr>
                <w:rFonts w:ascii="Times New Roman" w:eastAsia="黑体"/>
                <w:snapToGrid w:val="0"/>
                <w:color w:val="auto"/>
                <w:spacing w:val="-6"/>
                <w:kern w:val="21"/>
                <w:szCs w:val="21"/>
              </w:rPr>
            </w:pPr>
            <w:r>
              <w:rPr>
                <w:rFonts w:ascii="Times New Roman" w:eastAsia="黑体"/>
                <w:snapToGrid w:val="0"/>
                <w:color w:val="auto"/>
                <w:spacing w:val="-6"/>
                <w:kern w:val="21"/>
                <w:szCs w:val="21"/>
              </w:rPr>
              <w:fldChar w:fldCharType="begin"/>
            </w:r>
            <w:r>
              <w:rPr>
                <w:rFonts w:ascii="Times New Roman" w:eastAsia="黑体"/>
                <w:snapToGrid w:val="0"/>
                <w:color w:val="auto"/>
                <w:spacing w:val="-6"/>
                <w:kern w:val="21"/>
                <w:szCs w:val="21"/>
              </w:rPr>
              <w:instrText xml:space="preserve"> = 7 \* GB3 \* MERGEFORMAT </w:instrText>
            </w:r>
            <w:r>
              <w:rPr>
                <w:rFonts w:ascii="Times New Roman" w:eastAsia="黑体"/>
                <w:snapToGrid w:val="0"/>
                <w:color w:val="auto"/>
                <w:spacing w:val="-6"/>
                <w:kern w:val="21"/>
                <w:szCs w:val="21"/>
              </w:rPr>
              <w:fldChar w:fldCharType="separate"/>
            </w:r>
            <w:r>
              <w:rPr>
                <w:rFonts w:hint="eastAsia" w:hAnsi="宋体" w:cs="宋体"/>
                <w:color w:val="auto"/>
                <w:kern w:val="2"/>
                <w:szCs w:val="21"/>
              </w:rPr>
              <w:t>⑦</w:t>
            </w:r>
            <w:r>
              <w:rPr>
                <w:rFonts w:ascii="Times New Roman" w:eastAsia="黑体"/>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restart"/>
            <w:vAlign w:val="center"/>
          </w:tcPr>
          <w:p>
            <w:pPr>
              <w:pStyle w:val="10"/>
              <w:spacing w:beforeLines="0" w:afterLines="0" w:line="240" w:lineRule="auto"/>
              <w:rPr>
                <w:rFonts w:ascii="Times New Roman" w:eastAsia="黑体"/>
                <w:snapToGrid w:val="0"/>
                <w:color w:val="auto"/>
                <w:kern w:val="21"/>
                <w:szCs w:val="21"/>
              </w:rPr>
            </w:pPr>
            <w:r>
              <w:rPr>
                <w:rFonts w:ascii="Times New Roman" w:eastAsia="黑体"/>
                <w:snapToGrid w:val="0"/>
                <w:color w:val="auto"/>
                <w:kern w:val="21"/>
                <w:szCs w:val="21"/>
              </w:rPr>
              <w:t>废气</w:t>
            </w:r>
          </w:p>
        </w:tc>
        <w:tc>
          <w:tcPr>
            <w:tcW w:w="1417" w:type="dxa"/>
            <w:vAlign w:val="center"/>
          </w:tcPr>
          <w:p>
            <w:pPr>
              <w:pStyle w:val="10"/>
              <w:spacing w:beforeLines="0" w:afterLines="0" w:line="240" w:lineRule="auto"/>
              <w:ind w:left="-63" w:leftChars="-30" w:right="-63" w:rightChars="-30"/>
              <w:rPr>
                <w:rFonts w:ascii="Times New Roman" w:eastAsia="黑体"/>
                <w:snapToGrid w:val="0"/>
                <w:color w:val="auto"/>
                <w:kern w:val="21"/>
                <w:szCs w:val="21"/>
              </w:rPr>
            </w:pPr>
            <w:r>
              <w:rPr>
                <w:rFonts w:ascii="Times New Roman" w:eastAsia="黑体"/>
                <w:color w:val="auto"/>
                <w:szCs w:val="21"/>
              </w:rPr>
              <w:t>氨</w:t>
            </w:r>
          </w:p>
        </w:tc>
        <w:tc>
          <w:tcPr>
            <w:tcW w:w="1701" w:type="dxa"/>
            <w:vAlign w:val="center"/>
          </w:tcPr>
          <w:p>
            <w:pPr>
              <w:widowControl/>
              <w:jc w:val="center"/>
              <w:textAlignment w:val="center"/>
              <w:rPr>
                <w:rFonts w:eastAsia="黑体"/>
                <w:color w:val="auto"/>
                <w:szCs w:val="21"/>
              </w:rPr>
            </w:pPr>
            <w:r>
              <w:rPr>
                <w:rFonts w:eastAsia="等线"/>
                <w:color w:val="auto"/>
                <w:kern w:val="0"/>
                <w:szCs w:val="21"/>
                <w:lang w:bidi="ar"/>
              </w:rPr>
              <w:t>0.</w:t>
            </w:r>
            <w:r>
              <w:rPr>
                <w:rFonts w:hint="eastAsia" w:eastAsia="等线"/>
                <w:color w:val="auto"/>
                <w:kern w:val="0"/>
                <w:szCs w:val="21"/>
                <w:lang w:val="en-US" w:eastAsia="zh-CN" w:bidi="ar"/>
              </w:rPr>
              <w:t>223</w:t>
            </w:r>
            <w:r>
              <w:rPr>
                <w:rFonts w:eastAsia="黑体"/>
                <w:color w:val="auto"/>
                <w:szCs w:val="21"/>
              </w:rPr>
              <w:t xml:space="preserve"> kg/a</w:t>
            </w:r>
          </w:p>
        </w:tc>
        <w:tc>
          <w:tcPr>
            <w:tcW w:w="1276" w:type="dxa"/>
            <w:vAlign w:val="center"/>
          </w:tcPr>
          <w:p>
            <w:pPr>
              <w:pStyle w:val="10"/>
              <w:spacing w:beforeLines="0" w:afterLines="0" w:line="240" w:lineRule="auto"/>
              <w:rPr>
                <w:rFonts w:ascii="Times New Roman" w:eastAsia="黑体"/>
                <w:color w:val="auto"/>
                <w:szCs w:val="21"/>
              </w:rPr>
            </w:pPr>
            <w:r>
              <w:rPr>
                <w:rFonts w:ascii="Times New Roman" w:eastAsia="黑体"/>
                <w:color w:val="auto"/>
                <w:szCs w:val="21"/>
              </w:rPr>
              <w:t>/</w:t>
            </w:r>
          </w:p>
        </w:tc>
        <w:tc>
          <w:tcPr>
            <w:tcW w:w="1701" w:type="dxa"/>
            <w:vAlign w:val="center"/>
          </w:tcPr>
          <w:p>
            <w:pPr>
              <w:pStyle w:val="10"/>
              <w:spacing w:beforeLines="0" w:afterLines="0" w:line="240" w:lineRule="auto"/>
              <w:rPr>
                <w:rFonts w:ascii="Times New Roman" w:eastAsia="黑体"/>
                <w:color w:val="auto"/>
                <w:szCs w:val="21"/>
              </w:rPr>
            </w:pPr>
            <w:r>
              <w:rPr>
                <w:rFonts w:ascii="Times New Roman" w:eastAsia="黑体"/>
                <w:color w:val="auto"/>
                <w:szCs w:val="21"/>
              </w:rPr>
              <w:t>/</w:t>
            </w:r>
          </w:p>
        </w:tc>
        <w:tc>
          <w:tcPr>
            <w:tcW w:w="1559" w:type="dxa"/>
            <w:vAlign w:val="center"/>
          </w:tcPr>
          <w:p>
            <w:pPr>
              <w:widowControl/>
              <w:jc w:val="center"/>
              <w:textAlignment w:val="center"/>
              <w:rPr>
                <w:rFonts w:eastAsia="黑体"/>
                <w:color w:val="auto"/>
                <w:szCs w:val="21"/>
              </w:rPr>
            </w:pPr>
            <w:r>
              <w:rPr>
                <w:rFonts w:eastAsia="等线"/>
                <w:color w:val="auto"/>
                <w:kern w:val="0"/>
                <w:szCs w:val="21"/>
                <w:lang w:bidi="ar"/>
              </w:rPr>
              <w:t>0.</w:t>
            </w:r>
            <w:r>
              <w:rPr>
                <w:rFonts w:hint="eastAsia" w:eastAsia="等线"/>
                <w:color w:val="auto"/>
                <w:kern w:val="0"/>
                <w:szCs w:val="21"/>
                <w:lang w:val="en-US" w:eastAsia="zh-CN" w:bidi="ar"/>
              </w:rPr>
              <w:t>451</w:t>
            </w:r>
            <w:r>
              <w:rPr>
                <w:rFonts w:eastAsia="等线"/>
                <w:color w:val="auto"/>
                <w:kern w:val="0"/>
                <w:szCs w:val="21"/>
                <w:lang w:bidi="ar"/>
              </w:rPr>
              <w:t xml:space="preserve"> </w:t>
            </w:r>
            <w:r>
              <w:rPr>
                <w:rFonts w:eastAsia="黑体"/>
                <w:color w:val="auto"/>
                <w:szCs w:val="21"/>
              </w:rPr>
              <w:t>kg/a</w:t>
            </w:r>
          </w:p>
        </w:tc>
        <w:tc>
          <w:tcPr>
            <w:tcW w:w="1418" w:type="dxa"/>
            <w:vAlign w:val="center"/>
          </w:tcPr>
          <w:p>
            <w:pPr>
              <w:pStyle w:val="10"/>
              <w:spacing w:beforeLines="0" w:afterLines="0" w:line="240" w:lineRule="auto"/>
              <w:rPr>
                <w:rFonts w:ascii="Times New Roman" w:eastAsia="黑体"/>
                <w:color w:val="auto"/>
                <w:szCs w:val="21"/>
              </w:rPr>
            </w:pPr>
            <w:r>
              <w:rPr>
                <w:rFonts w:hint="eastAsia" w:ascii="Times New Roman" w:eastAsia="黑体"/>
                <w:color w:val="auto"/>
                <w:szCs w:val="21"/>
              </w:rPr>
              <w:t>0</w:t>
            </w:r>
          </w:p>
        </w:tc>
        <w:tc>
          <w:tcPr>
            <w:tcW w:w="1417" w:type="dxa"/>
            <w:vAlign w:val="center"/>
          </w:tcPr>
          <w:p>
            <w:pPr>
              <w:pStyle w:val="10"/>
              <w:spacing w:beforeLines="0" w:afterLines="0" w:line="240" w:lineRule="auto"/>
              <w:rPr>
                <w:rFonts w:ascii="Times New Roman" w:eastAsia="黑体"/>
                <w:color w:val="auto"/>
                <w:szCs w:val="21"/>
              </w:rPr>
            </w:pPr>
            <w:r>
              <w:rPr>
                <w:rFonts w:hint="eastAsia" w:ascii="Times New Roman" w:eastAsia="黑体"/>
                <w:color w:val="auto"/>
                <w:szCs w:val="21"/>
              </w:rPr>
              <w:t>0.</w:t>
            </w:r>
            <w:r>
              <w:rPr>
                <w:rFonts w:hint="eastAsia" w:ascii="Times New Roman" w:eastAsia="黑体"/>
                <w:color w:val="auto"/>
                <w:szCs w:val="21"/>
                <w:lang w:val="en-US" w:eastAsia="zh-CN"/>
              </w:rPr>
              <w:t>674</w:t>
            </w:r>
            <w:r>
              <w:rPr>
                <w:rFonts w:ascii="Times New Roman" w:eastAsia="黑体"/>
                <w:color w:val="auto"/>
                <w:szCs w:val="21"/>
              </w:rPr>
              <w:t xml:space="preserve"> kg/a</w:t>
            </w:r>
          </w:p>
        </w:tc>
        <w:tc>
          <w:tcPr>
            <w:tcW w:w="1711" w:type="dxa"/>
            <w:vAlign w:val="center"/>
          </w:tcPr>
          <w:p>
            <w:pPr>
              <w:widowControl/>
              <w:jc w:val="center"/>
              <w:textAlignment w:val="center"/>
              <w:rPr>
                <w:rFonts w:eastAsia="黑体"/>
                <w:color w:val="auto"/>
                <w:szCs w:val="21"/>
              </w:rPr>
            </w:pPr>
            <w:r>
              <w:rPr>
                <w:rFonts w:hint="eastAsia" w:eastAsia="等线"/>
                <w:color w:val="auto"/>
                <w:kern w:val="0"/>
                <w:szCs w:val="21"/>
                <w:lang w:val="en-US" w:eastAsia="zh-CN" w:bidi="ar"/>
              </w:rPr>
              <w:t>+</w:t>
            </w:r>
            <w:r>
              <w:rPr>
                <w:rFonts w:eastAsia="等线"/>
                <w:color w:val="auto"/>
                <w:kern w:val="0"/>
                <w:szCs w:val="21"/>
                <w:lang w:bidi="ar"/>
              </w:rPr>
              <w:t>0.</w:t>
            </w:r>
            <w:r>
              <w:rPr>
                <w:rFonts w:hint="eastAsia" w:eastAsia="等线"/>
                <w:color w:val="auto"/>
                <w:kern w:val="0"/>
                <w:szCs w:val="21"/>
                <w:lang w:val="en-US" w:eastAsia="zh-CN" w:bidi="ar"/>
              </w:rPr>
              <w:t>451</w:t>
            </w:r>
            <w:r>
              <w:rPr>
                <w:rFonts w:eastAsia="等线"/>
                <w:color w:val="auto"/>
                <w:kern w:val="0"/>
                <w:szCs w:val="21"/>
                <w:lang w:bidi="ar"/>
              </w:rPr>
              <w:t xml:space="preserve"> </w:t>
            </w:r>
            <w:r>
              <w:rPr>
                <w:rFonts w:eastAsia="黑体"/>
                <w:color w:val="auto"/>
                <w:szCs w:val="21"/>
              </w:rPr>
              <w:t>kg/a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10"/>
              <w:spacing w:beforeLines="0" w:afterLines="0" w:line="240" w:lineRule="auto"/>
              <w:rPr>
                <w:rFonts w:ascii="Times New Roman" w:eastAsia="黑体"/>
                <w:snapToGrid w:val="0"/>
                <w:color w:val="auto"/>
                <w:kern w:val="21"/>
                <w:szCs w:val="21"/>
              </w:rPr>
            </w:pPr>
          </w:p>
        </w:tc>
        <w:tc>
          <w:tcPr>
            <w:tcW w:w="1417" w:type="dxa"/>
            <w:vAlign w:val="center"/>
          </w:tcPr>
          <w:p>
            <w:pPr>
              <w:pStyle w:val="10"/>
              <w:spacing w:beforeLines="0" w:afterLines="0" w:line="240" w:lineRule="auto"/>
              <w:ind w:left="-63" w:leftChars="-30" w:right="-63" w:rightChars="-30"/>
              <w:rPr>
                <w:rFonts w:ascii="Times New Roman" w:eastAsia="黑体"/>
                <w:bCs/>
                <w:color w:val="auto"/>
                <w:spacing w:val="-10"/>
                <w:szCs w:val="21"/>
              </w:rPr>
            </w:pPr>
            <w:r>
              <w:rPr>
                <w:rFonts w:hint="eastAsia" w:ascii="Times New Roman" w:eastAsia="黑体"/>
                <w:bCs/>
                <w:color w:val="auto"/>
                <w:spacing w:val="-10"/>
                <w:szCs w:val="21"/>
              </w:rPr>
              <w:t>硫化氢</w:t>
            </w:r>
          </w:p>
        </w:tc>
        <w:tc>
          <w:tcPr>
            <w:tcW w:w="1701" w:type="dxa"/>
            <w:vAlign w:val="center"/>
          </w:tcPr>
          <w:p>
            <w:pPr>
              <w:widowControl/>
              <w:jc w:val="center"/>
              <w:textAlignment w:val="center"/>
              <w:rPr>
                <w:rFonts w:eastAsia="黑体"/>
                <w:color w:val="auto"/>
                <w:szCs w:val="21"/>
              </w:rPr>
            </w:pPr>
            <w:r>
              <w:rPr>
                <w:rFonts w:eastAsia="等线"/>
                <w:color w:val="auto"/>
                <w:kern w:val="0"/>
                <w:szCs w:val="21"/>
                <w:lang w:bidi="ar"/>
              </w:rPr>
              <w:t>0.00</w:t>
            </w:r>
            <w:r>
              <w:rPr>
                <w:rFonts w:hint="eastAsia" w:eastAsia="等线"/>
                <w:color w:val="auto"/>
                <w:kern w:val="0"/>
                <w:szCs w:val="21"/>
                <w:lang w:val="en-US" w:eastAsia="zh-CN" w:bidi="ar"/>
              </w:rPr>
              <w:t>9</w:t>
            </w:r>
            <w:r>
              <w:rPr>
                <w:rFonts w:eastAsia="黑体"/>
                <w:color w:val="auto"/>
                <w:szCs w:val="21"/>
              </w:rPr>
              <w:t xml:space="preserve"> kg/a</w:t>
            </w:r>
          </w:p>
        </w:tc>
        <w:tc>
          <w:tcPr>
            <w:tcW w:w="1276" w:type="dxa"/>
            <w:vAlign w:val="center"/>
          </w:tcPr>
          <w:p>
            <w:pPr>
              <w:pStyle w:val="10"/>
              <w:spacing w:beforeLines="0" w:afterLines="0" w:line="240" w:lineRule="auto"/>
              <w:rPr>
                <w:rFonts w:ascii="Times New Roman" w:eastAsia="黑体"/>
                <w:color w:val="auto"/>
                <w:szCs w:val="21"/>
              </w:rPr>
            </w:pPr>
            <w:r>
              <w:rPr>
                <w:rFonts w:ascii="Times New Roman" w:eastAsia="黑体"/>
                <w:color w:val="auto"/>
                <w:szCs w:val="21"/>
              </w:rPr>
              <w:t>/</w:t>
            </w:r>
          </w:p>
        </w:tc>
        <w:tc>
          <w:tcPr>
            <w:tcW w:w="1701" w:type="dxa"/>
            <w:vAlign w:val="center"/>
          </w:tcPr>
          <w:p>
            <w:pPr>
              <w:pStyle w:val="10"/>
              <w:spacing w:beforeLines="0" w:afterLines="0" w:line="240" w:lineRule="auto"/>
              <w:rPr>
                <w:rFonts w:ascii="Times New Roman" w:eastAsia="黑体"/>
                <w:color w:val="auto"/>
                <w:szCs w:val="21"/>
              </w:rPr>
            </w:pPr>
            <w:r>
              <w:rPr>
                <w:rFonts w:ascii="Times New Roman" w:eastAsia="黑体"/>
                <w:color w:val="auto"/>
                <w:szCs w:val="21"/>
              </w:rPr>
              <w:t>/</w:t>
            </w:r>
          </w:p>
        </w:tc>
        <w:tc>
          <w:tcPr>
            <w:tcW w:w="1559" w:type="dxa"/>
            <w:vAlign w:val="center"/>
          </w:tcPr>
          <w:p>
            <w:pPr>
              <w:widowControl/>
              <w:jc w:val="center"/>
              <w:textAlignment w:val="center"/>
              <w:rPr>
                <w:rFonts w:eastAsia="黑体"/>
                <w:color w:val="auto"/>
                <w:kern w:val="0"/>
                <w:szCs w:val="21"/>
              </w:rPr>
            </w:pPr>
            <w:r>
              <w:rPr>
                <w:rFonts w:eastAsia="等线"/>
                <w:color w:val="auto"/>
                <w:kern w:val="0"/>
                <w:szCs w:val="21"/>
                <w:lang w:bidi="ar"/>
              </w:rPr>
              <w:t>0.0</w:t>
            </w:r>
            <w:r>
              <w:rPr>
                <w:rFonts w:hint="eastAsia" w:eastAsia="等线"/>
                <w:color w:val="auto"/>
                <w:kern w:val="0"/>
                <w:szCs w:val="21"/>
                <w:lang w:val="en-US" w:eastAsia="zh-CN" w:bidi="ar"/>
              </w:rPr>
              <w:t>17</w:t>
            </w:r>
            <w:r>
              <w:rPr>
                <w:rFonts w:eastAsia="黑体"/>
                <w:color w:val="auto"/>
                <w:kern w:val="0"/>
                <w:szCs w:val="21"/>
              </w:rPr>
              <w:t xml:space="preserve"> kg/a</w:t>
            </w:r>
          </w:p>
        </w:tc>
        <w:tc>
          <w:tcPr>
            <w:tcW w:w="1418" w:type="dxa"/>
            <w:vAlign w:val="center"/>
          </w:tcPr>
          <w:p>
            <w:pPr>
              <w:pStyle w:val="10"/>
              <w:spacing w:beforeLines="0" w:afterLines="0" w:line="240" w:lineRule="auto"/>
              <w:rPr>
                <w:rFonts w:ascii="Times New Roman" w:eastAsia="黑体"/>
                <w:color w:val="auto"/>
                <w:szCs w:val="21"/>
              </w:rPr>
            </w:pPr>
            <w:r>
              <w:rPr>
                <w:rFonts w:hint="eastAsia" w:ascii="Times New Roman" w:eastAsia="黑体"/>
                <w:color w:val="auto"/>
                <w:szCs w:val="21"/>
              </w:rPr>
              <w:t>0</w:t>
            </w:r>
          </w:p>
        </w:tc>
        <w:tc>
          <w:tcPr>
            <w:tcW w:w="1417" w:type="dxa"/>
            <w:vAlign w:val="center"/>
          </w:tcPr>
          <w:p>
            <w:pPr>
              <w:widowControl/>
              <w:jc w:val="center"/>
              <w:textAlignment w:val="center"/>
              <w:rPr>
                <w:rFonts w:eastAsia="黑体"/>
                <w:color w:val="auto"/>
                <w:kern w:val="0"/>
                <w:szCs w:val="21"/>
              </w:rPr>
            </w:pPr>
            <w:r>
              <w:rPr>
                <w:rFonts w:eastAsia="黑体"/>
                <w:color w:val="auto"/>
                <w:kern w:val="0"/>
                <w:szCs w:val="21"/>
              </w:rPr>
              <w:t>0.0</w:t>
            </w:r>
            <w:r>
              <w:rPr>
                <w:rFonts w:hint="eastAsia" w:eastAsia="黑体"/>
                <w:color w:val="auto"/>
                <w:kern w:val="0"/>
                <w:szCs w:val="21"/>
                <w:lang w:val="en-US" w:eastAsia="zh-CN"/>
              </w:rPr>
              <w:t>26</w:t>
            </w:r>
            <w:r>
              <w:rPr>
                <w:rFonts w:eastAsia="黑体"/>
                <w:color w:val="auto"/>
                <w:kern w:val="0"/>
                <w:szCs w:val="21"/>
              </w:rPr>
              <w:t xml:space="preserve"> kg/a</w:t>
            </w:r>
          </w:p>
        </w:tc>
        <w:tc>
          <w:tcPr>
            <w:tcW w:w="1711" w:type="dxa"/>
            <w:vAlign w:val="center"/>
          </w:tcPr>
          <w:p>
            <w:pPr>
              <w:widowControl/>
              <w:jc w:val="center"/>
              <w:textAlignment w:val="center"/>
              <w:rPr>
                <w:rFonts w:eastAsia="黑体"/>
                <w:color w:val="auto"/>
                <w:szCs w:val="21"/>
              </w:rPr>
            </w:pPr>
            <w:r>
              <w:rPr>
                <w:rFonts w:hint="eastAsia" w:eastAsia="等线"/>
                <w:color w:val="auto"/>
                <w:kern w:val="0"/>
                <w:szCs w:val="21"/>
                <w:lang w:val="en-US" w:eastAsia="zh-CN" w:bidi="ar"/>
              </w:rPr>
              <w:t>+</w:t>
            </w:r>
            <w:r>
              <w:rPr>
                <w:rFonts w:eastAsia="等线"/>
                <w:color w:val="auto"/>
                <w:kern w:val="0"/>
                <w:szCs w:val="21"/>
                <w:lang w:bidi="ar"/>
              </w:rPr>
              <w:t>0.0</w:t>
            </w:r>
            <w:r>
              <w:rPr>
                <w:rFonts w:hint="eastAsia" w:eastAsia="等线"/>
                <w:color w:val="auto"/>
                <w:kern w:val="0"/>
                <w:szCs w:val="21"/>
                <w:lang w:val="en-US" w:eastAsia="zh-CN" w:bidi="ar"/>
              </w:rPr>
              <w:t>17</w:t>
            </w:r>
            <w:r>
              <w:rPr>
                <w:rFonts w:eastAsia="黑体"/>
                <w:color w:val="auto"/>
                <w:kern w:val="0"/>
                <w:szCs w:val="21"/>
              </w:rPr>
              <w:t xml:space="preserve"> kg/a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restart"/>
            <w:vAlign w:val="center"/>
          </w:tcPr>
          <w:p>
            <w:pPr>
              <w:pStyle w:val="10"/>
              <w:spacing w:beforeLines="0" w:afterLines="0" w:line="240" w:lineRule="auto"/>
              <w:rPr>
                <w:rFonts w:ascii="Times New Roman" w:eastAsia="黑体"/>
                <w:snapToGrid w:val="0"/>
                <w:color w:val="auto"/>
                <w:kern w:val="21"/>
                <w:szCs w:val="21"/>
              </w:rPr>
            </w:pPr>
            <w:r>
              <w:rPr>
                <w:rFonts w:ascii="Times New Roman" w:eastAsia="黑体"/>
                <w:snapToGrid w:val="0"/>
                <w:color w:val="auto"/>
                <w:kern w:val="21"/>
                <w:szCs w:val="21"/>
              </w:rPr>
              <w:t>废水</w:t>
            </w:r>
          </w:p>
        </w:tc>
        <w:tc>
          <w:tcPr>
            <w:tcW w:w="1417" w:type="dxa"/>
            <w:vAlign w:val="center"/>
          </w:tcPr>
          <w:p>
            <w:pPr>
              <w:pStyle w:val="10"/>
              <w:spacing w:beforeLines="0" w:afterLines="0" w:line="240" w:lineRule="auto"/>
              <w:ind w:left="-63" w:leftChars="-30" w:right="-63" w:rightChars="-30"/>
              <w:rPr>
                <w:rFonts w:ascii="Times New Roman" w:eastAsia="黑体"/>
                <w:snapToGrid w:val="0"/>
                <w:color w:val="auto"/>
                <w:kern w:val="21"/>
                <w:szCs w:val="21"/>
              </w:rPr>
            </w:pPr>
            <w:r>
              <w:rPr>
                <w:rFonts w:ascii="Times New Roman" w:eastAsia="黑体"/>
                <w:snapToGrid w:val="0"/>
                <w:color w:val="auto"/>
                <w:szCs w:val="21"/>
              </w:rPr>
              <w:t>废水量</w:t>
            </w:r>
          </w:p>
        </w:tc>
        <w:tc>
          <w:tcPr>
            <w:tcW w:w="1701" w:type="dxa"/>
            <w:vAlign w:val="center"/>
          </w:tcPr>
          <w:p>
            <w:pPr>
              <w:widowControl/>
              <w:jc w:val="center"/>
              <w:textAlignment w:val="center"/>
              <w:rPr>
                <w:rFonts w:eastAsia="黑体"/>
                <w:color w:val="auto"/>
                <w:szCs w:val="21"/>
              </w:rPr>
            </w:pPr>
            <w:r>
              <w:rPr>
                <w:rFonts w:hint="eastAsia" w:eastAsia="等线"/>
                <w:color w:val="auto"/>
                <w:kern w:val="0"/>
                <w:szCs w:val="21"/>
                <w:lang w:val="en-US" w:eastAsia="zh-CN" w:bidi="ar"/>
              </w:rPr>
              <w:t>95</w:t>
            </w:r>
            <w:r>
              <w:rPr>
                <w:rFonts w:hint="eastAsia" w:eastAsia="等线"/>
                <w:color w:val="auto"/>
                <w:kern w:val="0"/>
                <w:szCs w:val="21"/>
                <w:lang w:bidi="ar"/>
              </w:rPr>
              <w:t>0</w:t>
            </w:r>
            <w:r>
              <w:rPr>
                <w:rFonts w:hint="eastAsia"/>
                <w:color w:val="auto"/>
                <w:kern w:val="24"/>
              </w:rPr>
              <w:t xml:space="preserve"> </w:t>
            </w:r>
            <w:r>
              <w:rPr>
                <w:rFonts w:eastAsia="黑体"/>
                <w:snapToGrid w:val="0"/>
                <w:color w:val="auto"/>
                <w:spacing w:val="-6"/>
                <w:kern w:val="21"/>
                <w:szCs w:val="21"/>
              </w:rPr>
              <w:t>m</w:t>
            </w:r>
            <w:r>
              <w:rPr>
                <w:rFonts w:eastAsia="黑体"/>
                <w:snapToGrid w:val="0"/>
                <w:color w:val="auto"/>
                <w:spacing w:val="-6"/>
                <w:kern w:val="21"/>
                <w:szCs w:val="21"/>
                <w:vertAlign w:val="superscript"/>
              </w:rPr>
              <w:t>3</w:t>
            </w:r>
            <w:r>
              <w:rPr>
                <w:rFonts w:eastAsia="黑体"/>
                <w:snapToGrid w:val="0"/>
                <w:color w:val="auto"/>
                <w:spacing w:val="-6"/>
                <w:kern w:val="21"/>
                <w:szCs w:val="21"/>
              </w:rPr>
              <w:t>/a</w:t>
            </w:r>
          </w:p>
        </w:tc>
        <w:tc>
          <w:tcPr>
            <w:tcW w:w="1276" w:type="dxa"/>
            <w:vAlign w:val="center"/>
          </w:tcPr>
          <w:p>
            <w:pPr>
              <w:pStyle w:val="10"/>
              <w:spacing w:beforeLines="0" w:afterLines="0" w:line="240" w:lineRule="auto"/>
              <w:rPr>
                <w:rFonts w:ascii="Times New Roman" w:eastAsia="黑体"/>
                <w:color w:val="auto"/>
                <w:szCs w:val="21"/>
              </w:rPr>
            </w:pPr>
            <w:r>
              <w:rPr>
                <w:rFonts w:ascii="Times New Roman" w:eastAsia="等线"/>
                <w:color w:val="auto"/>
                <w:szCs w:val="21"/>
              </w:rPr>
              <w:t>/</w:t>
            </w:r>
          </w:p>
        </w:tc>
        <w:tc>
          <w:tcPr>
            <w:tcW w:w="1701" w:type="dxa"/>
            <w:vAlign w:val="center"/>
          </w:tcPr>
          <w:p>
            <w:pPr>
              <w:pStyle w:val="10"/>
              <w:spacing w:beforeLines="0" w:afterLines="0" w:line="240" w:lineRule="auto"/>
              <w:rPr>
                <w:rFonts w:ascii="Times New Roman" w:eastAsia="黑体"/>
                <w:color w:val="auto"/>
                <w:szCs w:val="21"/>
              </w:rPr>
            </w:pPr>
            <w:r>
              <w:rPr>
                <w:rFonts w:ascii="Times New Roman" w:eastAsia="等线"/>
                <w:color w:val="auto"/>
                <w:szCs w:val="21"/>
              </w:rPr>
              <w:t>/</w:t>
            </w:r>
          </w:p>
        </w:tc>
        <w:tc>
          <w:tcPr>
            <w:tcW w:w="1559" w:type="dxa"/>
            <w:vAlign w:val="center"/>
          </w:tcPr>
          <w:p>
            <w:pPr>
              <w:widowControl/>
              <w:jc w:val="center"/>
              <w:textAlignment w:val="center"/>
              <w:rPr>
                <w:rFonts w:eastAsia="黑体"/>
                <w:color w:val="auto"/>
                <w:szCs w:val="21"/>
              </w:rPr>
            </w:pPr>
            <w:r>
              <w:rPr>
                <w:rFonts w:hint="eastAsia" w:eastAsia="等线"/>
                <w:color w:val="auto"/>
                <w:kern w:val="0"/>
                <w:szCs w:val="21"/>
                <w:lang w:val="en-US" w:eastAsia="zh-CN" w:bidi="ar"/>
              </w:rPr>
              <w:t>1912.6</w:t>
            </w:r>
            <w:r>
              <w:rPr>
                <w:rFonts w:hint="eastAsia"/>
                <w:color w:val="auto"/>
                <w:kern w:val="24"/>
              </w:rPr>
              <w:t xml:space="preserve"> </w:t>
            </w:r>
            <w:r>
              <w:rPr>
                <w:rFonts w:eastAsia="黑体"/>
                <w:snapToGrid w:val="0"/>
                <w:color w:val="auto"/>
                <w:spacing w:val="-6"/>
                <w:kern w:val="21"/>
                <w:szCs w:val="21"/>
              </w:rPr>
              <w:t>m</w:t>
            </w:r>
            <w:r>
              <w:rPr>
                <w:rFonts w:eastAsia="黑体"/>
                <w:snapToGrid w:val="0"/>
                <w:color w:val="auto"/>
                <w:spacing w:val="-6"/>
                <w:kern w:val="21"/>
                <w:szCs w:val="21"/>
                <w:vertAlign w:val="superscript"/>
              </w:rPr>
              <w:t>3</w:t>
            </w:r>
            <w:r>
              <w:rPr>
                <w:rFonts w:eastAsia="黑体"/>
                <w:snapToGrid w:val="0"/>
                <w:color w:val="auto"/>
                <w:spacing w:val="-6"/>
                <w:kern w:val="21"/>
                <w:szCs w:val="21"/>
              </w:rPr>
              <w:t>/a</w:t>
            </w:r>
          </w:p>
        </w:tc>
        <w:tc>
          <w:tcPr>
            <w:tcW w:w="1418" w:type="dxa"/>
            <w:vAlign w:val="center"/>
          </w:tcPr>
          <w:p>
            <w:pPr>
              <w:pStyle w:val="10"/>
              <w:spacing w:beforeLines="0" w:afterLines="0" w:line="240" w:lineRule="auto"/>
              <w:rPr>
                <w:rFonts w:ascii="Times New Roman" w:eastAsia="黑体"/>
                <w:color w:val="auto"/>
                <w:szCs w:val="21"/>
              </w:rPr>
            </w:pPr>
            <w:r>
              <w:rPr>
                <w:rFonts w:hint="eastAsia" w:ascii="Times New Roman" w:eastAsia="黑体"/>
                <w:color w:val="auto"/>
                <w:szCs w:val="21"/>
              </w:rPr>
              <w:t>0</w:t>
            </w:r>
          </w:p>
        </w:tc>
        <w:tc>
          <w:tcPr>
            <w:tcW w:w="1417" w:type="dxa"/>
            <w:vAlign w:val="center"/>
          </w:tcPr>
          <w:p>
            <w:pPr>
              <w:jc w:val="center"/>
              <w:rPr>
                <w:rFonts w:eastAsia="黑体"/>
                <w:color w:val="auto"/>
                <w:szCs w:val="21"/>
              </w:rPr>
            </w:pPr>
            <w:r>
              <w:rPr>
                <w:rFonts w:hint="eastAsia"/>
                <w:color w:val="auto"/>
                <w:kern w:val="24"/>
                <w:lang w:val="en-US" w:eastAsia="zh-CN"/>
              </w:rPr>
              <w:t>2862.6</w:t>
            </w:r>
            <w:r>
              <w:rPr>
                <w:rFonts w:hint="eastAsia"/>
                <w:color w:val="auto"/>
                <w:kern w:val="24"/>
              </w:rPr>
              <w:t xml:space="preserve"> </w:t>
            </w:r>
            <w:r>
              <w:rPr>
                <w:rFonts w:eastAsia="黑体"/>
                <w:snapToGrid w:val="0"/>
                <w:color w:val="auto"/>
                <w:spacing w:val="-6"/>
                <w:kern w:val="21"/>
                <w:szCs w:val="21"/>
              </w:rPr>
              <w:t>m</w:t>
            </w:r>
            <w:r>
              <w:rPr>
                <w:rFonts w:eastAsia="黑体"/>
                <w:snapToGrid w:val="0"/>
                <w:color w:val="auto"/>
                <w:spacing w:val="-6"/>
                <w:kern w:val="21"/>
                <w:szCs w:val="21"/>
                <w:vertAlign w:val="superscript"/>
              </w:rPr>
              <w:t>3</w:t>
            </w:r>
            <w:r>
              <w:rPr>
                <w:rFonts w:eastAsia="黑体"/>
                <w:snapToGrid w:val="0"/>
                <w:color w:val="auto"/>
                <w:spacing w:val="-6"/>
                <w:kern w:val="21"/>
                <w:szCs w:val="21"/>
              </w:rPr>
              <w:t>/a</w:t>
            </w:r>
          </w:p>
        </w:tc>
        <w:tc>
          <w:tcPr>
            <w:tcW w:w="1711" w:type="dxa"/>
            <w:vAlign w:val="center"/>
          </w:tcPr>
          <w:p>
            <w:pPr>
              <w:widowControl/>
              <w:jc w:val="center"/>
              <w:textAlignment w:val="center"/>
              <w:rPr>
                <w:rFonts w:eastAsia="黑体"/>
                <w:color w:val="auto"/>
                <w:szCs w:val="21"/>
              </w:rPr>
            </w:pPr>
            <w:r>
              <w:rPr>
                <w:rFonts w:hint="eastAsia" w:eastAsia="等线"/>
                <w:color w:val="auto"/>
                <w:kern w:val="0"/>
                <w:szCs w:val="21"/>
                <w:lang w:bidi="ar"/>
              </w:rPr>
              <w:t>+</w:t>
            </w:r>
            <w:r>
              <w:rPr>
                <w:rFonts w:hint="eastAsia" w:eastAsia="等线"/>
                <w:color w:val="auto"/>
                <w:kern w:val="0"/>
                <w:szCs w:val="21"/>
                <w:lang w:val="en-US" w:eastAsia="zh-CN" w:bidi="ar"/>
              </w:rPr>
              <w:t>1912.6</w:t>
            </w:r>
            <w:r>
              <w:rPr>
                <w:rFonts w:hint="eastAsia"/>
                <w:color w:val="auto"/>
                <w:kern w:val="24"/>
              </w:rPr>
              <w:t xml:space="preserve"> </w:t>
            </w:r>
            <w:r>
              <w:rPr>
                <w:rFonts w:eastAsia="黑体"/>
                <w:snapToGrid w:val="0"/>
                <w:color w:val="auto"/>
                <w:spacing w:val="-6"/>
                <w:kern w:val="21"/>
                <w:szCs w:val="21"/>
              </w:rPr>
              <w:t>m</w:t>
            </w:r>
            <w:r>
              <w:rPr>
                <w:rFonts w:eastAsia="黑体"/>
                <w:snapToGrid w:val="0"/>
                <w:color w:val="auto"/>
                <w:spacing w:val="-6"/>
                <w:kern w:val="21"/>
                <w:szCs w:val="21"/>
                <w:vertAlign w:val="superscript"/>
              </w:rPr>
              <w:t>3</w:t>
            </w:r>
            <w:r>
              <w:rPr>
                <w:rFonts w:eastAsia="黑体"/>
                <w:snapToGrid w:val="0"/>
                <w:color w:val="auto"/>
                <w:spacing w:val="-6"/>
                <w:kern w:val="21"/>
                <w:szCs w:val="21"/>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10"/>
              <w:spacing w:beforeLines="0" w:afterLines="0" w:line="240" w:lineRule="auto"/>
              <w:rPr>
                <w:rFonts w:ascii="Times New Roman" w:eastAsia="黑体"/>
                <w:snapToGrid w:val="0"/>
                <w:color w:val="auto"/>
                <w:kern w:val="21"/>
                <w:szCs w:val="21"/>
              </w:rPr>
            </w:pPr>
          </w:p>
        </w:tc>
        <w:tc>
          <w:tcPr>
            <w:tcW w:w="1417" w:type="dxa"/>
            <w:vAlign w:val="center"/>
          </w:tcPr>
          <w:p>
            <w:pPr>
              <w:pStyle w:val="10"/>
              <w:spacing w:beforeLines="0" w:afterLines="0" w:line="240" w:lineRule="auto"/>
              <w:ind w:left="-63" w:leftChars="-30" w:right="-63" w:rightChars="-30"/>
              <w:rPr>
                <w:rFonts w:ascii="Times New Roman" w:eastAsia="黑体"/>
                <w:snapToGrid w:val="0"/>
                <w:color w:val="auto"/>
                <w:kern w:val="21"/>
                <w:szCs w:val="21"/>
              </w:rPr>
            </w:pPr>
            <w:r>
              <w:rPr>
                <w:rFonts w:ascii="Times New Roman" w:eastAsia="黑体"/>
                <w:color w:val="auto"/>
                <w:szCs w:val="21"/>
              </w:rPr>
              <w:t>COD</w:t>
            </w:r>
          </w:p>
        </w:tc>
        <w:tc>
          <w:tcPr>
            <w:tcW w:w="1701"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 xml:space="preserve">0.0200 </w:t>
            </w:r>
            <w:r>
              <w:rPr>
                <w:rFonts w:eastAsia="等线"/>
                <w:color w:val="auto"/>
                <w:kern w:val="0"/>
                <w:szCs w:val="21"/>
                <w:lang w:bidi="ar"/>
              </w:rPr>
              <w:t>t/a</w:t>
            </w:r>
          </w:p>
        </w:tc>
        <w:tc>
          <w:tcPr>
            <w:tcW w:w="1276"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w:t>
            </w:r>
          </w:p>
        </w:tc>
        <w:tc>
          <w:tcPr>
            <w:tcW w:w="1701"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w:t>
            </w:r>
          </w:p>
        </w:tc>
        <w:tc>
          <w:tcPr>
            <w:tcW w:w="1559"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 xml:space="preserve">0.0402 </w:t>
            </w:r>
            <w:r>
              <w:rPr>
                <w:rFonts w:eastAsia="等线"/>
                <w:color w:val="auto"/>
                <w:kern w:val="0"/>
                <w:szCs w:val="21"/>
                <w:lang w:bidi="ar"/>
              </w:rPr>
              <w:t>t/a</w:t>
            </w:r>
          </w:p>
        </w:tc>
        <w:tc>
          <w:tcPr>
            <w:tcW w:w="1418" w:type="dxa"/>
            <w:vAlign w:val="center"/>
          </w:tcPr>
          <w:p>
            <w:pPr>
              <w:widowControl/>
              <w:jc w:val="center"/>
              <w:textAlignment w:val="center"/>
              <w:rPr>
                <w:rFonts w:eastAsia="等线"/>
                <w:color w:val="auto"/>
                <w:kern w:val="0"/>
                <w:szCs w:val="21"/>
                <w:lang w:val="en-US" w:eastAsia="zh-CN" w:bidi="ar"/>
              </w:rPr>
            </w:pPr>
            <w:r>
              <w:rPr>
                <w:rFonts w:hint="eastAsia" w:eastAsia="等线"/>
                <w:color w:val="auto"/>
                <w:kern w:val="0"/>
                <w:szCs w:val="21"/>
                <w:lang w:bidi="ar"/>
              </w:rPr>
              <w:t>0</w:t>
            </w:r>
          </w:p>
        </w:tc>
        <w:tc>
          <w:tcPr>
            <w:tcW w:w="1417"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 xml:space="preserve">0.0602 </w:t>
            </w:r>
            <w:r>
              <w:rPr>
                <w:rFonts w:eastAsia="等线"/>
                <w:color w:val="auto"/>
                <w:kern w:val="0"/>
                <w:szCs w:val="21"/>
                <w:lang w:bidi="ar"/>
              </w:rPr>
              <w:t>t/a</w:t>
            </w:r>
          </w:p>
        </w:tc>
        <w:tc>
          <w:tcPr>
            <w:tcW w:w="171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w:t>
            </w:r>
            <w:r>
              <w:rPr>
                <w:rFonts w:hint="default" w:eastAsia="等线"/>
                <w:color w:val="auto"/>
                <w:kern w:val="0"/>
                <w:szCs w:val="21"/>
                <w:lang w:val="en-US" w:eastAsia="zh-CN" w:bidi="ar"/>
              </w:rPr>
              <w:t xml:space="preserve">0.0402 </w:t>
            </w:r>
            <w:r>
              <w:rPr>
                <w:rFonts w:eastAsia="等线"/>
                <w:color w:val="auto"/>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10"/>
              <w:spacing w:beforeLines="0" w:afterLines="0" w:line="240" w:lineRule="auto"/>
              <w:rPr>
                <w:rFonts w:ascii="Times New Roman" w:eastAsia="黑体"/>
                <w:snapToGrid w:val="0"/>
                <w:color w:val="auto"/>
                <w:kern w:val="21"/>
                <w:szCs w:val="21"/>
              </w:rPr>
            </w:pPr>
          </w:p>
        </w:tc>
        <w:tc>
          <w:tcPr>
            <w:tcW w:w="1417" w:type="dxa"/>
            <w:vAlign w:val="center"/>
          </w:tcPr>
          <w:p>
            <w:pPr>
              <w:pStyle w:val="10"/>
              <w:spacing w:beforeLines="0" w:afterLines="0" w:line="240" w:lineRule="auto"/>
              <w:ind w:left="-63" w:leftChars="-30" w:right="-63" w:rightChars="-30"/>
              <w:rPr>
                <w:rFonts w:ascii="Times New Roman" w:eastAsia="黑体"/>
                <w:snapToGrid w:val="0"/>
                <w:color w:val="auto"/>
                <w:kern w:val="21"/>
                <w:szCs w:val="21"/>
              </w:rPr>
            </w:pPr>
            <w:r>
              <w:rPr>
                <w:rFonts w:ascii="Times New Roman" w:eastAsia="黑体"/>
                <w:color w:val="auto"/>
                <w:szCs w:val="21"/>
              </w:rPr>
              <w:t>BOD</w:t>
            </w:r>
            <w:r>
              <w:rPr>
                <w:rFonts w:ascii="Times New Roman" w:eastAsia="黑体"/>
                <w:color w:val="auto"/>
                <w:szCs w:val="21"/>
                <w:vertAlign w:val="subscript"/>
              </w:rPr>
              <w:t>5</w:t>
            </w:r>
          </w:p>
        </w:tc>
        <w:tc>
          <w:tcPr>
            <w:tcW w:w="1701"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 xml:space="preserve">0.0038 </w:t>
            </w:r>
            <w:r>
              <w:rPr>
                <w:rFonts w:eastAsia="等线"/>
                <w:color w:val="auto"/>
                <w:kern w:val="0"/>
                <w:szCs w:val="21"/>
                <w:lang w:bidi="ar"/>
              </w:rPr>
              <w:t>t/a</w:t>
            </w:r>
          </w:p>
        </w:tc>
        <w:tc>
          <w:tcPr>
            <w:tcW w:w="1276"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w:t>
            </w:r>
          </w:p>
        </w:tc>
        <w:tc>
          <w:tcPr>
            <w:tcW w:w="1701"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w:t>
            </w:r>
          </w:p>
        </w:tc>
        <w:tc>
          <w:tcPr>
            <w:tcW w:w="1559"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 xml:space="preserve">0.0077 </w:t>
            </w:r>
            <w:r>
              <w:rPr>
                <w:rFonts w:eastAsia="等线"/>
                <w:color w:val="auto"/>
                <w:kern w:val="0"/>
                <w:szCs w:val="21"/>
                <w:lang w:bidi="ar"/>
              </w:rPr>
              <w:t>t/a</w:t>
            </w:r>
          </w:p>
        </w:tc>
        <w:tc>
          <w:tcPr>
            <w:tcW w:w="1418" w:type="dxa"/>
            <w:vAlign w:val="center"/>
          </w:tcPr>
          <w:p>
            <w:pPr>
              <w:widowControl/>
              <w:jc w:val="center"/>
              <w:textAlignment w:val="center"/>
              <w:rPr>
                <w:rFonts w:eastAsia="等线"/>
                <w:color w:val="auto"/>
                <w:kern w:val="0"/>
                <w:szCs w:val="21"/>
                <w:lang w:val="en-US" w:eastAsia="zh-CN" w:bidi="ar"/>
              </w:rPr>
            </w:pPr>
            <w:r>
              <w:rPr>
                <w:rFonts w:hint="eastAsia" w:eastAsia="等线"/>
                <w:color w:val="auto"/>
                <w:kern w:val="0"/>
                <w:szCs w:val="21"/>
                <w:lang w:bidi="ar"/>
              </w:rPr>
              <w:t>0</w:t>
            </w:r>
          </w:p>
        </w:tc>
        <w:tc>
          <w:tcPr>
            <w:tcW w:w="1417"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 xml:space="preserve">0.0115 </w:t>
            </w:r>
            <w:r>
              <w:rPr>
                <w:rFonts w:eastAsia="等线"/>
                <w:color w:val="auto"/>
                <w:kern w:val="0"/>
                <w:szCs w:val="21"/>
                <w:lang w:bidi="ar"/>
              </w:rPr>
              <w:t>t/a</w:t>
            </w:r>
          </w:p>
        </w:tc>
        <w:tc>
          <w:tcPr>
            <w:tcW w:w="171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w:t>
            </w:r>
            <w:r>
              <w:rPr>
                <w:rFonts w:hint="default" w:eastAsia="等线"/>
                <w:color w:val="auto"/>
                <w:kern w:val="0"/>
                <w:szCs w:val="21"/>
                <w:lang w:val="en-US" w:eastAsia="zh-CN" w:bidi="ar"/>
              </w:rPr>
              <w:t xml:space="preserve">0.0077 </w:t>
            </w:r>
            <w:r>
              <w:rPr>
                <w:rFonts w:eastAsia="等线"/>
                <w:color w:val="auto"/>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10"/>
              <w:spacing w:beforeLines="0" w:afterLines="0" w:line="240" w:lineRule="auto"/>
              <w:rPr>
                <w:rFonts w:ascii="Times New Roman" w:eastAsia="黑体"/>
                <w:snapToGrid w:val="0"/>
                <w:color w:val="auto"/>
                <w:kern w:val="21"/>
                <w:szCs w:val="21"/>
              </w:rPr>
            </w:pPr>
          </w:p>
        </w:tc>
        <w:tc>
          <w:tcPr>
            <w:tcW w:w="1417" w:type="dxa"/>
            <w:vAlign w:val="center"/>
          </w:tcPr>
          <w:p>
            <w:pPr>
              <w:pStyle w:val="10"/>
              <w:spacing w:beforeLines="0" w:afterLines="0" w:line="240" w:lineRule="auto"/>
              <w:ind w:left="-63" w:leftChars="-30" w:right="-63" w:rightChars="-30"/>
              <w:rPr>
                <w:rFonts w:ascii="Times New Roman" w:eastAsia="黑体"/>
                <w:snapToGrid w:val="0"/>
                <w:color w:val="auto"/>
                <w:kern w:val="21"/>
                <w:szCs w:val="21"/>
              </w:rPr>
            </w:pPr>
            <w:r>
              <w:rPr>
                <w:rFonts w:ascii="Times New Roman" w:eastAsia="黑体"/>
                <w:color w:val="auto"/>
                <w:szCs w:val="21"/>
              </w:rPr>
              <w:t>悬浮物</w:t>
            </w:r>
          </w:p>
        </w:tc>
        <w:tc>
          <w:tcPr>
            <w:tcW w:w="1701"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 xml:space="preserve">0.0095 </w:t>
            </w:r>
            <w:r>
              <w:rPr>
                <w:rFonts w:eastAsia="等线"/>
                <w:color w:val="auto"/>
                <w:kern w:val="0"/>
                <w:szCs w:val="21"/>
                <w:lang w:bidi="ar"/>
              </w:rPr>
              <w:t>t/a</w:t>
            </w:r>
          </w:p>
        </w:tc>
        <w:tc>
          <w:tcPr>
            <w:tcW w:w="1276"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w:t>
            </w:r>
          </w:p>
        </w:tc>
        <w:tc>
          <w:tcPr>
            <w:tcW w:w="1701"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w:t>
            </w:r>
          </w:p>
        </w:tc>
        <w:tc>
          <w:tcPr>
            <w:tcW w:w="1559"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 xml:space="preserve">0.0191 </w:t>
            </w:r>
            <w:r>
              <w:rPr>
                <w:rFonts w:eastAsia="等线"/>
                <w:color w:val="auto"/>
                <w:kern w:val="0"/>
                <w:szCs w:val="21"/>
                <w:lang w:bidi="ar"/>
              </w:rPr>
              <w:t>t/a</w:t>
            </w:r>
          </w:p>
        </w:tc>
        <w:tc>
          <w:tcPr>
            <w:tcW w:w="1418" w:type="dxa"/>
            <w:vAlign w:val="center"/>
          </w:tcPr>
          <w:p>
            <w:pPr>
              <w:widowControl/>
              <w:jc w:val="center"/>
              <w:textAlignment w:val="center"/>
              <w:rPr>
                <w:rFonts w:eastAsia="等线"/>
                <w:color w:val="auto"/>
                <w:kern w:val="0"/>
                <w:szCs w:val="21"/>
                <w:lang w:val="en-US" w:eastAsia="zh-CN" w:bidi="ar"/>
              </w:rPr>
            </w:pPr>
            <w:r>
              <w:rPr>
                <w:rFonts w:hint="eastAsia" w:eastAsia="等线"/>
                <w:color w:val="auto"/>
                <w:kern w:val="0"/>
                <w:szCs w:val="21"/>
                <w:lang w:bidi="ar"/>
              </w:rPr>
              <w:t>0</w:t>
            </w:r>
          </w:p>
        </w:tc>
        <w:tc>
          <w:tcPr>
            <w:tcW w:w="1417"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 xml:space="preserve">0.0286 </w:t>
            </w:r>
            <w:r>
              <w:rPr>
                <w:rFonts w:eastAsia="等线"/>
                <w:color w:val="auto"/>
                <w:kern w:val="0"/>
                <w:szCs w:val="21"/>
                <w:lang w:bidi="ar"/>
              </w:rPr>
              <w:t>t/a</w:t>
            </w:r>
          </w:p>
        </w:tc>
        <w:tc>
          <w:tcPr>
            <w:tcW w:w="171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w:t>
            </w:r>
            <w:r>
              <w:rPr>
                <w:rFonts w:hint="default" w:eastAsia="等线"/>
                <w:color w:val="auto"/>
                <w:kern w:val="0"/>
                <w:szCs w:val="21"/>
                <w:lang w:val="en-US" w:eastAsia="zh-CN" w:bidi="ar"/>
              </w:rPr>
              <w:t xml:space="preserve">0.0191 </w:t>
            </w:r>
            <w:r>
              <w:rPr>
                <w:rFonts w:eastAsia="等线"/>
                <w:color w:val="auto"/>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10"/>
              <w:spacing w:beforeLines="0" w:afterLines="0" w:line="240" w:lineRule="auto"/>
              <w:rPr>
                <w:rFonts w:ascii="Times New Roman" w:eastAsia="黑体"/>
                <w:snapToGrid w:val="0"/>
                <w:color w:val="auto"/>
                <w:kern w:val="21"/>
                <w:szCs w:val="21"/>
              </w:rPr>
            </w:pPr>
          </w:p>
        </w:tc>
        <w:tc>
          <w:tcPr>
            <w:tcW w:w="1417" w:type="dxa"/>
            <w:vAlign w:val="center"/>
          </w:tcPr>
          <w:p>
            <w:pPr>
              <w:pStyle w:val="10"/>
              <w:spacing w:beforeLines="0" w:afterLines="0" w:line="240" w:lineRule="auto"/>
              <w:ind w:left="-63" w:leftChars="-30" w:right="-63" w:rightChars="-30"/>
              <w:rPr>
                <w:rFonts w:ascii="Times New Roman" w:eastAsia="黑体"/>
                <w:color w:val="auto"/>
                <w:szCs w:val="21"/>
              </w:rPr>
            </w:pPr>
            <w:r>
              <w:rPr>
                <w:rFonts w:hint="eastAsia" w:ascii="Times New Roman" w:eastAsia="黑体"/>
                <w:snapToGrid w:val="0"/>
                <w:color w:val="auto"/>
                <w:kern w:val="21"/>
                <w:szCs w:val="21"/>
              </w:rPr>
              <w:t>氨氮</w:t>
            </w:r>
          </w:p>
        </w:tc>
        <w:tc>
          <w:tcPr>
            <w:tcW w:w="1701"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 xml:space="preserve">0.0006 </w:t>
            </w:r>
            <w:r>
              <w:rPr>
                <w:rFonts w:eastAsia="等线"/>
                <w:color w:val="auto"/>
                <w:kern w:val="0"/>
                <w:szCs w:val="21"/>
                <w:lang w:bidi="ar"/>
              </w:rPr>
              <w:t>t/a</w:t>
            </w:r>
          </w:p>
        </w:tc>
        <w:tc>
          <w:tcPr>
            <w:tcW w:w="1276"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w:t>
            </w:r>
          </w:p>
        </w:tc>
        <w:tc>
          <w:tcPr>
            <w:tcW w:w="1701"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w:t>
            </w:r>
          </w:p>
        </w:tc>
        <w:tc>
          <w:tcPr>
            <w:tcW w:w="1559"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 xml:space="preserve">0.0013 </w:t>
            </w:r>
            <w:r>
              <w:rPr>
                <w:rFonts w:eastAsia="等线"/>
                <w:color w:val="auto"/>
                <w:kern w:val="0"/>
                <w:szCs w:val="21"/>
                <w:lang w:bidi="ar"/>
              </w:rPr>
              <w:t>t/a</w:t>
            </w:r>
          </w:p>
        </w:tc>
        <w:tc>
          <w:tcPr>
            <w:tcW w:w="1418" w:type="dxa"/>
            <w:vAlign w:val="center"/>
          </w:tcPr>
          <w:p>
            <w:pPr>
              <w:widowControl/>
              <w:jc w:val="center"/>
              <w:textAlignment w:val="center"/>
              <w:rPr>
                <w:rFonts w:eastAsia="等线"/>
                <w:color w:val="auto"/>
                <w:kern w:val="0"/>
                <w:szCs w:val="21"/>
                <w:lang w:val="en-US" w:eastAsia="zh-CN" w:bidi="ar"/>
              </w:rPr>
            </w:pPr>
            <w:r>
              <w:rPr>
                <w:rFonts w:hint="eastAsia" w:eastAsia="等线"/>
                <w:color w:val="auto"/>
                <w:kern w:val="0"/>
                <w:szCs w:val="21"/>
                <w:lang w:bidi="ar"/>
              </w:rPr>
              <w:t>0</w:t>
            </w:r>
          </w:p>
        </w:tc>
        <w:tc>
          <w:tcPr>
            <w:tcW w:w="1417"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 xml:space="preserve">0.0019 </w:t>
            </w:r>
            <w:r>
              <w:rPr>
                <w:rFonts w:eastAsia="等线"/>
                <w:color w:val="auto"/>
                <w:kern w:val="0"/>
                <w:szCs w:val="21"/>
                <w:lang w:bidi="ar"/>
              </w:rPr>
              <w:t>t/a</w:t>
            </w:r>
          </w:p>
        </w:tc>
        <w:tc>
          <w:tcPr>
            <w:tcW w:w="171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w:t>
            </w:r>
            <w:r>
              <w:rPr>
                <w:rFonts w:hint="default" w:eastAsia="等线"/>
                <w:color w:val="auto"/>
                <w:kern w:val="0"/>
                <w:szCs w:val="21"/>
                <w:lang w:val="en-US" w:eastAsia="zh-CN" w:bidi="ar"/>
              </w:rPr>
              <w:t xml:space="preserve">0.0013 </w:t>
            </w:r>
            <w:r>
              <w:rPr>
                <w:rFonts w:eastAsia="等线"/>
                <w:color w:val="auto"/>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10"/>
              <w:spacing w:beforeLines="0" w:afterLines="0" w:line="240" w:lineRule="auto"/>
              <w:rPr>
                <w:rFonts w:ascii="Times New Roman" w:eastAsia="黑体"/>
                <w:snapToGrid w:val="0"/>
                <w:color w:val="auto"/>
                <w:kern w:val="21"/>
                <w:szCs w:val="21"/>
              </w:rPr>
            </w:pPr>
          </w:p>
        </w:tc>
        <w:tc>
          <w:tcPr>
            <w:tcW w:w="1417" w:type="dxa"/>
            <w:vAlign w:val="center"/>
          </w:tcPr>
          <w:p>
            <w:pPr>
              <w:pStyle w:val="10"/>
              <w:spacing w:beforeLines="0" w:afterLines="0" w:line="240" w:lineRule="auto"/>
              <w:ind w:left="-63" w:leftChars="-30" w:right="-63" w:rightChars="-30"/>
              <w:rPr>
                <w:rFonts w:ascii="Times New Roman" w:eastAsia="黑体"/>
                <w:snapToGrid w:val="0"/>
                <w:color w:val="auto"/>
                <w:kern w:val="21"/>
                <w:szCs w:val="21"/>
              </w:rPr>
            </w:pPr>
            <w:r>
              <w:rPr>
                <w:rFonts w:hint="eastAsia" w:ascii="Times New Roman" w:eastAsia="黑体"/>
                <w:snapToGrid w:val="0"/>
                <w:color w:val="auto"/>
                <w:kern w:val="21"/>
                <w:szCs w:val="21"/>
              </w:rPr>
              <w:t>石油类</w:t>
            </w:r>
          </w:p>
        </w:tc>
        <w:tc>
          <w:tcPr>
            <w:tcW w:w="1701"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 xml:space="preserve">0.0001 </w:t>
            </w:r>
            <w:r>
              <w:rPr>
                <w:rFonts w:eastAsia="等线"/>
                <w:color w:val="auto"/>
                <w:kern w:val="0"/>
                <w:szCs w:val="21"/>
                <w:lang w:bidi="ar"/>
              </w:rPr>
              <w:t>t/a</w:t>
            </w:r>
          </w:p>
        </w:tc>
        <w:tc>
          <w:tcPr>
            <w:tcW w:w="1276"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w:t>
            </w:r>
          </w:p>
        </w:tc>
        <w:tc>
          <w:tcPr>
            <w:tcW w:w="1701"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w:t>
            </w:r>
          </w:p>
        </w:tc>
        <w:tc>
          <w:tcPr>
            <w:tcW w:w="1559"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 xml:space="preserve">0.0002 </w:t>
            </w:r>
            <w:r>
              <w:rPr>
                <w:rFonts w:eastAsia="等线"/>
                <w:color w:val="auto"/>
                <w:kern w:val="0"/>
                <w:szCs w:val="21"/>
                <w:lang w:bidi="ar"/>
              </w:rPr>
              <w:t>t/a</w:t>
            </w:r>
          </w:p>
        </w:tc>
        <w:tc>
          <w:tcPr>
            <w:tcW w:w="1418" w:type="dxa"/>
            <w:vAlign w:val="center"/>
          </w:tcPr>
          <w:p>
            <w:pPr>
              <w:widowControl/>
              <w:jc w:val="center"/>
              <w:textAlignment w:val="center"/>
              <w:rPr>
                <w:rFonts w:eastAsia="等线"/>
                <w:color w:val="auto"/>
                <w:kern w:val="0"/>
                <w:szCs w:val="21"/>
                <w:lang w:val="en-US" w:eastAsia="zh-CN" w:bidi="ar"/>
              </w:rPr>
            </w:pPr>
            <w:r>
              <w:rPr>
                <w:rFonts w:hint="eastAsia" w:eastAsia="等线"/>
                <w:color w:val="auto"/>
                <w:kern w:val="0"/>
                <w:szCs w:val="21"/>
                <w:lang w:bidi="ar"/>
              </w:rPr>
              <w:t>0</w:t>
            </w:r>
          </w:p>
        </w:tc>
        <w:tc>
          <w:tcPr>
            <w:tcW w:w="1417"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 xml:space="preserve">0.0003 </w:t>
            </w:r>
            <w:r>
              <w:rPr>
                <w:rFonts w:eastAsia="等线"/>
                <w:color w:val="auto"/>
                <w:kern w:val="0"/>
                <w:szCs w:val="21"/>
                <w:lang w:bidi="ar"/>
              </w:rPr>
              <w:t>t/a</w:t>
            </w:r>
          </w:p>
        </w:tc>
        <w:tc>
          <w:tcPr>
            <w:tcW w:w="171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w:t>
            </w:r>
            <w:r>
              <w:rPr>
                <w:rFonts w:hint="default" w:eastAsia="等线"/>
                <w:color w:val="auto"/>
                <w:kern w:val="0"/>
                <w:szCs w:val="21"/>
                <w:lang w:val="en-US" w:eastAsia="zh-CN" w:bidi="ar"/>
              </w:rPr>
              <w:t xml:space="preserve">0.0002 </w:t>
            </w:r>
            <w:r>
              <w:rPr>
                <w:rFonts w:eastAsia="等线"/>
                <w:color w:val="auto"/>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restart"/>
            <w:vAlign w:val="center"/>
          </w:tcPr>
          <w:p>
            <w:pPr>
              <w:pStyle w:val="10"/>
              <w:spacing w:beforeLines="0" w:afterLines="0" w:line="240" w:lineRule="auto"/>
              <w:rPr>
                <w:rFonts w:ascii="Times New Roman" w:eastAsia="黑体"/>
                <w:snapToGrid w:val="0"/>
                <w:color w:val="auto"/>
                <w:kern w:val="21"/>
                <w:szCs w:val="21"/>
              </w:rPr>
            </w:pPr>
            <w:r>
              <w:rPr>
                <w:rFonts w:ascii="Times New Roman" w:eastAsia="黑体"/>
                <w:snapToGrid w:val="0"/>
                <w:color w:val="auto"/>
                <w:kern w:val="21"/>
                <w:szCs w:val="21"/>
              </w:rPr>
              <w:t>一般工业</w:t>
            </w:r>
          </w:p>
          <w:p>
            <w:pPr>
              <w:pStyle w:val="10"/>
              <w:spacing w:beforeLines="0" w:afterLines="0" w:line="240" w:lineRule="auto"/>
              <w:rPr>
                <w:rFonts w:ascii="Times New Roman" w:eastAsia="黑体"/>
                <w:snapToGrid w:val="0"/>
                <w:color w:val="auto"/>
                <w:kern w:val="21"/>
                <w:szCs w:val="21"/>
              </w:rPr>
            </w:pPr>
            <w:r>
              <w:rPr>
                <w:rFonts w:ascii="Times New Roman" w:eastAsia="黑体"/>
                <w:snapToGrid w:val="0"/>
                <w:color w:val="auto"/>
                <w:kern w:val="21"/>
                <w:szCs w:val="21"/>
              </w:rPr>
              <w:t>固体废物</w:t>
            </w:r>
          </w:p>
        </w:tc>
        <w:tc>
          <w:tcPr>
            <w:tcW w:w="1417" w:type="dxa"/>
            <w:vAlign w:val="center"/>
          </w:tcPr>
          <w:p>
            <w:pPr>
              <w:pStyle w:val="10"/>
              <w:spacing w:beforeLines="0" w:afterLines="0" w:line="240" w:lineRule="auto"/>
              <w:ind w:left="-63" w:leftChars="-30" w:right="-63" w:rightChars="-30"/>
              <w:rPr>
                <w:rFonts w:ascii="Times New Roman" w:eastAsia="黑体"/>
                <w:snapToGrid w:val="0"/>
                <w:color w:val="auto"/>
                <w:kern w:val="21"/>
                <w:szCs w:val="21"/>
              </w:rPr>
            </w:pPr>
            <w:r>
              <w:rPr>
                <w:rFonts w:ascii="Times New Roman" w:eastAsia="黑体"/>
                <w:snapToGrid w:val="0"/>
                <w:color w:val="auto"/>
                <w:kern w:val="21"/>
                <w:szCs w:val="21"/>
              </w:rPr>
              <w:t>生活垃圾</w:t>
            </w:r>
          </w:p>
        </w:tc>
        <w:tc>
          <w:tcPr>
            <w:tcW w:w="170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 xml:space="preserve">1.55 </w:t>
            </w:r>
            <w:r>
              <w:rPr>
                <w:rFonts w:eastAsia="等线"/>
                <w:color w:val="auto"/>
                <w:kern w:val="0"/>
                <w:szCs w:val="21"/>
                <w:lang w:bidi="ar"/>
              </w:rPr>
              <w:t>t/a</w:t>
            </w:r>
          </w:p>
        </w:tc>
        <w:tc>
          <w:tcPr>
            <w:tcW w:w="1276"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w:t>
            </w:r>
          </w:p>
        </w:tc>
        <w:tc>
          <w:tcPr>
            <w:tcW w:w="1701"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w:t>
            </w:r>
          </w:p>
        </w:tc>
        <w:tc>
          <w:tcPr>
            <w:tcW w:w="1559"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 xml:space="preserve">17.52 </w:t>
            </w:r>
            <w:r>
              <w:rPr>
                <w:rFonts w:eastAsia="等线"/>
                <w:color w:val="auto"/>
                <w:kern w:val="0"/>
                <w:szCs w:val="21"/>
                <w:lang w:bidi="ar"/>
              </w:rPr>
              <w:t>t/a</w:t>
            </w:r>
          </w:p>
        </w:tc>
        <w:tc>
          <w:tcPr>
            <w:tcW w:w="1418"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0</w:t>
            </w:r>
          </w:p>
        </w:tc>
        <w:tc>
          <w:tcPr>
            <w:tcW w:w="1417"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19.07</w:t>
            </w:r>
            <w:r>
              <w:rPr>
                <w:rFonts w:hint="eastAsia" w:eastAsia="等线"/>
                <w:color w:val="auto"/>
                <w:kern w:val="0"/>
                <w:szCs w:val="21"/>
                <w:lang w:val="en-US" w:eastAsia="zh-CN" w:bidi="ar"/>
              </w:rPr>
              <w:t xml:space="preserve"> </w:t>
            </w:r>
            <w:r>
              <w:rPr>
                <w:rFonts w:eastAsia="等线"/>
                <w:color w:val="auto"/>
                <w:kern w:val="0"/>
                <w:szCs w:val="21"/>
                <w:lang w:bidi="ar"/>
              </w:rPr>
              <w:t>t/a</w:t>
            </w:r>
          </w:p>
        </w:tc>
        <w:tc>
          <w:tcPr>
            <w:tcW w:w="171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+18.615</w:t>
            </w:r>
            <w:r>
              <w:rPr>
                <w:rFonts w:hint="eastAsia" w:eastAsia="等线"/>
                <w:color w:val="auto"/>
                <w:kern w:val="0"/>
                <w:szCs w:val="21"/>
                <w:lang w:val="en-US" w:eastAsia="zh-CN" w:bidi="ar"/>
              </w:rPr>
              <w:t xml:space="preserve"> </w:t>
            </w:r>
            <w:r>
              <w:rPr>
                <w:rFonts w:eastAsia="等线"/>
                <w:color w:val="auto"/>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10"/>
              <w:spacing w:beforeLines="0" w:afterLines="0" w:line="240" w:lineRule="auto"/>
              <w:rPr>
                <w:rFonts w:ascii="Times New Roman" w:eastAsia="黑体"/>
                <w:snapToGrid w:val="0"/>
                <w:color w:val="auto"/>
                <w:kern w:val="21"/>
                <w:szCs w:val="21"/>
              </w:rPr>
            </w:pPr>
          </w:p>
        </w:tc>
        <w:tc>
          <w:tcPr>
            <w:tcW w:w="1417" w:type="dxa"/>
            <w:vAlign w:val="center"/>
          </w:tcPr>
          <w:p>
            <w:pPr>
              <w:pStyle w:val="10"/>
              <w:spacing w:beforeLines="0" w:afterLines="0" w:line="240" w:lineRule="auto"/>
              <w:ind w:left="-63" w:leftChars="-30" w:right="-63" w:rightChars="-30"/>
              <w:rPr>
                <w:rFonts w:ascii="Times New Roman" w:eastAsia="黑体"/>
                <w:snapToGrid w:val="0"/>
                <w:color w:val="auto"/>
                <w:kern w:val="21"/>
                <w:szCs w:val="21"/>
              </w:rPr>
            </w:pPr>
            <w:r>
              <w:rPr>
                <w:rFonts w:hint="eastAsia" w:ascii="Times New Roman" w:eastAsia="黑体"/>
                <w:snapToGrid w:val="0"/>
                <w:color w:val="auto"/>
                <w:kern w:val="21"/>
                <w:szCs w:val="21"/>
              </w:rPr>
              <w:t>废输液瓶（袋）</w:t>
            </w:r>
          </w:p>
        </w:tc>
        <w:tc>
          <w:tcPr>
            <w:tcW w:w="170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 xml:space="preserve">1.0 </w:t>
            </w:r>
            <w:r>
              <w:rPr>
                <w:rFonts w:eastAsia="等线"/>
                <w:color w:val="auto"/>
                <w:kern w:val="0"/>
                <w:szCs w:val="21"/>
                <w:lang w:bidi="ar"/>
              </w:rPr>
              <w:t>t/a</w:t>
            </w:r>
          </w:p>
        </w:tc>
        <w:tc>
          <w:tcPr>
            <w:tcW w:w="1276"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w:t>
            </w:r>
          </w:p>
        </w:tc>
        <w:tc>
          <w:tcPr>
            <w:tcW w:w="1701"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w:t>
            </w:r>
          </w:p>
        </w:tc>
        <w:tc>
          <w:tcPr>
            <w:tcW w:w="1559"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1.8</w:t>
            </w:r>
            <w:r>
              <w:rPr>
                <w:rFonts w:hint="eastAsia" w:eastAsia="等线"/>
                <w:color w:val="auto"/>
                <w:kern w:val="0"/>
                <w:szCs w:val="21"/>
                <w:lang w:val="en-US" w:eastAsia="zh-CN" w:bidi="ar"/>
              </w:rPr>
              <w:t xml:space="preserve"> </w:t>
            </w:r>
            <w:r>
              <w:rPr>
                <w:rFonts w:eastAsia="等线"/>
                <w:color w:val="auto"/>
                <w:kern w:val="0"/>
                <w:szCs w:val="21"/>
                <w:lang w:bidi="ar"/>
              </w:rPr>
              <w:t>t/a</w:t>
            </w:r>
          </w:p>
        </w:tc>
        <w:tc>
          <w:tcPr>
            <w:tcW w:w="1418"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0</w:t>
            </w:r>
          </w:p>
        </w:tc>
        <w:tc>
          <w:tcPr>
            <w:tcW w:w="1417"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2.8</w:t>
            </w:r>
            <w:r>
              <w:rPr>
                <w:rFonts w:hint="eastAsia" w:eastAsia="等线"/>
                <w:color w:val="auto"/>
                <w:kern w:val="0"/>
                <w:szCs w:val="21"/>
                <w:lang w:val="en-US" w:eastAsia="zh-CN" w:bidi="ar"/>
              </w:rPr>
              <w:t xml:space="preserve"> </w:t>
            </w:r>
            <w:r>
              <w:rPr>
                <w:rFonts w:eastAsia="等线"/>
                <w:color w:val="auto"/>
                <w:kern w:val="0"/>
                <w:szCs w:val="21"/>
                <w:lang w:bidi="ar"/>
              </w:rPr>
              <w:t>t/a</w:t>
            </w:r>
          </w:p>
        </w:tc>
        <w:tc>
          <w:tcPr>
            <w:tcW w:w="171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+1.8</w:t>
            </w:r>
            <w:r>
              <w:rPr>
                <w:rFonts w:hint="eastAsia" w:eastAsia="等线"/>
                <w:color w:val="auto"/>
                <w:kern w:val="0"/>
                <w:szCs w:val="21"/>
                <w:lang w:val="en-US" w:eastAsia="zh-CN" w:bidi="ar"/>
              </w:rPr>
              <w:t xml:space="preserve"> </w:t>
            </w:r>
            <w:r>
              <w:rPr>
                <w:rFonts w:eastAsia="等线"/>
                <w:color w:val="auto"/>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10"/>
              <w:spacing w:beforeLines="0" w:afterLines="0" w:line="240" w:lineRule="auto"/>
              <w:rPr>
                <w:rFonts w:ascii="Times New Roman" w:eastAsia="黑体"/>
                <w:snapToGrid w:val="0"/>
                <w:color w:val="auto"/>
                <w:kern w:val="21"/>
                <w:szCs w:val="21"/>
              </w:rPr>
            </w:pPr>
          </w:p>
        </w:tc>
        <w:tc>
          <w:tcPr>
            <w:tcW w:w="1417" w:type="dxa"/>
            <w:vAlign w:val="center"/>
          </w:tcPr>
          <w:p>
            <w:pPr>
              <w:pStyle w:val="10"/>
              <w:spacing w:beforeLines="0" w:afterLines="0" w:line="240" w:lineRule="auto"/>
              <w:ind w:left="-63" w:leftChars="-30" w:right="-63" w:rightChars="-30"/>
              <w:rPr>
                <w:rFonts w:ascii="Times New Roman" w:eastAsia="黑体"/>
                <w:snapToGrid w:val="0"/>
                <w:color w:val="auto"/>
                <w:kern w:val="21"/>
                <w:szCs w:val="21"/>
              </w:rPr>
            </w:pPr>
            <w:r>
              <w:rPr>
                <w:rFonts w:hint="eastAsia" w:ascii="Times New Roman" w:eastAsia="黑体"/>
                <w:snapToGrid w:val="0"/>
                <w:color w:val="auto"/>
                <w:kern w:val="21"/>
                <w:szCs w:val="21"/>
              </w:rPr>
              <w:t>中药残渣</w:t>
            </w:r>
          </w:p>
        </w:tc>
        <w:tc>
          <w:tcPr>
            <w:tcW w:w="1701" w:type="dxa"/>
            <w:vAlign w:val="center"/>
          </w:tcPr>
          <w:p>
            <w:pPr>
              <w:widowControl/>
              <w:jc w:val="center"/>
              <w:textAlignment w:val="center"/>
              <w:rPr>
                <w:rFonts w:hint="default" w:eastAsia="等线"/>
                <w:color w:val="auto"/>
                <w:kern w:val="0"/>
                <w:szCs w:val="21"/>
                <w:lang w:val="en-US" w:bidi="ar"/>
              </w:rPr>
            </w:pPr>
            <w:r>
              <w:rPr>
                <w:rFonts w:hint="eastAsia" w:eastAsia="等线"/>
                <w:color w:val="auto"/>
                <w:kern w:val="0"/>
                <w:szCs w:val="21"/>
                <w:lang w:val="en-US" w:eastAsia="zh-CN" w:bidi="ar"/>
              </w:rPr>
              <w:t>0.03</w:t>
            </w:r>
            <w:r>
              <w:rPr>
                <w:rFonts w:hint="eastAsia" w:eastAsia="等线"/>
                <w:color w:val="auto"/>
                <w:kern w:val="0"/>
                <w:szCs w:val="21"/>
                <w:lang w:bidi="ar"/>
              </w:rPr>
              <w:t xml:space="preserve"> </w:t>
            </w:r>
            <w:r>
              <w:rPr>
                <w:rFonts w:eastAsia="等线"/>
                <w:color w:val="auto"/>
                <w:kern w:val="0"/>
                <w:szCs w:val="21"/>
                <w:lang w:bidi="ar"/>
              </w:rPr>
              <w:t>t/a</w:t>
            </w:r>
          </w:p>
        </w:tc>
        <w:tc>
          <w:tcPr>
            <w:tcW w:w="1276"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w:t>
            </w:r>
          </w:p>
        </w:tc>
        <w:tc>
          <w:tcPr>
            <w:tcW w:w="1701"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w:t>
            </w:r>
          </w:p>
        </w:tc>
        <w:tc>
          <w:tcPr>
            <w:tcW w:w="1559"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0.</w:t>
            </w:r>
            <w:r>
              <w:rPr>
                <w:rFonts w:hint="eastAsia" w:eastAsia="等线"/>
                <w:color w:val="auto"/>
                <w:kern w:val="0"/>
                <w:szCs w:val="21"/>
                <w:lang w:bidi="ar"/>
              </w:rPr>
              <w:t>2</w:t>
            </w:r>
            <w:r>
              <w:rPr>
                <w:rFonts w:hint="eastAsia" w:eastAsia="等线"/>
                <w:color w:val="auto"/>
                <w:kern w:val="0"/>
                <w:szCs w:val="21"/>
                <w:lang w:val="en-US" w:eastAsia="zh-CN" w:bidi="ar"/>
              </w:rPr>
              <w:t xml:space="preserve"> </w:t>
            </w:r>
            <w:r>
              <w:rPr>
                <w:rFonts w:eastAsia="等线"/>
                <w:color w:val="auto"/>
                <w:kern w:val="0"/>
                <w:szCs w:val="21"/>
                <w:lang w:bidi="ar"/>
              </w:rPr>
              <w:t>t/a</w:t>
            </w:r>
          </w:p>
        </w:tc>
        <w:tc>
          <w:tcPr>
            <w:tcW w:w="1418"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0</w:t>
            </w:r>
          </w:p>
        </w:tc>
        <w:tc>
          <w:tcPr>
            <w:tcW w:w="1417"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0.23</w:t>
            </w:r>
            <w:r>
              <w:rPr>
                <w:rFonts w:hint="eastAsia" w:eastAsia="等线"/>
                <w:color w:val="auto"/>
                <w:kern w:val="0"/>
                <w:szCs w:val="21"/>
                <w:lang w:val="en-US" w:eastAsia="zh-CN" w:bidi="ar"/>
              </w:rPr>
              <w:t xml:space="preserve"> </w:t>
            </w:r>
            <w:r>
              <w:rPr>
                <w:rFonts w:eastAsia="等线"/>
                <w:color w:val="auto"/>
                <w:kern w:val="0"/>
                <w:szCs w:val="21"/>
                <w:lang w:bidi="ar"/>
              </w:rPr>
              <w:t>t/a</w:t>
            </w:r>
          </w:p>
        </w:tc>
        <w:tc>
          <w:tcPr>
            <w:tcW w:w="171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w:t>
            </w:r>
            <w:r>
              <w:rPr>
                <w:rFonts w:eastAsia="等线"/>
                <w:color w:val="auto"/>
                <w:kern w:val="0"/>
                <w:szCs w:val="21"/>
                <w:lang w:bidi="ar"/>
              </w:rPr>
              <w:t>0.</w:t>
            </w:r>
            <w:r>
              <w:rPr>
                <w:rFonts w:hint="eastAsia" w:eastAsia="等线"/>
                <w:color w:val="auto"/>
                <w:kern w:val="0"/>
                <w:szCs w:val="21"/>
                <w:lang w:bidi="ar"/>
              </w:rPr>
              <w:t>2</w:t>
            </w:r>
            <w:r>
              <w:rPr>
                <w:rFonts w:hint="eastAsia" w:eastAsia="等线"/>
                <w:color w:val="auto"/>
                <w:kern w:val="0"/>
                <w:szCs w:val="21"/>
                <w:lang w:val="en-US" w:eastAsia="zh-CN" w:bidi="ar"/>
              </w:rPr>
              <w:t xml:space="preserve"> </w:t>
            </w:r>
            <w:r>
              <w:rPr>
                <w:rFonts w:eastAsia="等线"/>
                <w:color w:val="auto"/>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restart"/>
            <w:vAlign w:val="center"/>
          </w:tcPr>
          <w:p>
            <w:pPr>
              <w:pStyle w:val="10"/>
              <w:spacing w:before="24" w:after="24" w:line="240" w:lineRule="auto"/>
              <w:rPr>
                <w:rFonts w:ascii="Times New Roman" w:eastAsia="黑体"/>
                <w:snapToGrid w:val="0"/>
                <w:color w:val="auto"/>
                <w:kern w:val="21"/>
                <w:szCs w:val="21"/>
              </w:rPr>
            </w:pPr>
            <w:r>
              <w:rPr>
                <w:rFonts w:ascii="Times New Roman" w:eastAsia="黑体"/>
                <w:snapToGrid w:val="0"/>
                <w:color w:val="auto"/>
                <w:kern w:val="21"/>
                <w:szCs w:val="21"/>
              </w:rPr>
              <w:t>危险废物</w:t>
            </w:r>
          </w:p>
        </w:tc>
        <w:tc>
          <w:tcPr>
            <w:tcW w:w="1417" w:type="dxa"/>
            <w:vAlign w:val="center"/>
          </w:tcPr>
          <w:p>
            <w:pPr>
              <w:pStyle w:val="10"/>
              <w:spacing w:beforeLines="0" w:afterLines="0" w:line="240" w:lineRule="auto"/>
              <w:ind w:left="-63" w:leftChars="-30" w:right="-63" w:rightChars="-30"/>
              <w:rPr>
                <w:rFonts w:ascii="Times New Roman" w:eastAsia="黑体"/>
                <w:snapToGrid w:val="0"/>
                <w:color w:val="auto"/>
                <w:kern w:val="21"/>
                <w:szCs w:val="21"/>
              </w:rPr>
            </w:pPr>
            <w:r>
              <w:rPr>
                <w:rFonts w:hint="eastAsia" w:ascii="Times New Roman" w:eastAsia="黑体"/>
                <w:snapToGrid w:val="0"/>
                <w:color w:val="auto"/>
                <w:kern w:val="21"/>
                <w:szCs w:val="21"/>
              </w:rPr>
              <w:t>医疗废物</w:t>
            </w:r>
          </w:p>
        </w:tc>
        <w:tc>
          <w:tcPr>
            <w:tcW w:w="170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 xml:space="preserve">2.752 </w:t>
            </w:r>
            <w:r>
              <w:rPr>
                <w:rFonts w:eastAsia="等线"/>
                <w:color w:val="auto"/>
                <w:kern w:val="0"/>
                <w:szCs w:val="21"/>
                <w:lang w:bidi="ar"/>
              </w:rPr>
              <w:t>t/a</w:t>
            </w:r>
          </w:p>
        </w:tc>
        <w:tc>
          <w:tcPr>
            <w:tcW w:w="1276"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w:t>
            </w:r>
          </w:p>
        </w:tc>
        <w:tc>
          <w:tcPr>
            <w:tcW w:w="1701"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w:t>
            </w:r>
          </w:p>
        </w:tc>
        <w:tc>
          <w:tcPr>
            <w:tcW w:w="1559"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val="en-US" w:eastAsia="zh-CN" w:bidi="ar"/>
              </w:rPr>
              <w:t xml:space="preserve">14.417 </w:t>
            </w:r>
            <w:r>
              <w:rPr>
                <w:rFonts w:eastAsia="等线"/>
                <w:color w:val="auto"/>
                <w:kern w:val="0"/>
                <w:szCs w:val="21"/>
                <w:lang w:bidi="ar"/>
              </w:rPr>
              <w:t>t/a</w:t>
            </w:r>
          </w:p>
        </w:tc>
        <w:tc>
          <w:tcPr>
            <w:tcW w:w="1418"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0</w:t>
            </w:r>
          </w:p>
        </w:tc>
        <w:tc>
          <w:tcPr>
            <w:tcW w:w="1417"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17.169</w:t>
            </w:r>
            <w:r>
              <w:rPr>
                <w:rFonts w:hint="eastAsia" w:eastAsia="等线"/>
                <w:color w:val="auto"/>
                <w:kern w:val="0"/>
                <w:szCs w:val="21"/>
                <w:lang w:val="en-US" w:eastAsia="zh-CN" w:bidi="ar"/>
              </w:rPr>
              <w:t xml:space="preserve"> </w:t>
            </w:r>
            <w:r>
              <w:rPr>
                <w:rFonts w:eastAsia="等线"/>
                <w:color w:val="auto"/>
                <w:kern w:val="0"/>
                <w:szCs w:val="21"/>
                <w:lang w:bidi="ar"/>
              </w:rPr>
              <w:t>t/a</w:t>
            </w:r>
          </w:p>
        </w:tc>
        <w:tc>
          <w:tcPr>
            <w:tcW w:w="171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+16.607</w:t>
            </w:r>
            <w:r>
              <w:rPr>
                <w:rFonts w:hint="eastAsia" w:eastAsia="等线"/>
                <w:color w:val="auto"/>
                <w:kern w:val="0"/>
                <w:szCs w:val="21"/>
                <w:lang w:val="en-US" w:eastAsia="zh-CN" w:bidi="ar"/>
              </w:rPr>
              <w:t xml:space="preserve"> </w:t>
            </w:r>
            <w:r>
              <w:rPr>
                <w:rFonts w:eastAsia="等线"/>
                <w:color w:val="auto"/>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10"/>
              <w:spacing w:before="24" w:after="24" w:line="240" w:lineRule="auto"/>
              <w:rPr>
                <w:rFonts w:ascii="Times New Roman" w:eastAsia="黑体"/>
                <w:snapToGrid w:val="0"/>
                <w:color w:val="auto"/>
                <w:kern w:val="21"/>
                <w:szCs w:val="21"/>
              </w:rPr>
            </w:pPr>
          </w:p>
        </w:tc>
        <w:tc>
          <w:tcPr>
            <w:tcW w:w="1417" w:type="dxa"/>
            <w:vAlign w:val="center"/>
          </w:tcPr>
          <w:p>
            <w:pPr>
              <w:pStyle w:val="10"/>
              <w:spacing w:beforeLines="0" w:afterLines="0" w:line="240" w:lineRule="auto"/>
              <w:ind w:left="-63" w:leftChars="-30" w:right="-63" w:rightChars="-30"/>
              <w:rPr>
                <w:rFonts w:ascii="Times New Roman" w:eastAsia="黑体"/>
                <w:snapToGrid w:val="0"/>
                <w:color w:val="auto"/>
                <w:kern w:val="21"/>
                <w:szCs w:val="21"/>
              </w:rPr>
            </w:pPr>
            <w:r>
              <w:rPr>
                <w:rFonts w:hint="eastAsia" w:ascii="Times New Roman" w:eastAsia="黑体"/>
                <w:snapToGrid w:val="0"/>
                <w:color w:val="auto"/>
                <w:kern w:val="21"/>
                <w:szCs w:val="21"/>
              </w:rPr>
              <w:t>污泥</w:t>
            </w:r>
          </w:p>
        </w:tc>
        <w:tc>
          <w:tcPr>
            <w:tcW w:w="170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 xml:space="preserve">0.4 </w:t>
            </w:r>
            <w:r>
              <w:rPr>
                <w:rFonts w:eastAsia="等线"/>
                <w:color w:val="auto"/>
                <w:kern w:val="0"/>
                <w:szCs w:val="21"/>
                <w:lang w:bidi="ar"/>
              </w:rPr>
              <w:t>t/a</w:t>
            </w:r>
          </w:p>
        </w:tc>
        <w:tc>
          <w:tcPr>
            <w:tcW w:w="1276"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w:t>
            </w:r>
          </w:p>
        </w:tc>
        <w:tc>
          <w:tcPr>
            <w:tcW w:w="1701"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w:t>
            </w:r>
          </w:p>
        </w:tc>
        <w:tc>
          <w:tcPr>
            <w:tcW w:w="1559"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1.122</w:t>
            </w:r>
            <w:r>
              <w:rPr>
                <w:rFonts w:hint="eastAsia" w:eastAsia="等线"/>
                <w:color w:val="auto"/>
                <w:kern w:val="0"/>
                <w:szCs w:val="21"/>
                <w:lang w:val="en-US" w:eastAsia="zh-CN" w:bidi="ar"/>
              </w:rPr>
              <w:t xml:space="preserve"> </w:t>
            </w:r>
            <w:r>
              <w:rPr>
                <w:rFonts w:eastAsia="等线"/>
                <w:color w:val="auto"/>
                <w:kern w:val="0"/>
                <w:szCs w:val="21"/>
                <w:lang w:bidi="ar"/>
              </w:rPr>
              <w:t>t/a</w:t>
            </w:r>
          </w:p>
        </w:tc>
        <w:tc>
          <w:tcPr>
            <w:tcW w:w="1418"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0</w:t>
            </w:r>
          </w:p>
        </w:tc>
        <w:tc>
          <w:tcPr>
            <w:tcW w:w="1417"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1.522</w:t>
            </w:r>
            <w:r>
              <w:rPr>
                <w:rFonts w:hint="eastAsia" w:eastAsia="等线"/>
                <w:color w:val="auto"/>
                <w:kern w:val="0"/>
                <w:szCs w:val="21"/>
                <w:lang w:val="en-US" w:eastAsia="zh-CN" w:bidi="ar"/>
              </w:rPr>
              <w:t xml:space="preserve"> </w:t>
            </w:r>
            <w:r>
              <w:rPr>
                <w:rFonts w:eastAsia="等线"/>
                <w:color w:val="auto"/>
                <w:kern w:val="0"/>
                <w:szCs w:val="21"/>
                <w:lang w:bidi="ar"/>
              </w:rPr>
              <w:t>t/a</w:t>
            </w:r>
          </w:p>
        </w:tc>
        <w:tc>
          <w:tcPr>
            <w:tcW w:w="171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+1.122</w:t>
            </w:r>
            <w:r>
              <w:rPr>
                <w:rFonts w:hint="eastAsia" w:eastAsia="等线"/>
                <w:color w:val="auto"/>
                <w:kern w:val="0"/>
                <w:szCs w:val="21"/>
                <w:lang w:val="en-US" w:eastAsia="zh-CN" w:bidi="ar"/>
              </w:rPr>
              <w:t xml:space="preserve"> </w:t>
            </w:r>
            <w:r>
              <w:rPr>
                <w:rFonts w:eastAsia="等线"/>
                <w:color w:val="auto"/>
                <w:kern w:val="0"/>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10"/>
              <w:spacing w:before="24" w:after="24" w:line="240" w:lineRule="auto"/>
              <w:rPr>
                <w:rFonts w:ascii="Times New Roman" w:eastAsia="黑体"/>
                <w:snapToGrid w:val="0"/>
                <w:color w:val="auto"/>
                <w:kern w:val="21"/>
                <w:szCs w:val="21"/>
              </w:rPr>
            </w:pPr>
          </w:p>
        </w:tc>
        <w:tc>
          <w:tcPr>
            <w:tcW w:w="1417" w:type="dxa"/>
            <w:vAlign w:val="center"/>
          </w:tcPr>
          <w:p>
            <w:pPr>
              <w:pStyle w:val="10"/>
              <w:spacing w:beforeLines="0" w:afterLines="0" w:line="240" w:lineRule="auto"/>
              <w:ind w:left="-63" w:leftChars="-30" w:right="-63" w:rightChars="-30"/>
              <w:rPr>
                <w:rFonts w:ascii="Times New Roman" w:eastAsia="黑体"/>
                <w:snapToGrid w:val="0"/>
                <w:color w:val="auto"/>
                <w:kern w:val="21"/>
                <w:szCs w:val="21"/>
              </w:rPr>
            </w:pPr>
            <w:r>
              <w:rPr>
                <w:rFonts w:hint="eastAsia" w:ascii="Times New Roman" w:eastAsia="黑体"/>
                <w:snapToGrid w:val="0"/>
                <w:color w:val="auto"/>
                <w:kern w:val="21"/>
                <w:szCs w:val="21"/>
              </w:rPr>
              <w:t>废UV灯管</w:t>
            </w:r>
          </w:p>
        </w:tc>
        <w:tc>
          <w:tcPr>
            <w:tcW w:w="170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 xml:space="preserve">0.01 </w:t>
            </w:r>
            <w:r>
              <w:rPr>
                <w:rFonts w:eastAsia="等线"/>
                <w:color w:val="auto"/>
                <w:kern w:val="0"/>
                <w:szCs w:val="21"/>
                <w:lang w:bidi="ar"/>
              </w:rPr>
              <w:t>t/a</w:t>
            </w:r>
          </w:p>
        </w:tc>
        <w:tc>
          <w:tcPr>
            <w:tcW w:w="1276"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w:t>
            </w:r>
          </w:p>
        </w:tc>
        <w:tc>
          <w:tcPr>
            <w:tcW w:w="1701"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w:t>
            </w:r>
          </w:p>
        </w:tc>
        <w:tc>
          <w:tcPr>
            <w:tcW w:w="1559" w:type="dxa"/>
            <w:vAlign w:val="center"/>
          </w:tcPr>
          <w:p>
            <w:pPr>
              <w:widowControl/>
              <w:jc w:val="center"/>
              <w:textAlignment w:val="center"/>
              <w:rPr>
                <w:rFonts w:eastAsia="等线"/>
                <w:color w:val="auto"/>
                <w:kern w:val="0"/>
                <w:szCs w:val="21"/>
                <w:lang w:bidi="ar"/>
              </w:rPr>
            </w:pPr>
            <w:r>
              <w:rPr>
                <w:rFonts w:eastAsia="等线"/>
                <w:color w:val="auto"/>
                <w:kern w:val="0"/>
                <w:szCs w:val="21"/>
                <w:lang w:bidi="ar"/>
              </w:rPr>
              <w:t>0.</w:t>
            </w:r>
            <w:r>
              <w:rPr>
                <w:rFonts w:hint="eastAsia" w:eastAsia="等线"/>
                <w:color w:val="auto"/>
                <w:kern w:val="0"/>
                <w:szCs w:val="21"/>
                <w:lang w:val="en-US" w:eastAsia="zh-CN" w:bidi="ar"/>
              </w:rPr>
              <w:t xml:space="preserve">05 </w:t>
            </w:r>
            <w:r>
              <w:rPr>
                <w:rFonts w:eastAsia="等线"/>
                <w:color w:val="auto"/>
                <w:kern w:val="0"/>
                <w:szCs w:val="21"/>
                <w:lang w:bidi="ar"/>
              </w:rPr>
              <w:t>t/a</w:t>
            </w:r>
          </w:p>
        </w:tc>
        <w:tc>
          <w:tcPr>
            <w:tcW w:w="1418"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0</w:t>
            </w:r>
          </w:p>
        </w:tc>
        <w:tc>
          <w:tcPr>
            <w:tcW w:w="1417" w:type="dxa"/>
            <w:vAlign w:val="center"/>
          </w:tcPr>
          <w:p>
            <w:pPr>
              <w:widowControl/>
              <w:jc w:val="center"/>
              <w:textAlignment w:val="center"/>
              <w:rPr>
                <w:rFonts w:eastAsia="等线"/>
                <w:color w:val="auto"/>
                <w:kern w:val="0"/>
                <w:szCs w:val="21"/>
                <w:lang w:bidi="ar"/>
              </w:rPr>
            </w:pPr>
            <w:r>
              <w:rPr>
                <w:rFonts w:hint="default" w:eastAsia="等线"/>
                <w:color w:val="auto"/>
                <w:kern w:val="0"/>
                <w:szCs w:val="21"/>
                <w:lang w:val="en-US" w:eastAsia="zh-CN" w:bidi="ar"/>
              </w:rPr>
              <w:t>0.06</w:t>
            </w:r>
            <w:r>
              <w:rPr>
                <w:rFonts w:hint="eastAsia" w:eastAsia="等线"/>
                <w:color w:val="auto"/>
                <w:kern w:val="0"/>
                <w:szCs w:val="21"/>
                <w:lang w:val="en-US" w:eastAsia="zh-CN" w:bidi="ar"/>
              </w:rPr>
              <w:t xml:space="preserve"> </w:t>
            </w:r>
            <w:r>
              <w:rPr>
                <w:rFonts w:eastAsia="等线"/>
                <w:color w:val="auto"/>
                <w:kern w:val="0"/>
                <w:szCs w:val="21"/>
                <w:lang w:bidi="ar"/>
              </w:rPr>
              <w:t>t/a</w:t>
            </w:r>
          </w:p>
        </w:tc>
        <w:tc>
          <w:tcPr>
            <w:tcW w:w="1711" w:type="dxa"/>
            <w:vAlign w:val="center"/>
          </w:tcPr>
          <w:p>
            <w:pPr>
              <w:widowControl/>
              <w:jc w:val="center"/>
              <w:textAlignment w:val="center"/>
              <w:rPr>
                <w:rFonts w:eastAsia="等线"/>
                <w:color w:val="auto"/>
                <w:kern w:val="0"/>
                <w:szCs w:val="21"/>
                <w:lang w:bidi="ar"/>
              </w:rPr>
            </w:pPr>
            <w:r>
              <w:rPr>
                <w:rFonts w:hint="eastAsia" w:eastAsia="等线"/>
                <w:color w:val="auto"/>
                <w:kern w:val="0"/>
                <w:szCs w:val="21"/>
                <w:lang w:bidi="ar"/>
              </w:rPr>
              <w:t>+</w:t>
            </w:r>
            <w:r>
              <w:rPr>
                <w:rFonts w:eastAsia="等线"/>
                <w:color w:val="auto"/>
                <w:kern w:val="0"/>
                <w:szCs w:val="21"/>
                <w:lang w:bidi="ar"/>
              </w:rPr>
              <w:t>0.</w:t>
            </w:r>
            <w:r>
              <w:rPr>
                <w:rFonts w:hint="eastAsia" w:eastAsia="等线"/>
                <w:color w:val="auto"/>
                <w:kern w:val="0"/>
                <w:szCs w:val="21"/>
                <w:lang w:bidi="ar"/>
              </w:rPr>
              <w:t>1</w:t>
            </w:r>
            <w:r>
              <w:rPr>
                <w:rFonts w:hint="eastAsia" w:eastAsia="等线"/>
                <w:color w:val="auto"/>
                <w:kern w:val="0"/>
                <w:szCs w:val="21"/>
                <w:lang w:val="en-US" w:eastAsia="zh-CN" w:bidi="ar"/>
              </w:rPr>
              <w:t xml:space="preserve"> </w:t>
            </w:r>
            <w:r>
              <w:rPr>
                <w:rFonts w:eastAsia="等线"/>
                <w:color w:val="auto"/>
                <w:kern w:val="0"/>
                <w:szCs w:val="21"/>
                <w:lang w:bidi="ar"/>
              </w:rPr>
              <w:t>t/a</w:t>
            </w:r>
          </w:p>
        </w:tc>
      </w:tr>
    </w:tbl>
    <w:p>
      <w:pPr>
        <w:pStyle w:val="10"/>
        <w:spacing w:before="192" w:beforeLines="80" w:after="24"/>
        <w:jc w:val="left"/>
        <w:rPr>
          <w:rFonts w:ascii="Times New Roman"/>
          <w:color w:val="auto"/>
        </w:rPr>
      </w:pPr>
      <w:r>
        <w:rPr>
          <w:rFonts w:ascii="Times New Roman"/>
          <w:snapToGrid w:val="0"/>
          <w:color w:val="auto"/>
          <w:kern w:val="21"/>
          <w:szCs w:val="21"/>
        </w:rPr>
        <w:t>注：</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hint="eastAsia" w:hAnsi="宋体" w:cs="宋体"/>
          <w:color w:val="auto"/>
          <w:szCs w:val="21"/>
        </w:rPr>
        <w:t>⑥</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hint="eastAsia" w:hAnsi="宋体" w:cs="宋体"/>
          <w:color w:val="auto"/>
          <w:szCs w:val="21"/>
        </w:rPr>
        <w:t>①</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3 \* GB3 \* MERGEFORMAT </w:instrText>
      </w:r>
      <w:r>
        <w:rPr>
          <w:rFonts w:ascii="Times New Roman"/>
          <w:snapToGrid w:val="0"/>
          <w:color w:val="auto"/>
          <w:spacing w:val="-6"/>
          <w:kern w:val="21"/>
          <w:szCs w:val="21"/>
        </w:rPr>
        <w:fldChar w:fldCharType="separate"/>
      </w:r>
      <w:r>
        <w:rPr>
          <w:rFonts w:hint="eastAsia" w:hAnsi="宋体" w:cs="宋体"/>
          <w:color w:val="auto"/>
          <w:szCs w:val="21"/>
        </w:rPr>
        <w:t>③</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4 \* GB3 \* MERGEFORMAT </w:instrText>
      </w:r>
      <w:r>
        <w:rPr>
          <w:rFonts w:ascii="Times New Roman"/>
          <w:snapToGrid w:val="0"/>
          <w:color w:val="auto"/>
          <w:spacing w:val="-6"/>
          <w:kern w:val="21"/>
          <w:szCs w:val="21"/>
        </w:rPr>
        <w:fldChar w:fldCharType="separate"/>
      </w:r>
      <w:r>
        <w:rPr>
          <w:rFonts w:hint="eastAsia" w:hAnsi="宋体" w:cs="宋体"/>
          <w:color w:val="auto"/>
          <w:szCs w:val="21"/>
        </w:rPr>
        <w:t>④</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5 \* GB3 \* MERGEFORMAT </w:instrText>
      </w:r>
      <w:r>
        <w:rPr>
          <w:rFonts w:ascii="Times New Roman"/>
          <w:snapToGrid w:val="0"/>
          <w:color w:val="auto"/>
          <w:spacing w:val="-16"/>
          <w:kern w:val="21"/>
          <w:szCs w:val="21"/>
        </w:rPr>
        <w:fldChar w:fldCharType="separate"/>
      </w:r>
      <w:r>
        <w:rPr>
          <w:rFonts w:hint="eastAsia" w:hAnsi="宋体" w:cs="宋体"/>
          <w:color w:val="auto"/>
          <w:szCs w:val="21"/>
        </w:rPr>
        <w:t>⑤</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7 \* GB3 \* MERGEFORMAT </w:instrText>
      </w:r>
      <w:r>
        <w:rPr>
          <w:rFonts w:ascii="Times New Roman"/>
          <w:snapToGrid w:val="0"/>
          <w:color w:val="auto"/>
          <w:spacing w:val="-6"/>
          <w:kern w:val="21"/>
          <w:szCs w:val="21"/>
        </w:rPr>
        <w:fldChar w:fldCharType="separate"/>
      </w:r>
      <w:r>
        <w:rPr>
          <w:rFonts w:hint="eastAsia" w:hAnsi="宋体" w:cs="宋体"/>
          <w:color w:val="auto"/>
          <w:szCs w:val="21"/>
        </w:rPr>
        <w:t>⑦</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hint="eastAsia" w:hAnsi="宋体" w:cs="宋体"/>
          <w:color w:val="auto"/>
          <w:szCs w:val="21"/>
        </w:rPr>
        <w:t>⑥</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hint="eastAsia" w:hAnsi="宋体" w:cs="宋体"/>
          <w:color w:val="auto"/>
          <w:szCs w:val="21"/>
        </w:rPr>
        <w:t>①</w:t>
      </w:r>
      <w:r>
        <w:rPr>
          <w:rFonts w:ascii="Times New Roman"/>
          <w:snapToGrid w:val="0"/>
          <w:color w:val="auto"/>
          <w:spacing w:val="-6"/>
          <w:kern w:val="21"/>
          <w:szCs w:val="21"/>
        </w:rPr>
        <w:fldChar w:fldCharType="end"/>
      </w:r>
      <w:r>
        <w:rPr>
          <w:rFonts w:ascii="Times New Roman"/>
          <w:snapToGrid w:val="0"/>
          <w:color w:val="auto"/>
          <w:spacing w:val="-6"/>
          <w:kern w:val="21"/>
          <w:szCs w:val="21"/>
        </w:rPr>
        <w:t>；</w:t>
      </w:r>
    </w:p>
    <w:sectPr>
      <w:footerReference r:id="rId7" w:type="default"/>
      <w:pgSz w:w="16838" w:h="11906" w:orient="landscape"/>
      <w:pgMar w:top="1588" w:right="1701" w:bottom="1588" w:left="1701" w:header="851" w:footer="851"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773DDA-CD9F-44AB-A54D-75D84FC5C8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A3ABFE03-0C50-4188-A09F-3A7EB240CFA5}"/>
  </w:font>
  <w:font w:name="方正小标宋_GBK">
    <w:panose1 w:val="02000000000000000000"/>
    <w:charset w:val="86"/>
    <w:family w:val="script"/>
    <w:pitch w:val="default"/>
    <w:sig w:usb0="A00002BF" w:usb1="38CF7CFA" w:usb2="00082016" w:usb3="00000000" w:csb0="00040001" w:csb1="00000000"/>
    <w:embedRegular r:id="rId3" w:fontKey="{3E4AA005-32FC-4650-BEE7-723AA2176BD8}"/>
  </w:font>
  <w:font w:name="楷体_GB2312">
    <w:panose1 w:val="02010609030101010101"/>
    <w:charset w:val="86"/>
    <w:family w:val="modern"/>
    <w:pitch w:val="default"/>
    <w:sig w:usb0="00000001" w:usb1="080E0000" w:usb2="00000000" w:usb3="00000000" w:csb0="00040000" w:csb1="00000000"/>
    <w:embedRegular r:id="rId4" w:fontKey="{E865808A-B6E5-4FE4-A823-A886BC75EC38}"/>
  </w:font>
  <w:font w:name="仿宋">
    <w:panose1 w:val="02010609060101010101"/>
    <w:charset w:val="86"/>
    <w:family w:val="modern"/>
    <w:pitch w:val="default"/>
    <w:sig w:usb0="800002BF" w:usb1="38CF7CFA" w:usb2="00000016" w:usb3="00000000" w:csb0="00040001" w:csb1="00000000"/>
    <w:embedRegular r:id="rId5" w:fontKey="{C96C3B70-6D27-4302-9B67-71122C4D06F3}"/>
  </w:font>
  <w:font w:name="Wingdings 2">
    <w:panose1 w:val="05020102010507070707"/>
    <w:charset w:val="02"/>
    <w:family w:val="roman"/>
    <w:pitch w:val="default"/>
    <w:sig w:usb0="00000000" w:usb1="00000000" w:usb2="00000000" w:usb3="00000000" w:csb0="80000000" w:csb1="00000000"/>
    <w:embedRegular r:id="rId6" w:fontKey="{FA71ABD9-1828-412D-B40B-35FF0AB77841}"/>
  </w:font>
  <w:font w:name="等线">
    <w:altName w:val="微软雅黑"/>
    <w:panose1 w:val="02010600030101010101"/>
    <w:charset w:val="86"/>
    <w:family w:val="auto"/>
    <w:pitch w:val="default"/>
    <w:sig w:usb0="00000000" w:usb1="00000000" w:usb2="00000016" w:usb3="00000000" w:csb0="0004000F" w:csb1="00000000"/>
    <w:embedRegular r:id="rId7" w:fontKey="{4133F953-D002-4CA7-B620-A1AAD2CAD270}"/>
  </w:font>
  <w:font w:name="Segoe UI Symbol">
    <w:panose1 w:val="020B0502040204020203"/>
    <w:charset w:val="00"/>
    <w:family w:val="swiss"/>
    <w:pitch w:val="default"/>
    <w:sig w:usb0="8000006F" w:usb1="1200FBEF" w:usb2="0064C000" w:usb3="00000002" w:csb0="00000001" w:csb1="40000000"/>
    <w:embedRegular r:id="rId8" w:fontKey="{2A0A519A-2E50-47DB-A2D8-368DD12ADFBB}"/>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rPr>
        <w:rFonts w:ascii="宋体" w:hAnsi="宋体"/>
        <w:sz w:val="28"/>
        <w:szCs w:val="28"/>
      </w:rPr>
    </w:pPr>
    <w:r>
      <w:rPr>
        <w:rFonts w:hint="eastAsia" w:ascii="宋体" w:hAnsi="宋体"/>
        <w:sz w:val="28"/>
        <w:szCs w:val="28"/>
      </w:rPr>
      <w:t>—</w:t>
    </w:r>
    <w:r>
      <w:rPr>
        <w:rFonts w:hint="eastAsia" w:ascii="宋体" w:hAnsi="宋体"/>
        <w:sz w:val="20"/>
      </w:rPr>
      <w:t xml:space="preserve">  </w:t>
    </w:r>
    <w:r>
      <w:rPr>
        <w:rFonts w:ascii="宋体" w:hAnsi="宋体"/>
        <w:sz w:val="26"/>
        <w:szCs w:val="26"/>
      </w:rPr>
      <w:fldChar w:fldCharType="begin"/>
    </w:r>
    <w:r>
      <w:rPr>
        <w:rFonts w:ascii="宋体" w:hAnsi="宋体"/>
        <w:sz w:val="26"/>
        <w:szCs w:val="26"/>
      </w:rPr>
      <w:instrText xml:space="preserve">PAGE  </w:instrText>
    </w:r>
    <w:r>
      <w:rPr>
        <w:rFonts w:ascii="宋体" w:hAnsi="宋体"/>
        <w:sz w:val="26"/>
        <w:szCs w:val="26"/>
      </w:rPr>
      <w:fldChar w:fldCharType="separate"/>
    </w:r>
    <w:r>
      <w:rPr>
        <w:rFonts w:ascii="宋体" w:hAnsi="宋体"/>
        <w:sz w:val="26"/>
        <w:szCs w:val="26"/>
      </w:rPr>
      <w:t>9</w:t>
    </w:r>
    <w:r>
      <w:rPr>
        <w:rFonts w:ascii="宋体" w:hAnsi="宋体"/>
        <w:sz w:val="26"/>
        <w:szCs w:val="26"/>
      </w:rPr>
      <w:fldChar w:fldCharType="end"/>
    </w:r>
    <w:r>
      <w:rPr>
        <w:rFonts w:hint="eastAsia" w:ascii="宋体" w:hAnsi="宋体"/>
        <w:sz w:val="20"/>
      </w:rPr>
      <w:t xml:space="preserve">  </w:t>
    </w:r>
    <w:r>
      <w:rPr>
        <w:rFonts w:hint="eastAsia" w:ascii="宋体" w:hAnsi="宋体"/>
        <w:sz w:val="28"/>
        <w:szCs w:val="28"/>
      </w:rPr>
      <w:t>—</w:t>
    </w:r>
  </w:p>
  <w:p>
    <w:pPr>
      <w:tabs>
        <w:tab w:val="center" w:pos="4153"/>
        <w:tab w:val="right" w:pos="8306"/>
      </w:tabs>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rPr>
        <w:rFonts w:ascii="宋体" w:hAnsi="宋体"/>
        <w:sz w:val="28"/>
        <w:szCs w:val="28"/>
      </w:rPr>
    </w:pPr>
    <w:r>
      <w:rPr>
        <w:rFonts w:hint="eastAsia" w:ascii="宋体" w:hAnsi="宋体"/>
        <w:sz w:val="28"/>
        <w:szCs w:val="28"/>
      </w:rPr>
      <w:t>—</w:t>
    </w:r>
    <w:r>
      <w:rPr>
        <w:rFonts w:hint="eastAsia" w:ascii="宋体" w:hAnsi="宋体"/>
        <w:sz w:val="20"/>
      </w:rPr>
      <w:t xml:space="preserve">  </w:t>
    </w:r>
    <w:r>
      <w:rPr>
        <w:rFonts w:ascii="宋体" w:hAnsi="宋体"/>
        <w:sz w:val="26"/>
        <w:szCs w:val="26"/>
      </w:rPr>
      <w:fldChar w:fldCharType="begin"/>
    </w:r>
    <w:r>
      <w:rPr>
        <w:rFonts w:ascii="宋体" w:hAnsi="宋体"/>
        <w:sz w:val="26"/>
        <w:szCs w:val="26"/>
      </w:rPr>
      <w:instrText xml:space="preserve">PAGE  </w:instrText>
    </w:r>
    <w:r>
      <w:rPr>
        <w:rFonts w:ascii="宋体" w:hAnsi="宋体"/>
        <w:sz w:val="26"/>
        <w:szCs w:val="26"/>
      </w:rPr>
      <w:fldChar w:fldCharType="separate"/>
    </w:r>
    <w:r>
      <w:rPr>
        <w:rFonts w:ascii="宋体" w:hAnsi="宋体"/>
        <w:sz w:val="26"/>
        <w:szCs w:val="26"/>
      </w:rPr>
      <w:t>11</w:t>
    </w:r>
    <w:r>
      <w:rPr>
        <w:rFonts w:ascii="宋体" w:hAnsi="宋体"/>
        <w:sz w:val="26"/>
        <w:szCs w:val="26"/>
      </w:rPr>
      <w:fldChar w:fldCharType="end"/>
    </w:r>
    <w:r>
      <w:rPr>
        <w:rFonts w:hint="eastAsia" w:ascii="宋体" w:hAnsi="宋体"/>
        <w:sz w:val="20"/>
      </w:rPr>
      <w:t xml:space="preserve">  </w:t>
    </w:r>
    <w:r>
      <w:rPr>
        <w:rFonts w:hint="eastAsia" w:ascii="宋体" w:hAnsi="宋体"/>
        <w:sz w:val="28"/>
        <w:szCs w:val="28"/>
      </w:rPr>
      <w:t>—</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52DE59"/>
    <w:multiLevelType w:val="singleLevel"/>
    <w:tmpl w:val="7C52DE5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MDM0ZDA0NDdjNjdiZWI4NTRkZDEwYzRhNThiZjIifQ=="/>
  </w:docVars>
  <w:rsids>
    <w:rsidRoot w:val="00172A27"/>
    <w:rsid w:val="000020F6"/>
    <w:rsid w:val="0000375B"/>
    <w:rsid w:val="000055C7"/>
    <w:rsid w:val="00006EE6"/>
    <w:rsid w:val="000117C9"/>
    <w:rsid w:val="00011C2F"/>
    <w:rsid w:val="00012DAD"/>
    <w:rsid w:val="000144F3"/>
    <w:rsid w:val="0002307C"/>
    <w:rsid w:val="0002441B"/>
    <w:rsid w:val="00030809"/>
    <w:rsid w:val="00031E30"/>
    <w:rsid w:val="00035A68"/>
    <w:rsid w:val="00042435"/>
    <w:rsid w:val="0004248A"/>
    <w:rsid w:val="00042D84"/>
    <w:rsid w:val="00044279"/>
    <w:rsid w:val="00046211"/>
    <w:rsid w:val="000465C2"/>
    <w:rsid w:val="00051BAC"/>
    <w:rsid w:val="0005379A"/>
    <w:rsid w:val="00056863"/>
    <w:rsid w:val="00057929"/>
    <w:rsid w:val="00061338"/>
    <w:rsid w:val="00064C32"/>
    <w:rsid w:val="00064D8B"/>
    <w:rsid w:val="000671AD"/>
    <w:rsid w:val="0007100A"/>
    <w:rsid w:val="00072480"/>
    <w:rsid w:val="00074B34"/>
    <w:rsid w:val="000752B3"/>
    <w:rsid w:val="00075A0D"/>
    <w:rsid w:val="00077BB2"/>
    <w:rsid w:val="00080940"/>
    <w:rsid w:val="0008222A"/>
    <w:rsid w:val="00083D2C"/>
    <w:rsid w:val="0008579C"/>
    <w:rsid w:val="00087673"/>
    <w:rsid w:val="000879AE"/>
    <w:rsid w:val="00090099"/>
    <w:rsid w:val="0009118E"/>
    <w:rsid w:val="00092CD2"/>
    <w:rsid w:val="00094A1F"/>
    <w:rsid w:val="00096057"/>
    <w:rsid w:val="00096713"/>
    <w:rsid w:val="000A27BA"/>
    <w:rsid w:val="000A2B3E"/>
    <w:rsid w:val="000A3DB6"/>
    <w:rsid w:val="000A77D3"/>
    <w:rsid w:val="000B13A2"/>
    <w:rsid w:val="000B1D82"/>
    <w:rsid w:val="000B4EC2"/>
    <w:rsid w:val="000C43F3"/>
    <w:rsid w:val="000C74B0"/>
    <w:rsid w:val="000D05D0"/>
    <w:rsid w:val="000D7C2F"/>
    <w:rsid w:val="000E199A"/>
    <w:rsid w:val="000F3A28"/>
    <w:rsid w:val="000F3C07"/>
    <w:rsid w:val="000F6952"/>
    <w:rsid w:val="000F6E9F"/>
    <w:rsid w:val="000F727C"/>
    <w:rsid w:val="00101078"/>
    <w:rsid w:val="00103359"/>
    <w:rsid w:val="0010717E"/>
    <w:rsid w:val="00112B6F"/>
    <w:rsid w:val="0011675D"/>
    <w:rsid w:val="00130DAA"/>
    <w:rsid w:val="00134D75"/>
    <w:rsid w:val="00135B8C"/>
    <w:rsid w:val="001367F2"/>
    <w:rsid w:val="00146310"/>
    <w:rsid w:val="00152814"/>
    <w:rsid w:val="0015416C"/>
    <w:rsid w:val="00163339"/>
    <w:rsid w:val="0016496B"/>
    <w:rsid w:val="001725D1"/>
    <w:rsid w:val="00172975"/>
    <w:rsid w:val="00172A27"/>
    <w:rsid w:val="00182133"/>
    <w:rsid w:val="00182588"/>
    <w:rsid w:val="00184342"/>
    <w:rsid w:val="00186098"/>
    <w:rsid w:val="00186226"/>
    <w:rsid w:val="00196B64"/>
    <w:rsid w:val="001A0366"/>
    <w:rsid w:val="001A156F"/>
    <w:rsid w:val="001A485D"/>
    <w:rsid w:val="001A70BE"/>
    <w:rsid w:val="001B1329"/>
    <w:rsid w:val="001B2EBE"/>
    <w:rsid w:val="001B35ED"/>
    <w:rsid w:val="001B5CE9"/>
    <w:rsid w:val="001B5D7F"/>
    <w:rsid w:val="001B6A2E"/>
    <w:rsid w:val="001B78D2"/>
    <w:rsid w:val="001C53C2"/>
    <w:rsid w:val="001D3E90"/>
    <w:rsid w:val="001E2F90"/>
    <w:rsid w:val="001E3129"/>
    <w:rsid w:val="001E43FA"/>
    <w:rsid w:val="001E5DF3"/>
    <w:rsid w:val="001E7192"/>
    <w:rsid w:val="001F2E8B"/>
    <w:rsid w:val="00201043"/>
    <w:rsid w:val="00204770"/>
    <w:rsid w:val="00204C3C"/>
    <w:rsid w:val="002075C2"/>
    <w:rsid w:val="00207AD6"/>
    <w:rsid w:val="00207EA7"/>
    <w:rsid w:val="00213FFB"/>
    <w:rsid w:val="0021418A"/>
    <w:rsid w:val="002151F6"/>
    <w:rsid w:val="00217C93"/>
    <w:rsid w:val="002201C3"/>
    <w:rsid w:val="00220939"/>
    <w:rsid w:val="00221037"/>
    <w:rsid w:val="00222763"/>
    <w:rsid w:val="0022649D"/>
    <w:rsid w:val="002327E2"/>
    <w:rsid w:val="00234E09"/>
    <w:rsid w:val="002402A9"/>
    <w:rsid w:val="00245699"/>
    <w:rsid w:val="00254FD5"/>
    <w:rsid w:val="00257ADC"/>
    <w:rsid w:val="0027144E"/>
    <w:rsid w:val="002854FC"/>
    <w:rsid w:val="00287265"/>
    <w:rsid w:val="002950FE"/>
    <w:rsid w:val="00296DA5"/>
    <w:rsid w:val="002A0F5D"/>
    <w:rsid w:val="002A1E0F"/>
    <w:rsid w:val="002A4D5C"/>
    <w:rsid w:val="002A6A43"/>
    <w:rsid w:val="002B0211"/>
    <w:rsid w:val="002B0F65"/>
    <w:rsid w:val="002B3492"/>
    <w:rsid w:val="002B35D7"/>
    <w:rsid w:val="002B6DA5"/>
    <w:rsid w:val="002C0B20"/>
    <w:rsid w:val="002C0FC6"/>
    <w:rsid w:val="002C126F"/>
    <w:rsid w:val="002C2210"/>
    <w:rsid w:val="002C2F8E"/>
    <w:rsid w:val="002C726A"/>
    <w:rsid w:val="002D12E8"/>
    <w:rsid w:val="002D145D"/>
    <w:rsid w:val="002D4A50"/>
    <w:rsid w:val="002D5C70"/>
    <w:rsid w:val="002E6831"/>
    <w:rsid w:val="002F0F99"/>
    <w:rsid w:val="002F19DC"/>
    <w:rsid w:val="002F40A4"/>
    <w:rsid w:val="002F41E0"/>
    <w:rsid w:val="002F4DBA"/>
    <w:rsid w:val="002F4DC6"/>
    <w:rsid w:val="002F7800"/>
    <w:rsid w:val="00301342"/>
    <w:rsid w:val="0030717C"/>
    <w:rsid w:val="00315155"/>
    <w:rsid w:val="00323319"/>
    <w:rsid w:val="003312A2"/>
    <w:rsid w:val="00334366"/>
    <w:rsid w:val="00335CD1"/>
    <w:rsid w:val="003451B1"/>
    <w:rsid w:val="00366A88"/>
    <w:rsid w:val="00371A80"/>
    <w:rsid w:val="0037369B"/>
    <w:rsid w:val="003768F5"/>
    <w:rsid w:val="0038351D"/>
    <w:rsid w:val="00387049"/>
    <w:rsid w:val="00396E08"/>
    <w:rsid w:val="00396ED0"/>
    <w:rsid w:val="003A0DC7"/>
    <w:rsid w:val="003A0F9E"/>
    <w:rsid w:val="003A23FB"/>
    <w:rsid w:val="003A79B9"/>
    <w:rsid w:val="003A79C5"/>
    <w:rsid w:val="003A7E10"/>
    <w:rsid w:val="003B0638"/>
    <w:rsid w:val="003B4053"/>
    <w:rsid w:val="003B4736"/>
    <w:rsid w:val="003B7E14"/>
    <w:rsid w:val="003C00A5"/>
    <w:rsid w:val="003C0CA3"/>
    <w:rsid w:val="003C5FBC"/>
    <w:rsid w:val="003C660A"/>
    <w:rsid w:val="003D588F"/>
    <w:rsid w:val="003D764C"/>
    <w:rsid w:val="003E540E"/>
    <w:rsid w:val="003E62F6"/>
    <w:rsid w:val="003E7200"/>
    <w:rsid w:val="003F16B7"/>
    <w:rsid w:val="00400025"/>
    <w:rsid w:val="00402D42"/>
    <w:rsid w:val="0040535A"/>
    <w:rsid w:val="00405F6E"/>
    <w:rsid w:val="0041098C"/>
    <w:rsid w:val="004131E4"/>
    <w:rsid w:val="004142F6"/>
    <w:rsid w:val="00414D15"/>
    <w:rsid w:val="00415A4D"/>
    <w:rsid w:val="004201E8"/>
    <w:rsid w:val="004227FB"/>
    <w:rsid w:val="00427E66"/>
    <w:rsid w:val="00431ADA"/>
    <w:rsid w:val="00431E67"/>
    <w:rsid w:val="00433518"/>
    <w:rsid w:val="00435FDE"/>
    <w:rsid w:val="00436D87"/>
    <w:rsid w:val="00441A08"/>
    <w:rsid w:val="0044236D"/>
    <w:rsid w:val="00454CB0"/>
    <w:rsid w:val="004556FD"/>
    <w:rsid w:val="00462B65"/>
    <w:rsid w:val="004630DF"/>
    <w:rsid w:val="00464003"/>
    <w:rsid w:val="00464994"/>
    <w:rsid w:val="00471D9E"/>
    <w:rsid w:val="0047212E"/>
    <w:rsid w:val="0047704C"/>
    <w:rsid w:val="0048068C"/>
    <w:rsid w:val="004809F2"/>
    <w:rsid w:val="004828D5"/>
    <w:rsid w:val="00482B45"/>
    <w:rsid w:val="00484016"/>
    <w:rsid w:val="00484AFA"/>
    <w:rsid w:val="004864E0"/>
    <w:rsid w:val="00487EAF"/>
    <w:rsid w:val="00490D7F"/>
    <w:rsid w:val="00496987"/>
    <w:rsid w:val="004A0BA2"/>
    <w:rsid w:val="004A2FFB"/>
    <w:rsid w:val="004B1EB8"/>
    <w:rsid w:val="004B22B5"/>
    <w:rsid w:val="004B3BD7"/>
    <w:rsid w:val="004B7B9B"/>
    <w:rsid w:val="004C1046"/>
    <w:rsid w:val="004C2B29"/>
    <w:rsid w:val="004C7B15"/>
    <w:rsid w:val="004D0997"/>
    <w:rsid w:val="004D33A0"/>
    <w:rsid w:val="004E25AA"/>
    <w:rsid w:val="004E6F1D"/>
    <w:rsid w:val="004F1473"/>
    <w:rsid w:val="004F2F2D"/>
    <w:rsid w:val="004F6E57"/>
    <w:rsid w:val="004F720C"/>
    <w:rsid w:val="004F76FB"/>
    <w:rsid w:val="005005BA"/>
    <w:rsid w:val="00501A4F"/>
    <w:rsid w:val="00501C5C"/>
    <w:rsid w:val="00502FAF"/>
    <w:rsid w:val="005065DF"/>
    <w:rsid w:val="005079E5"/>
    <w:rsid w:val="005113F5"/>
    <w:rsid w:val="00511514"/>
    <w:rsid w:val="005120D8"/>
    <w:rsid w:val="00512892"/>
    <w:rsid w:val="005148B9"/>
    <w:rsid w:val="00520419"/>
    <w:rsid w:val="005206C0"/>
    <w:rsid w:val="0052423F"/>
    <w:rsid w:val="00524698"/>
    <w:rsid w:val="00524EF6"/>
    <w:rsid w:val="00532ACD"/>
    <w:rsid w:val="0053495F"/>
    <w:rsid w:val="00535892"/>
    <w:rsid w:val="00535F13"/>
    <w:rsid w:val="005375FD"/>
    <w:rsid w:val="0054107B"/>
    <w:rsid w:val="00543524"/>
    <w:rsid w:val="005466E8"/>
    <w:rsid w:val="00556209"/>
    <w:rsid w:val="005565BF"/>
    <w:rsid w:val="00556C9B"/>
    <w:rsid w:val="0055710C"/>
    <w:rsid w:val="005612B9"/>
    <w:rsid w:val="0056218E"/>
    <w:rsid w:val="00562335"/>
    <w:rsid w:val="00562B6F"/>
    <w:rsid w:val="005637AE"/>
    <w:rsid w:val="00564266"/>
    <w:rsid w:val="00572106"/>
    <w:rsid w:val="00572BEC"/>
    <w:rsid w:val="00573826"/>
    <w:rsid w:val="005816B6"/>
    <w:rsid w:val="0058266C"/>
    <w:rsid w:val="00586DC7"/>
    <w:rsid w:val="00587B8E"/>
    <w:rsid w:val="00590647"/>
    <w:rsid w:val="00593806"/>
    <w:rsid w:val="005A07AB"/>
    <w:rsid w:val="005A34A8"/>
    <w:rsid w:val="005A6C3B"/>
    <w:rsid w:val="005B0DD3"/>
    <w:rsid w:val="005B13F3"/>
    <w:rsid w:val="005B4692"/>
    <w:rsid w:val="005B5B56"/>
    <w:rsid w:val="005B5EC7"/>
    <w:rsid w:val="005B7EF5"/>
    <w:rsid w:val="005C0D3B"/>
    <w:rsid w:val="005C12D6"/>
    <w:rsid w:val="005C3F53"/>
    <w:rsid w:val="005C64D2"/>
    <w:rsid w:val="005D018F"/>
    <w:rsid w:val="005D03D6"/>
    <w:rsid w:val="005D158A"/>
    <w:rsid w:val="005D244B"/>
    <w:rsid w:val="005D7885"/>
    <w:rsid w:val="005E0E79"/>
    <w:rsid w:val="005E2F36"/>
    <w:rsid w:val="005E5F0B"/>
    <w:rsid w:val="005E6F92"/>
    <w:rsid w:val="005F4D72"/>
    <w:rsid w:val="005F4F72"/>
    <w:rsid w:val="00601579"/>
    <w:rsid w:val="0060299D"/>
    <w:rsid w:val="0060432B"/>
    <w:rsid w:val="006047BF"/>
    <w:rsid w:val="00604D3B"/>
    <w:rsid w:val="006102A3"/>
    <w:rsid w:val="00612DF4"/>
    <w:rsid w:val="006156DD"/>
    <w:rsid w:val="0062515D"/>
    <w:rsid w:val="00633D97"/>
    <w:rsid w:val="00634786"/>
    <w:rsid w:val="0064307F"/>
    <w:rsid w:val="00643AD2"/>
    <w:rsid w:val="006440BE"/>
    <w:rsid w:val="006478D4"/>
    <w:rsid w:val="0065272E"/>
    <w:rsid w:val="00652AAE"/>
    <w:rsid w:val="00653FE6"/>
    <w:rsid w:val="006552A7"/>
    <w:rsid w:val="00656C0A"/>
    <w:rsid w:val="00656D89"/>
    <w:rsid w:val="00660DA4"/>
    <w:rsid w:val="00660E15"/>
    <w:rsid w:val="0066390B"/>
    <w:rsid w:val="00664B75"/>
    <w:rsid w:val="0066652F"/>
    <w:rsid w:val="00667F2E"/>
    <w:rsid w:val="00672DAA"/>
    <w:rsid w:val="00673634"/>
    <w:rsid w:val="0067548A"/>
    <w:rsid w:val="00675B59"/>
    <w:rsid w:val="00680878"/>
    <w:rsid w:val="00683DCE"/>
    <w:rsid w:val="00695C9F"/>
    <w:rsid w:val="006A467C"/>
    <w:rsid w:val="006A5499"/>
    <w:rsid w:val="006B5BE2"/>
    <w:rsid w:val="006B5EFA"/>
    <w:rsid w:val="006C09BA"/>
    <w:rsid w:val="006C3DC7"/>
    <w:rsid w:val="006C7200"/>
    <w:rsid w:val="006D3D75"/>
    <w:rsid w:val="006D4A7A"/>
    <w:rsid w:val="006D4F3C"/>
    <w:rsid w:val="006E128C"/>
    <w:rsid w:val="006E24F4"/>
    <w:rsid w:val="006E37CF"/>
    <w:rsid w:val="006E41A0"/>
    <w:rsid w:val="006F4691"/>
    <w:rsid w:val="007002E9"/>
    <w:rsid w:val="007038E7"/>
    <w:rsid w:val="007153BE"/>
    <w:rsid w:val="00716A2D"/>
    <w:rsid w:val="00717FC6"/>
    <w:rsid w:val="00720CB9"/>
    <w:rsid w:val="007259BE"/>
    <w:rsid w:val="007304FF"/>
    <w:rsid w:val="007333AA"/>
    <w:rsid w:val="00733759"/>
    <w:rsid w:val="007358BA"/>
    <w:rsid w:val="00736B71"/>
    <w:rsid w:val="0073702F"/>
    <w:rsid w:val="0073709B"/>
    <w:rsid w:val="00737C00"/>
    <w:rsid w:val="00742453"/>
    <w:rsid w:val="00743FD9"/>
    <w:rsid w:val="0074436F"/>
    <w:rsid w:val="007471CA"/>
    <w:rsid w:val="00750EAD"/>
    <w:rsid w:val="007554D1"/>
    <w:rsid w:val="00755641"/>
    <w:rsid w:val="0075722F"/>
    <w:rsid w:val="0076315B"/>
    <w:rsid w:val="0076417C"/>
    <w:rsid w:val="00764759"/>
    <w:rsid w:val="00764C8F"/>
    <w:rsid w:val="0076534E"/>
    <w:rsid w:val="00774913"/>
    <w:rsid w:val="0077551A"/>
    <w:rsid w:val="00791832"/>
    <w:rsid w:val="00791C69"/>
    <w:rsid w:val="00791D79"/>
    <w:rsid w:val="007A01CF"/>
    <w:rsid w:val="007A0A44"/>
    <w:rsid w:val="007B7149"/>
    <w:rsid w:val="007C0B92"/>
    <w:rsid w:val="007C2A1A"/>
    <w:rsid w:val="007C3B3F"/>
    <w:rsid w:val="007C6B45"/>
    <w:rsid w:val="007D0E5C"/>
    <w:rsid w:val="007D2B0F"/>
    <w:rsid w:val="007D4B0B"/>
    <w:rsid w:val="007E5ED7"/>
    <w:rsid w:val="007F0151"/>
    <w:rsid w:val="007F26CC"/>
    <w:rsid w:val="007F30F9"/>
    <w:rsid w:val="007F35D5"/>
    <w:rsid w:val="007F5272"/>
    <w:rsid w:val="007F6884"/>
    <w:rsid w:val="008005B8"/>
    <w:rsid w:val="00801575"/>
    <w:rsid w:val="00807557"/>
    <w:rsid w:val="00807C7C"/>
    <w:rsid w:val="008120B5"/>
    <w:rsid w:val="00813B3D"/>
    <w:rsid w:val="008221F6"/>
    <w:rsid w:val="00823DF3"/>
    <w:rsid w:val="00824D50"/>
    <w:rsid w:val="0083058A"/>
    <w:rsid w:val="008329D1"/>
    <w:rsid w:val="00833F1F"/>
    <w:rsid w:val="00840E35"/>
    <w:rsid w:val="00844437"/>
    <w:rsid w:val="00845882"/>
    <w:rsid w:val="00845C9E"/>
    <w:rsid w:val="008463B9"/>
    <w:rsid w:val="00851AD0"/>
    <w:rsid w:val="0085644A"/>
    <w:rsid w:val="00865B18"/>
    <w:rsid w:val="00867868"/>
    <w:rsid w:val="0087134A"/>
    <w:rsid w:val="008743CB"/>
    <w:rsid w:val="00877799"/>
    <w:rsid w:val="00877B4A"/>
    <w:rsid w:val="0088035E"/>
    <w:rsid w:val="008841C3"/>
    <w:rsid w:val="00890226"/>
    <w:rsid w:val="00896322"/>
    <w:rsid w:val="008A0BA1"/>
    <w:rsid w:val="008A3854"/>
    <w:rsid w:val="008B104A"/>
    <w:rsid w:val="008B1E07"/>
    <w:rsid w:val="008B77B1"/>
    <w:rsid w:val="008C3B04"/>
    <w:rsid w:val="008C5233"/>
    <w:rsid w:val="008C5AA7"/>
    <w:rsid w:val="008D3BA0"/>
    <w:rsid w:val="008D67DC"/>
    <w:rsid w:val="008D7D1B"/>
    <w:rsid w:val="008F4E9F"/>
    <w:rsid w:val="009049D8"/>
    <w:rsid w:val="00906E26"/>
    <w:rsid w:val="0090735A"/>
    <w:rsid w:val="00915AF8"/>
    <w:rsid w:val="0091712C"/>
    <w:rsid w:val="00917406"/>
    <w:rsid w:val="00921864"/>
    <w:rsid w:val="00921AC9"/>
    <w:rsid w:val="0092230D"/>
    <w:rsid w:val="00924899"/>
    <w:rsid w:val="00925565"/>
    <w:rsid w:val="00926C6E"/>
    <w:rsid w:val="009272F0"/>
    <w:rsid w:val="00931E67"/>
    <w:rsid w:val="00932AD2"/>
    <w:rsid w:val="00934AC6"/>
    <w:rsid w:val="0093745A"/>
    <w:rsid w:val="00942194"/>
    <w:rsid w:val="00942FE0"/>
    <w:rsid w:val="009462ED"/>
    <w:rsid w:val="00951328"/>
    <w:rsid w:val="0096078E"/>
    <w:rsid w:val="009648F6"/>
    <w:rsid w:val="00972624"/>
    <w:rsid w:val="00976F3F"/>
    <w:rsid w:val="009806DB"/>
    <w:rsid w:val="0098437A"/>
    <w:rsid w:val="00985379"/>
    <w:rsid w:val="0098622B"/>
    <w:rsid w:val="00991B04"/>
    <w:rsid w:val="00992653"/>
    <w:rsid w:val="00995F77"/>
    <w:rsid w:val="009A0264"/>
    <w:rsid w:val="009A3BE7"/>
    <w:rsid w:val="009A46B5"/>
    <w:rsid w:val="009A6A9B"/>
    <w:rsid w:val="009B5AEE"/>
    <w:rsid w:val="009B718E"/>
    <w:rsid w:val="009C5330"/>
    <w:rsid w:val="009D5871"/>
    <w:rsid w:val="009D6DC8"/>
    <w:rsid w:val="009E0ACD"/>
    <w:rsid w:val="009E1726"/>
    <w:rsid w:val="009E1D86"/>
    <w:rsid w:val="009E59A8"/>
    <w:rsid w:val="009F0543"/>
    <w:rsid w:val="009F3DE5"/>
    <w:rsid w:val="00A00487"/>
    <w:rsid w:val="00A01B7F"/>
    <w:rsid w:val="00A12F38"/>
    <w:rsid w:val="00A13683"/>
    <w:rsid w:val="00A13EA1"/>
    <w:rsid w:val="00A14840"/>
    <w:rsid w:val="00A201DA"/>
    <w:rsid w:val="00A21486"/>
    <w:rsid w:val="00A2330B"/>
    <w:rsid w:val="00A30FBD"/>
    <w:rsid w:val="00A31767"/>
    <w:rsid w:val="00A43B62"/>
    <w:rsid w:val="00A4556D"/>
    <w:rsid w:val="00A53364"/>
    <w:rsid w:val="00A57981"/>
    <w:rsid w:val="00A61A81"/>
    <w:rsid w:val="00A61AEE"/>
    <w:rsid w:val="00A64983"/>
    <w:rsid w:val="00A73036"/>
    <w:rsid w:val="00A81363"/>
    <w:rsid w:val="00A8228F"/>
    <w:rsid w:val="00A83866"/>
    <w:rsid w:val="00A92558"/>
    <w:rsid w:val="00A94B30"/>
    <w:rsid w:val="00A962E0"/>
    <w:rsid w:val="00A97AF9"/>
    <w:rsid w:val="00A97E72"/>
    <w:rsid w:val="00AA1934"/>
    <w:rsid w:val="00AA21D7"/>
    <w:rsid w:val="00AA3672"/>
    <w:rsid w:val="00AA3B6F"/>
    <w:rsid w:val="00AA5B83"/>
    <w:rsid w:val="00AA790B"/>
    <w:rsid w:val="00AB12EE"/>
    <w:rsid w:val="00AB5471"/>
    <w:rsid w:val="00AC1685"/>
    <w:rsid w:val="00AC1B72"/>
    <w:rsid w:val="00AC286E"/>
    <w:rsid w:val="00AC4DAC"/>
    <w:rsid w:val="00AD020D"/>
    <w:rsid w:val="00AD5940"/>
    <w:rsid w:val="00AE1E30"/>
    <w:rsid w:val="00AE58A0"/>
    <w:rsid w:val="00AE7AEA"/>
    <w:rsid w:val="00AF57E8"/>
    <w:rsid w:val="00AF62FE"/>
    <w:rsid w:val="00AF69FF"/>
    <w:rsid w:val="00B00BAA"/>
    <w:rsid w:val="00B026DA"/>
    <w:rsid w:val="00B03F43"/>
    <w:rsid w:val="00B12FB8"/>
    <w:rsid w:val="00B13EB6"/>
    <w:rsid w:val="00B15165"/>
    <w:rsid w:val="00B16FFE"/>
    <w:rsid w:val="00B21991"/>
    <w:rsid w:val="00B256CE"/>
    <w:rsid w:val="00B31FB4"/>
    <w:rsid w:val="00B32FE8"/>
    <w:rsid w:val="00B33FDF"/>
    <w:rsid w:val="00B361F1"/>
    <w:rsid w:val="00B40262"/>
    <w:rsid w:val="00B42415"/>
    <w:rsid w:val="00B43310"/>
    <w:rsid w:val="00B46246"/>
    <w:rsid w:val="00B47471"/>
    <w:rsid w:val="00B54FEF"/>
    <w:rsid w:val="00B61166"/>
    <w:rsid w:val="00B61B06"/>
    <w:rsid w:val="00B61D00"/>
    <w:rsid w:val="00B6274C"/>
    <w:rsid w:val="00B70E6E"/>
    <w:rsid w:val="00B71393"/>
    <w:rsid w:val="00B72053"/>
    <w:rsid w:val="00B816E5"/>
    <w:rsid w:val="00B8181B"/>
    <w:rsid w:val="00B85AD3"/>
    <w:rsid w:val="00B85CCA"/>
    <w:rsid w:val="00B86C94"/>
    <w:rsid w:val="00B874F6"/>
    <w:rsid w:val="00B904FF"/>
    <w:rsid w:val="00B92BF4"/>
    <w:rsid w:val="00B933DF"/>
    <w:rsid w:val="00B9735B"/>
    <w:rsid w:val="00BB1380"/>
    <w:rsid w:val="00BB2661"/>
    <w:rsid w:val="00BB4315"/>
    <w:rsid w:val="00BB4CA9"/>
    <w:rsid w:val="00BC046C"/>
    <w:rsid w:val="00BC1996"/>
    <w:rsid w:val="00BC5145"/>
    <w:rsid w:val="00BC6112"/>
    <w:rsid w:val="00BD44F2"/>
    <w:rsid w:val="00BD645B"/>
    <w:rsid w:val="00BE0BFF"/>
    <w:rsid w:val="00BE3F37"/>
    <w:rsid w:val="00BE4908"/>
    <w:rsid w:val="00BE7B0A"/>
    <w:rsid w:val="00BF03C2"/>
    <w:rsid w:val="00BF279E"/>
    <w:rsid w:val="00C05EBE"/>
    <w:rsid w:val="00C153E3"/>
    <w:rsid w:val="00C31B30"/>
    <w:rsid w:val="00C41594"/>
    <w:rsid w:val="00C4527D"/>
    <w:rsid w:val="00C55E89"/>
    <w:rsid w:val="00C60C9F"/>
    <w:rsid w:val="00C63CB9"/>
    <w:rsid w:val="00C644CC"/>
    <w:rsid w:val="00C6614C"/>
    <w:rsid w:val="00C67918"/>
    <w:rsid w:val="00C73C8B"/>
    <w:rsid w:val="00C76239"/>
    <w:rsid w:val="00C816AE"/>
    <w:rsid w:val="00C81CA2"/>
    <w:rsid w:val="00C83CDE"/>
    <w:rsid w:val="00C874E6"/>
    <w:rsid w:val="00C87D81"/>
    <w:rsid w:val="00CA05AB"/>
    <w:rsid w:val="00CA0B29"/>
    <w:rsid w:val="00CA0F82"/>
    <w:rsid w:val="00CA115E"/>
    <w:rsid w:val="00CA582E"/>
    <w:rsid w:val="00CB0607"/>
    <w:rsid w:val="00CB2F28"/>
    <w:rsid w:val="00CB6147"/>
    <w:rsid w:val="00CB7FAE"/>
    <w:rsid w:val="00CC00FD"/>
    <w:rsid w:val="00CC0EA7"/>
    <w:rsid w:val="00CC2415"/>
    <w:rsid w:val="00CD0DDF"/>
    <w:rsid w:val="00CE54A4"/>
    <w:rsid w:val="00CE7801"/>
    <w:rsid w:val="00CF25BA"/>
    <w:rsid w:val="00CF403A"/>
    <w:rsid w:val="00CF4AF9"/>
    <w:rsid w:val="00CF65B0"/>
    <w:rsid w:val="00CF7E13"/>
    <w:rsid w:val="00D01F5B"/>
    <w:rsid w:val="00D03D80"/>
    <w:rsid w:val="00D0577C"/>
    <w:rsid w:val="00D062E5"/>
    <w:rsid w:val="00D15EA9"/>
    <w:rsid w:val="00D1619E"/>
    <w:rsid w:val="00D23242"/>
    <w:rsid w:val="00D335B3"/>
    <w:rsid w:val="00D407C1"/>
    <w:rsid w:val="00D45E90"/>
    <w:rsid w:val="00D463F0"/>
    <w:rsid w:val="00D506C8"/>
    <w:rsid w:val="00D742F3"/>
    <w:rsid w:val="00D75647"/>
    <w:rsid w:val="00D75CC6"/>
    <w:rsid w:val="00D82971"/>
    <w:rsid w:val="00D91699"/>
    <w:rsid w:val="00DA5BD5"/>
    <w:rsid w:val="00DA75F0"/>
    <w:rsid w:val="00DA7DE9"/>
    <w:rsid w:val="00DB0773"/>
    <w:rsid w:val="00DC2F91"/>
    <w:rsid w:val="00DC46A6"/>
    <w:rsid w:val="00DD29CC"/>
    <w:rsid w:val="00DD3757"/>
    <w:rsid w:val="00DD5BD4"/>
    <w:rsid w:val="00DD6534"/>
    <w:rsid w:val="00DE207A"/>
    <w:rsid w:val="00DF02B2"/>
    <w:rsid w:val="00DF03A6"/>
    <w:rsid w:val="00DF14BB"/>
    <w:rsid w:val="00DF1958"/>
    <w:rsid w:val="00DF492D"/>
    <w:rsid w:val="00DF6BDF"/>
    <w:rsid w:val="00E00581"/>
    <w:rsid w:val="00E011E9"/>
    <w:rsid w:val="00E12E02"/>
    <w:rsid w:val="00E157C1"/>
    <w:rsid w:val="00E214F2"/>
    <w:rsid w:val="00E2590C"/>
    <w:rsid w:val="00E3002A"/>
    <w:rsid w:val="00E300CA"/>
    <w:rsid w:val="00E33ED9"/>
    <w:rsid w:val="00E359CE"/>
    <w:rsid w:val="00E36238"/>
    <w:rsid w:val="00E4024D"/>
    <w:rsid w:val="00E40424"/>
    <w:rsid w:val="00E44435"/>
    <w:rsid w:val="00E5010C"/>
    <w:rsid w:val="00E50B53"/>
    <w:rsid w:val="00E511A3"/>
    <w:rsid w:val="00E51DCC"/>
    <w:rsid w:val="00E52272"/>
    <w:rsid w:val="00E54E6E"/>
    <w:rsid w:val="00E56077"/>
    <w:rsid w:val="00E565EE"/>
    <w:rsid w:val="00E566CD"/>
    <w:rsid w:val="00E644DE"/>
    <w:rsid w:val="00E6705F"/>
    <w:rsid w:val="00E6789A"/>
    <w:rsid w:val="00E70402"/>
    <w:rsid w:val="00E802A0"/>
    <w:rsid w:val="00E81779"/>
    <w:rsid w:val="00E8596F"/>
    <w:rsid w:val="00E85D36"/>
    <w:rsid w:val="00E92222"/>
    <w:rsid w:val="00E92A0E"/>
    <w:rsid w:val="00E92B66"/>
    <w:rsid w:val="00E95EDD"/>
    <w:rsid w:val="00EA40C4"/>
    <w:rsid w:val="00EA51EF"/>
    <w:rsid w:val="00EB04AC"/>
    <w:rsid w:val="00EB13F4"/>
    <w:rsid w:val="00EB44AE"/>
    <w:rsid w:val="00EB66D7"/>
    <w:rsid w:val="00EE3762"/>
    <w:rsid w:val="00EE4921"/>
    <w:rsid w:val="00EE4C1E"/>
    <w:rsid w:val="00EE4D17"/>
    <w:rsid w:val="00EE6B5D"/>
    <w:rsid w:val="00EF1FEB"/>
    <w:rsid w:val="00EF5009"/>
    <w:rsid w:val="00EF5A69"/>
    <w:rsid w:val="00EF7D40"/>
    <w:rsid w:val="00F100F0"/>
    <w:rsid w:val="00F11745"/>
    <w:rsid w:val="00F16090"/>
    <w:rsid w:val="00F16619"/>
    <w:rsid w:val="00F2179B"/>
    <w:rsid w:val="00F23719"/>
    <w:rsid w:val="00F26AB1"/>
    <w:rsid w:val="00F31DE9"/>
    <w:rsid w:val="00F32AFE"/>
    <w:rsid w:val="00F3452B"/>
    <w:rsid w:val="00F36150"/>
    <w:rsid w:val="00F3665C"/>
    <w:rsid w:val="00F36C77"/>
    <w:rsid w:val="00F36E89"/>
    <w:rsid w:val="00F50881"/>
    <w:rsid w:val="00F51DEF"/>
    <w:rsid w:val="00F54044"/>
    <w:rsid w:val="00F56297"/>
    <w:rsid w:val="00F73C30"/>
    <w:rsid w:val="00F81B63"/>
    <w:rsid w:val="00F83948"/>
    <w:rsid w:val="00F83E3B"/>
    <w:rsid w:val="00F85817"/>
    <w:rsid w:val="00F863B2"/>
    <w:rsid w:val="00F91E60"/>
    <w:rsid w:val="00F9369B"/>
    <w:rsid w:val="00F94776"/>
    <w:rsid w:val="00F957CA"/>
    <w:rsid w:val="00FA2B84"/>
    <w:rsid w:val="00FA5F18"/>
    <w:rsid w:val="00FB0E48"/>
    <w:rsid w:val="00FB3E1B"/>
    <w:rsid w:val="00FB7929"/>
    <w:rsid w:val="00FC00AC"/>
    <w:rsid w:val="00FC47D2"/>
    <w:rsid w:val="00FC62A1"/>
    <w:rsid w:val="00FC6526"/>
    <w:rsid w:val="00FD1277"/>
    <w:rsid w:val="00FD49B7"/>
    <w:rsid w:val="00FD7601"/>
    <w:rsid w:val="00FD7DC7"/>
    <w:rsid w:val="00FE2DA8"/>
    <w:rsid w:val="00FE4428"/>
    <w:rsid w:val="00FE5BA2"/>
    <w:rsid w:val="00FF060F"/>
    <w:rsid w:val="00FF58F5"/>
    <w:rsid w:val="00FF67B3"/>
    <w:rsid w:val="00FF67EA"/>
    <w:rsid w:val="012568EA"/>
    <w:rsid w:val="01702763"/>
    <w:rsid w:val="01A2719B"/>
    <w:rsid w:val="02753DB7"/>
    <w:rsid w:val="02AD6763"/>
    <w:rsid w:val="02C10E79"/>
    <w:rsid w:val="02EB1606"/>
    <w:rsid w:val="031205DC"/>
    <w:rsid w:val="03245572"/>
    <w:rsid w:val="033A0C37"/>
    <w:rsid w:val="033D44B3"/>
    <w:rsid w:val="038500F8"/>
    <w:rsid w:val="039D7B38"/>
    <w:rsid w:val="03B94246"/>
    <w:rsid w:val="03BD3D36"/>
    <w:rsid w:val="03D51580"/>
    <w:rsid w:val="03E00D98"/>
    <w:rsid w:val="040A3726"/>
    <w:rsid w:val="046B7FE6"/>
    <w:rsid w:val="04AE49C1"/>
    <w:rsid w:val="04F27A0F"/>
    <w:rsid w:val="052523BA"/>
    <w:rsid w:val="05B2476B"/>
    <w:rsid w:val="05D06D02"/>
    <w:rsid w:val="05D31F81"/>
    <w:rsid w:val="05E212DC"/>
    <w:rsid w:val="05F94DCD"/>
    <w:rsid w:val="06077949"/>
    <w:rsid w:val="062913D5"/>
    <w:rsid w:val="06417385"/>
    <w:rsid w:val="06A13408"/>
    <w:rsid w:val="06E44FEE"/>
    <w:rsid w:val="06FF5F6B"/>
    <w:rsid w:val="07073DDC"/>
    <w:rsid w:val="07250EAC"/>
    <w:rsid w:val="076D29DB"/>
    <w:rsid w:val="07DA779F"/>
    <w:rsid w:val="07E41932"/>
    <w:rsid w:val="07F278C3"/>
    <w:rsid w:val="07FF21C8"/>
    <w:rsid w:val="080517B9"/>
    <w:rsid w:val="083D7E78"/>
    <w:rsid w:val="084725CD"/>
    <w:rsid w:val="087B33D8"/>
    <w:rsid w:val="08836BD0"/>
    <w:rsid w:val="089970C0"/>
    <w:rsid w:val="08AF36BD"/>
    <w:rsid w:val="08C1408B"/>
    <w:rsid w:val="090139CA"/>
    <w:rsid w:val="0928090E"/>
    <w:rsid w:val="0960713F"/>
    <w:rsid w:val="09776735"/>
    <w:rsid w:val="09845116"/>
    <w:rsid w:val="09E40F2C"/>
    <w:rsid w:val="0A1461A2"/>
    <w:rsid w:val="0A9916A7"/>
    <w:rsid w:val="0ACA1694"/>
    <w:rsid w:val="0ACE0C9A"/>
    <w:rsid w:val="0B095AB3"/>
    <w:rsid w:val="0B0F68EC"/>
    <w:rsid w:val="0B13248D"/>
    <w:rsid w:val="0B2C095F"/>
    <w:rsid w:val="0B3115BB"/>
    <w:rsid w:val="0B6947A3"/>
    <w:rsid w:val="0B907F82"/>
    <w:rsid w:val="0BE82F25"/>
    <w:rsid w:val="0C190B60"/>
    <w:rsid w:val="0C2A02D6"/>
    <w:rsid w:val="0C3C3C66"/>
    <w:rsid w:val="0CE23F17"/>
    <w:rsid w:val="0D420EF4"/>
    <w:rsid w:val="0D49488C"/>
    <w:rsid w:val="0D691273"/>
    <w:rsid w:val="0E1D6BBF"/>
    <w:rsid w:val="0E814660"/>
    <w:rsid w:val="0E8D5956"/>
    <w:rsid w:val="0E9E097C"/>
    <w:rsid w:val="0EBF1E1F"/>
    <w:rsid w:val="0ED830A5"/>
    <w:rsid w:val="0EDC0FE6"/>
    <w:rsid w:val="0EF43065"/>
    <w:rsid w:val="0F176015"/>
    <w:rsid w:val="0F1E64DF"/>
    <w:rsid w:val="0F5A68DD"/>
    <w:rsid w:val="0F6017CF"/>
    <w:rsid w:val="0F792BD8"/>
    <w:rsid w:val="0F814934"/>
    <w:rsid w:val="0FBE5394"/>
    <w:rsid w:val="0FD42B11"/>
    <w:rsid w:val="0FD74DD9"/>
    <w:rsid w:val="100577F5"/>
    <w:rsid w:val="100C1DDA"/>
    <w:rsid w:val="101825C8"/>
    <w:rsid w:val="101A606C"/>
    <w:rsid w:val="1022699B"/>
    <w:rsid w:val="1064324C"/>
    <w:rsid w:val="10811BFF"/>
    <w:rsid w:val="108B0D18"/>
    <w:rsid w:val="109A73F4"/>
    <w:rsid w:val="109C5E52"/>
    <w:rsid w:val="10B20F73"/>
    <w:rsid w:val="10C80CA4"/>
    <w:rsid w:val="10E0785E"/>
    <w:rsid w:val="10FC1E71"/>
    <w:rsid w:val="11403424"/>
    <w:rsid w:val="11585A9E"/>
    <w:rsid w:val="118566AD"/>
    <w:rsid w:val="11BC60BF"/>
    <w:rsid w:val="11C72224"/>
    <w:rsid w:val="11F03245"/>
    <w:rsid w:val="12174399"/>
    <w:rsid w:val="125C1447"/>
    <w:rsid w:val="12677142"/>
    <w:rsid w:val="128B72B7"/>
    <w:rsid w:val="12C848A6"/>
    <w:rsid w:val="12D676ED"/>
    <w:rsid w:val="12E56E05"/>
    <w:rsid w:val="12E96F9A"/>
    <w:rsid w:val="13DA0C71"/>
    <w:rsid w:val="13DB4956"/>
    <w:rsid w:val="143071DB"/>
    <w:rsid w:val="143811B7"/>
    <w:rsid w:val="144B23B0"/>
    <w:rsid w:val="14696E11"/>
    <w:rsid w:val="14B55B98"/>
    <w:rsid w:val="14C66D7D"/>
    <w:rsid w:val="14C911CC"/>
    <w:rsid w:val="14FB77FC"/>
    <w:rsid w:val="15073490"/>
    <w:rsid w:val="15353F0C"/>
    <w:rsid w:val="15661583"/>
    <w:rsid w:val="158521DA"/>
    <w:rsid w:val="15A9419A"/>
    <w:rsid w:val="15BE2691"/>
    <w:rsid w:val="15D626A6"/>
    <w:rsid w:val="15D71892"/>
    <w:rsid w:val="16840938"/>
    <w:rsid w:val="168536C7"/>
    <w:rsid w:val="16B24226"/>
    <w:rsid w:val="16ED2160"/>
    <w:rsid w:val="172E1607"/>
    <w:rsid w:val="174F2A9F"/>
    <w:rsid w:val="177B3728"/>
    <w:rsid w:val="178A77BE"/>
    <w:rsid w:val="17A70B81"/>
    <w:rsid w:val="17B6512E"/>
    <w:rsid w:val="17F45D35"/>
    <w:rsid w:val="18042A2F"/>
    <w:rsid w:val="187E5E1B"/>
    <w:rsid w:val="18A61522"/>
    <w:rsid w:val="18B42BC3"/>
    <w:rsid w:val="194C5103"/>
    <w:rsid w:val="19642112"/>
    <w:rsid w:val="19AF5DAE"/>
    <w:rsid w:val="1A774B23"/>
    <w:rsid w:val="1AB61733"/>
    <w:rsid w:val="1ABA4378"/>
    <w:rsid w:val="1B351FAC"/>
    <w:rsid w:val="1B430691"/>
    <w:rsid w:val="1B950C9D"/>
    <w:rsid w:val="1B974BEF"/>
    <w:rsid w:val="1BC52095"/>
    <w:rsid w:val="1BD448F7"/>
    <w:rsid w:val="1C1F5136"/>
    <w:rsid w:val="1C4E5A1B"/>
    <w:rsid w:val="1C634541"/>
    <w:rsid w:val="1CC10718"/>
    <w:rsid w:val="1CDA6226"/>
    <w:rsid w:val="1CE67698"/>
    <w:rsid w:val="1CFE0E17"/>
    <w:rsid w:val="1D922BE4"/>
    <w:rsid w:val="1DC75B6F"/>
    <w:rsid w:val="1DF76ED1"/>
    <w:rsid w:val="1E08772E"/>
    <w:rsid w:val="1E152079"/>
    <w:rsid w:val="1E262080"/>
    <w:rsid w:val="1E4B256C"/>
    <w:rsid w:val="1EAC4C7B"/>
    <w:rsid w:val="1EAD5FD6"/>
    <w:rsid w:val="1EC67583"/>
    <w:rsid w:val="1ECC70CB"/>
    <w:rsid w:val="1EF65EF6"/>
    <w:rsid w:val="1F234F3D"/>
    <w:rsid w:val="1F3067D1"/>
    <w:rsid w:val="1F3A4035"/>
    <w:rsid w:val="1F403A40"/>
    <w:rsid w:val="1F4D08A5"/>
    <w:rsid w:val="1F7B1230"/>
    <w:rsid w:val="1F8305F6"/>
    <w:rsid w:val="1FD91D00"/>
    <w:rsid w:val="1FE16BA6"/>
    <w:rsid w:val="20850611"/>
    <w:rsid w:val="20AB14C3"/>
    <w:rsid w:val="214625F7"/>
    <w:rsid w:val="21542CC5"/>
    <w:rsid w:val="21626CED"/>
    <w:rsid w:val="2175572A"/>
    <w:rsid w:val="21AE4866"/>
    <w:rsid w:val="21C75100"/>
    <w:rsid w:val="21DE15EF"/>
    <w:rsid w:val="21F32403"/>
    <w:rsid w:val="21FF50C2"/>
    <w:rsid w:val="22061D6E"/>
    <w:rsid w:val="22610376"/>
    <w:rsid w:val="22726F55"/>
    <w:rsid w:val="22783666"/>
    <w:rsid w:val="22871AF1"/>
    <w:rsid w:val="22F60D46"/>
    <w:rsid w:val="23174553"/>
    <w:rsid w:val="233D40F4"/>
    <w:rsid w:val="239F7F5A"/>
    <w:rsid w:val="23CA0C85"/>
    <w:rsid w:val="23E03C9D"/>
    <w:rsid w:val="241F12BC"/>
    <w:rsid w:val="2421127C"/>
    <w:rsid w:val="24212F0F"/>
    <w:rsid w:val="242211D0"/>
    <w:rsid w:val="242A0B1C"/>
    <w:rsid w:val="24596D0B"/>
    <w:rsid w:val="24606AFE"/>
    <w:rsid w:val="246F614A"/>
    <w:rsid w:val="248024EA"/>
    <w:rsid w:val="24C451FD"/>
    <w:rsid w:val="24D1231D"/>
    <w:rsid w:val="24DF4436"/>
    <w:rsid w:val="251610A0"/>
    <w:rsid w:val="2530507E"/>
    <w:rsid w:val="255816B9"/>
    <w:rsid w:val="2574470D"/>
    <w:rsid w:val="25AB7C57"/>
    <w:rsid w:val="25F969F8"/>
    <w:rsid w:val="26110328"/>
    <w:rsid w:val="261576A5"/>
    <w:rsid w:val="267F0AD4"/>
    <w:rsid w:val="269B0525"/>
    <w:rsid w:val="26D21654"/>
    <w:rsid w:val="26FE003E"/>
    <w:rsid w:val="2702368A"/>
    <w:rsid w:val="274A279D"/>
    <w:rsid w:val="27886983"/>
    <w:rsid w:val="27AC35F6"/>
    <w:rsid w:val="27B20EDE"/>
    <w:rsid w:val="27D348CF"/>
    <w:rsid w:val="280E50B4"/>
    <w:rsid w:val="281A0EA7"/>
    <w:rsid w:val="28251E89"/>
    <w:rsid w:val="28256B24"/>
    <w:rsid w:val="28575C58"/>
    <w:rsid w:val="28C055AB"/>
    <w:rsid w:val="28E6559F"/>
    <w:rsid w:val="28F44AE7"/>
    <w:rsid w:val="29077EB4"/>
    <w:rsid w:val="292518B2"/>
    <w:rsid w:val="29A1688F"/>
    <w:rsid w:val="29E311E9"/>
    <w:rsid w:val="2A1F4BAB"/>
    <w:rsid w:val="2A306AC7"/>
    <w:rsid w:val="2A9C13A6"/>
    <w:rsid w:val="2AF763F7"/>
    <w:rsid w:val="2AFC11DB"/>
    <w:rsid w:val="2B1E6CAB"/>
    <w:rsid w:val="2BA70CA4"/>
    <w:rsid w:val="2BC764A2"/>
    <w:rsid w:val="2BD14914"/>
    <w:rsid w:val="2BE207F5"/>
    <w:rsid w:val="2C0954BB"/>
    <w:rsid w:val="2CA173C8"/>
    <w:rsid w:val="2CC758DF"/>
    <w:rsid w:val="2CF228B3"/>
    <w:rsid w:val="2DC8135C"/>
    <w:rsid w:val="2DC959AF"/>
    <w:rsid w:val="2DE953B8"/>
    <w:rsid w:val="2E10557C"/>
    <w:rsid w:val="2E204D3E"/>
    <w:rsid w:val="2EC676D1"/>
    <w:rsid w:val="2F25085E"/>
    <w:rsid w:val="2F57712E"/>
    <w:rsid w:val="2F9E36DF"/>
    <w:rsid w:val="2FE5118B"/>
    <w:rsid w:val="2FF43D8C"/>
    <w:rsid w:val="30210A65"/>
    <w:rsid w:val="30337C68"/>
    <w:rsid w:val="30420EF2"/>
    <w:rsid w:val="307557AC"/>
    <w:rsid w:val="30B10F59"/>
    <w:rsid w:val="30B312FD"/>
    <w:rsid w:val="30CE0AC2"/>
    <w:rsid w:val="30F46739"/>
    <w:rsid w:val="321C75CA"/>
    <w:rsid w:val="32326612"/>
    <w:rsid w:val="3250523A"/>
    <w:rsid w:val="325168BA"/>
    <w:rsid w:val="325B5A46"/>
    <w:rsid w:val="326B1BFE"/>
    <w:rsid w:val="32B63EE5"/>
    <w:rsid w:val="330140F8"/>
    <w:rsid w:val="33045394"/>
    <w:rsid w:val="33065DB6"/>
    <w:rsid w:val="33156224"/>
    <w:rsid w:val="332C4433"/>
    <w:rsid w:val="3366204B"/>
    <w:rsid w:val="33757868"/>
    <w:rsid w:val="33B76D37"/>
    <w:rsid w:val="34041D29"/>
    <w:rsid w:val="34507C7A"/>
    <w:rsid w:val="345721DC"/>
    <w:rsid w:val="34880D58"/>
    <w:rsid w:val="34B83B4B"/>
    <w:rsid w:val="34C603ED"/>
    <w:rsid w:val="34DB551B"/>
    <w:rsid w:val="34EE0243"/>
    <w:rsid w:val="354E69C9"/>
    <w:rsid w:val="355C6EAE"/>
    <w:rsid w:val="35731908"/>
    <w:rsid w:val="35A869A7"/>
    <w:rsid w:val="35C76E5A"/>
    <w:rsid w:val="35F04FF6"/>
    <w:rsid w:val="35F143F8"/>
    <w:rsid w:val="363B355C"/>
    <w:rsid w:val="365B1601"/>
    <w:rsid w:val="36745C27"/>
    <w:rsid w:val="36863584"/>
    <w:rsid w:val="368F7FB6"/>
    <w:rsid w:val="36997ABD"/>
    <w:rsid w:val="369A587B"/>
    <w:rsid w:val="36C34203"/>
    <w:rsid w:val="36F45D80"/>
    <w:rsid w:val="37187534"/>
    <w:rsid w:val="37313B18"/>
    <w:rsid w:val="37353608"/>
    <w:rsid w:val="37425D25"/>
    <w:rsid w:val="3769693A"/>
    <w:rsid w:val="377D6B3B"/>
    <w:rsid w:val="37873738"/>
    <w:rsid w:val="37936580"/>
    <w:rsid w:val="37983FA7"/>
    <w:rsid w:val="37B249DA"/>
    <w:rsid w:val="37D44BCF"/>
    <w:rsid w:val="383831D1"/>
    <w:rsid w:val="38495371"/>
    <w:rsid w:val="386D5023"/>
    <w:rsid w:val="388216DC"/>
    <w:rsid w:val="38A73E9A"/>
    <w:rsid w:val="38AE492A"/>
    <w:rsid w:val="38D07E46"/>
    <w:rsid w:val="38D67CAD"/>
    <w:rsid w:val="390F4E42"/>
    <w:rsid w:val="39481E73"/>
    <w:rsid w:val="398E5251"/>
    <w:rsid w:val="39933213"/>
    <w:rsid w:val="39A20998"/>
    <w:rsid w:val="39CD48E8"/>
    <w:rsid w:val="3A3631E1"/>
    <w:rsid w:val="3A526E97"/>
    <w:rsid w:val="3A7E08B9"/>
    <w:rsid w:val="3AA840F1"/>
    <w:rsid w:val="3AB61AF7"/>
    <w:rsid w:val="3AB70FF8"/>
    <w:rsid w:val="3AE74C19"/>
    <w:rsid w:val="3AF235BE"/>
    <w:rsid w:val="3B003F2D"/>
    <w:rsid w:val="3B082DE1"/>
    <w:rsid w:val="3B143534"/>
    <w:rsid w:val="3B9823B7"/>
    <w:rsid w:val="3B9A2B6D"/>
    <w:rsid w:val="3B9C42FE"/>
    <w:rsid w:val="3BB0767D"/>
    <w:rsid w:val="3BB93DF3"/>
    <w:rsid w:val="3BEF06F1"/>
    <w:rsid w:val="3C1B5A5D"/>
    <w:rsid w:val="3C477A55"/>
    <w:rsid w:val="3CAB404B"/>
    <w:rsid w:val="3D0E6FC7"/>
    <w:rsid w:val="3D4A56F1"/>
    <w:rsid w:val="3D5F7B9F"/>
    <w:rsid w:val="3D604EA0"/>
    <w:rsid w:val="3D787CFB"/>
    <w:rsid w:val="3DBB413B"/>
    <w:rsid w:val="3DCB490B"/>
    <w:rsid w:val="3DE753C5"/>
    <w:rsid w:val="3DF61654"/>
    <w:rsid w:val="3E6B715C"/>
    <w:rsid w:val="3E7F1E60"/>
    <w:rsid w:val="3E8238B3"/>
    <w:rsid w:val="3E9954BB"/>
    <w:rsid w:val="3EDF13DC"/>
    <w:rsid w:val="3F0C205D"/>
    <w:rsid w:val="3F3D7091"/>
    <w:rsid w:val="3F8C055A"/>
    <w:rsid w:val="3FD472B7"/>
    <w:rsid w:val="3FDF4418"/>
    <w:rsid w:val="404E19E7"/>
    <w:rsid w:val="4085166E"/>
    <w:rsid w:val="40954209"/>
    <w:rsid w:val="40AD2461"/>
    <w:rsid w:val="41354204"/>
    <w:rsid w:val="41404952"/>
    <w:rsid w:val="41F65BDA"/>
    <w:rsid w:val="421039B1"/>
    <w:rsid w:val="423E4D9B"/>
    <w:rsid w:val="4267663F"/>
    <w:rsid w:val="428F144A"/>
    <w:rsid w:val="429E2BDD"/>
    <w:rsid w:val="42FE2D71"/>
    <w:rsid w:val="42FF4ACA"/>
    <w:rsid w:val="43285F79"/>
    <w:rsid w:val="4341628B"/>
    <w:rsid w:val="444A6219"/>
    <w:rsid w:val="446174E9"/>
    <w:rsid w:val="448654A3"/>
    <w:rsid w:val="44B71B00"/>
    <w:rsid w:val="450F5D66"/>
    <w:rsid w:val="451F4EDA"/>
    <w:rsid w:val="45617CBE"/>
    <w:rsid w:val="4563590C"/>
    <w:rsid w:val="456F2121"/>
    <w:rsid w:val="45752B4D"/>
    <w:rsid w:val="45886FF9"/>
    <w:rsid w:val="45975E0C"/>
    <w:rsid w:val="45B55914"/>
    <w:rsid w:val="45EC6729"/>
    <w:rsid w:val="45F92E23"/>
    <w:rsid w:val="4613464F"/>
    <w:rsid w:val="4624050A"/>
    <w:rsid w:val="462431C5"/>
    <w:rsid w:val="465F6791"/>
    <w:rsid w:val="46B61AAB"/>
    <w:rsid w:val="46C53BF4"/>
    <w:rsid w:val="46CD15BE"/>
    <w:rsid w:val="47024B89"/>
    <w:rsid w:val="471825FE"/>
    <w:rsid w:val="47386C87"/>
    <w:rsid w:val="473F4A9B"/>
    <w:rsid w:val="474156B1"/>
    <w:rsid w:val="475C073D"/>
    <w:rsid w:val="482A28C5"/>
    <w:rsid w:val="48412E5F"/>
    <w:rsid w:val="488B5B63"/>
    <w:rsid w:val="48C703CA"/>
    <w:rsid w:val="491F504D"/>
    <w:rsid w:val="49697141"/>
    <w:rsid w:val="4970227E"/>
    <w:rsid w:val="49741FF3"/>
    <w:rsid w:val="49A25431"/>
    <w:rsid w:val="49CB6594"/>
    <w:rsid w:val="49DA52D7"/>
    <w:rsid w:val="49EE76F0"/>
    <w:rsid w:val="4A160FCB"/>
    <w:rsid w:val="4A2D6925"/>
    <w:rsid w:val="4A44632B"/>
    <w:rsid w:val="4A4D061A"/>
    <w:rsid w:val="4A843B89"/>
    <w:rsid w:val="4A8925BA"/>
    <w:rsid w:val="4AB054E2"/>
    <w:rsid w:val="4ADB406F"/>
    <w:rsid w:val="4B034494"/>
    <w:rsid w:val="4B067ADF"/>
    <w:rsid w:val="4B5C06A3"/>
    <w:rsid w:val="4B86222C"/>
    <w:rsid w:val="4BBC0111"/>
    <w:rsid w:val="4BC228D7"/>
    <w:rsid w:val="4C9F02A8"/>
    <w:rsid w:val="4CB46925"/>
    <w:rsid w:val="4CC8427E"/>
    <w:rsid w:val="4CEC6287"/>
    <w:rsid w:val="4CED3A14"/>
    <w:rsid w:val="4CFE6278"/>
    <w:rsid w:val="4D1F4E5A"/>
    <w:rsid w:val="4D5910C5"/>
    <w:rsid w:val="4D6E0BAF"/>
    <w:rsid w:val="4E191136"/>
    <w:rsid w:val="4E3E294A"/>
    <w:rsid w:val="4E4347A9"/>
    <w:rsid w:val="4E652B52"/>
    <w:rsid w:val="4ECE133C"/>
    <w:rsid w:val="4ED9206C"/>
    <w:rsid w:val="4FB6658E"/>
    <w:rsid w:val="4FBF394F"/>
    <w:rsid w:val="4FD63DD2"/>
    <w:rsid w:val="4FEB2350"/>
    <w:rsid w:val="50003B61"/>
    <w:rsid w:val="5054362B"/>
    <w:rsid w:val="50792360"/>
    <w:rsid w:val="509E3B74"/>
    <w:rsid w:val="50CD5CD5"/>
    <w:rsid w:val="50EB61DD"/>
    <w:rsid w:val="51223E4E"/>
    <w:rsid w:val="51271DBC"/>
    <w:rsid w:val="512B52CF"/>
    <w:rsid w:val="515626A1"/>
    <w:rsid w:val="515C6A7D"/>
    <w:rsid w:val="51A11B6E"/>
    <w:rsid w:val="51A22FC7"/>
    <w:rsid w:val="51A4048B"/>
    <w:rsid w:val="51C3492C"/>
    <w:rsid w:val="51C94C21"/>
    <w:rsid w:val="51D27654"/>
    <w:rsid w:val="52541A38"/>
    <w:rsid w:val="52716848"/>
    <w:rsid w:val="52AD6348"/>
    <w:rsid w:val="530F0F48"/>
    <w:rsid w:val="5314649B"/>
    <w:rsid w:val="531F6A0A"/>
    <w:rsid w:val="533E1DB7"/>
    <w:rsid w:val="534927C2"/>
    <w:rsid w:val="53B10C27"/>
    <w:rsid w:val="53EA68B8"/>
    <w:rsid w:val="54265EBB"/>
    <w:rsid w:val="543066E2"/>
    <w:rsid w:val="544928CC"/>
    <w:rsid w:val="546F7411"/>
    <w:rsid w:val="54F357D8"/>
    <w:rsid w:val="553B71E4"/>
    <w:rsid w:val="55481A06"/>
    <w:rsid w:val="55737B5D"/>
    <w:rsid w:val="55742677"/>
    <w:rsid w:val="55B04960"/>
    <w:rsid w:val="56485B0B"/>
    <w:rsid w:val="5688500F"/>
    <w:rsid w:val="56941BCD"/>
    <w:rsid w:val="56B22127"/>
    <w:rsid w:val="56C21B38"/>
    <w:rsid w:val="56C22716"/>
    <w:rsid w:val="57396A35"/>
    <w:rsid w:val="573A0777"/>
    <w:rsid w:val="574735EC"/>
    <w:rsid w:val="57551B08"/>
    <w:rsid w:val="57560D05"/>
    <w:rsid w:val="57C2289C"/>
    <w:rsid w:val="57CF2865"/>
    <w:rsid w:val="57E75301"/>
    <w:rsid w:val="57F310CE"/>
    <w:rsid w:val="57FF5568"/>
    <w:rsid w:val="58913B2C"/>
    <w:rsid w:val="58932033"/>
    <w:rsid w:val="58935F89"/>
    <w:rsid w:val="58D7220D"/>
    <w:rsid w:val="595C637A"/>
    <w:rsid w:val="59914276"/>
    <w:rsid w:val="5994489C"/>
    <w:rsid w:val="59FC1447"/>
    <w:rsid w:val="5A2723F0"/>
    <w:rsid w:val="5A39327C"/>
    <w:rsid w:val="5A5308CF"/>
    <w:rsid w:val="5A8E6A07"/>
    <w:rsid w:val="5A9A6615"/>
    <w:rsid w:val="5AA47FD9"/>
    <w:rsid w:val="5ACE17F6"/>
    <w:rsid w:val="5ACF33E0"/>
    <w:rsid w:val="5AD72853"/>
    <w:rsid w:val="5AE0147B"/>
    <w:rsid w:val="5AF02B77"/>
    <w:rsid w:val="5B4377F2"/>
    <w:rsid w:val="5B541BFB"/>
    <w:rsid w:val="5B6C5280"/>
    <w:rsid w:val="5B7511BA"/>
    <w:rsid w:val="5B8612AB"/>
    <w:rsid w:val="5BC87CF7"/>
    <w:rsid w:val="5BCB7CE3"/>
    <w:rsid w:val="5C225659"/>
    <w:rsid w:val="5C3E3BB8"/>
    <w:rsid w:val="5C800779"/>
    <w:rsid w:val="5CCD6047"/>
    <w:rsid w:val="5D503D33"/>
    <w:rsid w:val="5D806784"/>
    <w:rsid w:val="5DEA3573"/>
    <w:rsid w:val="5DF4767B"/>
    <w:rsid w:val="5E343D6A"/>
    <w:rsid w:val="5E8B1D08"/>
    <w:rsid w:val="5E8C345B"/>
    <w:rsid w:val="5EAB6030"/>
    <w:rsid w:val="5EE04AE5"/>
    <w:rsid w:val="5EE65271"/>
    <w:rsid w:val="5EFA162E"/>
    <w:rsid w:val="5F6B37BB"/>
    <w:rsid w:val="5F955B05"/>
    <w:rsid w:val="607F04BF"/>
    <w:rsid w:val="6082164B"/>
    <w:rsid w:val="609E371C"/>
    <w:rsid w:val="60D204EC"/>
    <w:rsid w:val="60E77C59"/>
    <w:rsid w:val="60FD75AC"/>
    <w:rsid w:val="61456907"/>
    <w:rsid w:val="61674573"/>
    <w:rsid w:val="61712B1C"/>
    <w:rsid w:val="618F19E3"/>
    <w:rsid w:val="61B102DD"/>
    <w:rsid w:val="61C80A51"/>
    <w:rsid w:val="61DC62AA"/>
    <w:rsid w:val="61E4769F"/>
    <w:rsid w:val="61FC4B9F"/>
    <w:rsid w:val="62873895"/>
    <w:rsid w:val="62B274F4"/>
    <w:rsid w:val="62C20A3D"/>
    <w:rsid w:val="62F15D85"/>
    <w:rsid w:val="62F3187E"/>
    <w:rsid w:val="63040DEB"/>
    <w:rsid w:val="631101D6"/>
    <w:rsid w:val="63436C16"/>
    <w:rsid w:val="63620433"/>
    <w:rsid w:val="636649C5"/>
    <w:rsid w:val="63AC71FC"/>
    <w:rsid w:val="63C05D0E"/>
    <w:rsid w:val="63DF02B2"/>
    <w:rsid w:val="63F43D7F"/>
    <w:rsid w:val="63FF0A45"/>
    <w:rsid w:val="64202DC6"/>
    <w:rsid w:val="64771E4C"/>
    <w:rsid w:val="64BB029A"/>
    <w:rsid w:val="650C6815"/>
    <w:rsid w:val="650C6AF2"/>
    <w:rsid w:val="651962D3"/>
    <w:rsid w:val="651C422B"/>
    <w:rsid w:val="651F4226"/>
    <w:rsid w:val="65202952"/>
    <w:rsid w:val="652501E7"/>
    <w:rsid w:val="65485076"/>
    <w:rsid w:val="65815AE7"/>
    <w:rsid w:val="659C0B80"/>
    <w:rsid w:val="65BC2201"/>
    <w:rsid w:val="65C77271"/>
    <w:rsid w:val="65F010D5"/>
    <w:rsid w:val="660A240C"/>
    <w:rsid w:val="661A5A1A"/>
    <w:rsid w:val="66740B87"/>
    <w:rsid w:val="668206F9"/>
    <w:rsid w:val="668F353B"/>
    <w:rsid w:val="66C30527"/>
    <w:rsid w:val="67137E05"/>
    <w:rsid w:val="67197C10"/>
    <w:rsid w:val="671D7B0E"/>
    <w:rsid w:val="67204E8B"/>
    <w:rsid w:val="67404438"/>
    <w:rsid w:val="676343CF"/>
    <w:rsid w:val="677610A8"/>
    <w:rsid w:val="67950437"/>
    <w:rsid w:val="67B101D9"/>
    <w:rsid w:val="682A2CAE"/>
    <w:rsid w:val="682B241B"/>
    <w:rsid w:val="684749A2"/>
    <w:rsid w:val="68772E7F"/>
    <w:rsid w:val="68AD63C2"/>
    <w:rsid w:val="68BC4472"/>
    <w:rsid w:val="68CD4B9F"/>
    <w:rsid w:val="68DD2B6A"/>
    <w:rsid w:val="68E02B92"/>
    <w:rsid w:val="692C5576"/>
    <w:rsid w:val="69AB002C"/>
    <w:rsid w:val="69C66517"/>
    <w:rsid w:val="69E82BD0"/>
    <w:rsid w:val="6A4115E1"/>
    <w:rsid w:val="6A464C09"/>
    <w:rsid w:val="6AA5159E"/>
    <w:rsid w:val="6ABE421C"/>
    <w:rsid w:val="6B09388D"/>
    <w:rsid w:val="6BE47B94"/>
    <w:rsid w:val="6C256AA0"/>
    <w:rsid w:val="6C2B4419"/>
    <w:rsid w:val="6C6475C8"/>
    <w:rsid w:val="6C726189"/>
    <w:rsid w:val="6C7812C6"/>
    <w:rsid w:val="6CC1332D"/>
    <w:rsid w:val="6CCE577C"/>
    <w:rsid w:val="6CD01102"/>
    <w:rsid w:val="6D3276C6"/>
    <w:rsid w:val="6D59419C"/>
    <w:rsid w:val="6D6B4986"/>
    <w:rsid w:val="6D774051"/>
    <w:rsid w:val="6DA351FE"/>
    <w:rsid w:val="6DAE4FF2"/>
    <w:rsid w:val="6DD16AA3"/>
    <w:rsid w:val="6DD324D6"/>
    <w:rsid w:val="6E945572"/>
    <w:rsid w:val="6E9626BC"/>
    <w:rsid w:val="6EA1473F"/>
    <w:rsid w:val="6EAB12E4"/>
    <w:rsid w:val="6EEF1D13"/>
    <w:rsid w:val="6EFC4273"/>
    <w:rsid w:val="6F052A08"/>
    <w:rsid w:val="6F194BA5"/>
    <w:rsid w:val="6FC442E3"/>
    <w:rsid w:val="700C2DFA"/>
    <w:rsid w:val="701C051B"/>
    <w:rsid w:val="706871E9"/>
    <w:rsid w:val="70C72D42"/>
    <w:rsid w:val="70CF7318"/>
    <w:rsid w:val="7183565D"/>
    <w:rsid w:val="71883D59"/>
    <w:rsid w:val="719205B6"/>
    <w:rsid w:val="71C83C58"/>
    <w:rsid w:val="71CB1E97"/>
    <w:rsid w:val="71D573B0"/>
    <w:rsid w:val="721F04BC"/>
    <w:rsid w:val="72D354A8"/>
    <w:rsid w:val="72D67E89"/>
    <w:rsid w:val="72DB63CE"/>
    <w:rsid w:val="73330263"/>
    <w:rsid w:val="73AF2114"/>
    <w:rsid w:val="740F42BD"/>
    <w:rsid w:val="744550D3"/>
    <w:rsid w:val="7480262D"/>
    <w:rsid w:val="74BE126A"/>
    <w:rsid w:val="74EC35B3"/>
    <w:rsid w:val="752864AA"/>
    <w:rsid w:val="75882DC7"/>
    <w:rsid w:val="758F1932"/>
    <w:rsid w:val="75904423"/>
    <w:rsid w:val="759929D8"/>
    <w:rsid w:val="767D5CCC"/>
    <w:rsid w:val="767F2345"/>
    <w:rsid w:val="76872831"/>
    <w:rsid w:val="76A3126E"/>
    <w:rsid w:val="77CA0A7C"/>
    <w:rsid w:val="77D66884"/>
    <w:rsid w:val="77ED260F"/>
    <w:rsid w:val="78434E7D"/>
    <w:rsid w:val="7852361B"/>
    <w:rsid w:val="78690D08"/>
    <w:rsid w:val="78B03CEE"/>
    <w:rsid w:val="78B76CF6"/>
    <w:rsid w:val="78BC51E0"/>
    <w:rsid w:val="78C87131"/>
    <w:rsid w:val="78E03921"/>
    <w:rsid w:val="79020895"/>
    <w:rsid w:val="7923015C"/>
    <w:rsid w:val="79AC0A5A"/>
    <w:rsid w:val="79D03971"/>
    <w:rsid w:val="79EC324A"/>
    <w:rsid w:val="79F73B7C"/>
    <w:rsid w:val="7A0128FA"/>
    <w:rsid w:val="7A3525A4"/>
    <w:rsid w:val="7A9E4C9E"/>
    <w:rsid w:val="7AF24C35"/>
    <w:rsid w:val="7AF406B1"/>
    <w:rsid w:val="7AF622DE"/>
    <w:rsid w:val="7B134E72"/>
    <w:rsid w:val="7B3350DB"/>
    <w:rsid w:val="7B4B48B1"/>
    <w:rsid w:val="7B4E1B6F"/>
    <w:rsid w:val="7B7710ED"/>
    <w:rsid w:val="7CB82F5A"/>
    <w:rsid w:val="7CCD2F68"/>
    <w:rsid w:val="7D0216DE"/>
    <w:rsid w:val="7D1754DB"/>
    <w:rsid w:val="7D386CB3"/>
    <w:rsid w:val="7D4A6037"/>
    <w:rsid w:val="7D6001AC"/>
    <w:rsid w:val="7D800824"/>
    <w:rsid w:val="7DDB16B4"/>
    <w:rsid w:val="7DE725A2"/>
    <w:rsid w:val="7E026C41"/>
    <w:rsid w:val="7E2D12C4"/>
    <w:rsid w:val="7E462FD2"/>
    <w:rsid w:val="7E584AB3"/>
    <w:rsid w:val="7E883DAE"/>
    <w:rsid w:val="7E9C395D"/>
    <w:rsid w:val="7EAA17B2"/>
    <w:rsid w:val="7ECF7363"/>
    <w:rsid w:val="7EE605E9"/>
    <w:rsid w:val="7EE609FF"/>
    <w:rsid w:val="7EF56C16"/>
    <w:rsid w:val="7F121106"/>
    <w:rsid w:val="7F385010"/>
    <w:rsid w:val="7F5C7D12"/>
    <w:rsid w:val="7F720A98"/>
    <w:rsid w:val="7F7A0F6A"/>
    <w:rsid w:val="7F8C2C66"/>
    <w:rsid w:val="7FAF4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8"/>
    <w:semiHidden/>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表头"/>
    <w:link w:val="22"/>
    <w:qFormat/>
    <w:uiPriority w:val="0"/>
    <w:pPr>
      <w:adjustRightInd w:val="0"/>
      <w:spacing w:after="0" w:line="360" w:lineRule="auto"/>
      <w:ind w:firstLine="422" w:firstLineChars="200"/>
      <w:jc w:val="center"/>
    </w:pPr>
    <w:rPr>
      <w:rFonts w:ascii="Times New Roman" w:hAnsi="Times New Roman" w:eastAsia="宋体" w:cs="Times New Roman"/>
      <w:b/>
      <w:bCs/>
      <w:kern w:val="24"/>
      <w:sz w:val="21"/>
      <w:szCs w:val="21"/>
      <w:lang w:val="en-US" w:eastAsia="zh-CN" w:bidi="ar-SA"/>
    </w:rPr>
  </w:style>
  <w:style w:type="paragraph" w:customStyle="1" w:styleId="10">
    <w:name w:val="表格"/>
    <w:basedOn w:val="1"/>
    <w:next w:val="1"/>
    <w:link w:val="21"/>
    <w:qFormat/>
    <w:uiPriority w:val="0"/>
    <w:pPr>
      <w:adjustRightInd w:val="0"/>
      <w:snapToGrid w:val="0"/>
      <w:spacing w:beforeLines="10" w:afterLines="10" w:line="259" w:lineRule="auto"/>
      <w:jc w:val="center"/>
    </w:pPr>
    <w:rPr>
      <w:rFonts w:ascii="宋体"/>
      <w:kern w:val="0"/>
      <w:szCs w:val="20"/>
    </w:rPr>
  </w:style>
  <w:style w:type="paragraph" w:customStyle="1" w:styleId="11">
    <w:name w:val="2表格内容"/>
    <w:basedOn w:val="12"/>
    <w:qFormat/>
    <w:uiPriority w:val="0"/>
    <w:pPr>
      <w:spacing w:line="240" w:lineRule="auto"/>
      <w:ind w:firstLine="0" w:firstLineChars="0"/>
      <w:jc w:val="center"/>
    </w:pPr>
    <w:rPr>
      <w:bCs w:val="0"/>
      <w:kern w:val="24"/>
      <w:sz w:val="21"/>
    </w:rPr>
  </w:style>
  <w:style w:type="paragraph" w:customStyle="1" w:styleId="12">
    <w:name w:val="1正文"/>
    <w:basedOn w:val="1"/>
    <w:qFormat/>
    <w:uiPriority w:val="0"/>
    <w:pPr>
      <w:adjustRightInd w:val="0"/>
      <w:snapToGrid w:val="0"/>
      <w:spacing w:line="360" w:lineRule="auto"/>
      <w:ind w:firstLine="480" w:firstLineChars="200"/>
    </w:pPr>
    <w:rPr>
      <w:bCs/>
      <w:sz w:val="24"/>
    </w:rPr>
  </w:style>
  <w:style w:type="table" w:customStyle="1" w:styleId="13">
    <w:name w:val="Table Normal"/>
    <w:semiHidden/>
    <w:unhideWhenUsed/>
    <w:qFormat/>
    <w:uiPriority w:val="0"/>
    <w:tblPr>
      <w:tblCellMar>
        <w:top w:w="0" w:type="dxa"/>
        <w:left w:w="0" w:type="dxa"/>
        <w:bottom w:w="0" w:type="dxa"/>
        <w:right w:w="0" w:type="dxa"/>
      </w:tblCellMar>
    </w:tblPr>
  </w:style>
  <w:style w:type="character" w:customStyle="1" w:styleId="14">
    <w:name w:val="标题 1 字符"/>
    <w:basedOn w:val="8"/>
    <w:link w:val="2"/>
    <w:qFormat/>
    <w:uiPriority w:val="9"/>
    <w:rPr>
      <w:rFonts w:ascii="宋体" w:hAnsi="宋体" w:cs="宋体"/>
      <w:b/>
      <w:bCs/>
      <w:kern w:val="36"/>
      <w:sz w:val="48"/>
      <w:szCs w:val="48"/>
    </w:rPr>
  </w:style>
  <w:style w:type="paragraph" w:customStyle="1" w:styleId="15">
    <w:name w:val="0图表名"/>
    <w:basedOn w:val="1"/>
    <w:qFormat/>
    <w:uiPriority w:val="0"/>
    <w:pPr>
      <w:adjustRightInd w:val="0"/>
      <w:snapToGrid w:val="0"/>
      <w:spacing w:line="312" w:lineRule="auto"/>
      <w:jc w:val="center"/>
    </w:pPr>
    <w:rPr>
      <w:rFonts w:eastAsia="黑体"/>
      <w:kern w:val="24"/>
      <w:szCs w:val="21"/>
    </w:rPr>
  </w:style>
  <w:style w:type="paragraph" w:customStyle="1" w:styleId="16">
    <w:name w:val="Tab正文"/>
    <w:basedOn w:val="1"/>
    <w:qFormat/>
    <w:uiPriority w:val="0"/>
    <w:pPr>
      <w:jc w:val="center"/>
    </w:pPr>
    <w:rPr>
      <w:szCs w:val="21"/>
    </w:rPr>
  </w:style>
  <w:style w:type="character" w:customStyle="1" w:styleId="17">
    <w:name w:val="cf01"/>
    <w:basedOn w:val="8"/>
    <w:qFormat/>
    <w:uiPriority w:val="0"/>
    <w:rPr>
      <w:rFonts w:hint="eastAsia" w:ascii="Microsoft YaHei UI" w:hAnsi="Microsoft YaHei UI" w:eastAsia="Microsoft YaHei UI"/>
      <w:sz w:val="18"/>
      <w:szCs w:val="18"/>
    </w:rPr>
  </w:style>
  <w:style w:type="character" w:customStyle="1" w:styleId="18">
    <w:name w:val="标题 3 字符"/>
    <w:basedOn w:val="8"/>
    <w:link w:val="4"/>
    <w:semiHidden/>
    <w:qFormat/>
    <w:uiPriority w:val="0"/>
    <w:rPr>
      <w:b/>
      <w:bCs/>
      <w:kern w:val="2"/>
      <w:sz w:val="32"/>
      <w:szCs w:val="32"/>
    </w:rPr>
  </w:style>
  <w:style w:type="paragraph" w:customStyle="1" w:styleId="19">
    <w:name w:val="表头-图名"/>
    <w:qFormat/>
    <w:uiPriority w:val="1"/>
    <w:pPr>
      <w:autoSpaceDE w:val="0"/>
      <w:autoSpaceDN w:val="0"/>
      <w:spacing w:after="160" w:line="278" w:lineRule="auto"/>
      <w:jc w:val="center"/>
    </w:pPr>
    <w:rPr>
      <w:rFonts w:ascii="Times New Roman" w:hAnsi="Times New Roman" w:eastAsia="宋体" w:cs="宋体"/>
      <w:b/>
      <w:sz w:val="21"/>
      <w:szCs w:val="22"/>
      <w:lang w:val="zh-CN" w:eastAsia="zh-CN" w:bidi="zh-CN"/>
    </w:rPr>
  </w:style>
  <w:style w:type="character" w:customStyle="1" w:styleId="20">
    <w:name w:val="标题 2 字符"/>
    <w:basedOn w:val="8"/>
    <w:link w:val="3"/>
    <w:qFormat/>
    <w:uiPriority w:val="0"/>
    <w:rPr>
      <w:rFonts w:ascii="Arial" w:hAnsi="Arial" w:eastAsia="黑体"/>
      <w:b/>
      <w:bCs/>
      <w:kern w:val="2"/>
      <w:sz w:val="32"/>
      <w:szCs w:val="32"/>
    </w:rPr>
  </w:style>
  <w:style w:type="character" w:customStyle="1" w:styleId="21">
    <w:name w:val="表格 Char"/>
    <w:link w:val="10"/>
    <w:qFormat/>
    <w:uiPriority w:val="0"/>
    <w:rPr>
      <w:rFonts w:ascii="宋体"/>
      <w:kern w:val="0"/>
      <w:szCs w:val="20"/>
    </w:rPr>
  </w:style>
  <w:style w:type="character" w:customStyle="1" w:styleId="22">
    <w:name w:val="表头 Char"/>
    <w:link w:val="9"/>
    <w:qFormat/>
    <w:uiPriority w:val="0"/>
    <w:rPr>
      <w:b/>
      <w:bCs/>
      <w:kern w:val="24"/>
      <w:sz w:val="21"/>
      <w:szCs w:val="21"/>
    </w:rPr>
  </w:style>
  <w:style w:type="paragraph" w:customStyle="1" w:styleId="23">
    <w:name w:val="报告正文"/>
    <w:basedOn w:val="24"/>
    <w:next w:val="1"/>
    <w:qFormat/>
    <w:uiPriority w:val="0"/>
    <w:pPr>
      <w:adjustRightInd w:val="0"/>
      <w:snapToGrid w:val="0"/>
      <w:ind w:firstLine="200"/>
    </w:pPr>
    <w:rPr>
      <w:rFonts w:ascii="Times New Roman" w:cs="Times New Roman"/>
    </w:rPr>
  </w:style>
  <w:style w:type="paragraph" w:customStyle="1" w:styleId="24">
    <w:name w:val="环评正文"/>
    <w:basedOn w:val="1"/>
    <w:next w:val="1"/>
    <w:qFormat/>
    <w:uiPriority w:val="0"/>
    <w:pPr>
      <w:spacing w:line="360" w:lineRule="auto"/>
      <w:ind w:firstLine="484"/>
    </w:pPr>
    <w:rPr>
      <w:rFonts w:ascii="仿宋_GB2312" w:hAnsi="Calibri" w:cs="宋体"/>
      <w:snapToGrid w:val="0"/>
      <w:spacing w:val="1"/>
      <w:position w:val="-3"/>
      <w:sz w:val="24"/>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3.emf"/><Relationship Id="rId13" Type="http://schemas.openxmlformats.org/officeDocument/2006/relationships/oleObject" Target="embeddings/oleObject3.bin"/><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9AAF-8298-419C-98D3-53DF477A485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27911</Words>
  <Characters>31562</Characters>
  <Lines>252</Lines>
  <Paragraphs>71</Paragraphs>
  <TotalTime>14</TotalTime>
  <ScaleCrop>false</ScaleCrop>
  <LinksUpToDate>false</LinksUpToDate>
  <CharactersWithSpaces>31900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2023-08-08T03:23:00Z</dcterms:created>
  <dc:creator>lenovo</dc:creator>
  <cp:lastModifiedBy>漫步者</cp:lastModifiedBy>
  <cp:lastPrinted>2024-06-20T01:35:00Z</cp:lastPrinted>
  <dcterms:modified xsi:type="dcterms:W3CDTF">2024-07-01T08:41:16Z</dcterms:modified>
  <cp:revision>587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D6115B91C35C4749A068552D7B53F04A_13</vt:lpwstr>
  </property>
</Properties>
</file>